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D1902">
      <w:pPr>
        <w:widowControl/>
        <w:shd w:val="clear" w:color="auto" w:fill="FFFFFF"/>
        <w:spacing w:line="560" w:lineRule="exact"/>
        <w:ind w:firstLine="2641" w:firstLineChars="600"/>
        <w:jc w:val="both"/>
        <w:rPr>
          <w:rFonts w:hint="eastAsia" w:ascii="微软雅黑" w:hAnsi="微软雅黑" w:eastAsia="微软雅黑" w:cs="微软雅黑"/>
          <w:b/>
          <w:bCs/>
          <w:kern w:val="0"/>
          <w:sz w:val="44"/>
          <w:szCs w:val="44"/>
          <w:lang w:val="en-US" w:eastAsia="zh-CN"/>
        </w:rPr>
      </w:pPr>
    </w:p>
    <w:p w14:paraId="22B9A15C">
      <w:pPr>
        <w:widowControl/>
        <w:shd w:val="clear" w:color="auto" w:fill="FFFFFF"/>
        <w:spacing w:line="560" w:lineRule="exact"/>
        <w:jc w:val="both"/>
        <w:rPr>
          <w:rFonts w:hint="eastAsia" w:ascii="微软雅黑" w:hAnsi="微软雅黑" w:eastAsia="微软雅黑" w:cs="微软雅黑"/>
          <w:b/>
          <w:bCs/>
          <w:kern w:val="0"/>
          <w:sz w:val="44"/>
          <w:szCs w:val="44"/>
          <w:lang w:val="en-US" w:eastAsia="zh-CN"/>
        </w:rPr>
      </w:pPr>
      <w:r>
        <w:rPr>
          <w:rFonts w:hint="eastAsia" w:ascii="微软雅黑" w:hAnsi="微软雅黑" w:eastAsia="微软雅黑" w:cs="微软雅黑"/>
          <w:b/>
          <w:bCs/>
          <w:kern w:val="0"/>
          <w:sz w:val="44"/>
          <w:szCs w:val="44"/>
          <w:lang w:val="en-US" w:eastAsia="zh-CN"/>
        </w:rPr>
        <w:t>禹州市教育体育局2024年班班通采购项目</w:t>
      </w:r>
    </w:p>
    <w:p w14:paraId="35990AEE">
      <w:pPr>
        <w:widowControl/>
        <w:shd w:val="clear" w:color="auto" w:fill="FFFFFF"/>
        <w:spacing w:line="560" w:lineRule="exact"/>
        <w:ind w:firstLine="2641" w:firstLineChars="600"/>
        <w:jc w:val="both"/>
        <w:rPr>
          <w:rFonts w:ascii="微软雅黑" w:hAnsi="微软雅黑" w:eastAsia="微软雅黑" w:cs="微软雅黑"/>
          <w:b/>
          <w:bCs/>
          <w:kern w:val="0"/>
          <w:sz w:val="44"/>
          <w:szCs w:val="44"/>
        </w:rPr>
      </w:pPr>
      <w:r>
        <w:rPr>
          <w:rFonts w:hint="eastAsia" w:ascii="微软雅黑" w:hAnsi="微软雅黑" w:eastAsia="微软雅黑" w:cs="微软雅黑"/>
          <w:b/>
          <w:bCs/>
          <w:kern w:val="0"/>
          <w:sz w:val="44"/>
          <w:szCs w:val="44"/>
        </w:rPr>
        <w:t>（不见面开标）</w:t>
      </w:r>
    </w:p>
    <w:p w14:paraId="5756AA5A">
      <w:pPr>
        <w:rPr>
          <w:rFonts w:ascii="微软简隶书" w:eastAsia="微软简隶书"/>
          <w:b/>
          <w:bCs/>
          <w:color w:val="000000"/>
          <w:sz w:val="32"/>
          <w:szCs w:val="32"/>
          <w:u w:val="single"/>
        </w:rPr>
      </w:pPr>
    </w:p>
    <w:p w14:paraId="4B00039E">
      <w:pPr>
        <w:rPr>
          <w:rFonts w:ascii="微软简隶书" w:eastAsia="微软简隶书"/>
          <w:color w:val="000000"/>
        </w:rPr>
      </w:pPr>
    </w:p>
    <w:p w14:paraId="539A45B1">
      <w:pPr>
        <w:rPr>
          <w:rFonts w:ascii="微软简隶书" w:eastAsia="微软简隶书"/>
          <w:color w:val="000000"/>
        </w:rPr>
      </w:pPr>
    </w:p>
    <w:p w14:paraId="4CB202AC">
      <w:pPr>
        <w:jc w:val="both"/>
        <w:rPr>
          <w:rFonts w:ascii="宋体" w:hAnsi="宋体" w:cs="宋体"/>
          <w:bCs/>
          <w:color w:val="000000"/>
          <w:w w:val="90"/>
          <w:sz w:val="120"/>
          <w:szCs w:val="120"/>
        </w:rPr>
      </w:pPr>
    </w:p>
    <w:p w14:paraId="7C1AC35D">
      <w:pPr>
        <w:jc w:val="center"/>
        <w:rPr>
          <w:rFonts w:ascii="微软简隶书" w:eastAsia="微软简隶书"/>
          <w:color w:val="000000"/>
        </w:rPr>
      </w:pPr>
      <w:r>
        <w:rPr>
          <w:rFonts w:hint="eastAsia" w:ascii="宋体" w:hAnsi="宋体" w:cs="宋体"/>
          <w:bCs/>
          <w:color w:val="000000"/>
          <w:w w:val="90"/>
          <w:sz w:val="120"/>
          <w:szCs w:val="120"/>
        </w:rPr>
        <w:t>招　标　文　件</w:t>
      </w:r>
    </w:p>
    <w:p w14:paraId="0C2D1C38">
      <w:pPr>
        <w:rPr>
          <w:rFonts w:ascii="微软简隶书" w:eastAsia="微软简隶书"/>
          <w:color w:val="000000"/>
        </w:rPr>
      </w:pPr>
    </w:p>
    <w:p w14:paraId="0BB3F24A">
      <w:pPr>
        <w:rPr>
          <w:rFonts w:ascii="微软简隶书" w:eastAsia="微软简隶书"/>
          <w:color w:val="000000"/>
        </w:rPr>
      </w:pPr>
    </w:p>
    <w:p w14:paraId="39A44474">
      <w:pPr>
        <w:rPr>
          <w:rFonts w:ascii="微软简隶书" w:eastAsia="微软简隶书"/>
          <w:color w:val="000000"/>
        </w:rPr>
      </w:pPr>
    </w:p>
    <w:p w14:paraId="199E4207">
      <w:pPr>
        <w:rPr>
          <w:rFonts w:ascii="微软简隶书" w:eastAsia="微软简隶书"/>
          <w:color w:val="000000"/>
        </w:rPr>
      </w:pPr>
    </w:p>
    <w:p w14:paraId="2DA8D82E">
      <w:pPr>
        <w:rPr>
          <w:rFonts w:ascii="微软简隶书" w:eastAsia="微软简隶书"/>
          <w:color w:val="000000"/>
        </w:rPr>
      </w:pPr>
    </w:p>
    <w:p w14:paraId="383348BF">
      <w:pPr>
        <w:ind w:firstLine="1084" w:firstLineChars="300"/>
        <w:rPr>
          <w:rFonts w:hint="eastAsia" w:ascii="宋体" w:hAnsi="宋体" w:cs="宋体"/>
          <w:b/>
          <w:bCs/>
          <w:color w:val="000000"/>
          <w:sz w:val="36"/>
          <w:szCs w:val="36"/>
          <w:lang w:val="en-US" w:eastAsia="zh-CN"/>
        </w:rPr>
      </w:pPr>
      <w:r>
        <w:rPr>
          <w:rFonts w:hint="eastAsia" w:ascii="宋体" w:hAnsi="宋体" w:cs="宋体"/>
          <w:b/>
          <w:bCs/>
          <w:color w:val="000000"/>
          <w:sz w:val="36"/>
          <w:szCs w:val="36"/>
        </w:rPr>
        <w:t>采购编号： YZCG-G20240</w:t>
      </w:r>
      <w:r>
        <w:rPr>
          <w:rFonts w:hint="eastAsia" w:ascii="宋体" w:hAnsi="宋体" w:cs="宋体"/>
          <w:b/>
          <w:bCs/>
          <w:color w:val="000000"/>
          <w:sz w:val="36"/>
          <w:szCs w:val="36"/>
          <w:lang w:val="en-US" w:eastAsia="zh-CN"/>
        </w:rPr>
        <w:t>11</w:t>
      </w:r>
    </w:p>
    <w:p w14:paraId="596E849E">
      <w:pPr>
        <w:ind w:firstLine="1084" w:firstLineChars="300"/>
        <w:rPr>
          <w:rFonts w:hint="default" w:ascii="宋体" w:hAnsi="宋体" w:cs="宋体" w:eastAsiaTheme="minorEastAsia"/>
          <w:b/>
          <w:bCs/>
          <w:color w:val="000000"/>
          <w:sz w:val="36"/>
          <w:szCs w:val="36"/>
          <w:lang w:val="en-US" w:eastAsia="zh-CN"/>
        </w:rPr>
      </w:pPr>
      <w:r>
        <w:rPr>
          <w:rFonts w:hint="eastAsia" w:ascii="宋体" w:hAnsi="宋体" w:cs="宋体"/>
          <w:b/>
          <w:bCs/>
          <w:color w:val="000000"/>
          <w:sz w:val="36"/>
          <w:szCs w:val="36"/>
        </w:rPr>
        <w:t>采购单位：禹州市</w:t>
      </w:r>
      <w:r>
        <w:rPr>
          <w:rFonts w:hint="eastAsia" w:ascii="宋体" w:hAnsi="宋体" w:cs="宋体"/>
          <w:b/>
          <w:bCs/>
          <w:color w:val="000000"/>
          <w:sz w:val="36"/>
          <w:szCs w:val="36"/>
          <w:lang w:val="en-US" w:eastAsia="zh-CN"/>
        </w:rPr>
        <w:t>教育体育局</w:t>
      </w:r>
    </w:p>
    <w:p w14:paraId="651AA835">
      <w:pPr>
        <w:ind w:firstLine="1084" w:firstLineChars="300"/>
        <w:rPr>
          <w:rFonts w:ascii="宋体" w:hAnsi="宋体" w:cs="宋体"/>
          <w:b/>
          <w:bCs/>
          <w:color w:val="000000"/>
          <w:sz w:val="36"/>
          <w:szCs w:val="36"/>
        </w:rPr>
      </w:pPr>
      <w:r>
        <w:rPr>
          <w:rFonts w:hint="eastAsia" w:ascii="宋体" w:hAnsi="宋体" w:cs="宋体"/>
          <w:b/>
          <w:bCs/>
          <w:color w:val="000000"/>
          <w:sz w:val="36"/>
          <w:szCs w:val="36"/>
        </w:rPr>
        <w:t>代理机构：禹州市政府采购中心</w:t>
      </w:r>
    </w:p>
    <w:p w14:paraId="6ED30FFB">
      <w:pPr>
        <w:rPr>
          <w:rFonts w:ascii="宋体" w:hAnsi="宋体" w:cs="宋体"/>
          <w:b/>
          <w:bCs/>
          <w:color w:val="000000"/>
          <w:sz w:val="36"/>
          <w:szCs w:val="36"/>
        </w:rPr>
      </w:pPr>
    </w:p>
    <w:p w14:paraId="62212C61">
      <w:pPr>
        <w:ind w:firstLine="2891" w:firstLineChars="800"/>
        <w:rPr>
          <w:rFonts w:ascii="微软简隶书" w:eastAsia="微软简隶书"/>
          <w:u w:val="single"/>
        </w:rPr>
      </w:pPr>
      <w:r>
        <w:rPr>
          <w:rFonts w:hint="eastAsia" w:ascii="宋体" w:hAnsi="宋体" w:cs="宋体"/>
          <w:b/>
          <w:bCs/>
          <w:color w:val="000000"/>
          <w:sz w:val="36"/>
          <w:szCs w:val="36"/>
        </w:rPr>
        <w:t>二〇二四年</w:t>
      </w:r>
      <w:r>
        <w:rPr>
          <w:rFonts w:hint="eastAsia" w:ascii="宋体" w:hAnsi="宋体" w:cs="宋体"/>
          <w:b/>
          <w:bCs/>
          <w:color w:val="000000"/>
          <w:sz w:val="36"/>
          <w:szCs w:val="36"/>
          <w:lang w:val="en-US" w:eastAsia="zh-CN"/>
        </w:rPr>
        <w:t>八</w:t>
      </w:r>
      <w:r>
        <w:rPr>
          <w:rFonts w:hint="eastAsia" w:ascii="宋体" w:hAnsi="宋体" w:cs="宋体"/>
          <w:b/>
          <w:bCs/>
          <w:color w:val="000000"/>
          <w:sz w:val="36"/>
          <w:szCs w:val="36"/>
        </w:rPr>
        <w:t>月</w:t>
      </w:r>
    </w:p>
    <w:p w14:paraId="4216CB58">
      <w:pPr>
        <w:rPr>
          <w:rFonts w:ascii="微软简隶书" w:eastAsia="微软简隶书"/>
        </w:rPr>
      </w:pPr>
    </w:p>
    <w:p w14:paraId="5E3896F4">
      <w:pPr>
        <w:autoSpaceDE w:val="0"/>
        <w:autoSpaceDN w:val="0"/>
        <w:adjustRightInd w:val="0"/>
        <w:spacing w:line="700" w:lineRule="exact"/>
        <w:ind w:firstLine="551"/>
        <w:rPr>
          <w:rFonts w:hint="eastAsia" w:asciiTheme="majorEastAsia" w:hAnsiTheme="majorEastAsia" w:eastAsiaTheme="majorEastAsia" w:cstheme="majorEastAsia"/>
          <w:b/>
          <w:bCs/>
          <w:sz w:val="30"/>
          <w:szCs w:val="30"/>
          <w:lang w:val="zh-CN"/>
        </w:rPr>
      </w:pPr>
    </w:p>
    <w:p w14:paraId="2C2D334E">
      <w:pPr>
        <w:autoSpaceDE w:val="0"/>
        <w:autoSpaceDN w:val="0"/>
        <w:adjustRightInd w:val="0"/>
        <w:spacing w:line="700" w:lineRule="exact"/>
        <w:ind w:firstLine="551"/>
        <w:rPr>
          <w:rFonts w:hint="eastAsia" w:asciiTheme="majorEastAsia" w:hAnsiTheme="majorEastAsia" w:eastAsiaTheme="majorEastAsia" w:cstheme="majorEastAsia"/>
          <w:b/>
          <w:bCs/>
          <w:sz w:val="30"/>
          <w:szCs w:val="30"/>
          <w:lang w:val="zh-CN"/>
        </w:rPr>
      </w:pPr>
    </w:p>
    <w:p w14:paraId="62E12DDE">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第一章 投标邀请</w:t>
      </w:r>
    </w:p>
    <w:p w14:paraId="60370537">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第二章 项目需求</w:t>
      </w:r>
    </w:p>
    <w:p w14:paraId="1CBF8A7D">
      <w:pPr>
        <w:autoSpaceDE w:val="0"/>
        <w:autoSpaceDN w:val="0"/>
        <w:adjustRightInd w:val="0"/>
        <w:spacing w:line="700" w:lineRule="exact"/>
        <w:ind w:firstLine="560"/>
        <w:rPr>
          <w:rFonts w:asciiTheme="majorEastAsia" w:hAnsiTheme="majorEastAsia" w:eastAsiaTheme="majorEastAsia" w:cstheme="majorEastAsia"/>
          <w:b/>
          <w:kern w:val="0"/>
          <w:sz w:val="30"/>
          <w:szCs w:val="30"/>
        </w:rPr>
      </w:pPr>
      <w:r>
        <w:rPr>
          <w:rFonts w:hint="eastAsia" w:asciiTheme="majorEastAsia" w:hAnsiTheme="majorEastAsia" w:eastAsiaTheme="majorEastAsia" w:cstheme="majorEastAsia"/>
          <w:b/>
          <w:bCs/>
          <w:sz w:val="30"/>
          <w:szCs w:val="30"/>
          <w:lang w:val="zh-CN"/>
        </w:rPr>
        <w:t xml:space="preserve">第三章 </w:t>
      </w:r>
      <w:r>
        <w:rPr>
          <w:rFonts w:hint="eastAsia" w:asciiTheme="majorEastAsia" w:hAnsiTheme="majorEastAsia" w:eastAsiaTheme="majorEastAsia" w:cstheme="majorEastAsia"/>
          <w:b/>
          <w:kern w:val="0"/>
          <w:sz w:val="30"/>
          <w:szCs w:val="30"/>
        </w:rPr>
        <w:t>投标人须知前附表</w:t>
      </w:r>
    </w:p>
    <w:p w14:paraId="2F393467">
      <w:pPr>
        <w:autoSpaceDE w:val="0"/>
        <w:autoSpaceDN w:val="0"/>
        <w:adjustRightInd w:val="0"/>
        <w:spacing w:line="700" w:lineRule="exact"/>
        <w:ind w:firstLine="560"/>
        <w:rPr>
          <w:rFonts w:asciiTheme="majorEastAsia" w:hAnsiTheme="majorEastAsia" w:eastAsiaTheme="majorEastAsia" w:cstheme="majorEastAsia"/>
          <w:b/>
          <w:kern w:val="0"/>
          <w:sz w:val="30"/>
          <w:szCs w:val="30"/>
        </w:rPr>
      </w:pPr>
      <w:r>
        <w:rPr>
          <w:rFonts w:hint="eastAsia" w:asciiTheme="majorEastAsia" w:hAnsiTheme="majorEastAsia" w:eastAsiaTheme="majorEastAsia" w:cstheme="majorEastAsia"/>
          <w:b/>
          <w:bCs/>
          <w:sz w:val="30"/>
          <w:szCs w:val="30"/>
          <w:lang w:val="zh-CN"/>
        </w:rPr>
        <w:t xml:space="preserve">第四章 </w:t>
      </w:r>
      <w:r>
        <w:rPr>
          <w:rFonts w:hint="eastAsia" w:asciiTheme="majorEastAsia" w:hAnsiTheme="majorEastAsia" w:eastAsiaTheme="majorEastAsia" w:cstheme="majorEastAsia"/>
          <w:b/>
          <w:kern w:val="0"/>
          <w:sz w:val="30"/>
          <w:szCs w:val="30"/>
        </w:rPr>
        <w:t>投标人须知</w:t>
      </w:r>
    </w:p>
    <w:p w14:paraId="6A4BB1C9">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7FB69082">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二、招标文件说明</w:t>
      </w:r>
    </w:p>
    <w:p w14:paraId="50C3F523">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三、投标文件的编制</w:t>
      </w:r>
    </w:p>
    <w:p w14:paraId="75DEEAB7">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四、投标文件的递交</w:t>
      </w:r>
    </w:p>
    <w:p w14:paraId="0043102D">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五、开标和评标</w:t>
      </w:r>
    </w:p>
    <w:p w14:paraId="4D567363">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六、定标和授予合同</w:t>
      </w:r>
    </w:p>
    <w:p w14:paraId="5A1F4A87">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 xml:space="preserve">第五章 </w:t>
      </w:r>
      <w:r>
        <w:rPr>
          <w:rFonts w:hint="eastAsia" w:asciiTheme="majorEastAsia" w:hAnsiTheme="majorEastAsia" w:eastAsiaTheme="majorEastAsia" w:cstheme="majorEastAsia"/>
          <w:b/>
          <w:kern w:val="0"/>
          <w:sz w:val="30"/>
          <w:szCs w:val="30"/>
        </w:rPr>
        <w:t>政府采购政策功能</w:t>
      </w:r>
    </w:p>
    <w:p w14:paraId="08B3F17F">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 xml:space="preserve">第六章 </w:t>
      </w:r>
      <w:r>
        <w:rPr>
          <w:rFonts w:hint="eastAsia" w:asciiTheme="majorEastAsia" w:hAnsiTheme="majorEastAsia" w:eastAsiaTheme="majorEastAsia" w:cstheme="majorEastAsia"/>
          <w:b/>
          <w:kern w:val="0"/>
          <w:sz w:val="30"/>
          <w:szCs w:val="30"/>
        </w:rPr>
        <w:t>资格审查与评标</w:t>
      </w:r>
    </w:p>
    <w:p w14:paraId="6542A074">
      <w:pPr>
        <w:autoSpaceDE w:val="0"/>
        <w:autoSpaceDN w:val="0"/>
        <w:adjustRightInd w:val="0"/>
        <w:spacing w:line="700" w:lineRule="exact"/>
        <w:ind w:firstLine="551"/>
        <w:outlineLvl w:val="0"/>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 xml:space="preserve">第七章 </w:t>
      </w:r>
      <w:r>
        <w:rPr>
          <w:rFonts w:hint="eastAsia" w:asciiTheme="majorEastAsia" w:hAnsiTheme="majorEastAsia" w:eastAsiaTheme="majorEastAsia" w:cstheme="majorEastAsia"/>
          <w:b/>
          <w:kern w:val="0"/>
          <w:sz w:val="30"/>
          <w:szCs w:val="30"/>
        </w:rPr>
        <w:t>拟签订的合同文本</w:t>
      </w:r>
    </w:p>
    <w:p w14:paraId="2BE57A6E">
      <w:pPr>
        <w:autoSpaceDE w:val="0"/>
        <w:autoSpaceDN w:val="0"/>
        <w:adjustRightInd w:val="0"/>
        <w:spacing w:line="700" w:lineRule="exact"/>
        <w:ind w:firstLine="551"/>
        <w:rPr>
          <w:rFonts w:asciiTheme="majorEastAsia" w:hAnsiTheme="majorEastAsia" w:eastAsiaTheme="majorEastAsia" w:cstheme="majorEastAsia"/>
          <w:b/>
          <w:kern w:val="0"/>
          <w:sz w:val="30"/>
          <w:szCs w:val="30"/>
        </w:rPr>
      </w:pPr>
      <w:r>
        <w:rPr>
          <w:rFonts w:hint="eastAsia" w:asciiTheme="majorEastAsia" w:hAnsiTheme="majorEastAsia" w:eastAsiaTheme="majorEastAsia" w:cstheme="majorEastAsia"/>
          <w:b/>
          <w:bCs/>
          <w:sz w:val="30"/>
          <w:szCs w:val="30"/>
          <w:lang w:val="zh-CN"/>
        </w:rPr>
        <w:t xml:space="preserve">第八章 </w:t>
      </w:r>
      <w:r>
        <w:rPr>
          <w:rFonts w:hint="eastAsia" w:asciiTheme="majorEastAsia" w:hAnsiTheme="majorEastAsia" w:eastAsiaTheme="majorEastAsia" w:cstheme="majorEastAsia"/>
          <w:b/>
          <w:kern w:val="0"/>
          <w:sz w:val="30"/>
          <w:szCs w:val="30"/>
        </w:rPr>
        <w:t>投标文件有关格式</w:t>
      </w:r>
    </w:p>
    <w:p w14:paraId="2A863321">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p>
    <w:p w14:paraId="72D51D91">
      <w:pPr>
        <w:jc w:val="center"/>
        <w:rPr>
          <w:rFonts w:cs="宋体" w:asciiTheme="majorEastAsia" w:hAnsiTheme="majorEastAsia" w:eastAsiaTheme="majorEastAsia"/>
          <w:b/>
          <w:kern w:val="0"/>
          <w:sz w:val="32"/>
          <w:szCs w:val="32"/>
        </w:rPr>
      </w:pPr>
    </w:p>
    <w:p w14:paraId="5CB66B2C">
      <w:pPr>
        <w:rPr>
          <w:rFonts w:cs="宋体" w:asciiTheme="majorEastAsia" w:hAnsiTheme="majorEastAsia" w:eastAsiaTheme="majorEastAsia"/>
          <w:b/>
          <w:kern w:val="0"/>
          <w:sz w:val="32"/>
          <w:szCs w:val="32"/>
        </w:rPr>
      </w:pPr>
    </w:p>
    <w:p w14:paraId="7A1B5E7C">
      <w:pPr>
        <w:pStyle w:val="22"/>
        <w:widowControl/>
        <w:shd w:val="clear" w:color="auto" w:fill="FFFFFF"/>
        <w:spacing w:line="360" w:lineRule="auto"/>
        <w:ind w:left="2715"/>
        <w:contextualSpacing/>
        <w:jc w:val="left"/>
        <w:rPr>
          <w:rFonts w:hint="eastAsia" w:cs="宋体" w:asciiTheme="majorEastAsia" w:hAnsiTheme="majorEastAsia" w:eastAsiaTheme="majorEastAsia"/>
          <w:b/>
          <w:kern w:val="0"/>
          <w:sz w:val="32"/>
          <w:szCs w:val="32"/>
        </w:rPr>
      </w:pPr>
    </w:p>
    <w:p w14:paraId="61B7B06D">
      <w:pPr>
        <w:pStyle w:val="22"/>
        <w:widowControl/>
        <w:numPr>
          <w:ilvl w:val="0"/>
          <w:numId w:val="4"/>
        </w:numPr>
        <w:shd w:val="clear" w:color="auto" w:fill="FFFFFF"/>
        <w:spacing w:line="360" w:lineRule="auto"/>
        <w:ind w:left="2715" w:firstLine="642"/>
        <w:contextualSpacing/>
        <w:jc w:val="left"/>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投标邀请</w:t>
      </w:r>
    </w:p>
    <w:p w14:paraId="2656FC31">
      <w:pPr>
        <w:widowControl/>
        <w:shd w:val="clear" w:color="auto" w:fill="FFFFFF"/>
        <w:spacing w:line="560" w:lineRule="exact"/>
        <w:ind w:firstLine="420" w:firstLineChars="200"/>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禹州市政府采购中心受禹州市教育体育局的委托，就“禹州市教育体育局2024年</w:t>
      </w:r>
      <w:r>
        <w:rPr>
          <w:rFonts w:hint="eastAsia" w:cs="Helvetica"/>
          <w:kern w:val="2"/>
          <w:sz w:val="21"/>
          <w:szCs w:val="22"/>
          <w:lang w:val="en-US" w:eastAsia="zh-CN" w:bidi="ar-SA"/>
        </w:rPr>
        <w:t>班班通</w:t>
      </w:r>
      <w:r>
        <w:rPr>
          <w:rFonts w:hint="eastAsia" w:cs="Helvetica" w:asciiTheme="minorHAnsi" w:hAnsiTheme="minorHAnsi" w:eastAsiaTheme="minorEastAsia"/>
          <w:kern w:val="2"/>
          <w:sz w:val="21"/>
          <w:szCs w:val="22"/>
          <w:lang w:val="en-US" w:eastAsia="zh-CN" w:bidi="ar-SA"/>
        </w:rPr>
        <w:t>采购项目（不见面开标）”进行公开招标，欢迎合格的投标人前来投标。</w:t>
      </w:r>
    </w:p>
    <w:p w14:paraId="68A9C6E9">
      <w:pPr>
        <w:keepNext w:val="0"/>
        <w:keepLines w:val="0"/>
        <w:pageBreakBefore w:val="0"/>
        <w:widowControl/>
        <w:numPr>
          <w:ilvl w:val="0"/>
          <w:numId w:val="5"/>
        </w:numPr>
        <w:shd w:val="clear" w:color="auto" w:fill="FFFFFF"/>
        <w:kinsoku/>
        <w:wordWrap/>
        <w:overflowPunct/>
        <w:topLinePunct w:val="0"/>
        <w:autoSpaceDE/>
        <w:autoSpaceDN/>
        <w:bidi w:val="0"/>
        <w:adjustRightInd/>
        <w:snapToGrid/>
        <w:spacing w:line="360" w:lineRule="auto"/>
        <w:ind w:firstLine="482"/>
        <w:jc w:val="left"/>
        <w:textAlignment w:val="auto"/>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项目基本情况</w:t>
      </w:r>
    </w:p>
    <w:p w14:paraId="1C7F3F3F">
      <w:pPr>
        <w:keepNext w:val="0"/>
        <w:keepLines w:val="0"/>
        <w:pageBreakBefore w:val="0"/>
        <w:widowControl/>
        <w:numPr>
          <w:ilvl w:val="0"/>
          <w:numId w:val="6"/>
        </w:numPr>
        <w:shd w:val="clear" w:color="auto" w:fill="FFFFFF"/>
        <w:kinsoku/>
        <w:wordWrap/>
        <w:overflowPunct/>
        <w:topLinePunct w:val="0"/>
        <w:autoSpaceDE/>
        <w:autoSpaceDN/>
        <w:bidi w:val="0"/>
        <w:adjustRightInd/>
        <w:snapToGrid/>
        <w:spacing w:line="360" w:lineRule="auto"/>
        <w:ind w:left="420" w:leftChars="0" w:firstLineChars="0"/>
        <w:jc w:val="left"/>
        <w:textAlignment w:val="auto"/>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采购人：禹州市教育体育局</w:t>
      </w:r>
    </w:p>
    <w:p w14:paraId="33AD38EB">
      <w:pPr>
        <w:keepNext w:val="0"/>
        <w:keepLines w:val="0"/>
        <w:pageBreakBefore w:val="0"/>
        <w:widowControl/>
        <w:numPr>
          <w:ilvl w:val="0"/>
          <w:numId w:val="6"/>
        </w:numPr>
        <w:shd w:val="clear" w:color="auto" w:fill="FFFFFF"/>
        <w:kinsoku/>
        <w:wordWrap/>
        <w:overflowPunct/>
        <w:topLinePunct w:val="0"/>
        <w:autoSpaceDE/>
        <w:autoSpaceDN/>
        <w:bidi w:val="0"/>
        <w:adjustRightInd/>
        <w:snapToGrid/>
        <w:spacing w:line="360" w:lineRule="auto"/>
        <w:ind w:left="420" w:leftChars="0" w:firstLineChars="0"/>
        <w:jc w:val="left"/>
        <w:textAlignment w:val="auto"/>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项目名称：禹州市教育体育局2024年</w:t>
      </w:r>
      <w:r>
        <w:rPr>
          <w:rFonts w:hint="eastAsia" w:cs="Helvetica"/>
          <w:kern w:val="2"/>
          <w:sz w:val="21"/>
          <w:szCs w:val="22"/>
          <w:lang w:val="en-US" w:eastAsia="zh-CN" w:bidi="ar-SA"/>
        </w:rPr>
        <w:t>班班通</w:t>
      </w:r>
      <w:r>
        <w:rPr>
          <w:rFonts w:hint="eastAsia" w:cs="Helvetica" w:asciiTheme="minorHAnsi" w:hAnsiTheme="minorHAnsi" w:eastAsiaTheme="minorEastAsia"/>
          <w:kern w:val="2"/>
          <w:sz w:val="21"/>
          <w:szCs w:val="22"/>
          <w:lang w:val="en-US" w:eastAsia="zh-CN" w:bidi="ar-SA"/>
        </w:rPr>
        <w:t>采购项目（不见面开标）</w:t>
      </w:r>
    </w:p>
    <w:p w14:paraId="3FA9C0D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525" w:firstLineChars="250"/>
        <w:jc w:val="left"/>
        <w:textAlignment w:val="auto"/>
        <w:rPr>
          <w:rFonts w:hint="default"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3、采购编号：YZCG-G202401</w:t>
      </w:r>
      <w:r>
        <w:rPr>
          <w:rFonts w:hint="eastAsia" w:cs="Helvetica"/>
          <w:kern w:val="2"/>
          <w:sz w:val="21"/>
          <w:szCs w:val="22"/>
          <w:lang w:val="en-US" w:eastAsia="zh-CN" w:bidi="ar-SA"/>
        </w:rPr>
        <w:t>1</w:t>
      </w:r>
    </w:p>
    <w:p w14:paraId="63FFEC22">
      <w:pPr>
        <w:keepNext w:val="0"/>
        <w:keepLines w:val="0"/>
        <w:pageBreakBefore w:val="0"/>
        <w:kinsoku/>
        <w:wordWrap/>
        <w:overflowPunct/>
        <w:topLinePunct w:val="0"/>
        <w:autoSpaceDE/>
        <w:autoSpaceDN/>
        <w:bidi w:val="0"/>
        <w:adjustRightInd/>
        <w:snapToGrid/>
        <w:spacing w:line="360" w:lineRule="auto"/>
        <w:ind w:firstLine="525" w:firstLineChars="250"/>
        <w:textAlignment w:val="auto"/>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4、项目需求：班班通168套（详见招标文件）</w:t>
      </w:r>
    </w:p>
    <w:p w14:paraId="1F3DAA9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jc w:val="left"/>
        <w:textAlignment w:val="auto"/>
        <w:rPr>
          <w:rFonts w:hint="default"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5、合同履行期限：合同签订后</w:t>
      </w:r>
      <w:r>
        <w:rPr>
          <w:rFonts w:hint="eastAsia" w:cs="Helvetica"/>
          <w:kern w:val="2"/>
          <w:sz w:val="21"/>
          <w:szCs w:val="22"/>
          <w:lang w:val="en-US" w:eastAsia="zh-CN" w:bidi="ar-SA"/>
        </w:rPr>
        <w:t>30</w:t>
      </w:r>
      <w:r>
        <w:rPr>
          <w:rFonts w:hint="eastAsia" w:cs="Helvetica" w:asciiTheme="minorHAnsi" w:hAnsiTheme="minorHAnsi" w:eastAsiaTheme="minorEastAsia"/>
          <w:kern w:val="2"/>
          <w:sz w:val="21"/>
          <w:szCs w:val="22"/>
          <w:lang w:val="en-US" w:eastAsia="zh-CN" w:bidi="ar-SA"/>
        </w:rPr>
        <w:t>日历天内</w:t>
      </w:r>
    </w:p>
    <w:p w14:paraId="2BAA98B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jc w:val="left"/>
        <w:textAlignment w:val="auto"/>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6、采购预算：26</w:t>
      </w:r>
      <w:r>
        <w:rPr>
          <w:rFonts w:hint="eastAsia" w:cs="Helvetica"/>
          <w:kern w:val="2"/>
          <w:sz w:val="21"/>
          <w:szCs w:val="22"/>
          <w:lang w:val="en-US" w:eastAsia="zh-CN" w:bidi="ar-SA"/>
        </w:rPr>
        <w:t>86</w:t>
      </w:r>
      <w:r>
        <w:rPr>
          <w:rFonts w:hint="eastAsia" w:cs="Helvetica" w:asciiTheme="minorHAnsi" w:hAnsiTheme="minorHAnsi" w:eastAsiaTheme="minorEastAsia"/>
          <w:kern w:val="2"/>
          <w:sz w:val="21"/>
          <w:szCs w:val="22"/>
          <w:lang w:val="en-US" w:eastAsia="zh-CN" w:bidi="ar-SA"/>
        </w:rPr>
        <w:t>000.00元</w:t>
      </w:r>
    </w:p>
    <w:p w14:paraId="4A4E610E">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jc w:val="left"/>
        <w:textAlignment w:val="auto"/>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7、最高限价：2</w:t>
      </w:r>
      <w:r>
        <w:rPr>
          <w:rFonts w:hint="eastAsia" w:cs="Helvetica"/>
          <w:kern w:val="2"/>
          <w:sz w:val="21"/>
          <w:szCs w:val="22"/>
          <w:lang w:val="en-US" w:eastAsia="zh-CN" w:bidi="ar-SA"/>
        </w:rPr>
        <w:t>686</w:t>
      </w:r>
      <w:r>
        <w:rPr>
          <w:rFonts w:hint="eastAsia" w:cs="Helvetica" w:asciiTheme="minorHAnsi" w:hAnsiTheme="minorHAnsi" w:eastAsiaTheme="minorEastAsia"/>
          <w:kern w:val="2"/>
          <w:sz w:val="21"/>
          <w:szCs w:val="22"/>
          <w:lang w:val="en-US" w:eastAsia="zh-CN" w:bidi="ar-SA"/>
        </w:rPr>
        <w:t>000.00元</w:t>
      </w:r>
    </w:p>
    <w:p w14:paraId="7D80DAB0">
      <w:pPr>
        <w:widowControl/>
        <w:shd w:val="clear" w:color="auto" w:fill="FFFFFF"/>
        <w:spacing w:line="440" w:lineRule="exact"/>
        <w:ind w:firstLine="420" w:firstLineChars="200"/>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二、需要落实的政府采购政策</w:t>
      </w:r>
    </w:p>
    <w:p w14:paraId="474A8F83">
      <w:pPr>
        <w:widowControl/>
        <w:shd w:val="clear" w:color="auto" w:fill="FFFFFF"/>
        <w:spacing w:line="440" w:lineRule="exact"/>
        <w:ind w:firstLine="420" w:firstLineChars="200"/>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本项目落实节约能源、保护环境、扶持不发达地区和少数民族地区、促进中小企业、监狱企业发展等政府采购政策。</w:t>
      </w:r>
    </w:p>
    <w:p w14:paraId="73D2B20A">
      <w:pPr>
        <w:widowControl/>
        <w:shd w:val="clear" w:color="auto" w:fill="FFFFFF"/>
        <w:spacing w:line="440" w:lineRule="exact"/>
        <w:ind w:firstLine="210" w:firstLineChars="100"/>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三、供应商资格要求</w:t>
      </w:r>
    </w:p>
    <w:p w14:paraId="74F29301">
      <w:pPr>
        <w:pStyle w:val="48"/>
        <w:widowControl/>
        <w:shd w:val="clear" w:color="auto" w:fill="FFFFFF"/>
        <w:spacing w:line="440" w:lineRule="exact"/>
        <w:ind w:left="481" w:firstLine="0" w:firstLineChars="0"/>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1、符合《中华人民共和国政府采购法》第二十二条之规定；</w:t>
      </w:r>
    </w:p>
    <w:p w14:paraId="09E98DC6">
      <w:pPr>
        <w:pStyle w:val="48"/>
        <w:widowControl/>
        <w:shd w:val="clear" w:color="auto" w:fill="FFFFFF"/>
        <w:spacing w:line="440" w:lineRule="exact"/>
        <w:ind w:firstLine="560"/>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2、本项目不接受联合体投标。</w:t>
      </w:r>
    </w:p>
    <w:p w14:paraId="3A544006">
      <w:pPr>
        <w:widowControl/>
        <w:shd w:val="clear" w:color="auto" w:fill="FFFFFF"/>
        <w:spacing w:line="440" w:lineRule="exact"/>
        <w:ind w:firstLine="482"/>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四、获取招标文件的方式</w:t>
      </w:r>
    </w:p>
    <w:p w14:paraId="593B1AE7">
      <w:pPr>
        <w:pStyle w:val="22"/>
        <w:widowControl/>
        <w:shd w:val="clear" w:color="auto" w:fill="FFFFFF"/>
        <w:spacing w:line="440" w:lineRule="exact"/>
        <w:ind w:firstLine="420"/>
        <w:contextualSpacing/>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（一）持CA数字认证证书，登录《全国公共资源交易平台（河南省·许昌市）》“系统用户注册”入口</w:t>
      </w:r>
      <w:r>
        <w:rPr>
          <w:rFonts w:hint="eastAsia" w:cs="Helvetica" w:asciiTheme="minorHAnsi" w:hAnsiTheme="minorHAnsi" w:eastAsiaTheme="minorEastAsia"/>
          <w:kern w:val="2"/>
          <w:sz w:val="21"/>
          <w:szCs w:val="22"/>
          <w:lang w:val="en-US" w:eastAsia="zh-CN" w:bidi="ar-SA"/>
        </w:rPr>
        <w:fldChar w:fldCharType="begin"/>
      </w:r>
      <w:r>
        <w:rPr>
          <w:rFonts w:hint="eastAsia" w:cs="Helvetica" w:asciiTheme="minorHAnsi" w:hAnsiTheme="minorHAnsi" w:eastAsiaTheme="minorEastAsia"/>
          <w:kern w:val="2"/>
          <w:sz w:val="21"/>
          <w:szCs w:val="22"/>
          <w:lang w:val="en-US" w:eastAsia="zh-CN" w:bidi="ar-SA"/>
        </w:rPr>
        <w:instrText xml:space="preserve"> HYPERLINK "（一）持CA数字认证证书，登录《全国公共资源交易平台（河南省·许昌市）》" </w:instrText>
      </w:r>
      <w:r>
        <w:rPr>
          <w:rFonts w:hint="eastAsia" w:cs="Helvetica" w:asciiTheme="minorHAnsi" w:hAnsiTheme="minorHAnsi" w:eastAsiaTheme="minorEastAsia"/>
          <w:kern w:val="2"/>
          <w:sz w:val="21"/>
          <w:szCs w:val="22"/>
          <w:lang w:val="en-US" w:eastAsia="zh-CN" w:bidi="ar-SA"/>
        </w:rPr>
        <w:fldChar w:fldCharType="separate"/>
      </w:r>
      <w:r>
        <w:rPr>
          <w:rFonts w:hint="eastAsia" w:cs="Helvetica" w:asciiTheme="minorHAnsi" w:hAnsiTheme="minorHAnsi" w:eastAsiaTheme="minorEastAsia"/>
          <w:kern w:val="2"/>
          <w:sz w:val="21"/>
          <w:szCs w:val="22"/>
          <w:lang w:val="en-US" w:eastAsia="zh-CN" w:bidi="ar-SA"/>
        </w:rPr>
        <w:t>http://ggzy.xuchang.gov.cn:8088/ggzy/eps/public/RegistAllJcxx.html）</w:t>
      </w:r>
      <w:r>
        <w:rPr>
          <w:rFonts w:hint="eastAsia" w:cs="Helvetica" w:asciiTheme="minorHAnsi" w:hAnsiTheme="minorHAnsi" w:eastAsiaTheme="minorEastAsia"/>
          <w:kern w:val="2"/>
          <w:sz w:val="21"/>
          <w:szCs w:val="22"/>
          <w:lang w:val="en-US" w:eastAsia="zh-CN" w:bidi="ar-SA"/>
        </w:rPr>
        <w:fldChar w:fldCharType="end"/>
      </w:r>
      <w:r>
        <w:rPr>
          <w:rFonts w:hint="eastAsia" w:cs="Helvetica" w:asciiTheme="minorHAnsi" w:hAnsiTheme="minorHAnsi" w:eastAsiaTheme="minorEastAsia"/>
          <w:kern w:val="2"/>
          <w:sz w:val="21"/>
          <w:szCs w:val="22"/>
          <w:lang w:val="en-US" w:eastAsia="zh-CN" w:bidi="ar-SA"/>
        </w:rPr>
        <w:t>进行免费注册登记（详见“常见问题解答-诚信库网上注册相关资料下载”）；</w:t>
      </w:r>
    </w:p>
    <w:p w14:paraId="0CEF4D59">
      <w:pPr>
        <w:pStyle w:val="22"/>
        <w:widowControl/>
        <w:shd w:val="clear" w:color="auto" w:fill="FFFFFF"/>
        <w:spacing w:line="440" w:lineRule="exact"/>
        <w:ind w:firstLine="420"/>
        <w:contextualSpacing/>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（二）在招标响应截止时间前均可登录《全国公共资源交易平台（河南省·许昌市）》“投标人/供应商登录”入口</w:t>
      </w:r>
      <w:r>
        <w:rPr>
          <w:rFonts w:hint="eastAsia" w:cs="Helvetica" w:asciiTheme="minorHAnsi" w:hAnsiTheme="minorHAnsi" w:eastAsiaTheme="minorEastAsia"/>
          <w:kern w:val="2"/>
          <w:sz w:val="21"/>
          <w:szCs w:val="22"/>
          <w:lang w:val="en-US" w:eastAsia="zh-CN" w:bidi="ar-SA"/>
        </w:rPr>
        <w:fldChar w:fldCharType="begin"/>
      </w:r>
      <w:r>
        <w:rPr>
          <w:rFonts w:hint="eastAsia" w:cs="Helvetica" w:asciiTheme="minorHAnsi" w:hAnsiTheme="minorHAnsi" w:eastAsiaTheme="minorEastAsia"/>
          <w:kern w:val="2"/>
          <w:sz w:val="21"/>
          <w:szCs w:val="22"/>
          <w:lang w:val="en-US" w:eastAsia="zh-CN" w:bidi="ar-SA"/>
        </w:rPr>
        <w:instrText xml:space="preserve"> HYPERLINK "（一）持CA数字认证证书，登录《全国公共资源交易平台（河南省·许昌市）》" </w:instrText>
      </w:r>
      <w:r>
        <w:rPr>
          <w:rFonts w:hint="eastAsia" w:cs="Helvetica" w:asciiTheme="minorHAnsi" w:hAnsiTheme="minorHAnsi" w:eastAsiaTheme="minorEastAsia"/>
          <w:kern w:val="2"/>
          <w:sz w:val="21"/>
          <w:szCs w:val="22"/>
          <w:lang w:val="en-US" w:eastAsia="zh-CN" w:bidi="ar-SA"/>
        </w:rPr>
        <w:fldChar w:fldCharType="separate"/>
      </w:r>
      <w:r>
        <w:rPr>
          <w:rFonts w:hint="eastAsia" w:cs="Helvetica" w:asciiTheme="minorHAnsi" w:hAnsiTheme="minorHAnsi" w:eastAsiaTheme="minorEastAsia"/>
          <w:kern w:val="2"/>
          <w:sz w:val="21"/>
          <w:szCs w:val="22"/>
          <w:lang w:val="en-US" w:eastAsia="zh-CN" w:bidi="ar-SA"/>
        </w:rPr>
        <w:t>（http://ggzy.xuchang.gov.cn:8088/ggzy/）</w:t>
      </w:r>
      <w:r>
        <w:rPr>
          <w:rFonts w:hint="eastAsia" w:cs="Helvetica" w:asciiTheme="minorHAnsi" w:hAnsiTheme="minorHAnsi" w:eastAsiaTheme="minorEastAsia"/>
          <w:kern w:val="2"/>
          <w:sz w:val="21"/>
          <w:szCs w:val="22"/>
          <w:lang w:val="en-US" w:eastAsia="zh-CN" w:bidi="ar-SA"/>
        </w:rPr>
        <w:fldChar w:fldCharType="end"/>
      </w:r>
      <w:r>
        <w:rPr>
          <w:rFonts w:hint="eastAsia" w:cs="Helvetica" w:asciiTheme="minorHAnsi" w:hAnsiTheme="minorHAnsi" w:eastAsiaTheme="minorEastAsia"/>
          <w:kern w:val="2"/>
          <w:sz w:val="21"/>
          <w:szCs w:val="22"/>
          <w:lang w:val="en-US" w:eastAsia="zh-CN" w:bidi="ar-SA"/>
        </w:rPr>
        <w:t>免费自行下载招标文件（详见“常见问题解答-交易系统操作手册”）。</w:t>
      </w:r>
    </w:p>
    <w:p w14:paraId="7023CD36">
      <w:pPr>
        <w:widowControl/>
        <w:shd w:val="clear" w:color="auto" w:fill="FFFFFF"/>
        <w:spacing w:line="440" w:lineRule="exact"/>
        <w:ind w:firstLine="420" w:firstLineChars="200"/>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五、投标文件提交截止时间及开标时间</w:t>
      </w:r>
    </w:p>
    <w:p w14:paraId="326764B6">
      <w:pPr>
        <w:spacing w:line="440" w:lineRule="exact"/>
        <w:ind w:firstLine="640"/>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1、投标文件提交截止时间及开标时间：2024年8月</w:t>
      </w:r>
      <w:r>
        <w:rPr>
          <w:rFonts w:hint="eastAsia" w:cs="Helvetica"/>
          <w:kern w:val="2"/>
          <w:sz w:val="21"/>
          <w:szCs w:val="22"/>
          <w:lang w:val="en-US" w:eastAsia="zh-CN" w:bidi="ar-SA"/>
        </w:rPr>
        <w:t>23</w:t>
      </w:r>
      <w:r>
        <w:rPr>
          <w:rFonts w:hint="eastAsia" w:cs="Helvetica" w:asciiTheme="minorHAnsi" w:hAnsiTheme="minorHAnsi" w:eastAsiaTheme="minorEastAsia"/>
          <w:kern w:val="2"/>
          <w:sz w:val="21"/>
          <w:szCs w:val="22"/>
          <w:lang w:val="en-US" w:eastAsia="zh-CN" w:bidi="ar-SA"/>
        </w:rPr>
        <w:t>日8：30  （北京时间），逾期送达或不符合规定的响应文件恕不接受。</w:t>
      </w:r>
    </w:p>
    <w:p w14:paraId="70EA4103">
      <w:pPr>
        <w:spacing w:line="440" w:lineRule="exact"/>
        <w:ind w:firstLine="640"/>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2、投标文件开启时间：同投标文件提交截止时间。</w:t>
      </w:r>
    </w:p>
    <w:p w14:paraId="345EAE17">
      <w:pPr>
        <w:pStyle w:val="22"/>
        <w:widowControl/>
        <w:shd w:val="clear" w:color="auto" w:fill="FFFFFF"/>
        <w:spacing w:line="440" w:lineRule="exact"/>
        <w:ind w:firstLine="420"/>
        <w:contextualSpacing/>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六、投标响应文件开启</w:t>
      </w:r>
    </w:p>
    <w:p w14:paraId="400C3E2F">
      <w:pPr>
        <w:pStyle w:val="22"/>
        <w:widowControl/>
        <w:shd w:val="clear" w:color="auto" w:fill="FFFFFF"/>
        <w:spacing w:line="440" w:lineRule="exact"/>
        <w:ind w:firstLine="420"/>
        <w:contextualSpacing/>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（一）投标文件开启地点：禹州市公共资源交易中心九楼第二开标室。（本项目采用远程不见面开标，供应商无须到达现场）。</w:t>
      </w:r>
    </w:p>
    <w:p w14:paraId="2F0A20E7">
      <w:pPr>
        <w:pStyle w:val="22"/>
        <w:widowControl/>
        <w:shd w:val="clear" w:color="auto" w:fill="FFFFFF"/>
        <w:spacing w:line="440" w:lineRule="exact"/>
        <w:ind w:firstLine="420"/>
        <w:contextualSpacing/>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（二）本项目为全流程电子化交易项目，供应商须提交电子投标文件。</w:t>
      </w:r>
    </w:p>
    <w:p w14:paraId="4A09725A">
      <w:pPr>
        <w:pStyle w:val="22"/>
        <w:widowControl/>
        <w:shd w:val="clear" w:color="auto" w:fill="FFFFFF"/>
        <w:spacing w:line="440" w:lineRule="exact"/>
        <w:ind w:firstLine="420"/>
        <w:contextualSpacing/>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1、加密电子投标文件（.file格式）须在投标文件提交截止时间（投标截止时间）前通过《全国公共资源交易平台(河南省▪许昌市)》公共资源交易系统成功上传。</w:t>
      </w:r>
    </w:p>
    <w:p w14:paraId="675DE222">
      <w:pPr>
        <w:pStyle w:val="22"/>
        <w:widowControl/>
        <w:shd w:val="clear" w:color="auto" w:fill="FFFFFF"/>
        <w:spacing w:line="440" w:lineRule="exact"/>
        <w:ind w:firstLine="420"/>
        <w:contextualSpacing/>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2、投标截止时间前，供应商应登录不见面开标大厅，按照投标截止时间准时参加线上投标文件开启，在系统规定时间内对电子投标文件进行远程解密，未在规定时间内解密或因供应商原因解密失败的，其投标文件将被拒绝。</w:t>
      </w:r>
    </w:p>
    <w:p w14:paraId="3F04E07E">
      <w:pPr>
        <w:pStyle w:val="22"/>
        <w:widowControl/>
        <w:shd w:val="clear" w:color="auto" w:fill="FFFFFF"/>
        <w:spacing w:line="440" w:lineRule="exact"/>
        <w:ind w:firstLine="420"/>
        <w:contextualSpacing/>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3、不见面开标大厅登录：供应商使用CA数字证书登录全国公共资源交易平台（河南省·许昌市）——进入公共资源交易系统</w:t>
      </w:r>
      <w:r>
        <w:rPr>
          <w:rFonts w:hint="eastAsia" w:cs="Helvetica" w:asciiTheme="minorHAnsi" w:hAnsiTheme="minorHAnsi" w:eastAsiaTheme="minorEastAsia"/>
          <w:kern w:val="2"/>
          <w:sz w:val="21"/>
          <w:szCs w:val="22"/>
          <w:lang w:val="en-US" w:eastAsia="zh-CN" w:bidi="ar-SA"/>
        </w:rPr>
        <w:fldChar w:fldCharType="begin"/>
      </w:r>
      <w:r>
        <w:rPr>
          <w:rFonts w:hint="eastAsia" w:cs="Helvetica" w:asciiTheme="minorHAnsi" w:hAnsiTheme="minorHAnsi" w:eastAsiaTheme="minorEastAsia"/>
          <w:kern w:val="2"/>
          <w:sz w:val="21"/>
          <w:szCs w:val="22"/>
          <w:lang w:val="en-US" w:eastAsia="zh-CN" w:bidi="ar-SA"/>
        </w:rPr>
        <w:instrText xml:space="preserve"> HYPERLINK "（一）持CA数字认证证书，登录《全国公共资源交易平台（河南省·许昌市）》" </w:instrText>
      </w:r>
      <w:r>
        <w:rPr>
          <w:rFonts w:hint="eastAsia" w:cs="Helvetica" w:asciiTheme="minorHAnsi" w:hAnsiTheme="minorHAnsi" w:eastAsiaTheme="minorEastAsia"/>
          <w:kern w:val="2"/>
          <w:sz w:val="21"/>
          <w:szCs w:val="22"/>
          <w:lang w:val="en-US" w:eastAsia="zh-CN" w:bidi="ar-SA"/>
        </w:rPr>
        <w:fldChar w:fldCharType="separate"/>
      </w:r>
      <w:r>
        <w:rPr>
          <w:rFonts w:hint="eastAsia" w:cs="Helvetica" w:asciiTheme="minorHAnsi" w:hAnsiTheme="minorHAnsi" w:eastAsiaTheme="minorEastAsia"/>
          <w:kern w:val="2"/>
          <w:sz w:val="21"/>
          <w:szCs w:val="22"/>
          <w:lang w:val="en-US" w:eastAsia="zh-CN" w:bidi="ar-SA"/>
        </w:rPr>
        <w:t>（http://ggzy.xuchang.gov.cn:8088/ggzy/）</w:t>
      </w:r>
      <w:r>
        <w:rPr>
          <w:rFonts w:hint="eastAsia" w:cs="Helvetica" w:asciiTheme="minorHAnsi" w:hAnsiTheme="minorHAnsi" w:eastAsiaTheme="minorEastAsia"/>
          <w:kern w:val="2"/>
          <w:sz w:val="21"/>
          <w:szCs w:val="22"/>
          <w:lang w:val="en-US" w:eastAsia="zh-CN" w:bidi="ar-SA"/>
        </w:rPr>
        <w:fldChar w:fldCharType="end"/>
      </w:r>
      <w:r>
        <w:rPr>
          <w:rFonts w:hint="eastAsia" w:cs="Helvetica" w:asciiTheme="minorHAnsi" w:hAnsiTheme="minorHAnsi" w:eastAsiaTheme="minorEastAsia"/>
          <w:kern w:val="2"/>
          <w:sz w:val="21"/>
          <w:szCs w:val="22"/>
          <w:lang w:val="en-US" w:eastAsia="zh-CN" w:bidi="ar-SA"/>
        </w:rPr>
        <w:t>——点击“项目信息——项目名称”——在系统操作导航栏点击“开标——不见面开标大厅”。</w:t>
      </w:r>
    </w:p>
    <w:p w14:paraId="06DB3103">
      <w:pPr>
        <w:widowControl/>
        <w:shd w:val="clear" w:color="auto" w:fill="FFFFFF"/>
        <w:spacing w:line="440" w:lineRule="exact"/>
        <w:ind w:firstLine="420" w:firstLineChars="200"/>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七、本次招标公告同时在《中国政府采购网》《河南省政府采购网》《全国公共资源交易平台（河南省·许昌市）》发布等。</w:t>
      </w:r>
    </w:p>
    <w:p w14:paraId="003C9188">
      <w:pPr>
        <w:widowControl/>
        <w:shd w:val="clear" w:color="auto" w:fill="FFFFFF"/>
        <w:spacing w:line="440" w:lineRule="exact"/>
        <w:ind w:firstLine="641"/>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八、代理机构及采购单位地址、联系人、联系电话</w:t>
      </w:r>
    </w:p>
    <w:p w14:paraId="56B4C6D3">
      <w:pPr>
        <w:widowControl/>
        <w:shd w:val="clear" w:color="auto" w:fill="FFFFFF"/>
        <w:spacing w:line="440" w:lineRule="exact"/>
        <w:ind w:firstLine="641"/>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（一）代理机构：禹州市政府采购中心</w:t>
      </w:r>
    </w:p>
    <w:p w14:paraId="614CECF1">
      <w:pPr>
        <w:widowControl/>
        <w:shd w:val="clear" w:color="auto" w:fill="FFFFFF"/>
        <w:spacing w:line="440" w:lineRule="exact"/>
        <w:ind w:firstLine="641"/>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地址：禹州市行政服务中心楼8楼820房间</w:t>
      </w:r>
    </w:p>
    <w:p w14:paraId="2758DE22">
      <w:pPr>
        <w:widowControl/>
        <w:shd w:val="clear" w:color="auto" w:fill="FFFFFF"/>
        <w:spacing w:line="440" w:lineRule="exact"/>
        <w:ind w:firstLine="641"/>
        <w:jc w:val="left"/>
        <w:rPr>
          <w:rFonts w:hint="eastAsia"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联系人：方女士    联系电话：0374-2077111</w:t>
      </w:r>
    </w:p>
    <w:p w14:paraId="300E1C17">
      <w:pPr>
        <w:widowControl/>
        <w:shd w:val="clear" w:color="auto" w:fill="FFFFFF"/>
        <w:spacing w:line="440" w:lineRule="exact"/>
        <w:ind w:firstLine="420" w:firstLineChars="200"/>
        <w:jc w:val="left"/>
        <w:rPr>
          <w:rFonts w:hint="default"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（二）采购单位：禹州市教育体育局</w:t>
      </w:r>
    </w:p>
    <w:p w14:paraId="340DD07C">
      <w:pPr>
        <w:widowControl/>
        <w:shd w:val="clear" w:color="auto" w:fill="FFFFFF"/>
        <w:spacing w:line="560" w:lineRule="exact"/>
        <w:ind w:firstLine="795"/>
        <w:jc w:val="left"/>
        <w:rPr>
          <w:rFonts w:hint="default"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地址：禹州市禹王大道111号</w:t>
      </w:r>
    </w:p>
    <w:p w14:paraId="2BF3CBD6">
      <w:pPr>
        <w:widowControl/>
        <w:shd w:val="clear" w:color="auto" w:fill="FFFFFF"/>
        <w:spacing w:line="560" w:lineRule="exact"/>
        <w:ind w:firstLine="630" w:firstLineChars="300"/>
        <w:jc w:val="left"/>
        <w:rPr>
          <w:rFonts w:hint="default" w:cs="Helvetica" w:asciiTheme="minorHAnsi" w:hAnsiTheme="minorHAnsi" w:eastAsiaTheme="minorEastAsia"/>
          <w:kern w:val="2"/>
          <w:sz w:val="21"/>
          <w:szCs w:val="22"/>
          <w:lang w:val="en-US" w:eastAsia="zh-CN" w:bidi="ar-SA"/>
        </w:rPr>
      </w:pPr>
      <w:r>
        <w:rPr>
          <w:rFonts w:hint="eastAsia" w:cs="Helvetica" w:asciiTheme="minorHAnsi" w:hAnsiTheme="minorHAnsi" w:eastAsiaTheme="minorEastAsia"/>
          <w:kern w:val="2"/>
          <w:sz w:val="21"/>
          <w:szCs w:val="22"/>
          <w:lang w:val="en-US" w:eastAsia="zh-CN" w:bidi="ar-SA"/>
        </w:rPr>
        <w:t>联系人： 张先生         联系电话：0374-8880023</w:t>
      </w:r>
    </w:p>
    <w:p w14:paraId="39C05EA9">
      <w:pPr>
        <w:widowControl/>
        <w:shd w:val="clear" w:color="auto" w:fill="FFFFFF"/>
        <w:spacing w:line="440" w:lineRule="exact"/>
        <w:ind w:firstLine="840" w:firstLineChars="300"/>
        <w:jc w:val="left"/>
        <w:rPr>
          <w:rFonts w:hint="default" w:ascii="仿宋" w:hAnsi="仿宋" w:eastAsia="仿宋" w:cs="仿宋"/>
          <w:color w:val="000000"/>
          <w:kern w:val="0"/>
          <w:sz w:val="28"/>
          <w:szCs w:val="28"/>
          <w:lang w:val="en-US" w:eastAsia="zh-CN"/>
        </w:rPr>
      </w:pPr>
    </w:p>
    <w:p w14:paraId="76C8E246">
      <w:pPr>
        <w:pStyle w:val="44"/>
        <w:ind w:left="0" w:leftChars="0" w:firstLine="0" w:firstLineChars="0"/>
      </w:pPr>
    </w:p>
    <w:p w14:paraId="73822C8E">
      <w:pPr>
        <w:spacing w:line="360" w:lineRule="auto"/>
        <w:ind w:firstLine="843" w:firstLineChars="300"/>
        <w:rPr>
          <w:rFonts w:hint="eastAsia" w:hAnsi="宋体"/>
          <w:b/>
          <w:sz w:val="28"/>
          <w:szCs w:val="28"/>
        </w:rPr>
      </w:pPr>
    </w:p>
    <w:p w14:paraId="35B78A86">
      <w:pPr>
        <w:spacing w:line="360" w:lineRule="auto"/>
        <w:ind w:firstLine="843" w:firstLineChars="300"/>
        <w:rPr>
          <w:rFonts w:hint="eastAsia" w:hAnsi="宋体"/>
          <w:b/>
          <w:sz w:val="28"/>
          <w:szCs w:val="28"/>
        </w:rPr>
      </w:pPr>
    </w:p>
    <w:p w14:paraId="7BD1A27A">
      <w:pPr>
        <w:spacing w:line="360" w:lineRule="auto"/>
        <w:ind w:firstLine="843" w:firstLineChars="300"/>
        <w:rPr>
          <w:rFonts w:hint="eastAsia" w:hAnsi="宋体"/>
          <w:b/>
          <w:sz w:val="28"/>
          <w:szCs w:val="28"/>
        </w:rPr>
      </w:pPr>
    </w:p>
    <w:p w14:paraId="71762919">
      <w:pPr>
        <w:spacing w:line="360" w:lineRule="auto"/>
        <w:ind w:firstLine="843" w:firstLineChars="300"/>
        <w:rPr>
          <w:rFonts w:hAnsi="宋体"/>
          <w:b/>
          <w:sz w:val="28"/>
          <w:szCs w:val="28"/>
        </w:rPr>
      </w:pPr>
      <w:r>
        <w:rPr>
          <w:rFonts w:hint="eastAsia" w:hAnsi="宋体"/>
          <w:b/>
          <w:sz w:val="28"/>
          <w:szCs w:val="28"/>
        </w:rPr>
        <w:t>温馨提示：本项目为全流程电子化交易项目，请注意以下事项。</w:t>
      </w:r>
    </w:p>
    <w:p w14:paraId="5ED45F18">
      <w:pPr>
        <w:pStyle w:val="48"/>
        <w:numPr>
          <w:ilvl w:val="0"/>
          <w:numId w:val="0"/>
        </w:numPr>
        <w:tabs>
          <w:tab w:val="left" w:pos="7095"/>
        </w:tabs>
        <w:spacing w:line="360" w:lineRule="auto"/>
        <w:ind w:left="420" w:leftChars="0"/>
        <w:contextualSpacing/>
        <w:jc w:val="both"/>
        <w:rPr>
          <w:rFonts w:asciiTheme="minorEastAsia" w:hAnsiTheme="minorEastAsia"/>
          <w:b/>
        </w:rPr>
      </w:pPr>
      <w:r>
        <w:rPr>
          <w:rFonts w:hint="eastAsia" w:cs="Helvetica"/>
          <w:lang w:val="en-US" w:eastAsia="zh-CN"/>
        </w:rPr>
        <w:t>1.</w:t>
      </w:r>
      <w:r>
        <w:rPr>
          <w:rFonts w:hint="eastAsia" w:cs="Helvetica"/>
        </w:rPr>
        <w:t>供应商参加本项目投标，需提前自行联系CA服务机构办理数字认证证书并进行电子签章。</w:t>
      </w:r>
    </w:p>
    <w:p w14:paraId="7B9D2348">
      <w:pPr>
        <w:pStyle w:val="48"/>
        <w:numPr>
          <w:ilvl w:val="0"/>
          <w:numId w:val="0"/>
        </w:numPr>
        <w:tabs>
          <w:tab w:val="left" w:pos="7095"/>
        </w:tabs>
        <w:spacing w:line="360" w:lineRule="auto"/>
        <w:ind w:left="420" w:leftChars="0"/>
        <w:contextualSpacing/>
        <w:jc w:val="both"/>
        <w:rPr>
          <w:rFonts w:hAnsi="宋体"/>
        </w:rPr>
      </w:pPr>
      <w:r>
        <w:rPr>
          <w:rFonts w:hint="eastAsia" w:hAnsi="宋体"/>
          <w:lang w:val="en-US" w:eastAsia="zh-CN"/>
        </w:rPr>
        <w:t>2.</w:t>
      </w:r>
      <w:r>
        <w:rPr>
          <w:rFonts w:hint="eastAsia" w:hAnsi="宋体"/>
        </w:rPr>
        <w:t>招标文件下载、投标文件制作、提交、远程不见面开标（电子投标文件的解密）环节，投标人须使用同一个</w:t>
      </w:r>
      <w:r>
        <w:rPr>
          <w:rFonts w:hAnsi="宋体"/>
        </w:rPr>
        <w:t>CA数字证书</w:t>
      </w:r>
      <w:r>
        <w:rPr>
          <w:rFonts w:hint="eastAsia" w:hAnsi="宋体"/>
        </w:rPr>
        <w:t>（证书须在有效期内并可正常使用）</w:t>
      </w:r>
      <w:r>
        <w:rPr>
          <w:rFonts w:hAnsi="宋体"/>
        </w:rPr>
        <w:t>。</w:t>
      </w:r>
    </w:p>
    <w:p w14:paraId="1A143B70">
      <w:pPr>
        <w:pStyle w:val="48"/>
        <w:numPr>
          <w:ilvl w:val="0"/>
          <w:numId w:val="0"/>
        </w:numPr>
        <w:tabs>
          <w:tab w:val="left" w:pos="7095"/>
        </w:tabs>
        <w:spacing w:line="360" w:lineRule="auto"/>
        <w:ind w:left="420" w:leftChars="0"/>
        <w:contextualSpacing/>
        <w:jc w:val="both"/>
        <w:rPr>
          <w:rFonts w:hAnsi="宋体"/>
          <w:b/>
        </w:rPr>
      </w:pPr>
      <w:r>
        <w:rPr>
          <w:rFonts w:hint="eastAsia" w:hAnsi="宋体"/>
          <w:b/>
          <w:lang w:val="en-US" w:eastAsia="zh-CN"/>
        </w:rPr>
        <w:t>3.</w:t>
      </w:r>
      <w:r>
        <w:rPr>
          <w:rFonts w:hint="eastAsia" w:hAnsi="宋体"/>
          <w:b/>
        </w:rPr>
        <w:t>电子投标文件的制作</w:t>
      </w:r>
    </w:p>
    <w:p w14:paraId="7A4E38E4">
      <w:pPr>
        <w:pStyle w:val="48"/>
        <w:numPr>
          <w:ilvl w:val="0"/>
          <w:numId w:val="0"/>
        </w:numPr>
        <w:tabs>
          <w:tab w:val="left" w:pos="7095"/>
        </w:tabs>
        <w:spacing w:line="360" w:lineRule="auto"/>
        <w:ind w:left="840" w:leftChars="0"/>
        <w:contextualSpacing/>
        <w:jc w:val="both"/>
        <w:rPr>
          <w:rFonts w:hAnsi="宋体"/>
        </w:rPr>
      </w:pPr>
      <w:r>
        <w:rPr>
          <w:rFonts w:hint="eastAsia" w:hAnsi="宋体"/>
          <w:lang w:val="en-US" w:eastAsia="zh-CN"/>
        </w:rPr>
        <w:t>3.1</w:t>
      </w:r>
      <w:r>
        <w:rPr>
          <w:rFonts w:hint="eastAsia" w:hAnsi="宋体"/>
        </w:rPr>
        <w:t>投标人登录《全国公共资源交易平台</w:t>
      </w:r>
      <w:r>
        <w:rPr>
          <w:rFonts w:hint="eastAsia" w:asciiTheme="majorEastAsia" w:hAnsiTheme="majorEastAsia" w:eastAsiaTheme="majorEastAsia"/>
        </w:rPr>
        <w:t>(</w:t>
      </w:r>
      <w:r>
        <w:rPr>
          <w:rFonts w:hint="eastAsia" w:hAnsi="宋体"/>
        </w:rPr>
        <w:t>河南省</w:t>
      </w:r>
      <w:r>
        <w:rPr>
          <w:rFonts w:hint="eastAsia" w:ascii="MS Mincho" w:hAnsi="MS Mincho" w:eastAsia="MS Mincho" w:cs="MS Mincho"/>
        </w:rPr>
        <w:t>▪</w:t>
      </w:r>
      <w:r>
        <w:rPr>
          <w:rFonts w:hint="eastAsia" w:ascii="宋体" w:hAnsi="宋体" w:cs="宋体"/>
        </w:rPr>
        <w:t>许昌市</w:t>
      </w:r>
      <w:r>
        <w:rPr>
          <w:rFonts w:hint="eastAsia" w:asciiTheme="minorEastAsia" w:hAnsiTheme="minorEastAsia"/>
        </w:rPr>
        <w:t>)</w:t>
      </w:r>
      <w:r>
        <w:rPr>
          <w:rFonts w:hint="eastAsia" w:hAnsi="宋体"/>
        </w:rPr>
        <w:t>》公共资源交易系统（</w:t>
      </w:r>
      <w:r>
        <w:fldChar w:fldCharType="begin"/>
      </w:r>
      <w:r>
        <w:instrText xml:space="preserve"> HYPERLINK "http://221.14.6.70:8088/ggzy/" </w:instrText>
      </w:r>
      <w:r>
        <w:fldChar w:fldCharType="separate"/>
      </w:r>
      <w:r>
        <w:rPr>
          <w:rStyle w:val="29"/>
          <w:rFonts w:hAnsi="宋体"/>
          <w:color w:val="auto"/>
        </w:rPr>
        <w:t>http://ggzy.xuchang.gov.cn:8088/ggzy/</w:t>
      </w:r>
      <w:r>
        <w:rPr>
          <w:rStyle w:val="29"/>
          <w:rFonts w:hAnsi="宋体"/>
          <w:color w:val="auto"/>
        </w:rPr>
        <w:fldChar w:fldCharType="end"/>
      </w:r>
      <w:r>
        <w:rPr>
          <w:rFonts w:hint="eastAsia" w:hAnsi="宋体"/>
        </w:rPr>
        <w:t>）下载“许昌投标文件制作系统SEARUN 最新版本”，制作投标文件。</w:t>
      </w:r>
    </w:p>
    <w:p w14:paraId="10AE4EAC">
      <w:pPr>
        <w:pStyle w:val="48"/>
        <w:tabs>
          <w:tab w:val="left" w:pos="7095"/>
        </w:tabs>
        <w:spacing w:line="360" w:lineRule="auto"/>
        <w:ind w:left="840" w:firstLine="0" w:firstLineChars="0"/>
        <w:contextualSpacing/>
        <w:jc w:val="both"/>
        <w:rPr>
          <w:rFonts w:hAnsi="宋体"/>
        </w:rPr>
      </w:pPr>
      <w:r>
        <w:rPr>
          <w:rFonts w:asciiTheme="minorEastAsia" w:hAnsiTheme="minorEastAsia"/>
        </w:rPr>
        <w:t>3.</w:t>
      </w:r>
      <w:r>
        <w:rPr>
          <w:rFonts w:hint="eastAsia" w:asciiTheme="minorEastAsia" w:hAnsiTheme="minorEastAsia"/>
        </w:rPr>
        <w:t>2</w:t>
      </w:r>
      <w:r>
        <w:rPr>
          <w:rFonts w:hint="eastAsia" w:hAnsi="宋体"/>
        </w:rPr>
        <w:t>投标人对同一项目多个标段进行投标的，应分别下载所投标段的招标文件，按标段制作投标文件。一个标段对应生成一个文件夹（xxxx项目xx标段）,其中后缀名为“</w:t>
      </w:r>
      <w:r>
        <w:rPr>
          <w:rFonts w:hAnsi="宋体"/>
        </w:rPr>
        <w:t>.file</w:t>
      </w:r>
      <w:r>
        <w:rPr>
          <w:rFonts w:hint="eastAsia" w:hAnsi="宋体"/>
        </w:rPr>
        <w:t>”的文件用于投标。</w:t>
      </w:r>
    </w:p>
    <w:p w14:paraId="0A1EF750">
      <w:pPr>
        <w:pStyle w:val="48"/>
        <w:numPr>
          <w:ilvl w:val="0"/>
          <w:numId w:val="0"/>
        </w:numPr>
        <w:tabs>
          <w:tab w:val="left" w:pos="7095"/>
        </w:tabs>
        <w:spacing w:line="360" w:lineRule="auto"/>
        <w:ind w:left="420" w:leftChars="0"/>
        <w:contextualSpacing/>
        <w:jc w:val="both"/>
        <w:rPr>
          <w:rFonts w:hAnsi="宋体"/>
          <w:b/>
        </w:rPr>
      </w:pPr>
      <w:r>
        <w:rPr>
          <w:rFonts w:hint="eastAsia" w:asciiTheme="minorEastAsia" w:hAnsiTheme="minorEastAsia"/>
          <w:b/>
          <w:lang w:val="en-US" w:eastAsia="zh-CN"/>
        </w:rPr>
        <w:t>4.</w:t>
      </w:r>
      <w:r>
        <w:rPr>
          <w:rFonts w:hint="eastAsia" w:asciiTheme="minorEastAsia" w:hAnsiTheme="minorEastAsia"/>
          <w:b/>
        </w:rPr>
        <w:t>加密</w:t>
      </w:r>
      <w:r>
        <w:rPr>
          <w:rFonts w:hint="eastAsia" w:hAnsi="宋体"/>
          <w:b/>
        </w:rPr>
        <w:t>电子投标文件的提交</w:t>
      </w:r>
    </w:p>
    <w:p w14:paraId="7A8ED090">
      <w:pPr>
        <w:pStyle w:val="48"/>
        <w:numPr>
          <w:ilvl w:val="0"/>
          <w:numId w:val="0"/>
        </w:numPr>
        <w:tabs>
          <w:tab w:val="left" w:pos="7095"/>
        </w:tabs>
        <w:spacing w:line="360" w:lineRule="auto"/>
        <w:ind w:left="840" w:leftChars="0"/>
        <w:contextualSpacing/>
        <w:jc w:val="both"/>
        <w:rPr>
          <w:rFonts w:hAnsi="宋体"/>
        </w:rPr>
      </w:pPr>
      <w:r>
        <w:rPr>
          <w:rFonts w:hint="eastAsia" w:hAnsi="宋体"/>
          <w:lang w:val="en-US" w:eastAsia="zh-CN"/>
        </w:rPr>
        <w:t>4.1</w:t>
      </w:r>
      <w:r>
        <w:rPr>
          <w:rFonts w:hint="eastAsia" w:hAnsi="宋体"/>
        </w:rPr>
        <w:t>投标人对同一项目多个标段进行投标的，加密电子投标文件应按标段分别提交。</w:t>
      </w:r>
    </w:p>
    <w:p w14:paraId="4FCEAE5F">
      <w:pPr>
        <w:pStyle w:val="48"/>
        <w:numPr>
          <w:ilvl w:val="0"/>
          <w:numId w:val="0"/>
        </w:numPr>
        <w:tabs>
          <w:tab w:val="left" w:pos="7095"/>
        </w:tabs>
        <w:spacing w:line="360" w:lineRule="auto"/>
        <w:ind w:left="840" w:leftChars="0"/>
        <w:contextualSpacing/>
        <w:jc w:val="both"/>
        <w:rPr>
          <w:rFonts w:hAnsi="宋体"/>
        </w:rPr>
      </w:pPr>
      <w:r>
        <w:rPr>
          <w:rFonts w:hint="eastAsia" w:asciiTheme="minorEastAsia" w:hAnsiTheme="minorEastAsia"/>
          <w:lang w:val="en-US" w:eastAsia="zh-CN"/>
        </w:rPr>
        <w:t>4.2</w:t>
      </w:r>
      <w:r>
        <w:rPr>
          <w:rFonts w:hint="eastAsia" w:asciiTheme="minorEastAsia" w:hAnsiTheme="minorEastAsia"/>
        </w:rPr>
        <w:t>加密</w:t>
      </w:r>
      <w:r>
        <w:rPr>
          <w:rFonts w:hint="eastAsia" w:hAnsi="宋体"/>
        </w:rPr>
        <w:t>电子投标文件成功提交后，《全国公共资源交易平台(河南省</w:t>
      </w:r>
      <w:r>
        <w:rPr>
          <w:rFonts w:hint="eastAsia" w:ascii="MS Mincho" w:hAnsi="MS Mincho" w:eastAsia="MS Mincho" w:cs="MS Mincho"/>
        </w:rPr>
        <w:t>▪</w:t>
      </w:r>
      <w:r>
        <w:rPr>
          <w:rFonts w:hint="eastAsia" w:ascii="宋体" w:hAnsi="宋体" w:cs="宋体"/>
        </w:rPr>
        <w:t>许昌市</w:t>
      </w:r>
      <w:r>
        <w:rPr>
          <w:rFonts w:hint="eastAsia" w:hAnsi="宋体"/>
        </w:rPr>
        <w:t>)》公共资源交易系统（</w:t>
      </w:r>
      <w:r>
        <w:fldChar w:fldCharType="begin"/>
      </w:r>
      <w:r>
        <w:instrText xml:space="preserve"> HYPERLINK "http://221.14.6.70:8088/ggzy/" </w:instrText>
      </w:r>
      <w:r>
        <w:fldChar w:fldCharType="separate"/>
      </w:r>
      <w:r>
        <w:rPr>
          <w:rStyle w:val="29"/>
          <w:rFonts w:hAnsi="宋体"/>
          <w:color w:val="auto"/>
        </w:rPr>
        <w:t>http://ggzy.xuchang.gov.cn:8088/ggzy/</w:t>
      </w:r>
      <w:r>
        <w:rPr>
          <w:rStyle w:val="29"/>
          <w:rFonts w:hAnsi="宋体"/>
          <w:color w:val="auto"/>
        </w:rPr>
        <w:fldChar w:fldCharType="end"/>
      </w:r>
      <w:r>
        <w:rPr>
          <w:rFonts w:hint="eastAsia" w:hAnsi="宋体"/>
        </w:rPr>
        <w:t>）</w:t>
      </w:r>
      <w:r>
        <w:rPr>
          <w:rFonts w:hint="eastAsia" w:cs="仿宋_GB2312" w:asciiTheme="minorEastAsia" w:hAnsiTheme="minorEastAsia"/>
        </w:rPr>
        <w:t>生成“投标文件提交回执单”。</w:t>
      </w:r>
    </w:p>
    <w:p w14:paraId="23462EA2">
      <w:pPr>
        <w:pStyle w:val="48"/>
        <w:numPr>
          <w:ilvl w:val="0"/>
          <w:numId w:val="0"/>
        </w:numPr>
        <w:tabs>
          <w:tab w:val="left" w:pos="7095"/>
        </w:tabs>
        <w:spacing w:line="360" w:lineRule="auto"/>
        <w:ind w:left="420" w:leftChars="0"/>
        <w:contextualSpacing/>
        <w:jc w:val="both"/>
        <w:rPr>
          <w:rFonts w:hAnsi="宋体"/>
          <w:b/>
        </w:rPr>
      </w:pPr>
      <w:r>
        <w:rPr>
          <w:rFonts w:hint="eastAsia" w:asciiTheme="minorEastAsia" w:hAnsiTheme="minorEastAsia"/>
          <w:b/>
          <w:lang w:val="en-US" w:eastAsia="zh-CN"/>
        </w:rPr>
        <w:t>5.</w:t>
      </w:r>
      <w:r>
        <w:rPr>
          <w:rFonts w:hint="eastAsia" w:asciiTheme="minorEastAsia" w:hAnsiTheme="minorEastAsia"/>
          <w:b/>
        </w:rPr>
        <w:t>远程不见面开标（</w:t>
      </w:r>
      <w:r>
        <w:rPr>
          <w:rFonts w:hint="eastAsia" w:hAnsi="宋体"/>
          <w:b/>
        </w:rPr>
        <w:t>电子投标文件的解密</w:t>
      </w:r>
      <w:r>
        <w:rPr>
          <w:rFonts w:hint="eastAsia" w:asciiTheme="minorEastAsia" w:hAnsiTheme="minorEastAsia"/>
          <w:b/>
        </w:rPr>
        <w:t>）</w:t>
      </w:r>
    </w:p>
    <w:p w14:paraId="7D64D968">
      <w:pPr>
        <w:pStyle w:val="48"/>
        <w:numPr>
          <w:ilvl w:val="0"/>
          <w:numId w:val="0"/>
        </w:numPr>
        <w:tabs>
          <w:tab w:val="left" w:pos="7095"/>
        </w:tabs>
        <w:spacing w:line="360" w:lineRule="auto"/>
        <w:ind w:left="840" w:leftChars="0"/>
        <w:contextualSpacing/>
        <w:jc w:val="both"/>
        <w:rPr>
          <w:rFonts w:hAnsi="宋体"/>
        </w:rPr>
      </w:pPr>
      <w:r>
        <w:rPr>
          <w:rFonts w:hint="eastAsia" w:hAnsi="宋体"/>
          <w:lang w:val="en-US" w:eastAsia="zh-CN"/>
        </w:rPr>
        <w:t>5.1</w:t>
      </w:r>
      <w:r>
        <w:rPr>
          <w:rFonts w:hint="eastAsia" w:hAnsi="宋体"/>
        </w:rPr>
        <w:t>本项目采用远程“不见面”开标方式，投标前请详细阅读全国公共资源交易平台（河南省·许昌市）首页“资料下载”栏目的</w:t>
      </w:r>
      <w:r>
        <w:rPr>
          <w:rFonts w:hint="eastAsia" w:hAnsi="宋体"/>
          <w:color w:val="FF0000"/>
        </w:rPr>
        <w:t>《许昌市不见面操作手册</w:t>
      </w:r>
      <w:r>
        <w:rPr>
          <w:rFonts w:ascii="微软雅黑" w:hAnsi="微软雅黑"/>
          <w:color w:val="FF0000"/>
        </w:rPr>
        <w:t>（代理机构/投标人）</w:t>
      </w:r>
      <w:r>
        <w:rPr>
          <w:rFonts w:hint="eastAsia" w:hAnsi="宋体"/>
          <w:color w:val="FF0000"/>
        </w:rPr>
        <w:t>》</w:t>
      </w:r>
      <w:r>
        <w:rPr>
          <w:rFonts w:hint="eastAsia" w:hAnsi="宋体"/>
        </w:rPr>
        <w:t>。</w:t>
      </w:r>
    </w:p>
    <w:p w14:paraId="71A16BB9">
      <w:pPr>
        <w:pStyle w:val="48"/>
        <w:numPr>
          <w:ilvl w:val="0"/>
          <w:numId w:val="0"/>
        </w:numPr>
        <w:tabs>
          <w:tab w:val="left" w:pos="7095"/>
        </w:tabs>
        <w:spacing w:line="360" w:lineRule="auto"/>
        <w:ind w:left="840" w:leftChars="0"/>
        <w:contextualSpacing/>
        <w:jc w:val="both"/>
        <w:rPr>
          <w:rFonts w:hAnsi="宋体"/>
        </w:rPr>
      </w:pPr>
      <w:r>
        <w:rPr>
          <w:rFonts w:hint="eastAsia" w:hAnsi="宋体"/>
          <w:lang w:val="en-US" w:eastAsia="zh-CN"/>
        </w:rPr>
        <w:t>5.2</w:t>
      </w:r>
      <w:r>
        <w:rPr>
          <w:rFonts w:hint="eastAsia" w:hAnsi="宋体"/>
        </w:rPr>
        <w:t>投标人提前设置不见面开标浏览器，并于开标时间前登录本项目不见面开标大厅，按照规定的开标时间准时参加网上开标。</w:t>
      </w:r>
    </w:p>
    <w:p w14:paraId="0213D02B">
      <w:pPr>
        <w:pStyle w:val="48"/>
        <w:numPr>
          <w:ilvl w:val="0"/>
          <w:numId w:val="0"/>
        </w:numPr>
        <w:tabs>
          <w:tab w:val="left" w:pos="7095"/>
        </w:tabs>
        <w:spacing w:line="360" w:lineRule="auto"/>
        <w:ind w:left="840" w:leftChars="0"/>
        <w:contextualSpacing/>
        <w:jc w:val="both"/>
        <w:rPr>
          <w:rFonts w:hAnsi="宋体"/>
        </w:rPr>
      </w:pPr>
      <w:r>
        <w:rPr>
          <w:rFonts w:hint="eastAsia" w:hAnsi="宋体"/>
          <w:lang w:val="en-US" w:eastAsia="zh-CN"/>
        </w:rPr>
        <w:t>5.3</w:t>
      </w:r>
      <w:r>
        <w:rPr>
          <w:rFonts w:hint="eastAsia" w:hAnsi="宋体"/>
        </w:rPr>
        <w:t>根据采购代理机构在“文字互动”对话框的通知，投标人选择功能栏“解密环节”按钮进行电子投标文件解密（投标人解密应自采购代理机构点击“开标开始”按钮后120分钟内完成）。投标人未解密或因投标人原因解密失败的，其投标将被拒绝。</w:t>
      </w:r>
    </w:p>
    <w:p w14:paraId="3F593608">
      <w:pPr>
        <w:pStyle w:val="48"/>
        <w:numPr>
          <w:ilvl w:val="0"/>
          <w:numId w:val="0"/>
        </w:numPr>
        <w:tabs>
          <w:tab w:val="left" w:pos="7095"/>
        </w:tabs>
        <w:spacing w:line="360" w:lineRule="auto"/>
        <w:ind w:left="840" w:leftChars="0"/>
        <w:contextualSpacing/>
        <w:jc w:val="both"/>
        <w:rPr>
          <w:rFonts w:hAnsi="宋体"/>
        </w:rPr>
      </w:pPr>
      <w:r>
        <w:rPr>
          <w:rFonts w:hint="eastAsia" w:hAnsi="宋体"/>
          <w:lang w:val="en-US" w:eastAsia="zh-CN"/>
        </w:rPr>
        <w:t>5.4</w:t>
      </w:r>
      <w:r>
        <w:rPr>
          <w:rFonts w:hint="eastAsia" w:hAnsi="宋体"/>
        </w:rPr>
        <w:t>开标活动结束时，投标人应在《开标记录表》上进行电子签章。投标人未签章的，视同认可开标结果。</w:t>
      </w:r>
    </w:p>
    <w:p w14:paraId="1A1C1A28">
      <w:pPr>
        <w:pStyle w:val="48"/>
        <w:numPr>
          <w:ilvl w:val="0"/>
          <w:numId w:val="0"/>
        </w:numPr>
        <w:tabs>
          <w:tab w:val="left" w:pos="7095"/>
        </w:tabs>
        <w:spacing w:line="360" w:lineRule="auto"/>
        <w:ind w:left="840" w:leftChars="0"/>
        <w:contextualSpacing/>
        <w:jc w:val="both"/>
        <w:rPr>
          <w:rFonts w:hAnsi="宋体"/>
        </w:rPr>
      </w:pPr>
      <w:r>
        <w:rPr>
          <w:rFonts w:hint="eastAsia" w:hAnsi="宋体"/>
          <w:lang w:val="en-US" w:eastAsia="zh-CN"/>
        </w:rPr>
        <w:t>5.5</w:t>
      </w:r>
      <w:r>
        <w:rPr>
          <w:rFonts w:hint="eastAsia" w:hAnsi="宋体"/>
        </w:rPr>
        <w:t>投标人对开标过程和开标记录如有疑义，可在本项目不见面开标大厅“文字互动”对话框或“新增质疑”处在线提出询问。</w:t>
      </w:r>
    </w:p>
    <w:p w14:paraId="08F350E7">
      <w:pPr>
        <w:pStyle w:val="48"/>
        <w:numPr>
          <w:ilvl w:val="0"/>
          <w:numId w:val="0"/>
        </w:numPr>
        <w:tabs>
          <w:tab w:val="left" w:pos="7095"/>
        </w:tabs>
        <w:spacing w:line="360" w:lineRule="auto"/>
        <w:ind w:left="420" w:leftChars="0"/>
        <w:contextualSpacing/>
        <w:jc w:val="both"/>
        <w:rPr>
          <w:rFonts w:hAnsi="宋体"/>
          <w:b/>
        </w:rPr>
      </w:pPr>
      <w:r>
        <w:rPr>
          <w:rFonts w:hint="eastAsia" w:hAnsi="宋体"/>
          <w:b/>
          <w:lang w:val="en-US" w:eastAsia="zh-CN"/>
        </w:rPr>
        <w:t>6.</w:t>
      </w:r>
      <w:r>
        <w:rPr>
          <w:rFonts w:hint="eastAsia" w:hAnsi="宋体"/>
          <w:b/>
        </w:rPr>
        <w:t>评标依据</w:t>
      </w:r>
    </w:p>
    <w:p w14:paraId="47BBD5EC">
      <w:pPr>
        <w:pStyle w:val="48"/>
        <w:numPr>
          <w:ilvl w:val="0"/>
          <w:numId w:val="0"/>
        </w:numPr>
        <w:tabs>
          <w:tab w:val="left" w:pos="7095"/>
        </w:tabs>
        <w:spacing w:line="360" w:lineRule="auto"/>
        <w:ind w:left="840" w:leftChars="0"/>
        <w:contextualSpacing/>
        <w:jc w:val="both"/>
        <w:rPr>
          <w:rFonts w:hAnsi="宋体"/>
        </w:rPr>
      </w:pPr>
      <w:r>
        <w:rPr>
          <w:rFonts w:hint="eastAsia" w:hAnsi="宋体"/>
          <w:lang w:val="en-US" w:eastAsia="zh-CN"/>
        </w:rPr>
        <w:t>6.1</w:t>
      </w:r>
      <w:r>
        <w:rPr>
          <w:rFonts w:hint="eastAsia" w:hAnsi="宋体"/>
        </w:rPr>
        <w:t>全流程电子化交易（不见面开标）项目，评标委员会以成功上传、解密的电子投标文件为依据评审。</w:t>
      </w:r>
    </w:p>
    <w:p w14:paraId="46A967D5">
      <w:pPr>
        <w:pStyle w:val="48"/>
        <w:numPr>
          <w:ilvl w:val="0"/>
          <w:numId w:val="0"/>
        </w:numPr>
        <w:tabs>
          <w:tab w:val="left" w:pos="7095"/>
        </w:tabs>
        <w:spacing w:line="360" w:lineRule="auto"/>
        <w:ind w:left="840" w:leftChars="0"/>
        <w:contextualSpacing/>
        <w:jc w:val="both"/>
        <w:rPr>
          <w:rFonts w:hAnsi="宋体"/>
        </w:rPr>
      </w:pPr>
      <w:r>
        <w:rPr>
          <w:rFonts w:hint="eastAsia" w:hAnsi="宋体"/>
          <w:lang w:val="en-US" w:eastAsia="zh-CN"/>
        </w:rPr>
        <w:t>6.2</w:t>
      </w:r>
      <w:r>
        <w:rPr>
          <w:rFonts w:hint="eastAsia" w:hAnsi="宋体"/>
        </w:rPr>
        <w:t>评标期间，投标人应保持通讯手机畅通。评标委员会如要求投标人作出澄清、说明或者补正等，投标人应在评标委员会要求的评标期间合理的时间内通过电子邮件形式提供。</w:t>
      </w:r>
    </w:p>
    <w:p w14:paraId="0F0A121B">
      <w:pPr>
        <w:pStyle w:val="48"/>
        <w:numPr>
          <w:ilvl w:val="0"/>
          <w:numId w:val="0"/>
        </w:numPr>
        <w:tabs>
          <w:tab w:val="left" w:pos="7095"/>
        </w:tabs>
        <w:spacing w:line="360" w:lineRule="auto"/>
        <w:ind w:left="840" w:leftChars="0"/>
        <w:contextualSpacing/>
        <w:jc w:val="both"/>
        <w:rPr>
          <w:rFonts w:hAnsi="宋体"/>
        </w:rPr>
      </w:pPr>
      <w:r>
        <w:rPr>
          <w:rFonts w:hint="eastAsia" w:hAnsi="宋体"/>
          <w:lang w:val="en-US" w:eastAsia="zh-CN"/>
        </w:rPr>
        <w:t>6.3</w:t>
      </w:r>
      <w:r>
        <w:rPr>
          <w:rFonts w:hint="eastAsia" w:hAnsi="宋体"/>
        </w:rPr>
        <w:t>投标人通过电子邮件提供的书面说明或相关证明材料应加盖公章，或者由法定代表人或其授权的代表签字。</w:t>
      </w:r>
    </w:p>
    <w:p w14:paraId="1E16653B">
      <w:pPr>
        <w:widowControl/>
        <w:jc w:val="both"/>
        <w:rPr>
          <w:rFonts w:hAnsi="宋体"/>
        </w:rPr>
      </w:pPr>
      <w:r>
        <w:rPr>
          <w:rFonts w:hAnsi="宋体"/>
        </w:rPr>
        <w:br w:type="page"/>
      </w:r>
    </w:p>
    <w:p w14:paraId="1B24B77F">
      <w:pPr>
        <w:numPr>
          <w:ilvl w:val="0"/>
          <w:numId w:val="7"/>
        </w:num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项目需求</w:t>
      </w:r>
    </w:p>
    <w:p w14:paraId="291BCBD2">
      <w:pPr>
        <w:widowControl/>
        <w:shd w:val="clear" w:color="auto" w:fill="FFFFFF"/>
        <w:spacing w:line="560" w:lineRule="exact"/>
        <w:ind w:firstLine="600"/>
        <w:jc w:val="left"/>
        <w:rPr>
          <w:rFonts w:hint="eastAsia" w:cs="Helvetica"/>
          <w:b w:val="0"/>
          <w:bCs/>
          <w:kern w:val="2"/>
          <w:sz w:val="21"/>
          <w:szCs w:val="22"/>
          <w:lang w:val="en-US" w:eastAsia="zh-CN" w:bidi="ar-SA"/>
        </w:rPr>
      </w:pPr>
      <w:r>
        <w:rPr>
          <w:rFonts w:cs="Helvetica"/>
          <w:b/>
        </w:rPr>
        <w:t>（一）本项目需实现的功能或者目标</w:t>
      </w:r>
      <w:r>
        <w:rPr>
          <w:rFonts w:hint="eastAsia" w:cs="Helvetica"/>
          <w:b/>
        </w:rPr>
        <w:t>：</w:t>
      </w:r>
      <w:r>
        <w:rPr>
          <w:rFonts w:hint="eastAsia" w:cs="Helvetica"/>
          <w:b w:val="0"/>
          <w:bCs/>
          <w:kern w:val="2"/>
          <w:sz w:val="21"/>
          <w:szCs w:val="22"/>
          <w:lang w:val="en-US" w:eastAsia="zh-CN" w:bidi="ar-SA"/>
        </w:rPr>
        <w:t>为了提升学校教学质量，优化教学环境，改善办学条件，需采购班班通168套。</w:t>
      </w:r>
    </w:p>
    <w:p w14:paraId="6E8C61F1">
      <w:pPr>
        <w:pStyle w:val="15"/>
        <w:ind w:firstLine="632" w:firstLineChars="300"/>
        <w:rPr>
          <w:rFonts w:cs="Helvetica" w:asciiTheme="minorHAnsi" w:hAnsiTheme="minorHAnsi" w:eastAsiaTheme="minorEastAsia"/>
          <w:b/>
          <w:kern w:val="2"/>
          <w:sz w:val="21"/>
          <w:szCs w:val="22"/>
          <w:lang w:val="en-US" w:eastAsia="zh-CN" w:bidi="ar-SA"/>
        </w:rPr>
      </w:pPr>
      <w:r>
        <w:rPr>
          <w:rFonts w:hint="eastAsia" w:cs="Helvetica" w:asciiTheme="minorHAnsi" w:hAnsiTheme="minorHAnsi" w:eastAsiaTheme="minorEastAsia"/>
          <w:b/>
          <w:kern w:val="2"/>
          <w:sz w:val="21"/>
          <w:szCs w:val="22"/>
          <w:lang w:val="en-US" w:eastAsia="zh-CN" w:bidi="ar-SA"/>
        </w:rPr>
        <w:t>（二）采购内容：</w:t>
      </w:r>
      <w:r>
        <w:rPr>
          <w:rFonts w:cs="Helvetica" w:asciiTheme="minorHAnsi" w:hAnsiTheme="minorHAnsi" w:eastAsiaTheme="minorEastAsia"/>
          <w:b/>
          <w:kern w:val="2"/>
          <w:sz w:val="21"/>
          <w:szCs w:val="22"/>
          <w:lang w:val="en-US" w:eastAsia="zh-CN" w:bidi="ar-SA"/>
        </w:rPr>
        <w:t xml:space="preserve"> </w:t>
      </w:r>
    </w:p>
    <w:tbl>
      <w:tblPr>
        <w:tblStyle w:val="24"/>
        <w:tblW w:w="10111" w:type="dxa"/>
        <w:tblInd w:w="-269" w:type="dxa"/>
        <w:tblLayout w:type="autofit"/>
        <w:tblCellMar>
          <w:top w:w="0" w:type="dxa"/>
          <w:left w:w="0" w:type="dxa"/>
          <w:bottom w:w="0" w:type="dxa"/>
          <w:right w:w="0" w:type="dxa"/>
        </w:tblCellMar>
      </w:tblPr>
      <w:tblGrid>
        <w:gridCol w:w="568"/>
        <w:gridCol w:w="894"/>
        <w:gridCol w:w="6335"/>
        <w:gridCol w:w="616"/>
        <w:gridCol w:w="566"/>
        <w:gridCol w:w="566"/>
        <w:gridCol w:w="566"/>
      </w:tblGrid>
      <w:tr w14:paraId="50DEF984">
        <w:tblPrEx>
          <w:tblCellMar>
            <w:top w:w="0" w:type="dxa"/>
            <w:left w:w="0" w:type="dxa"/>
            <w:bottom w:w="0" w:type="dxa"/>
            <w:right w:w="0" w:type="dxa"/>
          </w:tblCellMar>
        </w:tblPrEx>
        <w:trPr>
          <w:trHeight w:val="657" w:hRule="atLeast"/>
        </w:trPr>
        <w:tc>
          <w:tcPr>
            <w:tcW w:w="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2E7F3A">
            <w:pPr>
              <w:pStyle w:val="10"/>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 xml:space="preserve">     序号</w:t>
            </w:r>
          </w:p>
        </w:tc>
        <w:tc>
          <w:tcPr>
            <w:tcW w:w="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4D1207">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产品</w:t>
            </w:r>
          </w:p>
          <w:p w14:paraId="6A7369F8">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名称</w:t>
            </w:r>
          </w:p>
        </w:tc>
        <w:tc>
          <w:tcPr>
            <w:tcW w:w="63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44AB57">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技术参数</w:t>
            </w:r>
          </w:p>
        </w:tc>
        <w:tc>
          <w:tcPr>
            <w:tcW w:w="6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99A66E">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数量</w:t>
            </w:r>
          </w:p>
        </w:tc>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33BBB1">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单位</w:t>
            </w:r>
          </w:p>
        </w:tc>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ABA4D8">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是否核心产品</w:t>
            </w:r>
          </w:p>
        </w:tc>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64C62A">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采购标的对应的行业</w:t>
            </w:r>
          </w:p>
        </w:tc>
      </w:tr>
      <w:tr w14:paraId="1C236F59">
        <w:tblPrEx>
          <w:tblCellMar>
            <w:top w:w="0" w:type="dxa"/>
            <w:left w:w="0" w:type="dxa"/>
            <w:bottom w:w="0" w:type="dxa"/>
            <w:right w:w="0" w:type="dxa"/>
          </w:tblCellMar>
        </w:tblPrEx>
        <w:trPr>
          <w:trHeight w:val="657" w:hRule="atLeast"/>
        </w:trPr>
        <w:tc>
          <w:tcPr>
            <w:tcW w:w="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235FD2">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w:t>
            </w:r>
          </w:p>
        </w:tc>
        <w:tc>
          <w:tcPr>
            <w:tcW w:w="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C39023">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智慧教学一体机</w:t>
            </w:r>
          </w:p>
        </w:tc>
        <w:tc>
          <w:tcPr>
            <w:tcW w:w="63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DEA3EF">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一、整体设计：</w:t>
            </w:r>
          </w:p>
          <w:p w14:paraId="362B2709">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1、整机采用全金属外壳设计，边角采用弧形设计，表面无尖锐边缘或凸起；整机屏幕边缘采用金属圆角包边防护，整机背板采用金属材质。</w:t>
            </w:r>
          </w:p>
          <w:p w14:paraId="51232369">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2、整机采用UHD超高清LED液晶屏，显示分辨率3840*2160，可视角度≥178°。</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3、整机屏幕75寸LED液晶A规屏，显示比例16:9。</w:t>
            </w:r>
          </w:p>
          <w:p w14:paraId="18B0D42D">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▲4、整机视网膜蓝光危害（蓝光加权辐射亮度LB）满足IEC 62471标准，LB限值范围≤0.2（蓝光危害最大状况下）。</w:t>
            </w:r>
          </w:p>
          <w:p w14:paraId="5344A5B0">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二、整机设计</w:t>
            </w:r>
          </w:p>
          <w:p w14:paraId="3D9BE5FE">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整机为双系统设计，内置安卓系统，CPU核数不小于8核，GPU核数不小于4核，嵌入式安卓操作系统版本为Android14；同时嵌入式Android操作系统下可实现windows系统中常用的教学应用功能，具有白板书写、WPS软件使用和网页浏览，安卓系统ram：≥4G；rom：≥32G。</w:t>
            </w:r>
          </w:p>
          <w:p w14:paraId="418EF326">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▲2、整机CPU，可编程逻辑芯片、时钟芯片、采用国产自主芯片。</w:t>
            </w:r>
          </w:p>
          <w:p w14:paraId="2B7880BF">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3、为满足教师实际教学需求，可便捷外接所需的设备，整机前置USB3.0接口≥3个；HDMI接口1个，Type-C接口≥1个。</w:t>
            </w:r>
          </w:p>
          <w:p w14:paraId="35AB4853">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4、在无ops的情况下，整机支持有线及无线方式联网，无线支持wifi6；在具备ops的情况下，整机可支持通过一根网线实现双系统上网，同时ops也具备独立网口和wifi。</w:t>
            </w:r>
          </w:p>
          <w:p w14:paraId="7B818273">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5、前置接口具备翻转盖板，翻转角度≥180°；在有U盘插入时盖板能对U盘进行保护，防止推拉黑板误关对U盘造成损伤。</w:t>
            </w:r>
          </w:p>
          <w:p w14:paraId="6B159166">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6、整机内置扬声器采用针孔发声技术，喇叭采用槽式开口设计。</w:t>
            </w:r>
          </w:p>
          <w:p w14:paraId="350305BC">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▲7、整机内置2.2声道音响，前朝向额定15W中高音扬声器2个，后朝向额定15W低音扬声器2个，额定总功率≥60W。</w:t>
            </w:r>
          </w:p>
          <w:p w14:paraId="36FF579C">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8、触摸最小识别物≤3mm，触控首点响应时间≤4ms，连续响应时间≤2ms。</w:t>
            </w:r>
          </w:p>
          <w:p w14:paraId="23DBBED0">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9、内置无线传屏接收端，无需外接接收部件，无线传屏发射器与整机匹配后即可实现传屏功能，将外部电脑的屏幕画面通过无线方式传输到整机上显示。</w:t>
            </w:r>
          </w:p>
          <w:p w14:paraId="176C0393">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▲10、整机内置支持2.4GHz和5GHz双频WiFi，支持蓝牙5.4；Wi-Fi和AP热点工作距离15m，AP热点支持50个用户终端在线网络连接。</w:t>
            </w:r>
          </w:p>
          <w:p w14:paraId="710055DB">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▲11、整机具有物联传感器，大屏显示界面可显示教室温度、湿度，集控平台可查看每个教室的环境温湿度。</w:t>
            </w:r>
          </w:p>
          <w:p w14:paraId="6DEC5EA1">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12、整机支持全通道支持4KUI界面显示，包括安卓通道、PC通道、HDMI通道、Type-C通道。</w:t>
            </w:r>
          </w:p>
          <w:p w14:paraId="4E763338">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▲13、整机嵌入式系统支持对重要设置内容进行安全保护，通过输入密码才可以进入网络设置选项控制有线及无线网络设置，高级设置选项控制安卓恢复出厂设置及windows系统一键还原。</w:t>
            </w:r>
          </w:p>
          <w:p w14:paraId="0495D02E">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三、主要功能</w:t>
            </w:r>
          </w:p>
          <w:p w14:paraId="29DBCA3E">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1、侧边栏支持整机支持高级音效及图像模式调节。四种具有音效模式，标准、音乐、听力、影院，且具备环绕声模式的开关，可以对平衡、低音、高音及数字声音输出的设置。</w:t>
            </w:r>
          </w:p>
          <w:p w14:paraId="5FB6690D">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2、开关机设置：整机本地支持自定义设置开机时间和关机时间，组数不少于5组，无需网络环境即可实现。</w:t>
            </w:r>
          </w:p>
          <w:p w14:paraId="3BC22482">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3、在HDMI、Android以及Windows信号源模式下，整机屏幕支持手势下移实现半屏显示，下移同时可做到整屏缩小，画面完整、无任何画面裁剪且触控正常。</w:t>
            </w:r>
          </w:p>
          <w:p w14:paraId="3586E207">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4、快捷小工具：支持自定义悬浮球菜单中的小工具功能，用户在任意通道下可调取系统工具，聚光灯、批注、熄屏、锁屏、硬件自检、内存加速等小工具，也可以调取应用软件；并支持根据用户习惯任意调整显示顺序。</w:t>
            </w:r>
          </w:p>
          <w:p w14:paraId="26F0B45D">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5、在不使用设备时整机支持锁屏，并具有多种解锁方式，USBkey插入后解锁，密码解锁，人脸识别解锁，扫码解锁，NFC解锁；人脸识别解锁，老师人脸库由学校自行录入系统，并在2秒内完成设备解锁；扫二维码解锁，通过手机应用程序扫描二维码解锁，在整机没有网络的情况下，也可以支持手机扫码解锁。</w:t>
            </w:r>
          </w:p>
          <w:p w14:paraId="07502E4B">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6、整机一体化设计，集成支持Windows和Android双系统智能设计；在内嵌式Android系统下可实现：书写擦除、多颜色更换、全局预览和漫游等白板软件功能，调用办公文档软件、网页浏览、对多媒体USB文件自动归类和分类查找的播放等。</w:t>
            </w:r>
          </w:p>
          <w:p w14:paraId="087F6CC3">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四、内置电脑：</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1、处理器：不低于十二代 Intel Core i5。</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2、内存容量：不低于8GB。</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3、硬盘容量：不低于256G固态硬盘。</w:t>
            </w:r>
          </w:p>
          <w:p w14:paraId="62522757">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4、PC模块可抽拉式插入整机，可实现无单独接线的插拔。</w:t>
            </w:r>
          </w:p>
          <w:p w14:paraId="4898F37D">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5、和整机的连接接口针脚数≥80pin。</w:t>
            </w:r>
          </w:p>
          <w:p w14:paraId="3DC7068F">
            <w:pPr>
              <w:widowControl/>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6、电脑模块无需工具即可快速拆卸电脑模块。</w:t>
            </w:r>
          </w:p>
          <w:p w14:paraId="2B40E642">
            <w:pPr>
              <w:widowControl/>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五、教学软件：</w:t>
            </w:r>
          </w:p>
          <w:p w14:paraId="7094955C">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整体要求：</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1、教学软件为备授课一体客户端，同时具备备课模式和授课模式，在软件安装完成后可自有切换备课和授课模式，方便在不同场景下使用；</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2、教学软件可支持教师自主注册账号，可使用账号密码登录或使用微信扫码绑定账号完成登录，支持解绑账号与微信号关系进行重新绑定；</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3、支持为教师提供免费的20GB云存储空间，无需完成额外任务即可获取，教师容量达到使用上限时可支持最大扩展到200GB；</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4、支持教师通过电脑客户端分享文件选择“精准分享”网盘资源，在同一学校平台内的教师支持使用姓名进行模糊检索，非同一学校平台内的教师支持使用手机号进行精准搜索；</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▲5、支持提供PPT 、WPS插件，同时支持原生 Office、WPS 环境下备课，教师可将课件内容一键上传更新至教师云空间，方便在授课时直接下载使用云端资源；</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6、具有校本资源库功能，支持教师一键将网盘资源分享至校本资源库。</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备授课系统：</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1、支持提供按学段学科、教材版本、册别、章节提供优质课件资源，支持在线预览课件资源，支持将优质课件一键下载插入到PPT课件中，并进行修改；支持将资源下载到本地目录和一键将资源转存至个人网盘；</w:t>
            </w:r>
          </w:p>
          <w:p w14:paraId="25FEC2AA">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2、支持插入音频、视频，并支持在PPT中对音频、视频进行打点，对打点内容进行重命名，支持在PPT播放状态下快速点击标记点，自动跳转至标记点；</w:t>
            </w:r>
          </w:p>
          <w:p w14:paraId="36F1D863">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3、具备古诗词教学资源，支持按教材册别、作者朝代筛选查找古诗词内容，支持预览古诗词内容，并对古诗词背景进行选择替换或自定义上传图片作为背景；</w:t>
            </w:r>
          </w:p>
          <w:p w14:paraId="464EA1FE">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4、同时提供方便数学教学使用的绘图工具：数学画板、动态课件，提供资源内容，支持教师一键调用，支持将线下已有的动态课件资源一键导入到PPT中，打开PPT即可动态展示数学画板及动态课件的相应资源方便进行课堂调用；</w:t>
            </w:r>
          </w:p>
          <w:p w14:paraId="73FF4C8F">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5、支持9种形式的互动游戏，包含分组竞争、趣味分类、超级分类、连一连、判断对错、选择题、选词填空、翻翻卡、拼词游戏，每种互动游戏支持6种模板供教师选择；</w:t>
            </w:r>
          </w:p>
          <w:p w14:paraId="68C15A11">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6、支持第三方网页资源导入，提供19个学科常用网站推荐，支持教师快捷进入常用教学网站，支持教师检索到的相关教学内容一键插入PPT，在授课过程中网页资源可直接播放使用，支持网页中音视频内容直接播放。支持教师自定义收藏网页，并支持对网页的名称进行编辑，可通过收藏网页栏点击跳转至相应网站；</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▲7、教学软件支持文档授课，将word、pdf资源上传至个人网盘，授课端直接打开实现文档授课，支持对文档进行放大缩小，支持放大到150%，书写笔迹需跟随文档移动不偏移，支持在画笔模式下多指进行文档移动；</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8、支持在当前白板页面通过双指拖动的方式实现无限板书的功能，支持双指缩放白板，支持白板讲解和笔迹留存功能，白板页面支持横向和纵向滑动扩展，支持新建20页白板内容，并可对白板内容进行擦除、区域擦除、一键清空、撤销上一步操作；</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 xml:space="preserve">▲9、需支持保存板书功能，支持将板书上画笔内容、几何图形、立体图形等元素内容保存至云白板，只要教师在其他设备上登录账号即可快速加载打开板书内容，该板书内容非图片格式，需支持在板书基础上对任一元素进行二次编辑调整，彻底还原板书，板书内容支持重命名，需支持按照日期顺序进行排布； </w:t>
            </w:r>
          </w:p>
          <w:p w14:paraId="4A587BBA">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10、需同时在备课端、授课端支持提供汉语拼音教学功能，教师可在四线格中输入或者选择声母、韵母或整体认读拼音字母，可匹配出正确的四声调读音，可支持读音发音，可在授课时进行拼音字母修改扩展教学，拼音字母需为标准手写体字体；</w:t>
            </w:r>
          </w:p>
          <w:p w14:paraId="1B0F9370">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11、支持中文转写，在白板上书写中文可自动转写成标准打印体，可更换字体颜色及放大缩小，支持调出汉字卡片内容，对汉字及词组进行拼音、笔顺、释义教学；</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12、支持英文单词、短语手写识别，展示出打印体识别内容，支持播放单词读音、查看单词音标、释义等内容，可通过跳转至三方平台查看完整的单词例句等信息，支持将单词卡片一键插入到白板中并对单词卡片进行样式上无损放大缩小；</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13、提供手写函数识别功能，可手写函数实时识别函数转化为打印体，自动在坐标系中生成对应的函数图像，支持选择函数公式标记对对应的函数图像，可在同一坐标系中绘制6个不同类型的函数图像，展示出两个函数相交点的坐标，支持将函数一键插入到白板中并再次对函数进行编辑修改。</w:t>
            </w:r>
          </w:p>
          <w:p w14:paraId="1841D0A1">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移动授课</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1、支持安卓、ios移动客户端一键扫码连接大屏，实现移动授课功能；</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2、支持将手机桌面同步投屏至大屏上，并支持切换窗口模式，自由调整窗口大小，支持根据手机横竖屏自动切换投射画面的横竖屏样式，支持投屏时将手机正在播放的音视频资源的声音同步投送到大屏上，手机调整音量与大屏设备播放的音量调整互不干扰；</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3、支持通过微信拍照。使用微信扫码可拍照上传。支持现场拍照和从图库调取图片讲解，支持对图片进行放大、缩小、旋转、全屏放大操作，支持对展现内容原笔迹手写批注；</w:t>
            </w:r>
          </w:p>
          <w:p w14:paraId="05B106F0">
            <w:pPr>
              <w:widowControl/>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4、支持APP拍照上传实现与大屏上传图片同步批注、清除笔迹、贴奖章、全屏、放大、缩小、切换操作，APP与大屏教学软件的操作需双向同步，支持最小化窗口和展开窗口；</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5、移动端APP将网盘资源开放分享给其他教师，支持分享的方式包含链接分享和二维码分享，APP分享可支持将链接、二维码通过复制粘贴、分享至微信两种方式分享给其他教师。</w:t>
            </w:r>
          </w:p>
        </w:tc>
        <w:tc>
          <w:tcPr>
            <w:tcW w:w="6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951BC2">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168</w:t>
            </w:r>
          </w:p>
        </w:tc>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86F779">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台</w:t>
            </w:r>
          </w:p>
        </w:tc>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3D4010">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是</w:t>
            </w:r>
          </w:p>
        </w:tc>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2FB1E9">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工业</w:t>
            </w:r>
          </w:p>
        </w:tc>
      </w:tr>
      <w:tr w14:paraId="46D6C1F5">
        <w:tblPrEx>
          <w:tblCellMar>
            <w:top w:w="0" w:type="dxa"/>
            <w:left w:w="0" w:type="dxa"/>
            <w:bottom w:w="0" w:type="dxa"/>
            <w:right w:w="0" w:type="dxa"/>
          </w:tblCellMar>
        </w:tblPrEx>
        <w:trPr>
          <w:trHeight w:val="345" w:hRule="atLeast"/>
        </w:trPr>
        <w:tc>
          <w:tcPr>
            <w:tcW w:w="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F47D71">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2</w:t>
            </w:r>
          </w:p>
        </w:tc>
        <w:tc>
          <w:tcPr>
            <w:tcW w:w="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945FEB">
            <w:pPr>
              <w:widowControl/>
              <w:shd w:val="clear" w:color="auto" w:fill="FFFFFF"/>
              <w:spacing w:line="360" w:lineRule="auto"/>
              <w:contextualSpacing/>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推拉</w:t>
            </w:r>
          </w:p>
          <w:p w14:paraId="1D61A805">
            <w:pPr>
              <w:widowControl/>
              <w:shd w:val="clear" w:color="auto" w:fill="FFFFFF"/>
              <w:spacing w:line="360" w:lineRule="auto"/>
              <w:contextualSpacing/>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黑板</w:t>
            </w:r>
          </w:p>
        </w:tc>
        <w:tc>
          <w:tcPr>
            <w:tcW w:w="63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8AB2B6">
            <w:pPr>
              <w:widowControl/>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结构：四块装组合，内层为两块固定书写板，外层为两块滑动书写板，滑动板配装刻有标识的挂锁，开闭自如确保一体机的安全管理，内板左右无边框折弯设计，增大书写面积。2、基本尺寸：不小于4000mm*1290mm，可根据所配一体机适当微调，确保与一体机的有效配套。</w:t>
            </w:r>
          </w:p>
          <w:p w14:paraId="47725536">
            <w:pPr>
              <w:widowControl/>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3、板面：采用优质烤漆板面，亚光、墨绿色，厚度≥0.3mm，铅笔硬度≥6H；</w:t>
            </w:r>
          </w:p>
          <w:p w14:paraId="170D1517">
            <w:pPr>
              <w:widowControl/>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4、板面反射率：板面经过高温烤漆涂层，反射比≤0.151。</w:t>
            </w:r>
          </w:p>
          <w:p w14:paraId="2DBE5F6D">
            <w:pPr>
              <w:widowControl/>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5、衬板：选用高强度，吸音，防潮，阻燃，聚苯乙烯板，厚度≥14mm。</w:t>
            </w:r>
          </w:p>
          <w:p w14:paraId="368B49F0">
            <w:pPr>
              <w:widowControl/>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6、背板：采用优质钢板，机械化流水线一次成型，设有凹槽加强筋，增加板体强度。</w:t>
            </w:r>
          </w:p>
          <w:p w14:paraId="43B1BD3D">
            <w:pPr>
              <w:widowControl/>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7、内板：左右采用无边框折弯设计，增大书写面积。</w:t>
            </w:r>
          </w:p>
          <w:p w14:paraId="359641FD">
            <w:pPr>
              <w:widowControl/>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8、边框：采用高级亚光电泳香槟色，内板左右无边框折弯设计,下框配有粉尘槽，粉尘槽与下框一体化设计并与滑动系统分离，不接收拼接，避免U型轨道易受异物囤积阻碍滑动。</w:t>
            </w:r>
          </w:p>
          <w:p w14:paraId="39B8C313">
            <w:pPr>
              <w:widowControl/>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9、包角：采用抗老化高强度ABS工程塑料，注塑成型。采用双壁成腔流线型设计，无尖角毛刺，无有害物质。</w:t>
            </w:r>
          </w:p>
          <w:p w14:paraId="6CC84D28">
            <w:pPr>
              <w:widowControl/>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10、滑轮：上轨双组高精度轴承上吊轮，下轨采用双滑块非滑轮结构，滑动流畅，噪音小，前后定位精确。</w:t>
            </w:r>
          </w:p>
          <w:p w14:paraId="37DC9C79">
            <w:pPr>
              <w:widowControl/>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11、侧封：黑板上侧、左右两侧配有与边框同色同质侧封，遮挡缝隙，防尘防杂物，提高美观度，具有易维护性。</w:t>
            </w:r>
          </w:p>
        </w:tc>
        <w:tc>
          <w:tcPr>
            <w:tcW w:w="6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294629">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168</w:t>
            </w:r>
          </w:p>
        </w:tc>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754264">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套</w:t>
            </w:r>
          </w:p>
        </w:tc>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F9A623">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否</w:t>
            </w:r>
          </w:p>
        </w:tc>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C33E90">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工业</w:t>
            </w:r>
          </w:p>
        </w:tc>
      </w:tr>
      <w:tr w14:paraId="33C43904">
        <w:tblPrEx>
          <w:tblCellMar>
            <w:top w:w="0" w:type="dxa"/>
            <w:left w:w="0" w:type="dxa"/>
            <w:bottom w:w="0" w:type="dxa"/>
            <w:right w:w="0" w:type="dxa"/>
          </w:tblCellMar>
        </w:tblPrEx>
        <w:trPr>
          <w:trHeight w:val="477" w:hRule="atLeast"/>
        </w:trPr>
        <w:tc>
          <w:tcPr>
            <w:tcW w:w="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D5534E">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3</w:t>
            </w:r>
          </w:p>
        </w:tc>
        <w:tc>
          <w:tcPr>
            <w:tcW w:w="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C91060">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壁挂式</w:t>
            </w:r>
          </w:p>
          <w:p w14:paraId="11E1CB9D">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展台</w:t>
            </w:r>
          </w:p>
        </w:tc>
        <w:tc>
          <w:tcPr>
            <w:tcW w:w="63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5C097A">
            <w:pPr>
              <w:widowControl/>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1、设备应采用壁挂式安装方式，壁挂箱体采用铝合金外壳，美观耐用，四周无锐角无利边设计。</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2、整机采用高清摄像头设计，不小于1300万像素定焦镜头；</w:t>
            </w:r>
          </w:p>
          <w:p w14:paraId="1D3C61B8">
            <w:pPr>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3、采用 USB 高速接口，单根 USB 线实现供电、高清数据传输；</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4、设备具有折叠开合式托板，托板展开后可调节为A3或A4面积；</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5、设备应配有不少于10颗补光灯，支持三档调节触摸开关，补光灯色温不小于5000K；</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6、支持抬杆自动出图，在抬起摇臂时自动显示视频画面；</w:t>
            </w:r>
            <w:r>
              <w:rPr>
                <w:rFonts w:hint="eastAsia" w:cs="Helvetica" w:asciiTheme="minorHAnsi" w:hAnsiTheme="minorHAnsi" w:eastAsiaTheme="minorEastAsia"/>
                <w:b w:val="0"/>
                <w:bCs/>
                <w:kern w:val="2"/>
                <w:sz w:val="21"/>
                <w:szCs w:val="22"/>
                <w:lang w:val="en-US" w:eastAsia="zh-CN" w:bidi="ar-SA"/>
              </w:rPr>
              <w:br w:type="textWrapping"/>
            </w:r>
            <w:r>
              <w:rPr>
                <w:rFonts w:hint="eastAsia" w:cs="Helvetica" w:asciiTheme="minorHAnsi" w:hAnsiTheme="minorHAnsi" w:eastAsiaTheme="minorEastAsia"/>
                <w:b w:val="0"/>
                <w:bCs/>
                <w:kern w:val="2"/>
                <w:sz w:val="21"/>
                <w:szCs w:val="22"/>
                <w:lang w:val="en-US" w:eastAsia="zh-CN" w:bidi="ar-SA"/>
              </w:rPr>
              <w:t>7、支持A3/A4自动切换：在开盖状态下，根据展台的拓展板是否打开，自动切换匹配A3/A4大小的视频画面分辨率。</w:t>
            </w:r>
          </w:p>
        </w:tc>
        <w:tc>
          <w:tcPr>
            <w:tcW w:w="6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58E1C8">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168</w:t>
            </w:r>
          </w:p>
        </w:tc>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86E700">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台</w:t>
            </w:r>
          </w:p>
        </w:tc>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11E688">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否</w:t>
            </w:r>
          </w:p>
        </w:tc>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63D8D7">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工业</w:t>
            </w:r>
          </w:p>
        </w:tc>
      </w:tr>
      <w:tr w14:paraId="3667D57E">
        <w:tblPrEx>
          <w:tblCellMar>
            <w:top w:w="0" w:type="dxa"/>
            <w:left w:w="0" w:type="dxa"/>
            <w:bottom w:w="0" w:type="dxa"/>
            <w:right w:w="0" w:type="dxa"/>
          </w:tblCellMar>
        </w:tblPrEx>
        <w:trPr>
          <w:trHeight w:val="477" w:hRule="atLeast"/>
        </w:trPr>
        <w:tc>
          <w:tcPr>
            <w:tcW w:w="5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B03C98">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4</w:t>
            </w:r>
          </w:p>
        </w:tc>
        <w:tc>
          <w:tcPr>
            <w:tcW w:w="8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B56330">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辅材</w:t>
            </w:r>
          </w:p>
        </w:tc>
        <w:tc>
          <w:tcPr>
            <w:tcW w:w="63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99F373">
            <w:pPr>
              <w:spacing w:line="276" w:lineRule="auto"/>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电源线、网线等</w:t>
            </w:r>
          </w:p>
        </w:tc>
        <w:tc>
          <w:tcPr>
            <w:tcW w:w="61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216992">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1</w:t>
            </w:r>
          </w:p>
        </w:tc>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4E0992">
            <w:pPr>
              <w:widowControl/>
              <w:jc w:val="center"/>
              <w:textAlignment w:val="center"/>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批</w:t>
            </w:r>
          </w:p>
        </w:tc>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0107EE">
            <w:pPr>
              <w:widowControl/>
              <w:jc w:val="center"/>
              <w:textAlignment w:val="center"/>
              <w:rPr>
                <w:rFonts w:hint="eastAsia" w:cs="Helvetica" w:asciiTheme="minorHAnsi" w:hAnsiTheme="minorHAnsi" w:eastAsiaTheme="minorEastAsia"/>
                <w:b w:val="0"/>
                <w:bCs/>
                <w:kern w:val="2"/>
                <w:sz w:val="21"/>
                <w:szCs w:val="22"/>
                <w:lang w:val="en-US" w:eastAsia="zh-CN" w:bidi="ar-SA"/>
              </w:rPr>
            </w:pPr>
          </w:p>
        </w:tc>
        <w:tc>
          <w:tcPr>
            <w:tcW w:w="56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3ED151">
            <w:pPr>
              <w:widowControl/>
              <w:jc w:val="center"/>
              <w:textAlignment w:val="center"/>
              <w:rPr>
                <w:rFonts w:hint="eastAsia" w:cs="Helvetica" w:asciiTheme="minorHAnsi" w:hAnsiTheme="minorHAnsi" w:eastAsiaTheme="minorEastAsia"/>
                <w:b w:val="0"/>
                <w:bCs/>
                <w:kern w:val="2"/>
                <w:sz w:val="21"/>
                <w:szCs w:val="22"/>
                <w:lang w:val="en-US" w:eastAsia="zh-CN" w:bidi="ar-SA"/>
              </w:rPr>
            </w:pPr>
          </w:p>
        </w:tc>
      </w:tr>
    </w:tbl>
    <w:p w14:paraId="00AD9EC3">
      <w:pPr>
        <w:jc w:val="left"/>
        <w:rPr>
          <w:rFonts w:hint="eastAsia" w:cs="Helvetica" w:asciiTheme="minorHAnsi" w:hAnsiTheme="minorHAnsi" w:eastAsiaTheme="minorEastAsia"/>
          <w:b w:val="0"/>
          <w:bCs/>
          <w:kern w:val="2"/>
          <w:sz w:val="21"/>
          <w:szCs w:val="22"/>
          <w:lang w:val="en-US" w:eastAsia="zh-CN" w:bidi="ar-SA"/>
        </w:rPr>
      </w:pPr>
    </w:p>
    <w:p w14:paraId="7AC365ED">
      <w:pPr>
        <w:jc w:val="left"/>
        <w:rPr>
          <w:rFonts w:hint="eastAsia" w:cs="Helvetica" w:asciiTheme="minorHAnsi" w:hAnsiTheme="minorHAnsi" w:eastAsiaTheme="minorEastAsia"/>
          <w:b w:val="0"/>
          <w:bCs/>
          <w:kern w:val="2"/>
          <w:sz w:val="21"/>
          <w:szCs w:val="22"/>
          <w:lang w:val="en-US" w:eastAsia="zh-CN" w:bidi="ar-SA"/>
        </w:rPr>
      </w:pPr>
      <w:r>
        <w:rPr>
          <w:rFonts w:hint="eastAsia" w:cs="Helvetica" w:asciiTheme="minorHAnsi" w:hAnsiTheme="minorHAnsi" w:eastAsiaTheme="minorEastAsia"/>
          <w:b w:val="0"/>
          <w:bCs/>
          <w:kern w:val="2"/>
          <w:sz w:val="21"/>
          <w:szCs w:val="22"/>
          <w:lang w:val="en-US" w:eastAsia="zh-CN" w:bidi="ar-SA"/>
        </w:rPr>
        <w:t>注：.以上要求为最低要求，投标人不能低于此要求，否则为无效投标。</w:t>
      </w:r>
    </w:p>
    <w:p w14:paraId="36FD9FB4">
      <w:pPr>
        <w:shd w:val="clear" w:color="auto" w:fill="FFFFFF"/>
        <w:spacing w:line="360" w:lineRule="auto"/>
        <w:ind w:firstLine="442" w:firstLineChars="200"/>
        <w:jc w:val="left"/>
        <w:rPr>
          <w:rFonts w:hint="eastAsia" w:cs="Helvetica"/>
          <w:b w:val="0"/>
          <w:bCs/>
          <w:kern w:val="2"/>
          <w:sz w:val="21"/>
          <w:szCs w:val="22"/>
          <w:lang w:val="zh-CN" w:eastAsia="zh-CN" w:bidi="ar-SA"/>
        </w:rPr>
      </w:pPr>
      <w:r>
        <w:rPr>
          <w:rFonts w:hint="eastAsia" w:cs="Times New Roman" w:asciiTheme="majorEastAsia" w:hAnsiTheme="majorEastAsia" w:eastAsiaTheme="majorEastAsia"/>
          <w:b/>
          <w:bCs/>
          <w:color w:val="000000" w:themeColor="text1"/>
          <w:sz w:val="22"/>
          <w:szCs w:val="21"/>
        </w:rPr>
        <w:t>（三）采购标的执行标准：</w:t>
      </w:r>
      <w:r>
        <w:rPr>
          <w:rFonts w:hint="eastAsia" w:cs="Helvetica"/>
          <w:b w:val="0"/>
          <w:bCs/>
          <w:kern w:val="2"/>
          <w:sz w:val="21"/>
          <w:szCs w:val="22"/>
          <w:lang w:val="en-US" w:eastAsia="zh-CN" w:bidi="ar-SA"/>
        </w:rPr>
        <w:t>执行相关</w:t>
      </w:r>
      <w:r>
        <w:rPr>
          <w:rFonts w:hint="eastAsia" w:cs="Helvetica"/>
          <w:b w:val="0"/>
          <w:bCs/>
          <w:kern w:val="2"/>
          <w:sz w:val="21"/>
          <w:szCs w:val="22"/>
          <w:lang w:val="zh-CN" w:eastAsia="zh-CN" w:bidi="ar-SA"/>
        </w:rPr>
        <w:t>国家标准</w:t>
      </w:r>
    </w:p>
    <w:p w14:paraId="1411A5C9">
      <w:pPr>
        <w:shd w:val="clear" w:color="auto" w:fill="FFFFFF"/>
        <w:spacing w:line="360" w:lineRule="auto"/>
        <w:ind w:firstLine="442" w:firstLineChars="200"/>
        <w:jc w:val="left"/>
        <w:rPr>
          <w:rFonts w:cs="Times New Roman" w:asciiTheme="majorEastAsia" w:hAnsiTheme="majorEastAsia" w:eastAsiaTheme="majorEastAsia"/>
          <w:b/>
          <w:bCs/>
          <w:color w:val="000000" w:themeColor="text1"/>
          <w:sz w:val="22"/>
          <w:szCs w:val="21"/>
        </w:rPr>
      </w:pPr>
      <w:r>
        <w:rPr>
          <w:rFonts w:hint="eastAsia" w:cs="Times New Roman" w:asciiTheme="majorEastAsia" w:hAnsiTheme="majorEastAsia" w:eastAsiaTheme="majorEastAsia"/>
          <w:b/>
          <w:bCs/>
          <w:color w:val="000000" w:themeColor="text1"/>
          <w:sz w:val="22"/>
          <w:szCs w:val="21"/>
        </w:rPr>
        <w:t>（四）服务标准、期限、效率等要求：</w:t>
      </w:r>
    </w:p>
    <w:p w14:paraId="2ED2F633">
      <w:pPr>
        <w:tabs>
          <w:tab w:val="left" w:pos="7095"/>
        </w:tabs>
        <w:spacing w:line="360" w:lineRule="auto"/>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1、</w:t>
      </w:r>
      <w:r>
        <w:rPr>
          <w:rFonts w:hint="eastAsia" w:ascii="宋体" w:hAnsi="宋体" w:eastAsia="宋体" w:cs="宋体"/>
          <w:color w:val="000000"/>
          <w:sz w:val="22"/>
          <w:szCs w:val="22"/>
          <w:lang w:val="en-US" w:eastAsia="zh-CN"/>
        </w:rPr>
        <w:t>投标</w:t>
      </w:r>
      <w:r>
        <w:rPr>
          <w:rFonts w:hint="eastAsia" w:ascii="宋体" w:hAnsi="宋体" w:eastAsia="宋体" w:cs="宋体"/>
          <w:color w:val="000000"/>
          <w:sz w:val="22"/>
          <w:szCs w:val="22"/>
        </w:rPr>
        <w:t>文件中须有详细的实施（技术）方案。</w:t>
      </w:r>
    </w:p>
    <w:p w14:paraId="6D5BF2FB">
      <w:pPr>
        <w:tabs>
          <w:tab w:val="left" w:pos="7095"/>
        </w:tabs>
        <w:spacing w:line="360" w:lineRule="auto"/>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2、产品必须符合国家相关标准和本招标文件规定标准</w:t>
      </w:r>
      <w:r>
        <w:rPr>
          <w:rFonts w:hint="eastAsia" w:ascii="宋体" w:hAnsi="宋体" w:eastAsia="宋体" w:cs="宋体"/>
          <w:sz w:val="22"/>
          <w:szCs w:val="22"/>
        </w:rPr>
        <w:t>。</w:t>
      </w:r>
    </w:p>
    <w:p w14:paraId="2A1C197C">
      <w:pPr>
        <w:tabs>
          <w:tab w:val="left" w:pos="7095"/>
        </w:tabs>
        <w:spacing w:line="360" w:lineRule="auto"/>
        <w:ind w:firstLine="440" w:firstLineChars="200"/>
        <w:rPr>
          <w:rFonts w:hint="eastAsia" w:ascii="宋体" w:hAnsi="宋体" w:eastAsia="宋体" w:cs="宋体"/>
          <w:sz w:val="22"/>
          <w:szCs w:val="22"/>
        </w:rPr>
      </w:pPr>
      <w:r>
        <w:rPr>
          <w:rFonts w:hint="eastAsia" w:ascii="宋体" w:hAnsi="宋体" w:eastAsia="宋体" w:cs="宋体"/>
          <w:color w:val="000000"/>
          <w:sz w:val="22"/>
          <w:szCs w:val="22"/>
        </w:rPr>
        <w:t>3、</w:t>
      </w:r>
      <w:r>
        <w:rPr>
          <w:rFonts w:hint="eastAsia" w:ascii="宋体" w:hAnsi="宋体" w:eastAsia="宋体" w:cs="宋体"/>
          <w:sz w:val="22"/>
          <w:szCs w:val="22"/>
        </w:rPr>
        <w:t>本项目为交钥匙工程，采购方不再承当费用。</w:t>
      </w:r>
    </w:p>
    <w:p w14:paraId="00D45614">
      <w:pPr>
        <w:tabs>
          <w:tab w:val="left" w:pos="7095"/>
        </w:tabs>
        <w:spacing w:line="360" w:lineRule="auto"/>
        <w:ind w:firstLine="440" w:firstLineChars="200"/>
        <w:rPr>
          <w:rFonts w:hint="eastAsia" w:ascii="宋体" w:hAnsi="宋体" w:eastAsia="宋体" w:cs="宋体"/>
          <w:color w:val="000000"/>
          <w:sz w:val="22"/>
          <w:szCs w:val="22"/>
        </w:rPr>
      </w:pPr>
      <w:r>
        <w:rPr>
          <w:rFonts w:hint="eastAsia" w:ascii="宋体" w:hAnsi="宋体" w:eastAsia="宋体" w:cs="宋体"/>
          <w:sz w:val="22"/>
          <w:szCs w:val="22"/>
        </w:rPr>
        <w:t>4</w:t>
      </w:r>
      <w:r>
        <w:rPr>
          <w:rFonts w:hint="eastAsia" w:ascii="宋体" w:hAnsi="宋体" w:eastAsia="宋体" w:cs="宋体"/>
          <w:color w:val="000000"/>
          <w:sz w:val="22"/>
          <w:szCs w:val="22"/>
        </w:rPr>
        <w:t>、</w:t>
      </w:r>
      <w:r>
        <w:rPr>
          <w:rFonts w:hint="eastAsia" w:ascii="宋体" w:hAnsi="宋体" w:eastAsia="宋体" w:cs="宋体"/>
          <w:sz w:val="22"/>
          <w:szCs w:val="22"/>
        </w:rPr>
        <w:t>投标商应负责对买方操作人员进行使用培训，使其能够独立操作，并可以简单的维护和保养。</w:t>
      </w:r>
    </w:p>
    <w:p w14:paraId="76F4DBD4">
      <w:pPr>
        <w:numPr>
          <w:ilvl w:val="0"/>
          <w:numId w:val="8"/>
        </w:numPr>
        <w:shd w:val="clear" w:color="auto" w:fill="FFFFFF"/>
        <w:spacing w:line="560" w:lineRule="exact"/>
        <w:ind w:firstLine="442" w:firstLineChars="200"/>
        <w:jc w:val="left"/>
        <w:rPr>
          <w:rFonts w:cs="Times New Roman" w:asciiTheme="majorEastAsia" w:hAnsiTheme="majorEastAsia" w:eastAsiaTheme="majorEastAsia"/>
          <w:b/>
          <w:bCs/>
          <w:color w:val="000000" w:themeColor="text1"/>
          <w:sz w:val="22"/>
          <w:szCs w:val="21"/>
        </w:rPr>
      </w:pPr>
      <w:r>
        <w:rPr>
          <w:rFonts w:hint="eastAsia" w:cs="Times New Roman" w:asciiTheme="majorEastAsia" w:hAnsiTheme="majorEastAsia" w:eastAsiaTheme="majorEastAsia"/>
          <w:b/>
          <w:bCs/>
          <w:color w:val="000000" w:themeColor="text1"/>
          <w:sz w:val="22"/>
          <w:szCs w:val="21"/>
        </w:rPr>
        <w:t>采购标的其他技术、服务等要求</w:t>
      </w:r>
    </w:p>
    <w:p w14:paraId="274E5AC6">
      <w:pPr>
        <w:numPr>
          <w:ilvl w:val="0"/>
          <w:numId w:val="0"/>
        </w:numPr>
        <w:spacing w:after="120" w:line="360" w:lineRule="auto"/>
        <w:ind w:firstLine="440" w:firstLineChars="200"/>
        <w:rPr>
          <w:rFonts w:hint="eastAsia" w:cs="Times New Roman" w:asciiTheme="majorEastAsia" w:hAnsiTheme="majorEastAsia" w:eastAsiaTheme="majorEastAsia"/>
          <w:color w:val="000000" w:themeColor="text1"/>
          <w:sz w:val="22"/>
          <w:szCs w:val="21"/>
        </w:rPr>
      </w:pPr>
      <w:r>
        <w:rPr>
          <w:rFonts w:hint="eastAsia" w:cs="Times New Roman" w:asciiTheme="majorEastAsia" w:hAnsiTheme="majorEastAsia" w:eastAsiaTheme="majorEastAsia"/>
          <w:color w:val="000000" w:themeColor="text1"/>
          <w:sz w:val="22"/>
          <w:szCs w:val="21"/>
          <w:lang w:val="en-US" w:eastAsia="zh-CN"/>
        </w:rPr>
        <w:t>1、</w:t>
      </w:r>
      <w:r>
        <w:rPr>
          <w:rFonts w:hint="eastAsia" w:cs="Times New Roman" w:asciiTheme="majorEastAsia" w:hAnsiTheme="majorEastAsia" w:eastAsiaTheme="majorEastAsia"/>
          <w:color w:val="000000" w:themeColor="text1"/>
          <w:sz w:val="22"/>
          <w:szCs w:val="21"/>
        </w:rPr>
        <w:t>投标</w:t>
      </w:r>
      <w:r>
        <w:rPr>
          <w:rFonts w:hint="eastAsia" w:cs="Times New Roman" w:asciiTheme="majorEastAsia" w:hAnsiTheme="majorEastAsia" w:eastAsiaTheme="majorEastAsia"/>
          <w:color w:val="000000" w:themeColor="text1"/>
          <w:sz w:val="22"/>
          <w:szCs w:val="21"/>
          <w:lang w:val="en-US" w:eastAsia="zh-CN"/>
        </w:rPr>
        <w:t>商</w:t>
      </w:r>
      <w:r>
        <w:rPr>
          <w:rFonts w:hint="eastAsia" w:cs="Times New Roman" w:asciiTheme="majorEastAsia" w:hAnsiTheme="majorEastAsia" w:eastAsiaTheme="majorEastAsia"/>
          <w:color w:val="000000" w:themeColor="text1"/>
          <w:sz w:val="22"/>
          <w:szCs w:val="21"/>
        </w:rPr>
        <w:t>须明确投标产品的厂家、产地、品牌、等</w:t>
      </w:r>
      <w:r>
        <w:rPr>
          <w:rFonts w:hint="eastAsia" w:cs="Times New Roman" w:asciiTheme="majorEastAsia" w:hAnsiTheme="majorEastAsia" w:eastAsiaTheme="majorEastAsia"/>
          <w:color w:val="000000" w:themeColor="text1"/>
          <w:sz w:val="22"/>
          <w:szCs w:val="21"/>
          <w:lang w:val="en-US" w:eastAsia="zh-CN"/>
        </w:rPr>
        <w:t>详细</w:t>
      </w:r>
      <w:r>
        <w:rPr>
          <w:rFonts w:hint="eastAsia" w:cs="Times New Roman" w:asciiTheme="majorEastAsia" w:hAnsiTheme="majorEastAsia" w:eastAsiaTheme="majorEastAsia"/>
          <w:color w:val="000000" w:themeColor="text1"/>
          <w:sz w:val="22"/>
          <w:szCs w:val="21"/>
        </w:rPr>
        <w:t>参数</w:t>
      </w:r>
      <w:r>
        <w:rPr>
          <w:rFonts w:hint="eastAsia" w:cs="Times New Roman" w:asciiTheme="majorEastAsia" w:hAnsiTheme="majorEastAsia" w:eastAsiaTheme="majorEastAsia"/>
          <w:color w:val="000000" w:themeColor="text1"/>
          <w:sz w:val="22"/>
          <w:szCs w:val="21"/>
          <w:lang w:eastAsia="zh-CN"/>
        </w:rPr>
        <w:t>（</w:t>
      </w:r>
      <w:r>
        <w:rPr>
          <w:rFonts w:hint="eastAsia" w:cs="Times New Roman" w:asciiTheme="majorEastAsia" w:hAnsiTheme="majorEastAsia" w:eastAsiaTheme="majorEastAsia"/>
          <w:color w:val="000000" w:themeColor="text1"/>
          <w:sz w:val="22"/>
          <w:szCs w:val="21"/>
          <w:lang w:val="en-US" w:eastAsia="zh-CN"/>
        </w:rPr>
        <w:t>序号4除外</w:t>
      </w:r>
      <w:r>
        <w:rPr>
          <w:rFonts w:hint="eastAsia" w:cs="Times New Roman" w:asciiTheme="majorEastAsia" w:hAnsiTheme="majorEastAsia" w:eastAsiaTheme="majorEastAsia"/>
          <w:color w:val="000000" w:themeColor="text1"/>
          <w:sz w:val="22"/>
          <w:szCs w:val="21"/>
          <w:lang w:eastAsia="zh-CN"/>
        </w:rPr>
        <w:t>）</w:t>
      </w:r>
      <w:r>
        <w:rPr>
          <w:rFonts w:hint="eastAsia" w:cs="Times New Roman" w:asciiTheme="majorEastAsia" w:hAnsiTheme="majorEastAsia" w:eastAsiaTheme="majorEastAsia"/>
          <w:color w:val="000000" w:themeColor="text1"/>
          <w:sz w:val="22"/>
          <w:szCs w:val="21"/>
        </w:rPr>
        <w:t>，否则为无效投标。</w:t>
      </w:r>
    </w:p>
    <w:p w14:paraId="1E3CA7B9">
      <w:pPr>
        <w:numPr>
          <w:ilvl w:val="0"/>
          <w:numId w:val="9"/>
        </w:numPr>
        <w:spacing w:after="120" w:line="360" w:lineRule="auto"/>
        <w:ind w:firstLine="440" w:firstLineChars="200"/>
        <w:rPr>
          <w:rFonts w:hint="eastAsia" w:ascii="宋体" w:hAnsi="宋体" w:eastAsia="宋体" w:cs="宋体"/>
          <w:sz w:val="22"/>
          <w:szCs w:val="22"/>
          <w:lang w:val="zh-CN"/>
        </w:rPr>
      </w:pPr>
      <w:r>
        <w:rPr>
          <w:rFonts w:hint="eastAsia" w:ascii="宋体" w:hAnsi="宋体" w:eastAsia="宋体" w:cs="宋体"/>
          <w:sz w:val="22"/>
          <w:szCs w:val="22"/>
          <w:lang w:val="en-US" w:eastAsia="zh-CN"/>
        </w:rPr>
        <w:t>投标</w:t>
      </w:r>
      <w:r>
        <w:rPr>
          <w:rFonts w:hint="eastAsia" w:ascii="宋体" w:hAnsi="宋体" w:eastAsia="宋体" w:cs="宋体"/>
          <w:sz w:val="22"/>
          <w:szCs w:val="22"/>
          <w:lang w:val="zh-CN"/>
        </w:rPr>
        <w:t>商应就该项目完整投标（报价包括但不限于完成本项目材料费、人工费、管理费、维护费、保险费、利润、税费等所有费用），否则为无效投标。</w:t>
      </w:r>
    </w:p>
    <w:p w14:paraId="631C7ACE">
      <w:pPr>
        <w:widowControl/>
        <w:numPr>
          <w:ilvl w:val="0"/>
          <w:numId w:val="0"/>
        </w:numPr>
        <w:shd w:val="clear" w:color="auto" w:fill="FFFFFF"/>
        <w:spacing w:line="560" w:lineRule="exact"/>
        <w:ind w:firstLine="440" w:firstLineChars="200"/>
        <w:jc w:val="left"/>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3、</w:t>
      </w:r>
      <w:r>
        <w:rPr>
          <w:rFonts w:hint="eastAsia" w:ascii="宋体" w:hAnsi="宋体" w:eastAsia="宋体" w:cs="宋体"/>
          <w:color w:val="000000"/>
          <w:sz w:val="22"/>
          <w:szCs w:val="22"/>
        </w:rPr>
        <w:t>在合同维保期内，供应商接到通知后1小时进行响应，4小时到达，24小时内处理问题，否则需提供备用机直至原设备修好为止。否则为无效</w:t>
      </w:r>
      <w:r>
        <w:rPr>
          <w:rFonts w:hint="eastAsia" w:ascii="宋体" w:hAnsi="宋体" w:eastAsia="宋体" w:cs="宋体"/>
          <w:color w:val="000000"/>
          <w:sz w:val="22"/>
          <w:szCs w:val="22"/>
          <w:lang w:val="en-US" w:eastAsia="zh-CN"/>
        </w:rPr>
        <w:t>投标</w:t>
      </w:r>
      <w:r>
        <w:rPr>
          <w:rFonts w:hint="eastAsia" w:ascii="宋体" w:hAnsi="宋体" w:eastAsia="宋体" w:cs="宋体"/>
          <w:color w:val="000000"/>
          <w:sz w:val="22"/>
          <w:szCs w:val="22"/>
        </w:rPr>
        <w:t>。</w:t>
      </w:r>
    </w:p>
    <w:p w14:paraId="25305223">
      <w:pPr>
        <w:widowControl/>
        <w:shd w:val="clear" w:color="auto" w:fill="FFFFFF"/>
        <w:spacing w:line="560" w:lineRule="exact"/>
        <w:ind w:firstLine="440" w:firstLineChars="200"/>
        <w:jc w:val="left"/>
        <w:rPr>
          <w:rFonts w:hint="eastAsia" w:ascii="宋体" w:hAnsi="宋体" w:eastAsia="宋体" w:cs="宋体"/>
          <w:b w:val="0"/>
          <w:bCs/>
          <w:sz w:val="22"/>
          <w:szCs w:val="22"/>
          <w:lang w:val="zh-CN"/>
        </w:rPr>
      </w:pPr>
      <w:r>
        <w:rPr>
          <w:rFonts w:hint="eastAsia" w:ascii="宋体" w:hAnsi="宋体" w:eastAsia="宋体" w:cs="宋体"/>
          <w:b w:val="0"/>
          <w:bCs/>
          <w:sz w:val="22"/>
          <w:szCs w:val="22"/>
          <w:lang w:val="en-US" w:eastAsia="zh-CN"/>
        </w:rPr>
        <w:t>4</w:t>
      </w:r>
      <w:r>
        <w:rPr>
          <w:rFonts w:hint="eastAsia" w:ascii="宋体" w:hAnsi="宋体" w:eastAsia="宋体" w:cs="宋体"/>
          <w:b w:val="0"/>
          <w:bCs/>
          <w:sz w:val="22"/>
          <w:szCs w:val="22"/>
          <w:lang w:val="zh-CN"/>
        </w:rPr>
        <w:t>、</w:t>
      </w:r>
      <w:r>
        <w:rPr>
          <w:rFonts w:hint="eastAsia" w:ascii="宋体" w:hAnsi="宋体" w:eastAsia="宋体" w:cs="宋体"/>
          <w:b w:val="0"/>
          <w:bCs/>
          <w:color w:val="000000"/>
          <w:kern w:val="0"/>
          <w:sz w:val="22"/>
          <w:szCs w:val="22"/>
        </w:rPr>
        <w:t>中标</w:t>
      </w:r>
      <w:r>
        <w:rPr>
          <w:rFonts w:hint="eastAsia" w:ascii="宋体" w:hAnsi="宋体" w:eastAsia="宋体" w:cs="宋体"/>
          <w:b w:val="0"/>
          <w:bCs/>
          <w:color w:val="000000"/>
          <w:kern w:val="0"/>
          <w:sz w:val="22"/>
          <w:szCs w:val="22"/>
          <w:lang w:val="en-US" w:eastAsia="zh-CN"/>
        </w:rPr>
        <w:t>人</w:t>
      </w:r>
      <w:r>
        <w:rPr>
          <w:rFonts w:hint="eastAsia" w:ascii="宋体" w:hAnsi="宋体" w:eastAsia="宋体" w:cs="宋体"/>
          <w:b w:val="0"/>
          <w:bCs/>
          <w:color w:val="000000"/>
          <w:kern w:val="0"/>
          <w:sz w:val="22"/>
          <w:szCs w:val="22"/>
        </w:rPr>
        <w:t>于中标后第三日上午09:00向</w:t>
      </w:r>
      <w:r>
        <w:rPr>
          <w:rFonts w:hint="eastAsia" w:ascii="宋体" w:hAnsi="宋体" w:eastAsia="宋体" w:cs="宋体"/>
          <w:b w:val="0"/>
          <w:bCs/>
          <w:sz w:val="22"/>
          <w:szCs w:val="22"/>
        </w:rPr>
        <w:t>禹州市</w:t>
      </w:r>
      <w:r>
        <w:rPr>
          <w:rFonts w:hint="eastAsia" w:ascii="宋体" w:hAnsi="宋体" w:eastAsia="宋体" w:cs="宋体"/>
          <w:b w:val="0"/>
          <w:bCs/>
          <w:sz w:val="22"/>
          <w:szCs w:val="22"/>
          <w:lang w:val="en-US" w:eastAsia="zh-CN"/>
        </w:rPr>
        <w:t>教育体育局</w:t>
      </w:r>
      <w:r>
        <w:rPr>
          <w:rFonts w:hint="eastAsia" w:ascii="宋体" w:hAnsi="宋体" w:eastAsia="宋体" w:cs="宋体"/>
          <w:b w:val="0"/>
          <w:bCs/>
          <w:sz w:val="22"/>
          <w:szCs w:val="22"/>
        </w:rPr>
        <w:t>提供投标文件中所有资质原件</w:t>
      </w:r>
      <w:r>
        <w:rPr>
          <w:rFonts w:hint="eastAsia" w:ascii="宋体" w:hAnsi="宋体" w:eastAsia="宋体" w:cs="宋体"/>
          <w:b w:val="0"/>
          <w:bCs/>
          <w:color w:val="000000"/>
          <w:kern w:val="0"/>
          <w:sz w:val="22"/>
          <w:szCs w:val="22"/>
        </w:rPr>
        <w:t>。</w:t>
      </w:r>
      <w:r>
        <w:rPr>
          <w:rFonts w:hint="eastAsia" w:ascii="宋体" w:hAnsi="宋体" w:eastAsia="宋体" w:cs="宋体"/>
          <w:b w:val="0"/>
          <w:bCs/>
          <w:sz w:val="22"/>
          <w:szCs w:val="22"/>
        </w:rPr>
        <w:t>不符合或不能提供的，取消其中标资格并列入不良记录及信用中国</w:t>
      </w:r>
      <w:r>
        <w:rPr>
          <w:rFonts w:hint="eastAsia" w:ascii="宋体" w:hAnsi="宋体" w:eastAsia="宋体" w:cs="宋体"/>
          <w:b w:val="0"/>
          <w:bCs/>
          <w:color w:val="000000"/>
          <w:kern w:val="0"/>
          <w:sz w:val="22"/>
          <w:szCs w:val="22"/>
        </w:rPr>
        <w:t>。</w:t>
      </w:r>
    </w:p>
    <w:p w14:paraId="26698556">
      <w:pPr>
        <w:shd w:val="clear" w:color="auto" w:fill="FFFFFF"/>
        <w:spacing w:line="560" w:lineRule="exact"/>
        <w:ind w:firstLine="442" w:firstLineChars="200"/>
        <w:jc w:val="left"/>
        <w:rPr>
          <w:rFonts w:cs="Times New Roman" w:asciiTheme="majorEastAsia" w:hAnsiTheme="majorEastAsia" w:eastAsiaTheme="majorEastAsia"/>
          <w:b/>
          <w:bCs/>
          <w:color w:val="000000" w:themeColor="text1"/>
          <w:sz w:val="22"/>
          <w:szCs w:val="21"/>
        </w:rPr>
      </w:pPr>
      <w:r>
        <w:rPr>
          <w:rFonts w:hint="eastAsia" w:cs="Times New Roman" w:asciiTheme="majorEastAsia" w:hAnsiTheme="majorEastAsia" w:eastAsiaTheme="majorEastAsia"/>
          <w:b/>
          <w:bCs/>
          <w:color w:val="000000" w:themeColor="text1"/>
          <w:sz w:val="22"/>
          <w:szCs w:val="21"/>
        </w:rPr>
        <w:t>（六）验收标准</w:t>
      </w:r>
    </w:p>
    <w:p w14:paraId="5CA7B2BE">
      <w:pPr>
        <w:widowControl/>
        <w:shd w:val="clear" w:color="auto" w:fill="FFFFFF"/>
        <w:spacing w:line="560" w:lineRule="exact"/>
        <w:ind w:firstLine="440" w:firstLineChars="200"/>
        <w:jc w:val="left"/>
        <w:rPr>
          <w:rFonts w:hint="eastAsia" w:ascii="宋体" w:hAnsi="宋体" w:eastAsia="宋体" w:cs="宋体"/>
          <w:sz w:val="22"/>
          <w:szCs w:val="22"/>
          <w:lang w:val="zh-CN"/>
        </w:rPr>
      </w:pPr>
      <w:r>
        <w:rPr>
          <w:rFonts w:hint="eastAsia" w:ascii="宋体" w:hAnsi="宋体" w:eastAsia="宋体" w:cs="宋体"/>
          <w:sz w:val="22"/>
          <w:szCs w:val="22"/>
          <w:lang w:val="zh-CN"/>
        </w:rPr>
        <w:t>由采购人成立验收小组,按照采购合同的约定对中标人履约情况进行验收。验收时,按照采购合同的约定对每一项技术、服务、安全标准的履约情况进行确认。验收结束后由验收小组出具验收报告,列明各项标准的验收情况及项目总体评价,由验收双方共同签署。</w:t>
      </w:r>
    </w:p>
    <w:p w14:paraId="7CD3FD70">
      <w:pPr>
        <w:widowControl/>
        <w:shd w:val="clear" w:color="auto" w:fill="FFFFFF"/>
        <w:spacing w:line="560" w:lineRule="exact"/>
        <w:ind w:firstLine="440" w:firstLineChars="200"/>
        <w:jc w:val="left"/>
        <w:rPr>
          <w:rFonts w:hint="eastAsia" w:ascii="宋体" w:hAnsi="宋体" w:eastAsia="宋体" w:cs="宋体"/>
          <w:sz w:val="22"/>
          <w:szCs w:val="22"/>
          <w:lang w:val="zh-CN"/>
        </w:rPr>
      </w:pPr>
      <w:r>
        <w:rPr>
          <w:rFonts w:hint="eastAsia" w:ascii="宋体" w:hAnsi="宋体" w:eastAsia="宋体" w:cs="宋体"/>
          <w:sz w:val="22"/>
          <w:szCs w:val="22"/>
          <w:lang w:val="zh-CN"/>
        </w:rPr>
        <w:t>1、项目质量按照国家相关标准、行业标准、地方标准或者其他标准、规范验收；</w:t>
      </w:r>
    </w:p>
    <w:p w14:paraId="3EFFF3F2">
      <w:pPr>
        <w:widowControl/>
        <w:shd w:val="clear" w:color="auto" w:fill="FFFFFF"/>
        <w:spacing w:line="560" w:lineRule="exact"/>
        <w:ind w:firstLine="440" w:firstLineChars="200"/>
        <w:jc w:val="left"/>
        <w:rPr>
          <w:rFonts w:hint="eastAsia" w:ascii="宋体" w:hAnsi="宋体" w:eastAsia="宋体" w:cs="宋体"/>
          <w:sz w:val="22"/>
          <w:szCs w:val="22"/>
          <w:lang w:val="zh-CN"/>
        </w:rPr>
      </w:pPr>
      <w:r>
        <w:rPr>
          <w:rFonts w:hint="eastAsia" w:ascii="宋体" w:hAnsi="宋体" w:eastAsia="宋体" w:cs="宋体"/>
          <w:sz w:val="22"/>
          <w:szCs w:val="22"/>
          <w:lang w:val="zh-CN"/>
        </w:rPr>
        <w:t>2、按照招标文件要求、投标文件响应和承诺验收；</w:t>
      </w:r>
    </w:p>
    <w:p w14:paraId="71F4CAC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40" w:firstLineChars="200"/>
        <w:jc w:val="left"/>
        <w:textAlignment w:val="auto"/>
        <w:rPr>
          <w:rFonts w:hint="eastAsia" w:ascii="宋体" w:hAnsi="宋体" w:eastAsia="宋体" w:cs="宋体"/>
          <w:sz w:val="22"/>
          <w:szCs w:val="22"/>
          <w:lang w:val="zh-CN"/>
        </w:rPr>
      </w:pPr>
      <w:r>
        <w:rPr>
          <w:rFonts w:hint="eastAsia" w:ascii="宋体" w:hAnsi="宋体" w:eastAsia="宋体" w:cs="宋体"/>
          <w:sz w:val="22"/>
          <w:szCs w:val="22"/>
        </w:rPr>
        <w:t>3.</w:t>
      </w:r>
      <w:r>
        <w:rPr>
          <w:rFonts w:hint="eastAsia" w:ascii="宋体" w:hAnsi="宋体" w:eastAsia="宋体" w:cs="宋体"/>
          <w:sz w:val="22"/>
          <w:szCs w:val="22"/>
          <w:lang w:val="zh-CN"/>
        </w:rPr>
        <w:t>本项目验收如需要第三方验收，中标方将承担所有产生的费用。</w:t>
      </w:r>
    </w:p>
    <w:p w14:paraId="5BDE984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632" w:firstLineChars="300"/>
        <w:contextualSpacing/>
        <w:jc w:val="left"/>
        <w:textAlignment w:val="auto"/>
        <w:rPr>
          <w:rFonts w:cs="宋体" w:asciiTheme="minorEastAsia" w:hAnsiTheme="minorEastAsia"/>
          <w:b/>
          <w:color w:val="000000"/>
          <w:kern w:val="0"/>
          <w:szCs w:val="21"/>
          <w:lang w:val="zh-CN"/>
        </w:rPr>
      </w:pPr>
      <w:r>
        <w:rPr>
          <w:rFonts w:hint="eastAsia" w:cs="宋体" w:asciiTheme="minorEastAsia" w:hAnsiTheme="minorEastAsia"/>
          <w:b/>
          <w:color w:val="000000"/>
          <w:kern w:val="0"/>
          <w:szCs w:val="21"/>
          <w:lang w:val="zh-CN"/>
        </w:rPr>
        <w:t>（七）资金支付</w:t>
      </w:r>
    </w:p>
    <w:p w14:paraId="36F2F14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600"/>
        <w:jc w:val="left"/>
        <w:textAlignment w:val="auto"/>
        <w:rPr>
          <w:rFonts w:ascii="新宋体" w:hAnsi="新宋体" w:eastAsia="新宋体" w:cs="新宋体"/>
          <w:kern w:val="0"/>
          <w:szCs w:val="21"/>
        </w:rPr>
      </w:pPr>
      <w:r>
        <w:rPr>
          <w:rFonts w:hint="eastAsia" w:ascii="新宋体" w:hAnsi="新宋体" w:eastAsia="新宋体" w:cs="新宋体"/>
          <w:kern w:val="0"/>
          <w:szCs w:val="21"/>
        </w:rPr>
        <w:t>（一）支付方式：按照合同约定，经验收合格后申请支付。</w:t>
      </w:r>
    </w:p>
    <w:p w14:paraId="4397322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600"/>
        <w:jc w:val="left"/>
        <w:textAlignment w:val="auto"/>
        <w:rPr>
          <w:rFonts w:hint="eastAsia" w:cs="宋体" w:asciiTheme="majorEastAsia" w:hAnsiTheme="majorEastAsia" w:eastAsiaTheme="majorEastAsia"/>
          <w:b/>
          <w:kern w:val="0"/>
          <w:sz w:val="32"/>
          <w:szCs w:val="32"/>
        </w:rPr>
      </w:pPr>
      <w:r>
        <w:rPr>
          <w:rFonts w:hint="eastAsia" w:ascii="新宋体" w:hAnsi="新宋体" w:eastAsia="新宋体" w:cs="新宋体"/>
          <w:kern w:val="0"/>
          <w:szCs w:val="21"/>
        </w:rPr>
        <w:t>（二）支付时间及条件：以合同为准</w:t>
      </w:r>
      <w:r>
        <w:rPr>
          <w:rFonts w:hint="eastAsia" w:ascii="新宋体" w:hAnsi="新宋体" w:eastAsia="新宋体" w:cs="新宋体"/>
          <w:kern w:val="0"/>
          <w:szCs w:val="21"/>
          <w:lang w:eastAsia="zh-CN"/>
        </w:rPr>
        <w:t>。</w:t>
      </w:r>
    </w:p>
    <w:p w14:paraId="486136AD">
      <w:pPr>
        <w:widowControl/>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投标人须知前附表</w:t>
      </w:r>
    </w:p>
    <w:p w14:paraId="33EEBA6C">
      <w:pPr>
        <w:autoSpaceDE w:val="0"/>
        <w:autoSpaceDN w:val="0"/>
        <w:adjustRightInd w:val="0"/>
        <w:spacing w:line="360" w:lineRule="auto"/>
        <w:ind w:right="-11"/>
        <w:jc w:val="left"/>
        <w:rPr>
          <w:rFonts w:cs="宋体" w:asciiTheme="minorEastAsia" w:hAnsiTheme="minorEastAsia"/>
          <w:b/>
          <w:kern w:val="0"/>
          <w:szCs w:val="21"/>
        </w:rPr>
      </w:pPr>
      <w:r>
        <w:rPr>
          <w:rFonts w:hint="eastAsia" w:cs="微软雅黑"/>
          <w:b/>
          <w:szCs w:val="21"/>
        </w:rPr>
        <w:t>招标文件中凡标有</w:t>
      </w:r>
      <w:r>
        <w:rPr>
          <w:rFonts w:hint="eastAsia" w:cs="微软雅黑" w:asciiTheme="minorEastAsia" w:hAnsiTheme="minorEastAsia"/>
          <w:b/>
          <w:szCs w:val="21"/>
        </w:rPr>
        <w:t>★</w:t>
      </w:r>
      <w:r>
        <w:rPr>
          <w:rFonts w:hint="eastAsia" w:cs="微软雅黑"/>
          <w:b/>
          <w:szCs w:val="21"/>
        </w:rPr>
        <w:t>条款均为实质性要求条款，投标文件须完全响应，未实质响应的，按照无效投标处理。</w:t>
      </w:r>
    </w:p>
    <w:tbl>
      <w:tblPr>
        <w:tblStyle w:val="24"/>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68"/>
        <w:gridCol w:w="6813"/>
      </w:tblGrid>
      <w:tr w14:paraId="13CF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4D87308B">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序号</w:t>
            </w:r>
          </w:p>
        </w:tc>
        <w:tc>
          <w:tcPr>
            <w:tcW w:w="2268" w:type="dxa"/>
            <w:vAlign w:val="center"/>
          </w:tcPr>
          <w:p w14:paraId="5901878F">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条款名称</w:t>
            </w:r>
          </w:p>
        </w:tc>
        <w:tc>
          <w:tcPr>
            <w:tcW w:w="6813" w:type="dxa"/>
            <w:vAlign w:val="center"/>
          </w:tcPr>
          <w:p w14:paraId="08A5B1F7">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说明和要求</w:t>
            </w:r>
          </w:p>
        </w:tc>
      </w:tr>
      <w:tr w14:paraId="4057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806" w:type="dxa"/>
            <w:vAlign w:val="center"/>
          </w:tcPr>
          <w:p w14:paraId="0AAA23F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w:t>
            </w:r>
          </w:p>
        </w:tc>
        <w:tc>
          <w:tcPr>
            <w:tcW w:w="2268" w:type="dxa"/>
            <w:vAlign w:val="center"/>
          </w:tcPr>
          <w:p w14:paraId="2C2A68DF">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采购项目</w:t>
            </w:r>
          </w:p>
        </w:tc>
        <w:tc>
          <w:tcPr>
            <w:tcW w:w="6813" w:type="dxa"/>
          </w:tcPr>
          <w:p w14:paraId="6ADB9A79">
            <w:pPr>
              <w:widowControl/>
              <w:numPr>
                <w:ilvl w:val="0"/>
                <w:numId w:val="0"/>
              </w:numPr>
              <w:shd w:val="clear" w:color="auto" w:fill="FFFFFF"/>
              <w:spacing w:line="440" w:lineRule="exact"/>
              <w:jc w:val="left"/>
              <w:rPr>
                <w:rFonts w:hint="eastAsia" w:cs="仿宋_GB2312" w:asciiTheme="minorEastAsia" w:hAnsiTheme="minorEastAsia"/>
                <w:szCs w:val="21"/>
              </w:rPr>
            </w:pPr>
            <w:r>
              <w:rPr>
                <w:rFonts w:hint="eastAsia" w:cs="仿宋_GB2312" w:asciiTheme="minorEastAsia" w:hAnsiTheme="minorEastAsia"/>
                <w:szCs w:val="21"/>
              </w:rPr>
              <w:t>项目名称：</w:t>
            </w:r>
            <w:r>
              <w:rPr>
                <w:rFonts w:hint="eastAsia" w:cs="仿宋_GB2312" w:asciiTheme="minorEastAsia" w:hAnsiTheme="minorEastAsia"/>
                <w:szCs w:val="21"/>
                <w:lang w:val="en-US" w:eastAsia="zh-CN"/>
              </w:rPr>
              <w:t>禹州市教育体育局2024年班班通采购项目（不见面开标）</w:t>
            </w:r>
          </w:p>
          <w:p w14:paraId="0E2FD4E2">
            <w:pPr>
              <w:autoSpaceDE w:val="0"/>
              <w:autoSpaceDN w:val="0"/>
              <w:adjustRightInd w:val="0"/>
              <w:spacing w:line="360" w:lineRule="auto"/>
              <w:jc w:val="left"/>
              <w:rPr>
                <w:rFonts w:hint="default" w:cs="仿宋_GB2312" w:asciiTheme="minorEastAsia" w:hAnsiTheme="minorEastAsia" w:eastAsiaTheme="minorEastAsia"/>
                <w:szCs w:val="21"/>
                <w:lang w:val="en-US" w:eastAsia="zh-CN"/>
              </w:rPr>
            </w:pPr>
            <w:r>
              <w:rPr>
                <w:rFonts w:hint="eastAsia" w:cs="仿宋_GB2312" w:asciiTheme="minorEastAsia" w:hAnsiTheme="minorEastAsia"/>
                <w:szCs w:val="21"/>
              </w:rPr>
              <w:t>采购编号：YZCG-G20240</w:t>
            </w:r>
            <w:r>
              <w:rPr>
                <w:rFonts w:hint="eastAsia" w:cs="仿宋_GB2312" w:asciiTheme="minorEastAsia" w:hAnsiTheme="minorEastAsia"/>
                <w:szCs w:val="21"/>
                <w:lang w:val="en-US" w:eastAsia="zh-CN"/>
              </w:rPr>
              <w:t>11</w:t>
            </w:r>
          </w:p>
          <w:p w14:paraId="763BF7E8">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cs="Helvetica" w:asciiTheme="minorHAnsi" w:hAnsiTheme="minorHAnsi" w:eastAsiaTheme="minorEastAsia"/>
                <w:kern w:val="2"/>
                <w:sz w:val="21"/>
                <w:szCs w:val="22"/>
                <w:lang w:val="en-US" w:eastAsia="zh-CN" w:bidi="ar-SA"/>
              </w:rPr>
            </w:pPr>
            <w:r>
              <w:rPr>
                <w:rFonts w:hint="eastAsia" w:cs="仿宋_GB2312" w:asciiTheme="minorEastAsia" w:hAnsiTheme="minorEastAsia"/>
                <w:szCs w:val="21"/>
              </w:rPr>
              <w:t>交付（服务、完工）时间：</w:t>
            </w:r>
            <w:r>
              <w:rPr>
                <w:rFonts w:hint="eastAsia" w:cs="Helvetica" w:asciiTheme="minorHAnsi" w:hAnsiTheme="minorHAnsi" w:eastAsiaTheme="minorEastAsia"/>
                <w:kern w:val="2"/>
                <w:sz w:val="21"/>
                <w:szCs w:val="22"/>
                <w:lang w:val="en-US" w:eastAsia="zh-CN" w:bidi="ar-SA"/>
              </w:rPr>
              <w:t>合同签订后</w:t>
            </w:r>
            <w:r>
              <w:rPr>
                <w:rFonts w:hint="eastAsia" w:cs="Helvetica"/>
                <w:kern w:val="2"/>
                <w:sz w:val="21"/>
                <w:szCs w:val="22"/>
                <w:lang w:val="en-US" w:eastAsia="zh-CN" w:bidi="ar-SA"/>
              </w:rPr>
              <w:t>30</w:t>
            </w:r>
            <w:r>
              <w:rPr>
                <w:rFonts w:hint="eastAsia" w:cs="Helvetica" w:asciiTheme="minorHAnsi" w:hAnsiTheme="minorHAnsi" w:eastAsiaTheme="minorEastAsia"/>
                <w:kern w:val="2"/>
                <w:sz w:val="21"/>
                <w:szCs w:val="22"/>
                <w:lang w:val="en-US" w:eastAsia="zh-CN" w:bidi="ar-SA"/>
              </w:rPr>
              <w:t>日历天内</w:t>
            </w:r>
          </w:p>
          <w:p w14:paraId="172B2E8D">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default" w:cs="Helvetica" w:asciiTheme="minorHAnsi" w:hAnsiTheme="minorHAnsi" w:eastAsiaTheme="minorEastAsia"/>
                <w:kern w:val="2"/>
                <w:sz w:val="21"/>
                <w:szCs w:val="22"/>
                <w:lang w:val="en-US" w:eastAsia="zh-CN" w:bidi="ar-SA"/>
              </w:rPr>
            </w:pPr>
            <w:r>
              <w:rPr>
                <w:rFonts w:hint="eastAsia" w:cs="Helvetica"/>
                <w:kern w:val="2"/>
                <w:sz w:val="21"/>
                <w:szCs w:val="22"/>
                <w:lang w:val="en-US" w:eastAsia="zh-CN" w:bidi="ar-SA"/>
              </w:rPr>
              <w:t>交付地点：指定地点（乡镇学校）</w:t>
            </w:r>
            <w:bookmarkStart w:id="12" w:name="_GoBack"/>
            <w:bookmarkEnd w:id="12"/>
          </w:p>
        </w:tc>
      </w:tr>
      <w:tr w14:paraId="42B0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30B346CB">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w:t>
            </w:r>
          </w:p>
        </w:tc>
        <w:tc>
          <w:tcPr>
            <w:tcW w:w="2268" w:type="dxa"/>
            <w:vAlign w:val="center"/>
          </w:tcPr>
          <w:p w14:paraId="0B5908DA">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采购人</w:t>
            </w:r>
          </w:p>
        </w:tc>
        <w:tc>
          <w:tcPr>
            <w:tcW w:w="6813" w:type="dxa"/>
            <w:vAlign w:val="center"/>
          </w:tcPr>
          <w:p w14:paraId="2EB8513D">
            <w:pPr>
              <w:widowControl/>
              <w:shd w:val="clear" w:color="auto" w:fill="FFFFFF"/>
              <w:spacing w:line="440" w:lineRule="exact"/>
              <w:jc w:val="left"/>
              <w:rPr>
                <w:rFonts w:hint="eastAsia" w:cs="仿宋_GB2312" w:asciiTheme="minorEastAsia" w:hAnsiTheme="minorEastAsia"/>
                <w:szCs w:val="21"/>
                <w:lang w:val="en-US" w:eastAsia="zh-CN"/>
              </w:rPr>
            </w:pPr>
            <w:r>
              <w:rPr>
                <w:rFonts w:hint="eastAsia" w:cs="仿宋_GB2312" w:asciiTheme="minorEastAsia" w:hAnsiTheme="minorEastAsia"/>
                <w:szCs w:val="21"/>
              </w:rPr>
              <w:t>采购单位：禹州市</w:t>
            </w:r>
            <w:r>
              <w:rPr>
                <w:rFonts w:hint="eastAsia" w:cs="仿宋_GB2312" w:asciiTheme="minorEastAsia" w:hAnsiTheme="minorEastAsia"/>
                <w:szCs w:val="21"/>
                <w:lang w:val="en-US" w:eastAsia="zh-CN"/>
              </w:rPr>
              <w:t>教育体育局</w:t>
            </w:r>
          </w:p>
          <w:p w14:paraId="40ED4845">
            <w:pPr>
              <w:widowControl/>
              <w:shd w:val="clear" w:color="auto" w:fill="FFFFFF"/>
              <w:spacing w:line="440" w:lineRule="exact"/>
              <w:jc w:val="left"/>
              <w:rPr>
                <w:rFonts w:hint="default" w:cs="仿宋_GB2312" w:asciiTheme="minorEastAsia" w:hAnsiTheme="minorEastAsia" w:eastAsiaTheme="minorEastAsia"/>
                <w:szCs w:val="21"/>
                <w:lang w:val="en-US" w:eastAsia="zh-CN"/>
              </w:rPr>
            </w:pPr>
            <w:r>
              <w:rPr>
                <w:rFonts w:hint="eastAsia" w:cs="仿宋_GB2312" w:asciiTheme="minorEastAsia" w:hAnsiTheme="minorEastAsia"/>
                <w:szCs w:val="21"/>
              </w:rPr>
              <w:t>地址：禹州市</w:t>
            </w:r>
            <w:r>
              <w:rPr>
                <w:rFonts w:hint="eastAsia" w:cs="仿宋_GB2312" w:asciiTheme="minorEastAsia" w:hAnsiTheme="minorEastAsia"/>
                <w:szCs w:val="21"/>
                <w:lang w:val="en-US" w:eastAsia="zh-CN"/>
              </w:rPr>
              <w:t>禹王大道111号</w:t>
            </w:r>
          </w:p>
          <w:p w14:paraId="55BF6DDA">
            <w:pPr>
              <w:widowControl/>
              <w:shd w:val="clear" w:color="auto" w:fill="FFFFFF"/>
              <w:spacing w:line="440" w:lineRule="exact"/>
              <w:jc w:val="left"/>
              <w:rPr>
                <w:rFonts w:hint="default" w:cs="仿宋_GB2312" w:asciiTheme="minorEastAsia" w:hAnsiTheme="minorEastAsia" w:eastAsiaTheme="minorEastAsia"/>
                <w:szCs w:val="21"/>
                <w:lang w:val="en-US" w:eastAsia="zh-CN"/>
              </w:rPr>
            </w:pPr>
            <w:r>
              <w:rPr>
                <w:rFonts w:hint="eastAsia" w:cs="仿宋_GB2312" w:asciiTheme="minorEastAsia" w:hAnsiTheme="minorEastAsia"/>
                <w:szCs w:val="21"/>
              </w:rPr>
              <w:t>联系人：</w:t>
            </w:r>
            <w:r>
              <w:rPr>
                <w:rFonts w:hint="eastAsia" w:cs="仿宋_GB2312" w:asciiTheme="minorEastAsia" w:hAnsiTheme="minorEastAsia"/>
                <w:szCs w:val="21"/>
                <w:lang w:val="en-US" w:eastAsia="zh-CN"/>
              </w:rPr>
              <w:t>张</w:t>
            </w:r>
            <w:r>
              <w:rPr>
                <w:rFonts w:hint="eastAsia" w:cs="仿宋_GB2312" w:asciiTheme="minorEastAsia" w:hAnsiTheme="minorEastAsia"/>
                <w:szCs w:val="21"/>
              </w:rPr>
              <w:t>先生       联系电话：0374-</w:t>
            </w:r>
            <w:r>
              <w:rPr>
                <w:rFonts w:hint="eastAsia" w:cs="仿宋_GB2312" w:asciiTheme="minorEastAsia" w:hAnsiTheme="minorEastAsia"/>
                <w:szCs w:val="21"/>
                <w:lang w:val="en-US" w:eastAsia="zh-CN"/>
              </w:rPr>
              <w:t>8880023</w:t>
            </w:r>
          </w:p>
        </w:tc>
      </w:tr>
      <w:tr w14:paraId="080D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038E0DEA">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w:t>
            </w:r>
          </w:p>
        </w:tc>
        <w:tc>
          <w:tcPr>
            <w:tcW w:w="2268" w:type="dxa"/>
            <w:vAlign w:val="center"/>
          </w:tcPr>
          <w:p w14:paraId="00D502C3">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代理机构</w:t>
            </w:r>
          </w:p>
        </w:tc>
        <w:tc>
          <w:tcPr>
            <w:tcW w:w="6813" w:type="dxa"/>
            <w:vAlign w:val="center"/>
          </w:tcPr>
          <w:p w14:paraId="1205128B">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名称：禹州市政府采购中心</w:t>
            </w:r>
          </w:p>
          <w:p w14:paraId="75624052">
            <w:pPr>
              <w:autoSpaceDE w:val="0"/>
              <w:autoSpaceDN w:val="0"/>
              <w:adjustRightInd w:val="0"/>
              <w:spacing w:line="360" w:lineRule="auto"/>
              <w:jc w:val="left"/>
              <w:rPr>
                <w:rFonts w:hint="default" w:cs="仿宋_GB2312" w:asciiTheme="minorEastAsia" w:hAnsiTheme="minorEastAsia" w:eastAsiaTheme="minorEastAsia"/>
                <w:szCs w:val="21"/>
                <w:lang w:val="en-US" w:eastAsia="zh-CN"/>
              </w:rPr>
            </w:pPr>
            <w:r>
              <w:rPr>
                <w:rFonts w:hint="eastAsia" w:cs="仿宋_GB2312" w:asciiTheme="minorEastAsia" w:hAnsiTheme="minorEastAsia"/>
                <w:szCs w:val="21"/>
              </w:rPr>
              <w:t>地址：禹州市行政服务中心楼</w:t>
            </w:r>
            <w:r>
              <w:rPr>
                <w:rFonts w:hint="eastAsia" w:cs="仿宋_GB2312" w:asciiTheme="minorEastAsia" w:hAnsiTheme="minorEastAsia"/>
                <w:szCs w:val="21"/>
                <w:lang w:val="en-US" w:eastAsia="zh-CN"/>
              </w:rPr>
              <w:t>8</w:t>
            </w:r>
            <w:r>
              <w:rPr>
                <w:rFonts w:hint="eastAsia" w:cs="仿宋_GB2312" w:asciiTheme="minorEastAsia" w:hAnsiTheme="minorEastAsia"/>
                <w:szCs w:val="21"/>
              </w:rPr>
              <w:t>楼</w:t>
            </w:r>
            <w:r>
              <w:rPr>
                <w:rFonts w:hint="eastAsia" w:cs="仿宋_GB2312" w:asciiTheme="minorEastAsia" w:hAnsiTheme="minorEastAsia"/>
                <w:szCs w:val="21"/>
                <w:lang w:val="en-US" w:eastAsia="zh-CN"/>
              </w:rPr>
              <w:t>820房间</w:t>
            </w:r>
          </w:p>
          <w:p w14:paraId="09563F8B">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联系人：</w:t>
            </w:r>
            <w:r>
              <w:rPr>
                <w:rFonts w:hint="eastAsia" w:cs="仿宋_GB2312" w:asciiTheme="minorEastAsia" w:hAnsiTheme="minorEastAsia"/>
                <w:szCs w:val="21"/>
                <w:lang w:val="en-US" w:eastAsia="zh-CN"/>
              </w:rPr>
              <w:t>方女士</w:t>
            </w:r>
            <w:r>
              <w:rPr>
                <w:rFonts w:hint="eastAsia" w:cs="仿宋_GB2312" w:asciiTheme="minorEastAsia" w:hAnsiTheme="minorEastAsia"/>
                <w:szCs w:val="21"/>
              </w:rPr>
              <w:t xml:space="preserve">               电话：0374-2077111</w:t>
            </w:r>
          </w:p>
        </w:tc>
      </w:tr>
      <w:tr w14:paraId="0F7C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restart"/>
            <w:vAlign w:val="center"/>
          </w:tcPr>
          <w:p w14:paraId="2DD6434C">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4</w:t>
            </w:r>
          </w:p>
        </w:tc>
        <w:tc>
          <w:tcPr>
            <w:tcW w:w="2268" w:type="dxa"/>
            <w:vMerge w:val="restart"/>
            <w:vAlign w:val="center"/>
          </w:tcPr>
          <w:p w14:paraId="1B4139B2">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投标人资格</w:t>
            </w:r>
          </w:p>
        </w:tc>
        <w:tc>
          <w:tcPr>
            <w:tcW w:w="6813" w:type="dxa"/>
            <w:vAlign w:val="center"/>
          </w:tcPr>
          <w:p w14:paraId="52872577">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一、中小企业或者残疾人福利性单位声明函</w:t>
            </w:r>
          </w:p>
          <w:p w14:paraId="4C3CFD0E">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1、中小企业出具《中小企业声明函》</w:t>
            </w:r>
          </w:p>
          <w:p w14:paraId="7DEE6244">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2、残疾人福利性单位出具《残疾人福利企业声明函》</w:t>
            </w:r>
          </w:p>
        </w:tc>
      </w:tr>
      <w:tr w14:paraId="684F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14:paraId="407E0761">
            <w:pPr>
              <w:autoSpaceDE w:val="0"/>
              <w:autoSpaceDN w:val="0"/>
              <w:adjustRightInd w:val="0"/>
              <w:spacing w:line="276" w:lineRule="auto"/>
              <w:jc w:val="center"/>
              <w:rPr>
                <w:rFonts w:cs="黑体" w:asciiTheme="minorEastAsia" w:hAnsiTheme="minorEastAsia"/>
                <w:szCs w:val="21"/>
              </w:rPr>
            </w:pPr>
          </w:p>
        </w:tc>
        <w:tc>
          <w:tcPr>
            <w:tcW w:w="2268" w:type="dxa"/>
            <w:vMerge w:val="continue"/>
            <w:vAlign w:val="center"/>
          </w:tcPr>
          <w:p w14:paraId="444CB979">
            <w:pPr>
              <w:autoSpaceDE w:val="0"/>
              <w:autoSpaceDN w:val="0"/>
              <w:adjustRightInd w:val="0"/>
              <w:spacing w:line="276" w:lineRule="auto"/>
              <w:jc w:val="center"/>
              <w:rPr>
                <w:rFonts w:cs="微软雅黑" w:asciiTheme="minorEastAsia" w:hAnsiTheme="minorEastAsia"/>
                <w:b/>
                <w:szCs w:val="21"/>
              </w:rPr>
            </w:pPr>
          </w:p>
        </w:tc>
        <w:tc>
          <w:tcPr>
            <w:tcW w:w="6813" w:type="dxa"/>
            <w:vAlign w:val="center"/>
          </w:tcPr>
          <w:p w14:paraId="5CEEB7AC">
            <w:pPr>
              <w:autoSpaceDE w:val="0"/>
              <w:autoSpaceDN w:val="0"/>
              <w:adjustRightInd w:val="0"/>
              <w:spacing w:line="360" w:lineRule="auto"/>
              <w:jc w:val="left"/>
              <w:rPr>
                <w:rFonts w:cs="仿宋_GB2312" w:asciiTheme="minorEastAsia" w:hAnsiTheme="minorEastAsia"/>
                <w:b/>
                <w:color w:val="FF0000"/>
                <w:szCs w:val="21"/>
                <w:shd w:val="clear" w:color="auto" w:fill="FFFFFF"/>
              </w:rPr>
            </w:pPr>
            <w:r>
              <w:rPr>
                <w:rFonts w:hint="eastAsia" w:cs="仿宋_GB2312" w:asciiTheme="minorEastAsia" w:hAnsiTheme="minorEastAsia"/>
                <w:b/>
                <w:color w:val="FF0000"/>
                <w:szCs w:val="21"/>
                <w:shd w:val="clear" w:color="auto" w:fill="FFFFFF"/>
              </w:rPr>
              <w:t>符合《政府采购法》第二十二条规定</w:t>
            </w:r>
          </w:p>
          <w:p w14:paraId="034CC306">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rPr>
              <w:t>1．具有独立承担民事责任的能力；</w:t>
            </w:r>
          </w:p>
          <w:p w14:paraId="31371D55">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rPr>
              <w:t>2．具有良好的商业信誉和健全的财务会计制度；</w:t>
            </w:r>
          </w:p>
          <w:p w14:paraId="12447032">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rPr>
              <w:t>3．具有履行合同所必需的设备和专业技术能力；</w:t>
            </w:r>
          </w:p>
          <w:p w14:paraId="1C7D313E">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rPr>
              <w:t>4．具有依法缴纳税收和社会保障资金的良好记录；</w:t>
            </w:r>
          </w:p>
          <w:p w14:paraId="7881A0EE">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rPr>
              <w:t>5．参加政府采购活动前三年内，在经营活动中没有重大违法记录；</w:t>
            </w:r>
          </w:p>
          <w:p w14:paraId="38EEC212">
            <w:pPr>
              <w:autoSpaceDE w:val="0"/>
              <w:autoSpaceDN w:val="0"/>
              <w:adjustRightInd w:val="0"/>
              <w:spacing w:line="276" w:lineRule="auto"/>
              <w:rPr>
                <w:rFonts w:cs="仿宋_GB2312" w:asciiTheme="minorEastAsia" w:hAnsiTheme="minorEastAsia"/>
                <w:b/>
                <w:color w:val="FF0000"/>
                <w:spacing w:val="-11"/>
                <w:szCs w:val="21"/>
              </w:rPr>
            </w:pPr>
            <w:r>
              <w:rPr>
                <w:rFonts w:hint="eastAsia" w:cs="仿宋_GB2312" w:asciiTheme="minorEastAsia" w:hAnsiTheme="minorEastAsia"/>
                <w:b/>
                <w:color w:val="FF0000"/>
                <w:spacing w:val="-11"/>
                <w:szCs w:val="21"/>
              </w:rPr>
              <w:t>注：</w:t>
            </w:r>
          </w:p>
          <w:p w14:paraId="0C283E8B">
            <w:pPr>
              <w:autoSpaceDE w:val="0"/>
              <w:autoSpaceDN w:val="0"/>
              <w:adjustRightInd w:val="0"/>
              <w:spacing w:line="276" w:lineRule="auto"/>
              <w:rPr>
                <w:rFonts w:cs="宋体" w:asciiTheme="minorEastAsia" w:hAnsiTheme="minorEastAsia"/>
                <w:color w:val="FF0000"/>
                <w:szCs w:val="21"/>
              </w:rPr>
            </w:pPr>
            <w:r>
              <w:rPr>
                <w:rFonts w:hint="eastAsia" w:cs="宋体" w:asciiTheme="minorEastAsia" w:hAnsiTheme="minorEastAsia"/>
                <w:color w:val="FF0000"/>
                <w:szCs w:val="21"/>
              </w:rPr>
              <w:t>1、供应商在投标时，提供《禹州市政府采购供应商信用承诺函》（详见招标文件第八章3.5格式），无需再提交上述证明材料。</w:t>
            </w:r>
          </w:p>
          <w:p w14:paraId="4051C15B">
            <w:pPr>
              <w:autoSpaceDE w:val="0"/>
              <w:autoSpaceDN w:val="0"/>
              <w:adjustRightInd w:val="0"/>
              <w:spacing w:line="276" w:lineRule="auto"/>
              <w:rPr>
                <w:rFonts w:cs="宋体" w:asciiTheme="minorEastAsia" w:hAnsiTheme="minorEastAsia"/>
                <w:color w:val="FF0000"/>
                <w:szCs w:val="21"/>
              </w:rPr>
            </w:pPr>
            <w:r>
              <w:rPr>
                <w:rFonts w:hint="eastAsia" w:cs="宋体" w:asciiTheme="minorEastAsia" w:hAnsiTheme="minorEastAsia"/>
                <w:color w:val="FF0000"/>
                <w:szCs w:val="21"/>
              </w:rPr>
              <w:t>2、采购人有权在签订合同前要求中标供应商提供相关证明材料以核实中标供应商承诺事项的真实性。</w:t>
            </w:r>
          </w:p>
          <w:p w14:paraId="6FFD515C">
            <w:pPr>
              <w:adjustRightInd w:val="0"/>
              <w:spacing w:line="360" w:lineRule="auto"/>
              <w:jc w:val="left"/>
              <w:rPr>
                <w:rFonts w:cs="仿宋_GB2312" w:asciiTheme="minorEastAsia" w:hAnsiTheme="minorEastAsia"/>
                <w:color w:val="FF0000"/>
                <w:szCs w:val="21"/>
              </w:rPr>
            </w:pPr>
            <w:r>
              <w:rPr>
                <w:rFonts w:hint="eastAsia" w:cs="宋体" w:asciiTheme="minorEastAsia" w:hAnsiTheme="minorEastAsia"/>
                <w:color w:val="FF0000"/>
                <w:szCs w:val="21"/>
              </w:rPr>
              <w:t>3、供应商对信用承诺内容的真实性、合法性、有效性负责。如作出虚假信用承诺，视同为“提供虚假材料谋取中标”的违法行为。</w:t>
            </w:r>
          </w:p>
        </w:tc>
      </w:tr>
      <w:tr w14:paraId="0E1B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5476BD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5</w:t>
            </w:r>
          </w:p>
        </w:tc>
        <w:tc>
          <w:tcPr>
            <w:tcW w:w="2268" w:type="dxa"/>
            <w:vAlign w:val="center"/>
          </w:tcPr>
          <w:p w14:paraId="0EAE7060">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联合体投标</w:t>
            </w:r>
          </w:p>
        </w:tc>
        <w:tc>
          <w:tcPr>
            <w:tcW w:w="6813" w:type="dxa"/>
            <w:vAlign w:val="center"/>
          </w:tcPr>
          <w:p w14:paraId="31FAAD1C">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kern w:val="0"/>
                <w:szCs w:val="21"/>
              </w:rPr>
              <w:t>本项目</w:t>
            </w: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kern w:val="0"/>
                <w:szCs w:val="21"/>
              </w:rPr>
              <w:t>不接受</w:t>
            </w:r>
            <w:r>
              <w:rPr>
                <w:rFonts w:hint="eastAsia" w:cs="宋体" w:asciiTheme="minorEastAsia" w:hAnsiTheme="minorEastAsia"/>
                <w:bCs/>
                <w:szCs w:val="21"/>
                <w:lang w:val="zh-CN"/>
              </w:rPr>
              <w:t>□接受</w:t>
            </w:r>
            <w:r>
              <w:rPr>
                <w:rFonts w:hint="eastAsia" w:cs="宋体" w:asciiTheme="minorEastAsia" w:hAnsiTheme="minorEastAsia"/>
                <w:kern w:val="0"/>
                <w:szCs w:val="21"/>
              </w:rPr>
              <w:t>联合体投标</w:t>
            </w:r>
          </w:p>
        </w:tc>
      </w:tr>
      <w:tr w14:paraId="1891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34285C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6</w:t>
            </w:r>
          </w:p>
        </w:tc>
        <w:tc>
          <w:tcPr>
            <w:tcW w:w="2268" w:type="dxa"/>
            <w:vAlign w:val="center"/>
          </w:tcPr>
          <w:p w14:paraId="3FA63CEB">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最高限价</w:t>
            </w:r>
          </w:p>
        </w:tc>
        <w:tc>
          <w:tcPr>
            <w:tcW w:w="6813" w:type="dxa"/>
            <w:vAlign w:val="center"/>
          </w:tcPr>
          <w:p w14:paraId="29923A15">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bCs/>
                <w:szCs w:val="21"/>
                <w:lang w:val="en-US" w:eastAsia="zh-CN"/>
              </w:rPr>
              <w:t>2686000.00元</w:t>
            </w:r>
            <w:r>
              <w:rPr>
                <w:rFonts w:hint="eastAsia" w:cs="宋体" w:asciiTheme="minorEastAsia" w:hAnsiTheme="minorEastAsia"/>
                <w:bCs/>
                <w:szCs w:val="21"/>
                <w:lang w:val="zh-CN"/>
              </w:rPr>
              <w:t>，超出最高限价的投标无效。</w:t>
            </w:r>
          </w:p>
        </w:tc>
      </w:tr>
      <w:tr w14:paraId="2653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DB02D16">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7</w:t>
            </w:r>
          </w:p>
        </w:tc>
        <w:tc>
          <w:tcPr>
            <w:tcW w:w="2268" w:type="dxa"/>
            <w:vAlign w:val="center"/>
          </w:tcPr>
          <w:p w14:paraId="26E33B47">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现场考察</w:t>
            </w:r>
          </w:p>
        </w:tc>
        <w:tc>
          <w:tcPr>
            <w:tcW w:w="6813" w:type="dxa"/>
            <w:vAlign w:val="center"/>
          </w:tcPr>
          <w:p w14:paraId="1A21498A">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不组织</w:t>
            </w:r>
          </w:p>
          <w:p w14:paraId="4C6AE103">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bCs/>
                <w:szCs w:val="21"/>
                <w:lang w:val="zh-CN"/>
              </w:rPr>
              <w:t>组织，时间：      地点：</w:t>
            </w:r>
          </w:p>
        </w:tc>
      </w:tr>
      <w:tr w14:paraId="5DA08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42023C2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8</w:t>
            </w:r>
          </w:p>
        </w:tc>
        <w:tc>
          <w:tcPr>
            <w:tcW w:w="2268" w:type="dxa"/>
            <w:vAlign w:val="center"/>
          </w:tcPr>
          <w:p w14:paraId="604F317A">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开标前答疑会</w:t>
            </w:r>
          </w:p>
        </w:tc>
        <w:tc>
          <w:tcPr>
            <w:tcW w:w="6813" w:type="dxa"/>
            <w:vAlign w:val="center"/>
          </w:tcPr>
          <w:p w14:paraId="78C3CC25">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不召开</w:t>
            </w:r>
          </w:p>
          <w:p w14:paraId="57EF7F80">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□召开，时间：      地点：</w:t>
            </w:r>
          </w:p>
        </w:tc>
      </w:tr>
      <w:tr w14:paraId="19A5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B99B6D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9</w:t>
            </w:r>
          </w:p>
        </w:tc>
        <w:tc>
          <w:tcPr>
            <w:tcW w:w="2268" w:type="dxa"/>
            <w:vAlign w:val="center"/>
          </w:tcPr>
          <w:p w14:paraId="7EC259BA">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进口产品参与</w:t>
            </w:r>
          </w:p>
        </w:tc>
        <w:tc>
          <w:tcPr>
            <w:tcW w:w="6813" w:type="dxa"/>
            <w:vAlign w:val="center"/>
          </w:tcPr>
          <w:p w14:paraId="48A26B65">
            <w:pPr>
              <w:autoSpaceDE w:val="0"/>
              <w:autoSpaceDN w:val="0"/>
              <w:adjustRightInd w:val="0"/>
              <w:spacing w:line="276" w:lineRule="auto"/>
              <w:rPr>
                <w:rFonts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asciiTheme="minorEastAsia" w:hAnsiTheme="minorEastAsia"/>
                <w:szCs w:val="21"/>
              </w:rPr>
              <w:t>允许</w:t>
            </w:r>
          </w:p>
        </w:tc>
      </w:tr>
      <w:tr w14:paraId="7CC6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F84AA2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10</w:t>
            </w:r>
          </w:p>
        </w:tc>
        <w:tc>
          <w:tcPr>
            <w:tcW w:w="2268" w:type="dxa"/>
            <w:vAlign w:val="center"/>
          </w:tcPr>
          <w:p w14:paraId="531F7403">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投标有效期</w:t>
            </w:r>
          </w:p>
        </w:tc>
        <w:tc>
          <w:tcPr>
            <w:tcW w:w="6813" w:type="dxa"/>
            <w:vAlign w:val="center"/>
          </w:tcPr>
          <w:p w14:paraId="741121C2">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rPr>
              <w:t>90天（自</w:t>
            </w:r>
            <w:r>
              <w:rPr>
                <w:rFonts w:hint="eastAsia" w:cs="宋体" w:asciiTheme="minorEastAsia" w:hAnsiTheme="minorEastAsia"/>
                <w:kern w:val="0"/>
                <w:szCs w:val="21"/>
              </w:rPr>
              <w:t>提交投标文件的截止之日起算</w:t>
            </w:r>
            <w:r>
              <w:rPr>
                <w:rFonts w:hint="eastAsia" w:cs="仿宋_GB2312" w:asciiTheme="minorEastAsia" w:hAnsiTheme="minorEastAsia"/>
                <w:szCs w:val="21"/>
              </w:rPr>
              <w:t>）</w:t>
            </w:r>
          </w:p>
          <w:p w14:paraId="37C4B9FC">
            <w:pPr>
              <w:autoSpaceDE w:val="0"/>
              <w:autoSpaceDN w:val="0"/>
              <w:adjustRightInd w:val="0"/>
              <w:spacing w:line="360" w:lineRule="auto"/>
              <w:rPr>
                <w:rFonts w:cs="仿宋_GB2312" w:asciiTheme="minorEastAsia" w:hAnsiTheme="minorEastAsia"/>
                <w:szCs w:val="21"/>
              </w:rPr>
            </w:pPr>
            <w:r>
              <w:rPr>
                <w:rFonts w:cs="仿宋_GB2312" w:asciiTheme="minorEastAsia" w:hAnsiTheme="minorEastAsia"/>
                <w:szCs w:val="21"/>
                <w:lang w:val="zh-CN"/>
              </w:rPr>
              <w:t>中标</w:t>
            </w:r>
            <w:r>
              <w:rPr>
                <w:rFonts w:hint="eastAsia" w:cs="仿宋_GB2312" w:asciiTheme="minorEastAsia" w:hAnsiTheme="minorEastAsia"/>
                <w:szCs w:val="21"/>
                <w:lang w:val="zh-CN"/>
              </w:rPr>
              <w:t>人投标</w:t>
            </w:r>
            <w:r>
              <w:rPr>
                <w:rFonts w:cs="仿宋_GB2312" w:asciiTheme="minorEastAsia" w:hAnsiTheme="minorEastAsia"/>
                <w:szCs w:val="21"/>
                <w:lang w:val="zh-CN"/>
              </w:rPr>
              <w:t>有效期延</w:t>
            </w:r>
            <w:r>
              <w:rPr>
                <w:rFonts w:hint="eastAsia" w:cs="仿宋_GB2312" w:asciiTheme="minorEastAsia" w:hAnsiTheme="minorEastAsia"/>
                <w:szCs w:val="21"/>
                <w:lang w:val="zh-CN"/>
              </w:rPr>
              <w:t>至合同</w:t>
            </w:r>
            <w:r>
              <w:rPr>
                <w:rFonts w:cs="仿宋_GB2312" w:asciiTheme="minorEastAsia" w:hAnsiTheme="minorEastAsia"/>
                <w:szCs w:val="21"/>
                <w:lang w:val="zh-CN"/>
              </w:rPr>
              <w:t>验收之日</w:t>
            </w:r>
            <w:r>
              <w:rPr>
                <w:rFonts w:hint="eastAsia" w:cs="仿宋_GB2312" w:asciiTheme="minorEastAsia" w:hAnsiTheme="minorEastAsia"/>
                <w:szCs w:val="21"/>
                <w:lang w:val="zh-CN"/>
              </w:rPr>
              <w:t>，</w:t>
            </w:r>
            <w:r>
              <w:rPr>
                <w:rFonts w:hint="eastAsia" w:cs="宋体" w:asciiTheme="minorEastAsia" w:hAnsiTheme="minorEastAsia"/>
                <w:kern w:val="0"/>
                <w:szCs w:val="21"/>
              </w:rPr>
              <w:t>中标人全部合同义务履行完毕为止。</w:t>
            </w:r>
          </w:p>
        </w:tc>
      </w:tr>
      <w:tr w14:paraId="528C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4A65888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11</w:t>
            </w:r>
          </w:p>
        </w:tc>
        <w:tc>
          <w:tcPr>
            <w:tcW w:w="2268" w:type="dxa"/>
            <w:vAlign w:val="center"/>
          </w:tcPr>
          <w:p w14:paraId="79AC0BCE">
            <w:pPr>
              <w:autoSpaceDE w:val="0"/>
              <w:autoSpaceDN w:val="0"/>
              <w:adjustRightInd w:val="0"/>
              <w:spacing w:line="360" w:lineRule="auto"/>
              <w:rPr>
                <w:rFonts w:cs="仿宋_GB2312" w:asciiTheme="minorEastAsia" w:hAnsiTheme="minorEastAsia"/>
                <w:szCs w:val="21"/>
              </w:rPr>
            </w:pPr>
            <w:r>
              <w:rPr>
                <w:rFonts w:cs="宋体" w:asciiTheme="minorEastAsia" w:hAnsiTheme="minorEastAsia"/>
                <w:bCs/>
                <w:szCs w:val="21"/>
                <w:lang w:val="zh-CN"/>
              </w:rPr>
              <w:t>中标人将本项目非主体、非关键性工作分包</w:t>
            </w:r>
          </w:p>
        </w:tc>
        <w:tc>
          <w:tcPr>
            <w:tcW w:w="6813" w:type="dxa"/>
            <w:vAlign w:val="center"/>
          </w:tcPr>
          <w:p w14:paraId="7B99A54B">
            <w:pPr>
              <w:autoSpaceDE w:val="0"/>
              <w:autoSpaceDN w:val="0"/>
              <w:adjustRightInd w:val="0"/>
              <w:spacing w:line="276" w:lineRule="auto"/>
              <w:rPr>
                <w:rFonts w:cs="仿宋_GB2312"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cs="仿宋_GB2312" w:asciiTheme="minorEastAsia" w:hAnsiTheme="minorEastAsia"/>
                <w:szCs w:val="21"/>
              </w:rPr>
              <w:t>允许</w:t>
            </w:r>
          </w:p>
        </w:tc>
      </w:tr>
      <w:tr w14:paraId="2100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B7C459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12</w:t>
            </w:r>
          </w:p>
        </w:tc>
        <w:tc>
          <w:tcPr>
            <w:tcW w:w="2268" w:type="dxa"/>
            <w:vAlign w:val="center"/>
          </w:tcPr>
          <w:p w14:paraId="04D3D13C">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投标截止及开标时间</w:t>
            </w:r>
          </w:p>
        </w:tc>
        <w:tc>
          <w:tcPr>
            <w:tcW w:w="6813" w:type="dxa"/>
            <w:vAlign w:val="center"/>
          </w:tcPr>
          <w:p w14:paraId="46627D3C">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202</w:t>
            </w:r>
            <w:r>
              <w:rPr>
                <w:rFonts w:hint="eastAsia" w:cs="宋体" w:asciiTheme="minorEastAsia" w:hAnsiTheme="minorEastAsia"/>
                <w:bCs/>
                <w:szCs w:val="21"/>
              </w:rPr>
              <w:t>4</w:t>
            </w:r>
            <w:r>
              <w:rPr>
                <w:rFonts w:hint="eastAsia" w:cs="宋体" w:asciiTheme="minorEastAsia" w:hAnsiTheme="minorEastAsia"/>
                <w:bCs/>
                <w:szCs w:val="21"/>
                <w:lang w:val="zh-CN"/>
              </w:rPr>
              <w:t>年</w:t>
            </w:r>
            <w:r>
              <w:rPr>
                <w:rFonts w:hint="eastAsia" w:cs="宋体" w:asciiTheme="minorEastAsia" w:hAnsiTheme="minorEastAsia"/>
                <w:bCs/>
                <w:szCs w:val="21"/>
                <w:lang w:val="en-US" w:eastAsia="zh-CN"/>
              </w:rPr>
              <w:t>8</w:t>
            </w:r>
            <w:r>
              <w:rPr>
                <w:rFonts w:hint="eastAsia" w:cs="宋体" w:asciiTheme="minorEastAsia" w:hAnsiTheme="minorEastAsia"/>
                <w:bCs/>
                <w:szCs w:val="21"/>
                <w:lang w:val="zh-CN"/>
              </w:rPr>
              <w:t>月</w:t>
            </w:r>
            <w:r>
              <w:rPr>
                <w:rFonts w:hint="eastAsia" w:cs="宋体" w:asciiTheme="minorEastAsia" w:hAnsiTheme="minorEastAsia"/>
                <w:bCs/>
                <w:szCs w:val="21"/>
                <w:lang w:val="en-US" w:eastAsia="zh-CN"/>
              </w:rPr>
              <w:t>23</w:t>
            </w:r>
            <w:r>
              <w:rPr>
                <w:rFonts w:hint="eastAsia" w:cs="宋体" w:asciiTheme="minorEastAsia" w:hAnsiTheme="minorEastAsia"/>
                <w:bCs/>
                <w:szCs w:val="21"/>
                <w:lang w:val="zh-CN"/>
              </w:rPr>
              <w:t xml:space="preserve">日8：30（北京时间） </w:t>
            </w:r>
          </w:p>
        </w:tc>
      </w:tr>
      <w:tr w14:paraId="4B3D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6ADC3FC">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13</w:t>
            </w:r>
          </w:p>
        </w:tc>
        <w:tc>
          <w:tcPr>
            <w:tcW w:w="2268" w:type="dxa"/>
            <w:vAlign w:val="center"/>
          </w:tcPr>
          <w:p w14:paraId="5965EEEF">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开标地点</w:t>
            </w:r>
          </w:p>
        </w:tc>
        <w:tc>
          <w:tcPr>
            <w:tcW w:w="6813" w:type="dxa"/>
            <w:vAlign w:val="center"/>
          </w:tcPr>
          <w:p w14:paraId="032C3358">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rPr>
              <w:t>开标地点：禹州市公共资源交易中心开标二室（</w:t>
            </w:r>
            <w:r>
              <w:rPr>
                <w:rFonts w:hint="eastAsia" w:cs="Arial" w:asciiTheme="minorEastAsia" w:hAnsiTheme="minorEastAsia"/>
                <w:b/>
                <w:szCs w:val="21"/>
              </w:rPr>
              <w:t>本项目采用远程不见面开标，投标人无须到交易中心现场</w:t>
            </w:r>
            <w:r>
              <w:rPr>
                <w:rFonts w:hint="eastAsia" w:cs="Arial" w:asciiTheme="minorEastAsia" w:hAnsiTheme="minorEastAsia"/>
                <w:szCs w:val="21"/>
              </w:rPr>
              <w:t>）</w:t>
            </w:r>
            <w:r>
              <w:rPr>
                <w:rFonts w:hint="eastAsia" w:cs="仿宋_GB2312" w:asciiTheme="minorEastAsia" w:hAnsiTheme="minorEastAsia"/>
                <w:szCs w:val="21"/>
              </w:rPr>
              <w:t>。</w:t>
            </w:r>
          </w:p>
        </w:tc>
      </w:tr>
      <w:tr w14:paraId="48F1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012D5D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14</w:t>
            </w:r>
          </w:p>
        </w:tc>
        <w:tc>
          <w:tcPr>
            <w:tcW w:w="2268" w:type="dxa"/>
            <w:vAlign w:val="center"/>
          </w:tcPr>
          <w:p w14:paraId="498C1F95">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kern w:val="0"/>
                <w:szCs w:val="21"/>
              </w:rPr>
              <w:t>投标保证金</w:t>
            </w:r>
          </w:p>
        </w:tc>
        <w:tc>
          <w:tcPr>
            <w:tcW w:w="6813" w:type="dxa"/>
            <w:vAlign w:val="center"/>
          </w:tcPr>
          <w:p w14:paraId="6E1A466D">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本项目不收取。</w:t>
            </w:r>
          </w:p>
          <w:p w14:paraId="1F2D2319">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投标人应提供投标承诺函。</w:t>
            </w:r>
          </w:p>
        </w:tc>
      </w:tr>
      <w:tr w14:paraId="45B7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335A2A33">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15</w:t>
            </w:r>
          </w:p>
        </w:tc>
        <w:tc>
          <w:tcPr>
            <w:tcW w:w="2268" w:type="dxa"/>
            <w:vAlign w:val="center"/>
          </w:tcPr>
          <w:p w14:paraId="6FD7A948">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公告发布</w:t>
            </w:r>
          </w:p>
        </w:tc>
        <w:tc>
          <w:tcPr>
            <w:tcW w:w="6813" w:type="dxa"/>
            <w:tcBorders>
              <w:top w:val="single" w:color="auto" w:sz="4" w:space="0"/>
            </w:tcBorders>
            <w:vAlign w:val="center"/>
          </w:tcPr>
          <w:p w14:paraId="6DD55562">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szCs w:val="21"/>
              </w:rPr>
              <w:t>招标公告、中标公告、变更（更正）公告、现场勘察答复等相关信息同时在以下网站发布：《中国政府采购网》《河南省政府采购网》《许昌市政府采购网》、《全国公共资源交易平台（河南省·许昌市）》</w:t>
            </w:r>
          </w:p>
        </w:tc>
      </w:tr>
      <w:tr w14:paraId="50A00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CA95736">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16</w:t>
            </w:r>
          </w:p>
        </w:tc>
        <w:tc>
          <w:tcPr>
            <w:tcW w:w="2268" w:type="dxa"/>
            <w:vAlign w:val="center"/>
          </w:tcPr>
          <w:p w14:paraId="70686B9F">
            <w:pPr>
              <w:autoSpaceDE w:val="0"/>
              <w:autoSpaceDN w:val="0"/>
              <w:adjustRightInd w:val="0"/>
              <w:spacing w:line="360" w:lineRule="auto"/>
              <w:jc w:val="center"/>
              <w:rPr>
                <w:rFonts w:cs="仿宋_GB2312" w:asciiTheme="minorEastAsia" w:hAnsiTheme="minorEastAsia"/>
                <w:szCs w:val="21"/>
              </w:rPr>
            </w:pPr>
            <w:r>
              <w:rPr>
                <w:rFonts w:hint="eastAsia" w:cs="仿宋_GB2312" w:asciiTheme="minorEastAsia" w:hAnsiTheme="minorEastAsia"/>
                <w:szCs w:val="21"/>
              </w:rPr>
              <w:t>采购人澄清或修改</w:t>
            </w:r>
          </w:p>
          <w:p w14:paraId="17BFB01F">
            <w:pPr>
              <w:autoSpaceDE w:val="0"/>
              <w:autoSpaceDN w:val="0"/>
              <w:adjustRightInd w:val="0"/>
              <w:spacing w:line="360" w:lineRule="auto"/>
              <w:jc w:val="center"/>
              <w:rPr>
                <w:rFonts w:cs="黑体" w:asciiTheme="minorEastAsia" w:hAnsiTheme="minorEastAsia"/>
                <w:szCs w:val="21"/>
              </w:rPr>
            </w:pPr>
            <w:r>
              <w:rPr>
                <w:rFonts w:hint="eastAsia" w:cs="仿宋_GB2312" w:asciiTheme="minorEastAsia" w:hAnsiTheme="minorEastAsia"/>
                <w:szCs w:val="21"/>
              </w:rPr>
              <w:t>招标文件时间</w:t>
            </w:r>
          </w:p>
        </w:tc>
        <w:tc>
          <w:tcPr>
            <w:tcW w:w="6813" w:type="dxa"/>
            <w:vAlign w:val="center"/>
          </w:tcPr>
          <w:p w14:paraId="68721EBC">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投标截止时间15日前（</w:t>
            </w:r>
            <w:r>
              <w:rPr>
                <w:rFonts w:hint="eastAsia" w:cs="仿宋_GB2312" w:asciiTheme="minorEastAsia" w:hAnsiTheme="minorEastAsia"/>
                <w:szCs w:val="21"/>
                <w:lang w:val="zh-CN"/>
              </w:rPr>
              <w:t>澄清内容可能影响投标文件编制的）</w:t>
            </w:r>
          </w:p>
        </w:tc>
      </w:tr>
      <w:tr w14:paraId="185F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4C51416">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17</w:t>
            </w:r>
          </w:p>
        </w:tc>
        <w:tc>
          <w:tcPr>
            <w:tcW w:w="2268" w:type="dxa"/>
            <w:vAlign w:val="center"/>
          </w:tcPr>
          <w:p w14:paraId="3675DB7C">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投标人对采购文件</w:t>
            </w:r>
          </w:p>
          <w:p w14:paraId="673497AA">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质疑截止时间</w:t>
            </w:r>
          </w:p>
        </w:tc>
        <w:tc>
          <w:tcPr>
            <w:tcW w:w="6813" w:type="dxa"/>
            <w:vAlign w:val="center"/>
          </w:tcPr>
          <w:p w14:paraId="31655C55">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招标公告期满之日起七个工作日</w:t>
            </w:r>
          </w:p>
        </w:tc>
      </w:tr>
      <w:tr w14:paraId="105A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DCBDC6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18</w:t>
            </w:r>
          </w:p>
        </w:tc>
        <w:tc>
          <w:tcPr>
            <w:tcW w:w="2268" w:type="dxa"/>
            <w:vAlign w:val="center"/>
          </w:tcPr>
          <w:p w14:paraId="25A15460">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投标文件份数</w:t>
            </w:r>
          </w:p>
        </w:tc>
        <w:tc>
          <w:tcPr>
            <w:tcW w:w="6813" w:type="dxa"/>
            <w:vAlign w:val="center"/>
          </w:tcPr>
          <w:p w14:paraId="2797C0A4">
            <w:pPr>
              <w:autoSpaceDE w:val="0"/>
              <w:autoSpaceDN w:val="0"/>
              <w:adjustRightInd w:val="0"/>
              <w:spacing w:line="360" w:lineRule="auto"/>
              <w:rPr>
                <w:rFonts w:cs="宋体" w:asciiTheme="minorEastAsia" w:hAnsiTheme="minorEastAsia"/>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电子投标文件：成功上传至《全国公共资源交易平台（河南省·许昌市）》公共资源交易系统加密电子投标文件1份</w:t>
            </w:r>
            <w:r>
              <w:rPr>
                <w:rFonts w:hint="eastAsia" w:hAnsi="宋体" w:cs="宋体"/>
                <w:szCs w:val="21"/>
                <w:lang w:val="zh-CN"/>
              </w:rPr>
              <w:t>（文件格式为： XXX公司XXX项目编号.file）。</w:t>
            </w:r>
          </w:p>
          <w:p w14:paraId="0D823002">
            <w:pPr>
              <w:autoSpaceDE w:val="0"/>
              <w:autoSpaceDN w:val="0"/>
              <w:adjustRightInd w:val="0"/>
              <w:spacing w:line="360" w:lineRule="auto"/>
              <w:rPr>
                <w:rFonts w:ascii="新宋体" w:hAnsi="新宋体" w:eastAsia="新宋体"/>
                <w:szCs w:val="21"/>
              </w:rPr>
            </w:pPr>
            <w:r>
              <w:rPr>
                <w:rFonts w:hint="eastAsia" w:cs="宋体" w:asciiTheme="minorEastAsia" w:hAnsiTheme="minorEastAsia"/>
                <w:b/>
                <w:bCs/>
                <w:szCs w:val="21"/>
                <w:lang w:val="zh-CN"/>
              </w:rPr>
              <w:t>□</w:t>
            </w:r>
            <w:r>
              <w:rPr>
                <w:rFonts w:hint="eastAsia" w:ascii="新宋体" w:hAnsi="新宋体" w:eastAsia="新宋体"/>
                <w:szCs w:val="21"/>
              </w:rPr>
              <w:t>纸质投标文件：</w:t>
            </w:r>
            <w:r>
              <w:rPr>
                <w:rFonts w:hint="eastAsia" w:cs="仿宋_GB2312" w:asciiTheme="minorEastAsia" w:hAnsiTheme="minorEastAsia"/>
                <w:szCs w:val="21"/>
              </w:rPr>
              <w:t>正本</w:t>
            </w:r>
            <w:r>
              <w:rPr>
                <w:rFonts w:hint="eastAsia" w:cs="仿宋_GB2312" w:asciiTheme="minorEastAsia" w:hAnsiTheme="minorEastAsia"/>
                <w:b/>
                <w:szCs w:val="21"/>
              </w:rPr>
              <w:t>一</w:t>
            </w:r>
            <w:r>
              <w:rPr>
                <w:rFonts w:hint="eastAsia" w:cs="仿宋_GB2312" w:asciiTheme="minorEastAsia" w:hAnsiTheme="minorEastAsia"/>
                <w:szCs w:val="21"/>
              </w:rPr>
              <w:t>份，副本</w:t>
            </w:r>
            <w:r>
              <w:rPr>
                <w:rFonts w:hint="eastAsia" w:cs="仿宋_GB2312" w:asciiTheme="minorEastAsia" w:hAnsiTheme="minorEastAsia"/>
                <w:szCs w:val="21"/>
                <w:u w:val="single"/>
              </w:rPr>
              <w:t xml:space="preserve"> 一 </w:t>
            </w:r>
            <w:r>
              <w:rPr>
                <w:rFonts w:hint="eastAsia" w:cs="仿宋_GB2312" w:asciiTheme="minorEastAsia" w:hAnsiTheme="minorEastAsia"/>
                <w:szCs w:val="21"/>
              </w:rPr>
              <w:t>份。使用</w:t>
            </w:r>
            <w:r>
              <w:rPr>
                <w:rFonts w:hint="eastAsia" w:ascii="新宋体" w:hAnsi="新宋体" w:eastAsia="新宋体"/>
                <w:szCs w:val="21"/>
              </w:rPr>
              <w:t>格式为“投标文件（供打印）.PDF”的文件。</w:t>
            </w:r>
          </w:p>
          <w:p w14:paraId="27950396">
            <w:pPr>
              <w:autoSpaceDE w:val="0"/>
              <w:autoSpaceDN w:val="0"/>
              <w:adjustRightInd w:val="0"/>
              <w:spacing w:line="360" w:lineRule="auto"/>
              <w:rPr>
                <w:rFonts w:cs="宋体" w:asciiTheme="minorEastAsia" w:hAnsiTheme="minorEastAsia"/>
                <w:bCs/>
                <w:szCs w:val="21"/>
                <w:highlight w:val="lightGray"/>
                <w:lang w:val="zh-CN"/>
              </w:rPr>
            </w:pPr>
            <w:r>
              <w:rPr>
                <w:rFonts w:hint="eastAsia" w:ascii="新宋体" w:hAnsi="新宋体" w:eastAsia="新宋体"/>
                <w:szCs w:val="21"/>
              </w:rPr>
              <w:t>电子投标文件和纸质投标文件的内容、格式、水印码、签章应一致。</w:t>
            </w:r>
          </w:p>
        </w:tc>
      </w:tr>
      <w:tr w14:paraId="0A0E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B57D66C">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19</w:t>
            </w:r>
          </w:p>
        </w:tc>
        <w:tc>
          <w:tcPr>
            <w:tcW w:w="2268" w:type="dxa"/>
            <w:vAlign w:val="center"/>
          </w:tcPr>
          <w:p w14:paraId="45D9461F">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投标文件的</w:t>
            </w:r>
          </w:p>
          <w:p w14:paraId="25F75DB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签署盖章</w:t>
            </w:r>
          </w:p>
        </w:tc>
        <w:tc>
          <w:tcPr>
            <w:tcW w:w="6813" w:type="dxa"/>
            <w:vAlign w:val="center"/>
          </w:tcPr>
          <w:p w14:paraId="26515188">
            <w:pPr>
              <w:autoSpaceDE w:val="0"/>
              <w:autoSpaceDN w:val="0"/>
              <w:adjustRightInd w:val="0"/>
              <w:spacing w:line="420" w:lineRule="exact"/>
              <w:rPr>
                <w:rFonts w:ascii="新宋体" w:hAnsi="新宋体" w:eastAsia="新宋体"/>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电子投标文件：按招标文件要求加盖投标人电子印章和法人电子印章。</w:t>
            </w:r>
          </w:p>
          <w:p w14:paraId="3C0B18D6">
            <w:pPr>
              <w:autoSpaceDE w:val="0"/>
              <w:autoSpaceDN w:val="0"/>
              <w:adjustRightInd w:val="0"/>
              <w:spacing w:line="420" w:lineRule="exact"/>
              <w:rPr>
                <w:rFonts w:cs="仿宋_GB2312" w:asciiTheme="minorEastAsia" w:hAnsiTheme="minorEastAsia"/>
                <w:szCs w:val="21"/>
                <w:highlight w:val="lightGray"/>
              </w:rPr>
            </w:pPr>
            <w:r>
              <w:rPr>
                <w:rFonts w:hint="eastAsia" w:cs="宋体" w:asciiTheme="minorEastAsia" w:hAnsiTheme="minorEastAsia"/>
                <w:b/>
                <w:bCs/>
                <w:szCs w:val="21"/>
                <w:lang w:val="zh-CN"/>
              </w:rPr>
              <w:t>□</w:t>
            </w:r>
            <w:r>
              <w:rPr>
                <w:rFonts w:hint="eastAsia" w:ascii="新宋体" w:hAnsi="新宋体" w:eastAsia="新宋体"/>
                <w:szCs w:val="21"/>
              </w:rPr>
              <w:t>纸质投标文件：投标文件封面加盖投标人公章（投标文件是指投标人电子投标文件制作完成后生成的后缀名为</w:t>
            </w:r>
            <w:r>
              <w:rPr>
                <w:rFonts w:hint="eastAsia" w:hAnsi="宋体"/>
                <w:szCs w:val="21"/>
              </w:rPr>
              <w:t>“.PDF”的文件</w:t>
            </w:r>
            <w:r>
              <w:rPr>
                <w:rFonts w:hint="eastAsia" w:ascii="新宋体" w:hAnsi="新宋体" w:eastAsia="新宋体"/>
                <w:szCs w:val="21"/>
              </w:rPr>
              <w:t>打印的纸质投标文件）。</w:t>
            </w:r>
          </w:p>
        </w:tc>
      </w:tr>
      <w:tr w14:paraId="4E44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B8302FD">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20</w:t>
            </w:r>
          </w:p>
        </w:tc>
        <w:tc>
          <w:tcPr>
            <w:tcW w:w="2268" w:type="dxa"/>
            <w:vAlign w:val="center"/>
          </w:tcPr>
          <w:p w14:paraId="66CE1948">
            <w:pPr>
              <w:autoSpaceDE w:val="0"/>
              <w:autoSpaceDN w:val="0"/>
              <w:adjustRightInd w:val="0"/>
              <w:spacing w:line="360" w:lineRule="auto"/>
              <w:jc w:val="center"/>
              <w:rPr>
                <w:rFonts w:cs="仿宋_GB2312" w:asciiTheme="minorEastAsia" w:hAnsiTheme="minorEastAsia"/>
                <w:szCs w:val="21"/>
              </w:rPr>
            </w:pPr>
            <w:r>
              <w:rPr>
                <w:rFonts w:hint="eastAsia" w:cs="黑体" w:asciiTheme="minorEastAsia" w:hAnsiTheme="minorEastAsia"/>
                <w:szCs w:val="21"/>
              </w:rPr>
              <w:t>评标委员会组建</w:t>
            </w:r>
          </w:p>
        </w:tc>
        <w:tc>
          <w:tcPr>
            <w:tcW w:w="6813" w:type="dxa"/>
            <w:vAlign w:val="center"/>
          </w:tcPr>
          <w:p w14:paraId="3B756790">
            <w:pPr>
              <w:autoSpaceDE w:val="0"/>
              <w:autoSpaceDN w:val="0"/>
              <w:adjustRightInd w:val="0"/>
              <w:spacing w:line="360" w:lineRule="auto"/>
              <w:rPr>
                <w:rFonts w:cs="仿宋_GB2312" w:asciiTheme="minorEastAsia" w:hAnsiTheme="minorEastAsia"/>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cs="仿宋_GB2312" w:asciiTheme="minorEastAsia" w:hAnsiTheme="minorEastAsia"/>
                <w:szCs w:val="21"/>
                <w:lang w:val="zh-CN"/>
              </w:rPr>
              <w:t>由采购人代表和评审专家组成，其中评审专家的人数不少于评标委员会成员总数的三分之二。评审专家从政府采购评审专家库中随机抽取。</w:t>
            </w:r>
          </w:p>
          <w:p w14:paraId="7FB727FB">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□由评审专家组成。评审专家从政府采购评审专家库中随机抽取。</w:t>
            </w:r>
          </w:p>
        </w:tc>
      </w:tr>
      <w:tr w14:paraId="1C72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97796F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21</w:t>
            </w:r>
          </w:p>
        </w:tc>
        <w:tc>
          <w:tcPr>
            <w:tcW w:w="2268" w:type="dxa"/>
            <w:vAlign w:val="center"/>
          </w:tcPr>
          <w:p w14:paraId="2B8223C5">
            <w:pPr>
              <w:autoSpaceDE w:val="0"/>
              <w:autoSpaceDN w:val="0"/>
              <w:adjustRightInd w:val="0"/>
              <w:spacing w:line="360" w:lineRule="auto"/>
              <w:jc w:val="center"/>
              <w:rPr>
                <w:rFonts w:cs="宋体" w:asciiTheme="minorEastAsia" w:hAnsiTheme="minorEastAsia"/>
                <w:bCs/>
                <w:szCs w:val="21"/>
                <w:lang w:val="zh-CN"/>
              </w:rPr>
            </w:pPr>
            <w:r>
              <w:rPr>
                <w:rFonts w:hint="eastAsia" w:cs="仿宋_GB2312" w:asciiTheme="minorEastAsia" w:hAnsiTheme="minorEastAsia"/>
                <w:szCs w:val="21"/>
              </w:rPr>
              <w:t>评标方法</w:t>
            </w:r>
          </w:p>
        </w:tc>
        <w:tc>
          <w:tcPr>
            <w:tcW w:w="6813" w:type="dxa"/>
            <w:vAlign w:val="center"/>
          </w:tcPr>
          <w:p w14:paraId="03CA3D10">
            <w:pPr>
              <w:autoSpaceDE w:val="0"/>
              <w:autoSpaceDN w:val="0"/>
              <w:adjustRightInd w:val="0"/>
              <w:spacing w:line="360" w:lineRule="auto"/>
              <w:rPr>
                <w:rFonts w:cs="宋体" w:asciiTheme="minorEastAsia" w:hAnsiTheme="minorEastAsia"/>
                <w:bCs/>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综合评分法</w:t>
            </w:r>
            <w:r>
              <w:rPr>
                <w:rFonts w:hint="eastAsia" w:cs="宋体" w:asciiTheme="minorEastAsia" w:hAnsiTheme="minorEastAsia"/>
                <w:b/>
                <w:bCs/>
                <w:szCs w:val="21"/>
                <w:lang w:val="zh-CN"/>
              </w:rPr>
              <w:t>□</w:t>
            </w:r>
            <w:r>
              <w:rPr>
                <w:rFonts w:hint="eastAsia" w:cs="仿宋_GB2312" w:asciiTheme="minorEastAsia" w:hAnsiTheme="minorEastAsia"/>
                <w:szCs w:val="21"/>
                <w:lang w:val="zh-CN"/>
              </w:rPr>
              <w:t>最低评标价法</w:t>
            </w:r>
          </w:p>
        </w:tc>
      </w:tr>
      <w:tr w14:paraId="2320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F33B08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22</w:t>
            </w:r>
          </w:p>
        </w:tc>
        <w:tc>
          <w:tcPr>
            <w:tcW w:w="2268" w:type="dxa"/>
            <w:vAlign w:val="center"/>
          </w:tcPr>
          <w:p w14:paraId="068CD205">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中小企业有关政策</w:t>
            </w:r>
          </w:p>
        </w:tc>
        <w:tc>
          <w:tcPr>
            <w:tcW w:w="6813" w:type="dxa"/>
            <w:vAlign w:val="center"/>
          </w:tcPr>
          <w:p w14:paraId="24179B35">
            <w:pPr>
              <w:autoSpaceDE w:val="0"/>
              <w:autoSpaceDN w:val="0"/>
              <w:adjustRightInd w:val="0"/>
              <w:spacing w:line="360" w:lineRule="auto"/>
              <w:contextualSpacing/>
              <w:rPr>
                <w:rFonts w:ascii="ˎ̥" w:hAnsi="ˎ̥"/>
              </w:rPr>
            </w:pPr>
            <w:r>
              <w:rPr>
                <w:rFonts w:hint="eastAsia" w:ascii="ˎ̥" w:hAnsi="ˎ̥"/>
              </w:rPr>
              <w:t>1、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rPr>
              <w:t>否则不得享受相关中小企业扶持政策。</w:t>
            </w:r>
          </w:p>
          <w:p w14:paraId="000725EC">
            <w:pPr>
              <w:autoSpaceDE w:val="0"/>
              <w:autoSpaceDN w:val="0"/>
              <w:adjustRightInd w:val="0"/>
              <w:spacing w:line="360" w:lineRule="auto"/>
              <w:contextualSpacing/>
              <w:rPr>
                <w:rFonts w:ascii="ˎ̥" w:hAnsi="ˎ̥"/>
              </w:rPr>
            </w:pPr>
            <w:r>
              <w:rPr>
                <w:rFonts w:hint="eastAsia" w:ascii="ˎ̥" w:hAnsi="ˎ̥"/>
              </w:rPr>
              <w:t>2、提供由省级以上监狱管理局、戒毒管理局（含新疆生产建设兵团）出具的属于监狱企业证明文件的，视同为小型和微型企业。</w:t>
            </w:r>
          </w:p>
          <w:p w14:paraId="4138475F">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rPr>
              <w:t>3、符合享受政府采购支持政策的残疾人福利性单位条件且提供《残疾人福利性单位声明函》的，视同为小型和微型企业。</w:t>
            </w:r>
          </w:p>
        </w:tc>
      </w:tr>
      <w:tr w14:paraId="6775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3DDA5F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23</w:t>
            </w:r>
          </w:p>
        </w:tc>
        <w:tc>
          <w:tcPr>
            <w:tcW w:w="2268" w:type="dxa"/>
            <w:vAlign w:val="center"/>
          </w:tcPr>
          <w:p w14:paraId="3B1D5E73">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节能环保要求</w:t>
            </w:r>
          </w:p>
        </w:tc>
        <w:tc>
          <w:tcPr>
            <w:tcW w:w="6813" w:type="dxa"/>
            <w:vAlign w:val="center"/>
          </w:tcPr>
          <w:p w14:paraId="0B566C13">
            <w:pPr>
              <w:autoSpaceDE w:val="0"/>
              <w:adjustRightInd w:val="0"/>
              <w:snapToGrid w:val="0"/>
              <w:spacing w:line="560" w:lineRule="exact"/>
              <w:rPr>
                <w:rFonts w:hint="default" w:cs="宋体" w:asciiTheme="minorEastAsia" w:hAnsiTheme="minorEastAsia"/>
                <w:bCs/>
                <w:szCs w:val="21"/>
                <w:lang w:val="en-US" w:eastAsia="zh-CN"/>
              </w:rPr>
            </w:pPr>
            <w:r>
              <w:rPr>
                <w:rFonts w:hint="eastAsia" w:cs="宋体" w:asciiTheme="minorEastAsia" w:hAnsiTheme="minorEastAsia"/>
                <w:bCs/>
                <w:szCs w:val="21"/>
                <w:lang w:val="zh-CN"/>
              </w:rPr>
              <w:t>本项目强制节能产品：智慧教学一体机</w:t>
            </w:r>
          </w:p>
          <w:p w14:paraId="71EE2EEB">
            <w:pPr>
              <w:autoSpaceDE w:val="0"/>
              <w:autoSpaceDN w:val="0"/>
              <w:adjustRightInd w:val="0"/>
              <w:spacing w:line="360" w:lineRule="auto"/>
              <w:rPr>
                <w:rFonts w:ascii="ˎ̥" w:hAnsi="ˎ̥"/>
              </w:rPr>
            </w:pPr>
            <w:r>
              <w:rPr>
                <w:rFonts w:hint="eastAsia" w:cs="宋体" w:asciiTheme="minorEastAsia" w:hAnsiTheme="minorEastAsia"/>
                <w:bCs/>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1AC7D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541AF3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24</w:t>
            </w:r>
          </w:p>
        </w:tc>
        <w:tc>
          <w:tcPr>
            <w:tcW w:w="2268" w:type="dxa"/>
            <w:vAlign w:val="center"/>
          </w:tcPr>
          <w:p w14:paraId="05C01057">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网络关键设备、网络安全专用产品要求</w:t>
            </w:r>
          </w:p>
        </w:tc>
        <w:tc>
          <w:tcPr>
            <w:tcW w:w="6813" w:type="dxa"/>
            <w:vAlign w:val="center"/>
          </w:tcPr>
          <w:p w14:paraId="74D21D05">
            <w:pPr>
              <w:autoSpaceDE w:val="0"/>
              <w:autoSpaceDN w:val="0"/>
              <w:adjustRightInd w:val="0"/>
              <w:spacing w:line="360" w:lineRule="auto"/>
              <w:rPr>
                <w:rFonts w:hint="eastAsia" w:cs="宋体" w:asciiTheme="minorEastAsia" w:hAnsiTheme="minorEastAsia"/>
                <w:bCs/>
                <w:szCs w:val="21"/>
                <w:lang w:val="en-US" w:eastAsia="zh-CN"/>
              </w:rPr>
            </w:pPr>
            <w:r>
              <w:rPr>
                <w:rFonts w:hint="eastAsia" w:cs="宋体" w:asciiTheme="minorEastAsia" w:hAnsiTheme="minorEastAsia"/>
                <w:bCs/>
                <w:szCs w:val="21"/>
                <w:lang w:val="en-US" w:eastAsia="zh-CN"/>
              </w:rPr>
              <w:t>1、</w:t>
            </w:r>
            <w:r>
              <w:rPr>
                <w:rFonts w:hint="eastAsia" w:cs="宋体" w:asciiTheme="minorEastAsia" w:hAnsiTheme="minorEastAsia"/>
                <w:bCs/>
                <w:szCs w:val="21"/>
                <w:lang w:val="zh-CN"/>
              </w:rPr>
              <w:t>本项目网络关键设备：</w:t>
            </w:r>
            <w:r>
              <w:rPr>
                <w:rFonts w:hint="eastAsia" w:cs="宋体" w:asciiTheme="minorEastAsia" w:hAnsiTheme="minorEastAsia"/>
                <w:bCs/>
                <w:szCs w:val="21"/>
                <w:lang w:val="en-US" w:eastAsia="zh-CN"/>
              </w:rPr>
              <w:t>无</w:t>
            </w:r>
            <w:r>
              <w:rPr>
                <w:rFonts w:hint="eastAsia" w:cs="宋体" w:asciiTheme="minorEastAsia" w:hAnsiTheme="minorEastAsia"/>
                <w:bCs/>
                <w:szCs w:val="21"/>
                <w:lang w:val="zh-CN"/>
              </w:rPr>
              <w:t>；网络安全专用产品：</w:t>
            </w:r>
            <w:r>
              <w:rPr>
                <w:rFonts w:hint="eastAsia" w:cs="宋体" w:asciiTheme="minorEastAsia" w:hAnsiTheme="minorEastAsia"/>
                <w:bCs/>
                <w:szCs w:val="21"/>
                <w:lang w:val="en-US" w:eastAsia="zh-CN"/>
              </w:rPr>
              <w:t xml:space="preserve">无 </w:t>
            </w:r>
          </w:p>
          <w:p w14:paraId="08D2C613">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2、本项目中涉及网络关键设备或网络安全专用产品的，执行国家互联网信息办公室、工业和信息化部、公安部和国家认证认可监督管理委员会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296CBF0B">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3、提供资料（下列资料任意一项）</w:t>
            </w:r>
          </w:p>
          <w:p w14:paraId="0EDB1315">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1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①</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网络关键设备和网络安全专用产品安全认证证书；</w:t>
            </w:r>
          </w:p>
          <w:p w14:paraId="7FFC610A">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2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②</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网络关键设备安全检测证书、网络安全专用产品安全检测证书；</w:t>
            </w:r>
          </w:p>
          <w:p w14:paraId="4EA6B35E">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3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③</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计算机信息系统安全专用产品销售许可证；</w:t>
            </w:r>
          </w:p>
          <w:p w14:paraId="0AAEFCEB">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4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④</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中国网信网或工业和信息化部网站或公安部网站或国家认证认可监督管理委员会网站公布的认证、检测结果（提供公布安全认证、安全检测结果页面网址和安全认证、检测结果截图）。</w:t>
            </w:r>
          </w:p>
        </w:tc>
      </w:tr>
      <w:tr w14:paraId="26D3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316FAD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25</w:t>
            </w:r>
          </w:p>
        </w:tc>
        <w:tc>
          <w:tcPr>
            <w:tcW w:w="2268" w:type="dxa"/>
            <w:vAlign w:val="center"/>
          </w:tcPr>
          <w:p w14:paraId="71F7CB00">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履约保证金</w:t>
            </w:r>
          </w:p>
        </w:tc>
        <w:tc>
          <w:tcPr>
            <w:tcW w:w="6813" w:type="dxa"/>
            <w:vAlign w:val="center"/>
          </w:tcPr>
          <w:p w14:paraId="6D33C2CB">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无要求</w:t>
            </w:r>
          </w:p>
        </w:tc>
      </w:tr>
      <w:tr w14:paraId="26C9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806" w:type="dxa"/>
            <w:vAlign w:val="center"/>
          </w:tcPr>
          <w:p w14:paraId="52C9DE7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26</w:t>
            </w:r>
          </w:p>
        </w:tc>
        <w:tc>
          <w:tcPr>
            <w:tcW w:w="2268" w:type="dxa"/>
            <w:vAlign w:val="center"/>
          </w:tcPr>
          <w:p w14:paraId="13B296C6">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代理服务费</w:t>
            </w:r>
          </w:p>
        </w:tc>
        <w:tc>
          <w:tcPr>
            <w:tcW w:w="6813" w:type="dxa"/>
            <w:vAlign w:val="center"/>
          </w:tcPr>
          <w:p w14:paraId="39BC6A1F">
            <w:pPr>
              <w:autoSpaceDE w:val="0"/>
              <w:autoSpaceDN w:val="0"/>
              <w:spacing w:line="360" w:lineRule="auto"/>
              <w:contextualSpacing/>
              <w:rPr>
                <w:rFonts w:cs="宋体" w:asciiTheme="minorEastAsia" w:hAnsiTheme="minorEastAsia"/>
                <w:bCs/>
                <w:szCs w:val="21"/>
                <w:lang w:val="zh-CN"/>
              </w:rPr>
            </w:pPr>
            <w:r>
              <w:rPr>
                <w:rFonts w:hint="eastAsia" w:cs="宋体" w:asciiTheme="minorEastAsia" w:hAnsiTheme="minorEastAsia"/>
                <w:bCs/>
                <w:szCs w:val="21"/>
                <w:lang w:val="zh-CN"/>
              </w:rPr>
              <w:t>不收取</w:t>
            </w:r>
          </w:p>
        </w:tc>
      </w:tr>
      <w:tr w14:paraId="3AA5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7EFE56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27</w:t>
            </w:r>
          </w:p>
        </w:tc>
        <w:tc>
          <w:tcPr>
            <w:tcW w:w="2268" w:type="dxa"/>
            <w:vAlign w:val="center"/>
          </w:tcPr>
          <w:p w14:paraId="65329C33">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授权函</w:t>
            </w:r>
          </w:p>
        </w:tc>
        <w:tc>
          <w:tcPr>
            <w:tcW w:w="6813" w:type="dxa"/>
            <w:vAlign w:val="center"/>
          </w:tcPr>
          <w:p w14:paraId="7EE74188">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采购单位委派代表参加资格审</w:t>
            </w:r>
            <w:r>
              <w:rPr>
                <w:rFonts w:hint="eastAsia" w:ascii="新宋体" w:hAnsi="新宋体" w:eastAsia="新宋体"/>
                <w:szCs w:val="21"/>
              </w:rPr>
              <w:t>查、</w:t>
            </w:r>
            <w:r>
              <w:rPr>
                <w:rFonts w:hint="eastAsia" w:cs="仿宋_GB2312" w:asciiTheme="minorEastAsia" w:hAnsiTheme="minorEastAsia"/>
                <w:szCs w:val="21"/>
                <w:lang w:val="zh-CN"/>
              </w:rPr>
              <w:t>评审委员会的，须向采购代理机构出具授权函。除授权代表外，采购单位委派纪检监察人员对评标过程实施监督的须进入禹州市公共资源交易中心九楼电子监督室，并向采购代理机构出具授权函，且不得超过2人。</w:t>
            </w:r>
          </w:p>
        </w:tc>
      </w:tr>
      <w:tr w14:paraId="19003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E9F567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28</w:t>
            </w:r>
          </w:p>
        </w:tc>
        <w:tc>
          <w:tcPr>
            <w:tcW w:w="2268" w:type="dxa"/>
            <w:vAlign w:val="center"/>
          </w:tcPr>
          <w:p w14:paraId="6F440991">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电子化采购模式</w:t>
            </w:r>
          </w:p>
        </w:tc>
        <w:tc>
          <w:tcPr>
            <w:tcW w:w="6813" w:type="dxa"/>
            <w:vAlign w:val="center"/>
          </w:tcPr>
          <w:p w14:paraId="0A9239B9">
            <w:pPr>
              <w:autoSpaceDE w:val="0"/>
              <w:autoSpaceDN w:val="0"/>
              <w:adjustRightInd w:val="0"/>
              <w:spacing w:line="360" w:lineRule="auto"/>
              <w:contextualSpacing/>
              <w:rPr>
                <w:rFonts w:hAnsi="宋体" w:cs="宋体"/>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是。</w:t>
            </w:r>
            <w:r>
              <w:rPr>
                <w:rFonts w:hint="eastAsia" w:hAnsi="宋体" w:cs="宋体"/>
                <w:szCs w:val="21"/>
                <w:lang w:val="zh-CN"/>
              </w:rPr>
              <w:t>投标人投标时须成功上传、解密电子投标文件。投标人资质、业绩、荣誉及相关人员证明材料等资料原件不再提交（本招标文件第六章另有要求提供原件的除外）。</w:t>
            </w:r>
          </w:p>
          <w:p w14:paraId="15D5973C">
            <w:pPr>
              <w:autoSpaceDE w:val="0"/>
              <w:autoSpaceDN w:val="0"/>
              <w:adjustRightInd w:val="0"/>
              <w:spacing w:line="360" w:lineRule="auto"/>
              <w:contextualSpacing/>
              <w:rPr>
                <w:rFonts w:cs="宋体" w:asciiTheme="minorEastAsia" w:hAnsiTheme="minorEastAsia"/>
                <w:bCs/>
                <w:szCs w:val="21"/>
                <w:lang w:val="zh-CN"/>
              </w:rPr>
            </w:pPr>
            <w:r>
              <w:rPr>
                <w:rFonts w:hint="eastAsia" w:hAnsi="宋体" w:cs="宋体"/>
                <w:szCs w:val="21"/>
                <w:lang w:val="zh-CN"/>
              </w:rPr>
              <w:t>□否。投标人投标时须提供纸质投标文件。投标人资质、业绩、荣誉及相关人员证明材料等资料原件根据招标文件要求提供。</w:t>
            </w:r>
          </w:p>
        </w:tc>
      </w:tr>
      <w:tr w14:paraId="36BA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64D4243">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29</w:t>
            </w:r>
          </w:p>
        </w:tc>
        <w:tc>
          <w:tcPr>
            <w:tcW w:w="2268" w:type="dxa"/>
            <w:vAlign w:val="center"/>
          </w:tcPr>
          <w:p w14:paraId="20B4179D">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特别提示</w:t>
            </w:r>
          </w:p>
        </w:tc>
        <w:tc>
          <w:tcPr>
            <w:tcW w:w="6813" w:type="dxa"/>
            <w:vAlign w:val="center"/>
          </w:tcPr>
          <w:p w14:paraId="757CF780">
            <w:pPr>
              <w:autoSpaceDE w:val="0"/>
              <w:autoSpaceDN w:val="0"/>
              <w:adjustRightInd w:val="0"/>
              <w:spacing w:line="360" w:lineRule="auto"/>
              <w:contextualSpacing/>
              <w:rPr>
                <w:rFonts w:ascii="ˎ̥" w:hAnsi="ˎ̥"/>
              </w:rPr>
            </w:pPr>
            <w:r>
              <w:rPr>
                <w:rFonts w:hint="eastAsia" w:ascii="ˎ̥" w:hAnsi="ˎ̥"/>
              </w:rPr>
              <w:t>按照《关于推进全流程电子化交易和在线监管工作有关问题的通知》（许公管办[2019]3号）规定：</w:t>
            </w:r>
          </w:p>
          <w:p w14:paraId="03AF2EF0">
            <w:pPr>
              <w:autoSpaceDE w:val="0"/>
              <w:autoSpaceDN w:val="0"/>
              <w:adjustRightInd w:val="0"/>
              <w:spacing w:line="360" w:lineRule="auto"/>
              <w:contextualSpacing/>
              <w:rPr>
                <w:rFonts w:ascii="ˎ̥" w:hAnsi="ˎ̥"/>
              </w:rPr>
            </w:pPr>
            <w:r>
              <w:rPr>
                <w:rFonts w:hint="eastAsia" w:ascii="ˎ̥" w:hAnsi="ˎ̥"/>
              </w:rPr>
              <w:t>不同供应商电子投标文件制作硬件特征码（网卡MAC地址、CPU序号、硬盘序列号）均一致时，视为‘</w:t>
            </w:r>
            <w:r>
              <w:rPr>
                <w:rFonts w:ascii="ˎ̥" w:hAnsi="ˎ̥"/>
              </w:rPr>
              <w:t>不同</w:t>
            </w:r>
            <w:r>
              <w:rPr>
                <w:rFonts w:hint="eastAsia" w:ascii="ˎ̥" w:hAnsi="ˎ̥"/>
              </w:rPr>
              <w:t>投标人的投标</w:t>
            </w:r>
            <w:r>
              <w:rPr>
                <w:rFonts w:ascii="ˎ̥" w:hAnsi="ˎ̥"/>
              </w:rPr>
              <w:t>文件由同一单位或者个人编制</w:t>
            </w:r>
            <w:r>
              <w:rPr>
                <w:rFonts w:hint="eastAsia" w:ascii="ˎ̥" w:hAnsi="ˎ̥"/>
              </w:rPr>
              <w:t>’或‘</w:t>
            </w:r>
            <w:r>
              <w:rPr>
                <w:rFonts w:ascii="ˎ̥" w:hAnsi="ˎ̥"/>
              </w:rPr>
              <w:t>不同</w:t>
            </w:r>
            <w:r>
              <w:rPr>
                <w:rFonts w:hint="eastAsia" w:ascii="ˎ̥" w:hAnsi="ˎ̥"/>
              </w:rPr>
              <w:t>投标人</w:t>
            </w:r>
            <w:r>
              <w:rPr>
                <w:rFonts w:ascii="ˎ̥" w:hAnsi="ˎ̥"/>
              </w:rPr>
              <w:t>委托同一单位或者个人办理</w:t>
            </w:r>
            <w:r>
              <w:rPr>
                <w:rFonts w:hint="eastAsia" w:ascii="ˎ̥" w:hAnsi="ˎ̥"/>
              </w:rPr>
              <w:t>响应</w:t>
            </w:r>
            <w:r>
              <w:rPr>
                <w:rFonts w:ascii="ˎ̥" w:hAnsi="ˎ̥"/>
              </w:rPr>
              <w:t>事宜</w:t>
            </w:r>
            <w:r>
              <w:rPr>
                <w:rFonts w:hint="eastAsia" w:ascii="ˎ̥" w:hAnsi="ˎ̥"/>
              </w:rPr>
              <w:t>’，其投标无效。</w:t>
            </w:r>
          </w:p>
          <w:p w14:paraId="41BEACAE">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rPr>
              <w:t>评审专家应严格按照要求查看“硬件特征码”相关信息并进行评审，在评审报告中显示“不同投标人电子投标文件制作硬件特征码”是否雷同的分析及判定结果。</w:t>
            </w:r>
          </w:p>
        </w:tc>
      </w:tr>
      <w:tr w14:paraId="56A7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E8D73AE">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color w:val="FF0000"/>
                <w:szCs w:val="21"/>
              </w:rPr>
              <w:t>30</w:t>
            </w:r>
          </w:p>
        </w:tc>
        <w:tc>
          <w:tcPr>
            <w:tcW w:w="2268" w:type="dxa"/>
            <w:vAlign w:val="center"/>
          </w:tcPr>
          <w:p w14:paraId="3B3C3F45">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color w:val="FF0000"/>
                <w:szCs w:val="21"/>
              </w:rPr>
              <w:t>投标人资格核验</w:t>
            </w:r>
          </w:p>
        </w:tc>
        <w:tc>
          <w:tcPr>
            <w:tcW w:w="6813" w:type="dxa"/>
            <w:vAlign w:val="center"/>
          </w:tcPr>
          <w:p w14:paraId="74CB2E5E">
            <w:pPr>
              <w:autoSpaceDE w:val="0"/>
              <w:autoSpaceDN w:val="0"/>
              <w:adjustRightInd w:val="0"/>
              <w:spacing w:line="360" w:lineRule="auto"/>
              <w:ind w:right="-11"/>
              <w:rPr>
                <w:rFonts w:ascii="ˎ̥" w:hAnsi="ˎ̥"/>
                <w:color w:val="FF0000"/>
              </w:rPr>
            </w:pPr>
            <w:r>
              <w:rPr>
                <w:rFonts w:hint="eastAsia" w:ascii="ˎ̥" w:hAnsi="ˎ̥"/>
                <w:color w:val="FF0000"/>
              </w:rPr>
              <w:t>供应商在中标后，应将由《禹州市政府采购供应商信用承诺函》替代的证明材料提交采购人核验，经核验无误后，禹州市政府采购中心发出中标通知书。</w:t>
            </w:r>
          </w:p>
          <w:p w14:paraId="3AAA7620">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w:t>
            </w:r>
            <w:r>
              <w:rPr>
                <w:rFonts w:cs="宋体" w:asciiTheme="minorEastAsia" w:hAnsiTheme="minorEastAsia"/>
                <w:b/>
                <w:bCs/>
                <w:szCs w:val="21"/>
                <w:lang w:val="zh-CN"/>
              </w:rPr>
              <w:t>法人或者其他组织的营业执照等证明文件，自然人的身份证明</w:t>
            </w:r>
          </w:p>
          <w:p w14:paraId="3F7A8A5F">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1、企业法人营业执照或营业执照。（企业投标提供）</w:t>
            </w:r>
          </w:p>
          <w:p w14:paraId="61D51918">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2、事业单位法人证书。（事业单位投标提供）</w:t>
            </w:r>
          </w:p>
          <w:p w14:paraId="41A001F8">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3、执业许可证。（非企业专业服务机构投标提供）</w:t>
            </w:r>
          </w:p>
          <w:p w14:paraId="4E2B6559">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4、个体工商户营业执照。（个体工商户投标提供）</w:t>
            </w:r>
          </w:p>
          <w:p w14:paraId="45190645">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5、自然人身份证明。（自然人投标提供）</w:t>
            </w:r>
          </w:p>
          <w:p w14:paraId="2DF8AC0B">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6、民办非企业单位登记证书。（民办非企业单位投标提供）</w:t>
            </w:r>
          </w:p>
          <w:p w14:paraId="40254CE4">
            <w:pPr>
              <w:autoSpaceDE w:val="0"/>
              <w:autoSpaceDN w:val="0"/>
              <w:adjustRightInd w:val="0"/>
              <w:spacing w:line="360" w:lineRule="auto"/>
              <w:jc w:val="left"/>
              <w:rPr>
                <w:rFonts w:cs="仿宋_GB2312" w:asciiTheme="minorEastAsia" w:hAnsiTheme="minorEastAsia"/>
                <w:b/>
                <w:szCs w:val="21"/>
              </w:rPr>
            </w:pPr>
            <w:r>
              <w:rPr>
                <w:rFonts w:hint="eastAsia" w:cs="仿宋_GB2312" w:asciiTheme="minorEastAsia" w:hAnsiTheme="minorEastAsia"/>
                <w:b/>
                <w:szCs w:val="21"/>
              </w:rPr>
              <w:t>二、财务状况报告相关材料</w:t>
            </w:r>
          </w:p>
          <w:p w14:paraId="5DCC649A">
            <w:pPr>
              <w:spacing w:line="360" w:lineRule="auto"/>
              <w:rPr>
                <w:rFonts w:asciiTheme="minorEastAsia" w:hAnsiTheme="minorEastAsia"/>
                <w:bCs/>
                <w:szCs w:val="21"/>
              </w:rPr>
            </w:pPr>
            <w:r>
              <w:rPr>
                <w:rFonts w:hint="eastAsia" w:asciiTheme="minorEastAsia" w:hAnsiTheme="minorEastAsia"/>
                <w:bCs/>
                <w:szCs w:val="21"/>
              </w:rPr>
              <w:t>1、投标人是法人（法人包括企业法人、机关法人、事业单位法人和社会团体法人），提供本单位：</w:t>
            </w:r>
          </w:p>
          <w:p w14:paraId="48531760">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
                <w:bCs/>
                <w:szCs w:val="21"/>
              </w:rPr>
              <w:t>2023年度经审计的财务报告</w:t>
            </w:r>
            <w:r>
              <w:rPr>
                <w:rFonts w:hint="eastAsia" w:asciiTheme="minorEastAsia" w:hAnsiTheme="minorEastAsia"/>
                <w:bCs/>
                <w:szCs w:val="21"/>
              </w:rPr>
              <w:t>，包括资产负债表、利润表、现金流量表、所有者权益变动表及其附注；</w:t>
            </w:r>
          </w:p>
          <w:p w14:paraId="0164E0F2">
            <w:pPr>
              <w:spacing w:line="360" w:lineRule="auto"/>
              <w:rPr>
                <w:rFonts w:asciiTheme="minorEastAsia" w:hAnsiTheme="minorEastAsia"/>
                <w:bCs/>
                <w:szCs w:val="21"/>
              </w:rPr>
            </w:pPr>
            <w:r>
              <w:rPr>
                <w:rFonts w:hint="eastAsia" w:asciiTheme="minorEastAsia" w:hAnsiTheme="minorEastAsia"/>
                <w:bCs/>
                <w:szCs w:val="21"/>
              </w:rPr>
              <w:t>②基本开户银行出具的资信证明；</w:t>
            </w:r>
          </w:p>
          <w:p w14:paraId="17551E8F">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12570AB4">
            <w:pPr>
              <w:spacing w:line="360" w:lineRule="auto"/>
              <w:rPr>
                <w:rFonts w:asciiTheme="minorEastAsia" w:hAnsiTheme="minorEastAsia"/>
                <w:bCs/>
                <w:szCs w:val="21"/>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114B0035">
            <w:pPr>
              <w:spacing w:line="360" w:lineRule="auto"/>
              <w:rPr>
                <w:rFonts w:asciiTheme="minorEastAsia" w:hAnsiTheme="minorEastAsia"/>
                <w:bCs/>
                <w:szCs w:val="21"/>
              </w:rPr>
            </w:pPr>
            <w:r>
              <w:rPr>
                <w:rFonts w:hint="eastAsia" w:asciiTheme="minorEastAsia" w:hAnsiTheme="minorEastAsia"/>
                <w:bCs/>
                <w:szCs w:val="21"/>
              </w:rPr>
              <w:t>2、投标人（其他组织和自然人）提供本单位：</w:t>
            </w:r>
          </w:p>
          <w:p w14:paraId="653B5F29">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
                <w:bCs/>
                <w:szCs w:val="21"/>
              </w:rPr>
              <w:t>2023年度经审计的财务报告</w:t>
            </w:r>
            <w:r>
              <w:rPr>
                <w:rFonts w:hint="eastAsia" w:asciiTheme="minorEastAsia" w:hAnsiTheme="minorEastAsia"/>
                <w:bCs/>
                <w:szCs w:val="21"/>
              </w:rPr>
              <w:t>，包括资产负债表、利润表、现金流量表、所有者权益变动表及其附注；</w:t>
            </w:r>
          </w:p>
          <w:p w14:paraId="60A898B7">
            <w:pPr>
              <w:spacing w:line="360" w:lineRule="auto"/>
              <w:rPr>
                <w:rFonts w:asciiTheme="minorEastAsia" w:hAnsiTheme="minorEastAsia"/>
                <w:bCs/>
                <w:szCs w:val="21"/>
              </w:rPr>
            </w:pPr>
            <w:r>
              <w:rPr>
                <w:rFonts w:hint="eastAsia" w:asciiTheme="minorEastAsia" w:hAnsiTheme="minorEastAsia"/>
                <w:bCs/>
                <w:szCs w:val="21"/>
              </w:rPr>
              <w:t>②银行出具的资信证明；</w:t>
            </w:r>
          </w:p>
          <w:p w14:paraId="3F12C33A">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7B40CB2F">
            <w:pPr>
              <w:autoSpaceDE w:val="0"/>
              <w:autoSpaceDN w:val="0"/>
              <w:adjustRightInd w:val="0"/>
              <w:spacing w:line="360" w:lineRule="auto"/>
              <w:ind w:right="-11"/>
              <w:rPr>
                <w:rFonts w:cs="宋体" w:asciiTheme="minorEastAsia" w:hAnsiTheme="minorEastAsia"/>
                <w:bCs/>
                <w:szCs w:val="21"/>
                <w:lang w:val="zh-CN"/>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1999FFC1">
            <w:pPr>
              <w:autoSpaceDE w:val="0"/>
              <w:autoSpaceDN w:val="0"/>
              <w:adjustRightInd w:val="0"/>
              <w:spacing w:line="360" w:lineRule="auto"/>
              <w:ind w:right="-11"/>
              <w:rPr>
                <w:rFonts w:cs="宋体" w:asciiTheme="minorEastAsia" w:hAnsiTheme="minorEastAsia"/>
                <w:bCs/>
                <w:szCs w:val="21"/>
                <w:lang w:val="zh-CN"/>
              </w:rPr>
            </w:pPr>
            <w:r>
              <w:rPr>
                <w:rFonts w:hint="eastAsia" w:cs="仿宋_GB2312" w:asciiTheme="minorEastAsia" w:hAnsiTheme="minorEastAsia"/>
                <w:b/>
                <w:szCs w:val="21"/>
              </w:rPr>
              <w:t>三、依法缴纳税收相关材料</w:t>
            </w:r>
          </w:p>
          <w:p w14:paraId="143E75AE">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参加本次政府采购项目投标截止时间前一年内任意一个月缴纳税收凭据。（依法免税的投标人，应提供相应文件证明依法免税）</w:t>
            </w:r>
          </w:p>
          <w:p w14:paraId="3A1392E9">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四、依法缴纳社会保障资金的证明材料</w:t>
            </w:r>
          </w:p>
          <w:p w14:paraId="3BCA37C1">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参加本次政府采购项目投标截止时间前一年内任意一个月缴纳社会保险凭据。（依法不需要缴纳社会保障资金的投标人，应提供相应文件证明依法不需要缴纳社会保障资金）</w:t>
            </w:r>
          </w:p>
          <w:p w14:paraId="2244CE17">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五、履行合同所必须的设备和专业技术能力的证明材料</w:t>
            </w:r>
          </w:p>
          <w:p w14:paraId="1A787251">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1、相关设备的购置发票、专业技术人员职称证书、用工合同等；</w:t>
            </w:r>
          </w:p>
          <w:p w14:paraId="59D5C34C">
            <w:pPr>
              <w:spacing w:line="360" w:lineRule="auto"/>
              <w:rPr>
                <w:rFonts w:asciiTheme="minorEastAsia" w:hAnsiTheme="minorEastAsia"/>
                <w:bCs/>
                <w:szCs w:val="21"/>
              </w:rPr>
            </w:pPr>
            <w:r>
              <w:rPr>
                <w:rFonts w:hint="eastAsia" w:asciiTheme="minorEastAsia" w:hAnsiTheme="minorEastAsia"/>
                <w:bCs/>
                <w:szCs w:val="21"/>
              </w:rPr>
              <w:t>2、投标人具备履行合同所必须的设备和专业技术能力承诺函或声明（承诺函或声明格式自拟）。</w:t>
            </w:r>
          </w:p>
          <w:p w14:paraId="1F3C7AB2">
            <w:pPr>
              <w:autoSpaceDE w:val="0"/>
              <w:autoSpaceDN w:val="0"/>
              <w:adjustRightInd w:val="0"/>
              <w:spacing w:line="360" w:lineRule="auto"/>
              <w:ind w:right="-11"/>
              <w:rPr>
                <w:rFonts w:ascii="楷体" w:hAnsi="楷体" w:eastAsia="楷体"/>
                <w:sz w:val="24"/>
                <w:szCs w:val="24"/>
              </w:rPr>
            </w:pPr>
            <w:r>
              <w:rPr>
                <w:rFonts w:hint="eastAsia" w:ascii="楷体" w:hAnsi="楷体" w:eastAsia="楷体" w:cs="仿宋_GB2312"/>
                <w:sz w:val="24"/>
                <w:szCs w:val="24"/>
                <w:lang w:val="zh-CN"/>
              </w:rPr>
              <w:t>注：仅需提供序号</w:t>
            </w:r>
            <w:r>
              <w:rPr>
                <w:rFonts w:hint="eastAsia" w:ascii="楷体" w:hAnsi="楷体" w:eastAsia="楷体"/>
                <w:sz w:val="24"/>
                <w:szCs w:val="24"/>
              </w:rPr>
              <w:t>1～2其中之一即可。</w:t>
            </w:r>
          </w:p>
          <w:p w14:paraId="3C1224A8">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kern w:val="0"/>
                <w:szCs w:val="21"/>
              </w:rPr>
              <w:t>六、</w:t>
            </w:r>
            <w:r>
              <w:rPr>
                <w:rFonts w:cs="宋体" w:asciiTheme="minorEastAsia" w:hAnsiTheme="minorEastAsia"/>
                <w:b/>
                <w:bCs/>
                <w:szCs w:val="21"/>
                <w:lang w:val="zh-CN"/>
              </w:rPr>
              <w:t>参加政府采购活动前3年内在经营活动中没有重大违法记录的声明</w:t>
            </w:r>
          </w:p>
          <w:p w14:paraId="155C18CB">
            <w:pPr>
              <w:autoSpaceDE w:val="0"/>
              <w:autoSpaceDN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投标人“</w:t>
            </w:r>
            <w:r>
              <w:rPr>
                <w:rFonts w:cs="宋体" w:asciiTheme="minorEastAsia" w:hAnsiTheme="minorEastAsia"/>
                <w:bCs/>
                <w:szCs w:val="21"/>
                <w:lang w:val="zh-CN"/>
              </w:rPr>
              <w:t>参加政府采购活动前3年内在经营活动中没有重大违法记录的书面声明</w:t>
            </w:r>
            <w:r>
              <w:rPr>
                <w:rFonts w:hint="eastAsia" w:cs="宋体" w:asciiTheme="minorEastAsia" w:hAnsiTheme="minorEastAsia"/>
                <w:bCs/>
                <w:szCs w:val="21"/>
                <w:lang w:val="zh-CN"/>
              </w:rPr>
              <w:t>”。 重大违法记录，是指投标人因违法经营受到刑事处罚或者责令停产停业、吊销许可证或者执照、较大数额罚款等行政处罚。</w:t>
            </w:r>
          </w:p>
          <w:p w14:paraId="2315E64B">
            <w:pPr>
              <w:wordWrap w:val="0"/>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b/>
                <w:bCs/>
                <w:szCs w:val="21"/>
                <w:lang w:val="zh-CN"/>
              </w:rPr>
              <w:t>七、</w:t>
            </w:r>
            <w:r>
              <w:rPr>
                <w:rFonts w:cs="仿宋_GB2312" w:asciiTheme="minorEastAsia" w:hAnsiTheme="minorEastAsia"/>
                <w:b/>
                <w:szCs w:val="21"/>
                <w:shd w:val="clear" w:color="auto" w:fill="FFFFFF"/>
              </w:rPr>
              <w:t>未被列入“信用中国”网站(www.creditchina.gov.cn)失信被执行人、</w:t>
            </w:r>
            <w:r>
              <w:rPr>
                <w:rFonts w:hint="eastAsia" w:cs="仿宋_GB2312" w:asciiTheme="minorEastAsia" w:hAnsiTheme="minorEastAsia"/>
                <w:b/>
                <w:szCs w:val="21"/>
                <w:shd w:val="clear" w:color="auto" w:fill="FFFFFF"/>
              </w:rPr>
              <w:t>税收</w:t>
            </w:r>
            <w:r>
              <w:rPr>
                <w:rFonts w:cs="仿宋_GB2312" w:asciiTheme="minorEastAsia" w:hAnsiTheme="minorEastAsia"/>
                <w:b/>
                <w:szCs w:val="21"/>
                <w:shd w:val="clear" w:color="auto" w:fill="FFFFFF"/>
              </w:rPr>
              <w:t>违法黑名单的投标人；</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中国政府采购网</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 xml:space="preserve"> (www.ccgp.gov.cn)政府采购严重违法失信行为记录名单的投标人</w:t>
            </w:r>
            <w:r>
              <w:rPr>
                <w:rFonts w:hint="eastAsia" w:cs="宋体" w:asciiTheme="minorEastAsia" w:hAnsiTheme="minorEastAsia"/>
                <w:b/>
                <w:bCs/>
                <w:szCs w:val="21"/>
                <w:lang w:val="zh-CN"/>
              </w:rPr>
              <w:t>；</w:t>
            </w:r>
            <w:r>
              <w:rPr>
                <w:rFonts w:hint="eastAsia" w:cs="仿宋_GB2312" w:asciiTheme="minorEastAsia" w:hAnsiTheme="minorEastAsia"/>
                <w:b/>
                <w:szCs w:val="21"/>
                <w:shd w:val="clear" w:color="auto" w:fill="FFFFFF"/>
              </w:rPr>
              <w:t xml:space="preserve"> “中国社会组织政务服务平台”网站（</w:t>
            </w:r>
            <w:r>
              <w:rPr>
                <w:rFonts w:cs="仿宋_GB2312" w:asciiTheme="minorEastAsia" w:hAnsiTheme="minorEastAsia"/>
                <w:b/>
                <w:szCs w:val="21"/>
                <w:shd w:val="clear" w:color="auto" w:fill="FFFFFF"/>
              </w:rPr>
              <w:t>https://chinanpo.mca.gov.cn</w:t>
            </w:r>
            <w:r>
              <w:rPr>
                <w:rFonts w:hint="eastAsia" w:cs="仿宋_GB2312" w:asciiTheme="minorEastAsia" w:hAnsiTheme="minorEastAsia"/>
                <w:b/>
                <w:szCs w:val="21"/>
                <w:shd w:val="clear" w:color="auto" w:fill="FFFFFF"/>
              </w:rPr>
              <w:t>）严重违法失信社会组织（</w:t>
            </w:r>
            <w:r>
              <w:rPr>
                <w:rFonts w:hint="eastAsia" w:cs="宋体" w:asciiTheme="minorEastAsia" w:hAnsiTheme="minorEastAsia"/>
                <w:kern w:val="0"/>
                <w:szCs w:val="21"/>
              </w:rPr>
              <w:t>联合体形式投标的，联合体成员存在不良信用记录，视同联合体存在不良信用记录）。</w:t>
            </w:r>
          </w:p>
          <w:p w14:paraId="3C11CD86">
            <w:pPr>
              <w:spacing w:line="360" w:lineRule="auto"/>
              <w:rPr>
                <w:rFonts w:cs="宋体" w:asciiTheme="minorEastAsia" w:hAnsiTheme="minorEastAsia"/>
                <w:kern w:val="0"/>
                <w:szCs w:val="21"/>
              </w:rPr>
            </w:pPr>
            <w:r>
              <w:rPr>
                <w:rFonts w:hint="eastAsia" w:cs="宋体" w:asciiTheme="minorEastAsia" w:hAnsiTheme="minorEastAsia"/>
                <w:kern w:val="0"/>
                <w:szCs w:val="21"/>
              </w:rPr>
              <w:t>1、查询渠道：</w:t>
            </w:r>
          </w:p>
          <w:p w14:paraId="56E774AE">
            <w:pPr>
              <w:spacing w:line="360" w:lineRule="auto"/>
              <w:rPr>
                <w:rFonts w:cs="宋体" w:asciiTheme="minorEastAsia" w:hAnsiTheme="minorEastAsia"/>
                <w:kern w:val="0"/>
                <w:szCs w:val="21"/>
              </w:rPr>
            </w:pPr>
            <w:r>
              <w:rPr>
                <w:rFonts w:hint="eastAsia" w:cs="宋体" w:asciiTheme="minorEastAsia" w:hAnsiTheme="minorEastAsia"/>
                <w:kern w:val="0"/>
                <w:szCs w:val="21"/>
              </w:rPr>
              <w:t>①“信用中国”网站（</w:t>
            </w:r>
            <w:r>
              <w:fldChar w:fldCharType="begin"/>
            </w:r>
            <w:r>
              <w:instrText xml:space="preserve"> HYPERLINK "http://www.creditchina.gov.cn" </w:instrText>
            </w:r>
            <w:r>
              <w:fldChar w:fldCharType="separate"/>
            </w:r>
            <w:r>
              <w:rPr>
                <w:rFonts w:hint="eastAsia" w:cs="宋体"/>
                <w:kern w:val="0"/>
              </w:rPr>
              <w:t>www.creditchina.gov.cn</w:t>
            </w:r>
            <w:r>
              <w:rPr>
                <w:rFonts w:hint="eastAsia" w:cs="宋体"/>
                <w:kern w:val="0"/>
              </w:rPr>
              <w:fldChar w:fldCharType="end"/>
            </w:r>
            <w:r>
              <w:rPr>
                <w:rFonts w:hint="eastAsia" w:cs="宋体" w:asciiTheme="minorEastAsia" w:hAnsiTheme="minorEastAsia"/>
                <w:kern w:val="0"/>
                <w:szCs w:val="21"/>
              </w:rPr>
              <w:t>）</w:t>
            </w:r>
          </w:p>
          <w:p w14:paraId="38EE9D79">
            <w:pPr>
              <w:spacing w:line="360" w:lineRule="auto"/>
              <w:rPr>
                <w:rFonts w:cs="宋体" w:asciiTheme="minorEastAsia" w:hAnsiTheme="minorEastAsia"/>
                <w:kern w:val="0"/>
                <w:szCs w:val="21"/>
              </w:rPr>
            </w:pPr>
            <w:r>
              <w:rPr>
                <w:rFonts w:hint="eastAsia" w:cs="宋体" w:asciiTheme="minorEastAsia" w:hAnsiTheme="minorEastAsia"/>
                <w:kern w:val="0"/>
                <w:szCs w:val="21"/>
              </w:rPr>
              <w:t>②“中国政府采购网”（www.ccgp.gov.cn）</w:t>
            </w:r>
          </w:p>
          <w:p w14:paraId="1039113B">
            <w:pPr>
              <w:spacing w:line="360" w:lineRule="auto"/>
              <w:rPr>
                <w:rFonts w:cs="宋体" w:asciiTheme="minorEastAsia" w:hAnsiTheme="minorEastAsia"/>
                <w:kern w:val="0"/>
                <w:szCs w:val="21"/>
              </w:rPr>
            </w:pPr>
            <w:r>
              <w:rPr>
                <w:rFonts w:hint="eastAsia" w:cs="宋体" w:asciiTheme="minorEastAsia" w:hAnsiTheme="minorEastAsia"/>
                <w:kern w:val="0"/>
                <w:szCs w:val="21"/>
              </w:rPr>
              <w:t>③“中国社会组织政务服务平台”网站（</w:t>
            </w:r>
            <w:r>
              <w:rPr>
                <w:rFonts w:cs="宋体" w:asciiTheme="minorEastAsia" w:hAnsiTheme="minorEastAsia"/>
                <w:kern w:val="0"/>
                <w:szCs w:val="21"/>
              </w:rPr>
              <w:t>https://chinanpo.mca.gov.cn</w:t>
            </w:r>
            <w:r>
              <w:rPr>
                <w:rFonts w:hint="eastAsia" w:cs="宋体" w:asciiTheme="minorEastAsia" w:hAnsiTheme="minorEastAsia"/>
                <w:kern w:val="0"/>
                <w:szCs w:val="21"/>
              </w:rPr>
              <w:t>）（仅查询社会组织）；</w:t>
            </w:r>
          </w:p>
          <w:p w14:paraId="436AD5BA">
            <w:pPr>
              <w:autoSpaceDE w:val="0"/>
              <w:autoSpaceDN w:val="0"/>
              <w:spacing w:line="360" w:lineRule="auto"/>
              <w:contextualSpacing/>
              <w:rPr>
                <w:rFonts w:cs="宋体" w:asciiTheme="minorEastAsia" w:hAnsiTheme="minorEastAsia"/>
                <w:color w:val="FF0000"/>
                <w:kern w:val="0"/>
                <w:szCs w:val="21"/>
              </w:rPr>
            </w:pPr>
            <w:r>
              <w:rPr>
                <w:rFonts w:hint="eastAsia" w:cs="宋体" w:asciiTheme="minorEastAsia" w:hAnsiTheme="minorEastAsia"/>
                <w:color w:val="FF0000"/>
                <w:kern w:val="0"/>
                <w:szCs w:val="21"/>
              </w:rPr>
              <w:t>2、截止时间：同投标截止时间；</w:t>
            </w:r>
          </w:p>
          <w:p w14:paraId="4444FFA8">
            <w:pPr>
              <w:autoSpaceDE w:val="0"/>
              <w:autoSpaceDN w:val="0"/>
              <w:spacing w:line="360" w:lineRule="auto"/>
              <w:contextualSpacing/>
              <w:rPr>
                <w:rFonts w:cs="宋体" w:asciiTheme="minorEastAsia" w:hAnsiTheme="minorEastAsia"/>
                <w:color w:val="FF0000"/>
                <w:kern w:val="0"/>
                <w:szCs w:val="21"/>
              </w:rPr>
            </w:pPr>
            <w:r>
              <w:rPr>
                <w:rFonts w:hint="eastAsia" w:cs="宋体" w:asciiTheme="minorEastAsia" w:hAnsiTheme="minorEastAsia"/>
                <w:color w:val="FF0000"/>
                <w:kern w:val="0"/>
                <w:szCs w:val="21"/>
              </w:rPr>
              <w:t>3、信用信息的使用原则：经采购人认定的被列入失信被执行人、税收违法黑名单、</w:t>
            </w:r>
            <w:r>
              <w:rPr>
                <w:rFonts w:cs="仿宋_GB2312" w:asciiTheme="minorEastAsia" w:hAnsiTheme="minorEastAsia"/>
                <w:color w:val="FF0000"/>
                <w:szCs w:val="21"/>
                <w:shd w:val="clear" w:color="auto" w:fill="FFFFFF"/>
              </w:rPr>
              <w:t>政府采购严重违法失信行为记录名单</w:t>
            </w:r>
            <w:r>
              <w:rPr>
                <w:rFonts w:hint="eastAsia" w:cs="仿宋_GB2312" w:asciiTheme="minorEastAsia" w:hAnsiTheme="minorEastAsia"/>
                <w:color w:val="FF0000"/>
                <w:szCs w:val="21"/>
                <w:shd w:val="clear" w:color="auto" w:fill="FFFFFF"/>
              </w:rPr>
              <w:t>的投标人、</w:t>
            </w:r>
            <w:r>
              <w:rPr>
                <w:rFonts w:hint="eastAsia" w:cs="宋体" w:asciiTheme="minorEastAsia" w:hAnsiTheme="minorEastAsia"/>
                <w:color w:val="FF0000"/>
                <w:kern w:val="0"/>
                <w:szCs w:val="21"/>
              </w:rPr>
              <w:t>严重违法失信社会组织，将拒绝其参与本次政府采购活动。</w:t>
            </w:r>
          </w:p>
        </w:tc>
      </w:tr>
    </w:tbl>
    <w:p w14:paraId="21574373">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6"/>
          <w:szCs w:val="36"/>
        </w:rPr>
      </w:pPr>
    </w:p>
    <w:p w14:paraId="73ED23C6">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7C188902">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2BF2DCF2">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4FC5B1BD">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投标人须知</w:t>
      </w:r>
    </w:p>
    <w:p w14:paraId="1C91DF6E">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p>
    <w:p w14:paraId="4CED6EDA">
      <w:pPr>
        <w:tabs>
          <w:tab w:val="left" w:pos="1260"/>
        </w:tabs>
        <w:autoSpaceDE w:val="0"/>
        <w:autoSpaceDN w:val="0"/>
        <w:adjustRightInd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一、概念释义</w:t>
      </w:r>
    </w:p>
    <w:p w14:paraId="44131211">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适用范围</w:t>
      </w:r>
    </w:p>
    <w:p w14:paraId="2A577CFD">
      <w:pPr>
        <w:pStyle w:val="48"/>
        <w:numPr>
          <w:ilvl w:val="0"/>
          <w:numId w:val="1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本招标文件仅适用于本次“投标邀请”中所述采购项目。</w:t>
      </w:r>
    </w:p>
    <w:p w14:paraId="6FACE8A9">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本招标文件解释权属于“投标邀请”所述的采购人。</w:t>
      </w:r>
    </w:p>
    <w:p w14:paraId="6DF2E645">
      <w:pPr>
        <w:pStyle w:val="48"/>
        <w:autoSpaceDE w:val="0"/>
        <w:autoSpaceDN w:val="0"/>
        <w:spacing w:line="360" w:lineRule="auto"/>
        <w:ind w:left="780" w:firstLine="0" w:firstLineChars="0"/>
        <w:contextualSpacing/>
        <w:rPr>
          <w:rFonts w:cs="宋体" w:asciiTheme="minorEastAsia" w:hAnsiTheme="minorEastAsia"/>
          <w:kern w:val="0"/>
          <w:szCs w:val="21"/>
        </w:rPr>
      </w:pPr>
    </w:p>
    <w:p w14:paraId="1CE499B3">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定义</w:t>
      </w:r>
    </w:p>
    <w:p w14:paraId="0E9427F0">
      <w:pPr>
        <w:pStyle w:val="48"/>
        <w:numPr>
          <w:ilvl w:val="0"/>
          <w:numId w:val="1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“采购项目”：“投标人须知前附表”中所述的采购项目。</w:t>
      </w:r>
    </w:p>
    <w:p w14:paraId="3CBC8D7A">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“招标人”：“投标人须知前附表”中所述的组织本次招标的代理机构和采购人。</w:t>
      </w:r>
    </w:p>
    <w:p w14:paraId="09433A9E">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“采购人”：是指依法进行政府采购的国家机关、事业单位、团体组织。采购人名称、     地址、电话、联系人见“投标人须知前附表”。</w:t>
      </w:r>
    </w:p>
    <w:p w14:paraId="3B607D5D">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“代理机构”：接受采购人委托，代理采购项目的采购代理机构。代理机构名称、地址、 电话、联系人见“投标人须知前附表”。</w:t>
      </w:r>
    </w:p>
    <w:p w14:paraId="7A695FEB">
      <w:pPr>
        <w:autoSpaceDE w:val="0"/>
        <w:autoSpaceDN w:val="0"/>
        <w:spacing w:line="360" w:lineRule="auto"/>
        <w:ind w:left="991" w:leftChars="450" w:hanging="46" w:hangingChars="22"/>
        <w:contextualSpacing/>
        <w:rPr>
          <w:rFonts w:cs="宋体" w:asciiTheme="minorEastAsia" w:hAnsiTheme="minorEastAsia"/>
          <w:kern w:val="0"/>
          <w:szCs w:val="21"/>
        </w:rPr>
      </w:pPr>
      <w:r>
        <w:rPr>
          <w:rFonts w:hint="eastAsia" w:cs="宋体" w:asciiTheme="minorEastAsia" w:hAnsiTheme="minorEastAsia"/>
          <w:kern w:val="0"/>
          <w:szCs w:val="21"/>
        </w:rPr>
        <w:t>采购代理机构及其分支机构不得在所代理的采购项目中投标或者代理投标，不得为所代理的采购项目的投标人参加本项目提供投标咨询。</w:t>
      </w:r>
    </w:p>
    <w:p w14:paraId="1AF9C8B4">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“潜在投标人”指符合《中华人民共和国政府采购法》及相关法律法规和本招标文件的各项规定，且按照本项目招标公告及招标文件规定的方式获取招标文件的法人、其他组 织或者自然人。</w:t>
      </w:r>
    </w:p>
    <w:p w14:paraId="02CED6B7">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0557C1F8">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进口产品”：是指通过中国海关报关验放进入中国境内且产自关境外的产品，包括已经进入中国境内的进口产品。详见《政府采购进口产品管理办法》(财库[2007]119号)、《关于政府采购进口产品管理有关问题的通知》（财办库［</w:t>
      </w:r>
      <w:r>
        <w:rPr>
          <w:rFonts w:cs="宋体" w:asciiTheme="minorEastAsia" w:hAnsiTheme="minorEastAsia"/>
          <w:kern w:val="0"/>
          <w:szCs w:val="21"/>
        </w:rPr>
        <w:t>2008</w:t>
      </w:r>
      <w:r>
        <w:rPr>
          <w:rFonts w:hint="eastAsia" w:cs="宋体" w:asciiTheme="minorEastAsia" w:hAnsiTheme="minorEastAsia"/>
          <w:kern w:val="0"/>
          <w:szCs w:val="21"/>
        </w:rPr>
        <w:t>］</w:t>
      </w:r>
      <w:r>
        <w:rPr>
          <w:rFonts w:cs="宋体" w:asciiTheme="minorEastAsia" w:hAnsiTheme="minorEastAsia"/>
          <w:kern w:val="0"/>
          <w:szCs w:val="21"/>
        </w:rPr>
        <w:t xml:space="preserve">248 </w:t>
      </w:r>
      <w:r>
        <w:rPr>
          <w:rFonts w:hint="eastAsia" w:cs="宋体" w:asciiTheme="minorEastAsia" w:hAnsiTheme="minorEastAsia"/>
          <w:kern w:val="0"/>
          <w:szCs w:val="21"/>
        </w:rPr>
        <w:t>号）。</w:t>
      </w:r>
    </w:p>
    <w:p w14:paraId="38322EAE">
      <w:pPr>
        <w:autoSpaceDE w:val="0"/>
        <w:autoSpaceDN w:val="0"/>
        <w:spacing w:line="360" w:lineRule="auto"/>
        <w:ind w:left="1274" w:leftChars="1" w:hanging="1272" w:hangingChars="606"/>
        <w:contextualSpacing/>
        <w:rPr>
          <w:rFonts w:cs="宋体" w:asciiTheme="minorEastAsia" w:hAnsiTheme="minorEastAsia"/>
          <w:kern w:val="0"/>
          <w:szCs w:val="21"/>
        </w:rPr>
      </w:pPr>
      <w:r>
        <w:rPr>
          <w:rFonts w:hint="eastAsia" w:cs="宋体" w:asciiTheme="minorEastAsia" w:hAnsiTheme="minorEastAsia"/>
          <w:kern w:val="0"/>
          <w:szCs w:val="21"/>
        </w:rPr>
        <w:t xml:space="preserve">2.7.1    </w:t>
      </w:r>
      <w:r>
        <w:rPr>
          <w:rFonts w:cs="宋体" w:asciiTheme="minorEastAsia" w:hAnsiTheme="minorEastAsia"/>
          <w:kern w:val="0"/>
          <w:szCs w:val="21"/>
        </w:rPr>
        <w:t>招标文件列明不允许或未列明允许进口产品参加投标的，均视为拒绝进口产品参加投标。</w:t>
      </w:r>
    </w:p>
    <w:p w14:paraId="78B0B808">
      <w:pPr>
        <w:autoSpaceDE w:val="0"/>
        <w:autoSpaceDN w:val="0"/>
        <w:spacing w:line="360" w:lineRule="auto"/>
        <w:ind w:left="991" w:leftChars="1" w:hanging="989" w:hangingChars="471"/>
        <w:contextualSpacing/>
        <w:rPr>
          <w:rFonts w:cs="宋体" w:asciiTheme="minorEastAsia" w:hAnsiTheme="minorEastAsia"/>
          <w:kern w:val="0"/>
          <w:szCs w:val="21"/>
        </w:rPr>
      </w:pPr>
      <w:r>
        <w:rPr>
          <w:rFonts w:hint="eastAsia" w:cs="宋体" w:asciiTheme="minorEastAsia" w:hAnsiTheme="minorEastAsia"/>
          <w:kern w:val="0"/>
          <w:szCs w:val="21"/>
        </w:rPr>
        <w:t xml:space="preserve">2.7.2    </w:t>
      </w:r>
      <w:r>
        <w:rPr>
          <w:rFonts w:cs="宋体" w:asciiTheme="minorEastAsia" w:hAnsiTheme="minorEastAsia"/>
          <w:kern w:val="0"/>
          <w:szCs w:val="21"/>
        </w:rPr>
        <w:t>如</w:t>
      </w:r>
      <w:r>
        <w:rPr>
          <w:rFonts w:hint="eastAsia" w:cs="宋体" w:asciiTheme="minorEastAsia" w:hAnsiTheme="minorEastAsia"/>
          <w:kern w:val="0"/>
          <w:szCs w:val="21"/>
        </w:rPr>
        <w:t>招标</w:t>
      </w:r>
      <w:r>
        <w:rPr>
          <w:rFonts w:cs="宋体" w:asciiTheme="minorEastAsia" w:hAnsiTheme="minorEastAsia"/>
          <w:kern w:val="0"/>
          <w:szCs w:val="21"/>
        </w:rPr>
        <w:t>文件中已说明，经财政部门审核同意，允许部分或全部产品采购进口产品，投标人既可提供本国产品，也可以提供进口产品。</w:t>
      </w:r>
    </w:p>
    <w:p w14:paraId="51C365CD">
      <w:pPr>
        <w:pStyle w:val="48"/>
        <w:numPr>
          <w:ilvl w:val="1"/>
          <w:numId w:val="10"/>
        </w:numPr>
        <w:autoSpaceDE w:val="0"/>
        <w:autoSpaceDN w:val="0"/>
        <w:spacing w:line="360" w:lineRule="auto"/>
        <w:ind w:left="991" w:leftChars="1" w:hanging="989" w:hangingChars="471"/>
        <w:contextualSpacing/>
        <w:rPr>
          <w:rFonts w:cs="宋体" w:asciiTheme="minorEastAsia" w:hAnsiTheme="minorEastAsia"/>
          <w:kern w:val="0"/>
          <w:szCs w:val="21"/>
        </w:rPr>
      </w:pPr>
      <w:r>
        <w:rPr>
          <w:rFonts w:hint="eastAsia" w:cs="宋体" w:asciiTheme="minorEastAsia" w:hAnsiTheme="minorEastAsia"/>
          <w:kern w:val="0"/>
          <w:szCs w:val="21"/>
        </w:rPr>
        <w:t>招标文件中凡标有“★”的条款均系实质性要求条款。</w:t>
      </w:r>
    </w:p>
    <w:p w14:paraId="5C684F2A">
      <w:pPr>
        <w:pStyle w:val="48"/>
        <w:autoSpaceDE w:val="0"/>
        <w:autoSpaceDN w:val="0"/>
        <w:spacing w:line="360" w:lineRule="auto"/>
        <w:ind w:left="964" w:firstLine="0" w:firstLineChars="0"/>
        <w:contextualSpacing/>
        <w:rPr>
          <w:rFonts w:cs="宋体" w:asciiTheme="minorEastAsia" w:hAnsiTheme="minorEastAsia"/>
          <w:kern w:val="0"/>
          <w:szCs w:val="21"/>
        </w:rPr>
      </w:pPr>
    </w:p>
    <w:p w14:paraId="4FF9ACD4">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合格的投标人</w:t>
      </w:r>
    </w:p>
    <w:p w14:paraId="77D31021">
      <w:pPr>
        <w:pStyle w:val="48"/>
        <w:numPr>
          <w:ilvl w:val="0"/>
          <w:numId w:val="1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在中华人民共和国境内注册，具有本项目生产、制造、供应或实施能力，符合、承认并承诺履行本招标文件各项规定的法人、其他组织或者自然人。</w:t>
      </w:r>
    </w:p>
    <w:p w14:paraId="47FA4BCD">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符合本项目“投标邀请”和“投标人须知前附表”中规定的合格投标人所必须具备的条件。</w:t>
      </w:r>
    </w:p>
    <w:p w14:paraId="7F0EDCE3">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按照财政部《</w:t>
      </w:r>
      <w:r>
        <w:rPr>
          <w:rFonts w:hint="eastAsia" w:ascii="宋体" w:hAnsi="宋体" w:cs="微软雅黑"/>
          <w:bCs/>
          <w:szCs w:val="21"/>
        </w:rPr>
        <w:t>关于在政府采购活动中查询及使用信用记录有关问题的通知</w:t>
      </w:r>
      <w:r>
        <w:rPr>
          <w:rFonts w:hint="eastAsia" w:ascii="宋体" w:hAnsi="宋体"/>
          <w:szCs w:val="21"/>
        </w:rPr>
        <w:t>》（财库</w:t>
      </w:r>
      <w:r>
        <w:rPr>
          <w:rFonts w:hint="eastAsia" w:ascii="宋体" w:hAnsi="宋体" w:cs="微软雅黑"/>
          <w:bCs/>
          <w:szCs w:val="21"/>
        </w:rPr>
        <w:t>〔2016〕</w:t>
      </w:r>
      <w:r>
        <w:rPr>
          <w:rFonts w:hint="eastAsia" w:ascii="宋体" w:hAnsi="宋体"/>
          <w:szCs w:val="21"/>
        </w:rPr>
        <w:t>125号）要求，</w:t>
      </w:r>
      <w:r>
        <w:rPr>
          <w:rFonts w:hint="eastAsia" w:cs="宋体" w:asciiTheme="minorEastAsia" w:hAnsiTheme="minorEastAsia"/>
          <w:kern w:val="0"/>
          <w:szCs w:val="21"/>
        </w:rPr>
        <w:t>政府采购活动中查询及使用投标人信用记录的具体要求为：投标人未被列入失信被执行人、税收违法黑名单、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严重违法失信社会组织名单（联合体形式投标的，联合体成员存在不良信用记录，视同联合体存在不良信用记录）。</w:t>
      </w:r>
    </w:p>
    <w:p w14:paraId="6C2C743F">
      <w:pPr>
        <w:pStyle w:val="48"/>
        <w:numPr>
          <w:ilvl w:val="0"/>
          <w:numId w:val="12"/>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查询渠道：“信用中国”网站（</w:t>
      </w:r>
      <w:r>
        <w:rPr>
          <w:rFonts w:cs="宋体" w:asciiTheme="minorEastAsia" w:hAnsiTheme="minorEastAsia"/>
          <w:kern w:val="0"/>
          <w:szCs w:val="21"/>
        </w:rPr>
        <w:t>www.creditchina.gov.cn</w:t>
      </w:r>
      <w:r>
        <w:rPr>
          <w:rFonts w:hint="eastAsia" w:cs="宋体" w:asciiTheme="minorEastAsia" w:hAnsiTheme="minorEastAsia"/>
          <w:kern w:val="0"/>
          <w:szCs w:val="21"/>
        </w:rPr>
        <w:t>）、“中国政府采购网”（</w:t>
      </w:r>
      <w:r>
        <w:rPr>
          <w:rFonts w:cs="宋体" w:asciiTheme="minorEastAsia" w:hAnsiTheme="minorEastAsia"/>
          <w:kern w:val="0"/>
          <w:szCs w:val="21"/>
        </w:rPr>
        <w:t>www.ccgp.gov.cn</w:t>
      </w:r>
      <w:r>
        <w:rPr>
          <w:rFonts w:hint="eastAsia" w:cs="宋体" w:asciiTheme="minorEastAsia" w:hAnsiTheme="minorEastAsia"/>
          <w:kern w:val="0"/>
          <w:szCs w:val="21"/>
        </w:rPr>
        <w:t>）、“中国社会组织政务服务平台”网站（</w:t>
      </w:r>
      <w:r>
        <w:fldChar w:fldCharType="begin"/>
      </w:r>
      <w:r>
        <w:instrText xml:space="preserve"> HYPERLINK "http://www.chinanpo.gov.cn" </w:instrText>
      </w:r>
      <w:r>
        <w:fldChar w:fldCharType="separate"/>
      </w:r>
      <w:r>
        <w:rPr>
          <w:rStyle w:val="29"/>
          <w:rFonts w:cs="宋体" w:asciiTheme="minorEastAsia" w:hAnsiTheme="minorEastAsia"/>
          <w:color w:val="auto"/>
          <w:kern w:val="0"/>
          <w:szCs w:val="21"/>
        </w:rPr>
        <w:t>https://chinanpo.mca.gov.cn</w:t>
      </w:r>
      <w:r>
        <w:rPr>
          <w:rStyle w:val="29"/>
          <w:rFonts w:cs="宋体" w:asciiTheme="minorEastAsia" w:hAnsiTheme="minorEastAsia"/>
          <w:color w:val="auto"/>
          <w:kern w:val="0"/>
          <w:szCs w:val="21"/>
        </w:rPr>
        <w:fldChar w:fldCharType="end"/>
      </w:r>
      <w:r>
        <w:rPr>
          <w:rFonts w:hint="eastAsia" w:cs="宋体" w:asciiTheme="minorEastAsia" w:hAnsiTheme="minorEastAsia"/>
          <w:kern w:val="0"/>
          <w:szCs w:val="21"/>
        </w:rPr>
        <w:t>）；</w:t>
      </w:r>
    </w:p>
    <w:p w14:paraId="2349BB96">
      <w:pPr>
        <w:pStyle w:val="48"/>
        <w:numPr>
          <w:ilvl w:val="0"/>
          <w:numId w:val="12"/>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截止时间：同投标截止时间；</w:t>
      </w:r>
    </w:p>
    <w:p w14:paraId="23CE672A">
      <w:pPr>
        <w:pStyle w:val="48"/>
        <w:numPr>
          <w:ilvl w:val="0"/>
          <w:numId w:val="12"/>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信用信息查询记录和证据留存具体方式：经采购人确认的查询结果网页截图作为查询记录和证据，与其他采购文件一并保存；</w:t>
      </w:r>
    </w:p>
    <w:p w14:paraId="21519B68">
      <w:pPr>
        <w:pStyle w:val="48"/>
        <w:numPr>
          <w:ilvl w:val="0"/>
          <w:numId w:val="12"/>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信用信息的使用原则：经采购人认定的被列入失信被执行人、税收违法黑名单、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的投标人、</w:t>
      </w:r>
      <w:r>
        <w:rPr>
          <w:rFonts w:hint="eastAsia" w:cs="宋体" w:asciiTheme="minorEastAsia" w:hAnsiTheme="minorEastAsia"/>
          <w:kern w:val="0"/>
          <w:szCs w:val="21"/>
        </w:rPr>
        <w:t>严重违法失信社会组织名单的社会组织，将拒绝其参与本次政府采购活动；</w:t>
      </w:r>
    </w:p>
    <w:p w14:paraId="0E4971BA">
      <w:pPr>
        <w:pStyle w:val="48"/>
        <w:numPr>
          <w:ilvl w:val="0"/>
          <w:numId w:val="12"/>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投标人无须提供</w:t>
      </w:r>
      <w:r>
        <w:rPr>
          <w:rFonts w:hint="eastAsia" w:ascii="宋体" w:hAnsi="宋体" w:cs="微软雅黑"/>
          <w:bCs/>
          <w:szCs w:val="21"/>
        </w:rPr>
        <w:t>信用记录查询结果网页截屏。</w:t>
      </w:r>
      <w:r>
        <w:rPr>
          <w:rFonts w:hint="eastAsia" w:cs="宋体" w:asciiTheme="minorEastAsia" w:hAnsiTheme="minorEastAsia"/>
          <w:kern w:val="0"/>
          <w:szCs w:val="21"/>
        </w:rPr>
        <w:t>投标人不良信用记录以采购人查询结果为准，采购人查询之后，网站信息发生的任何变更不再作为评审依据，投标人自行提供的与网站信息不一致的其他证明材料亦不作为评审依据。</w:t>
      </w:r>
    </w:p>
    <w:p w14:paraId="7BF09B32">
      <w:pPr>
        <w:pStyle w:val="48"/>
        <w:numPr>
          <w:ilvl w:val="1"/>
          <w:numId w:val="10"/>
        </w:numPr>
        <w:autoSpaceDE w:val="0"/>
        <w:autoSpaceDN w:val="0"/>
        <w:spacing w:line="360" w:lineRule="auto"/>
        <w:ind w:hanging="964" w:firstLineChars="0"/>
        <w:contextualSpacing/>
        <w:rPr>
          <w:rFonts w:ascii="宋体" w:hAnsi="宋体"/>
          <w:szCs w:val="21"/>
        </w:rPr>
      </w:pPr>
      <w:r>
        <w:rPr>
          <w:rFonts w:hint="eastAsia" w:ascii="宋体" w:hAnsi="宋体"/>
          <w:szCs w:val="21"/>
        </w:rPr>
        <w:t>单位负责人为同一人或者存在直接控股、管理关系的不同供应商，不得同时参加本项目投标。违反规定的，相关投标均无效。</w:t>
      </w:r>
    </w:p>
    <w:p w14:paraId="289699B0">
      <w:pPr>
        <w:pStyle w:val="48"/>
        <w:numPr>
          <w:ilvl w:val="1"/>
          <w:numId w:val="10"/>
        </w:numPr>
        <w:autoSpaceDE w:val="0"/>
        <w:autoSpaceDN w:val="0"/>
        <w:spacing w:line="360" w:lineRule="auto"/>
        <w:ind w:hanging="964" w:firstLineChars="0"/>
        <w:contextualSpacing/>
        <w:rPr>
          <w:rFonts w:ascii="宋体" w:hAnsi="宋体"/>
          <w:szCs w:val="21"/>
        </w:rPr>
      </w:pPr>
      <w:r>
        <w:rPr>
          <w:rFonts w:hint="eastAsia" w:cs="宋体" w:asciiTheme="minorEastAsia" w:hAnsiTheme="minorEastAsia"/>
          <w:kern w:val="0"/>
          <w:szCs w:val="21"/>
        </w:rPr>
        <w:t>为采购项目提供整体设计、规范编制或者项目管理、监理、检测等服务的供应商，不得再参加该采购项目的其他采购活动。</w:t>
      </w:r>
    </w:p>
    <w:p w14:paraId="7DF7B0A8">
      <w:pPr>
        <w:pStyle w:val="48"/>
        <w:numPr>
          <w:ilvl w:val="1"/>
          <w:numId w:val="10"/>
        </w:numPr>
        <w:autoSpaceDE w:val="0"/>
        <w:autoSpaceDN w:val="0"/>
        <w:spacing w:line="360" w:lineRule="auto"/>
        <w:ind w:hanging="964" w:firstLineChars="0"/>
        <w:contextualSpacing/>
        <w:rPr>
          <w:rFonts w:ascii="宋体" w:hAnsi="宋体"/>
          <w:szCs w:val="21"/>
        </w:rPr>
      </w:pPr>
      <w:r>
        <w:rPr>
          <w:rFonts w:hint="eastAsia" w:cs="宋体" w:asciiTheme="minorEastAsia" w:hAnsiTheme="minorEastAsia"/>
          <w:kern w:val="0"/>
          <w:szCs w:val="21"/>
        </w:rPr>
        <w:t>“投标邀请”和“投标人须知前附表”规定接受联合体投标的，除应符合本章第</w:t>
      </w:r>
      <w:r>
        <w:rPr>
          <w:rFonts w:cs="宋体" w:asciiTheme="minorEastAsia" w:hAnsiTheme="minorEastAsia"/>
          <w:kern w:val="0"/>
          <w:szCs w:val="21"/>
        </w:rPr>
        <w:t>3.1</w:t>
      </w:r>
      <w:r>
        <w:rPr>
          <w:rFonts w:hint="eastAsia" w:cs="宋体" w:asciiTheme="minorEastAsia" w:hAnsiTheme="minorEastAsia"/>
          <w:kern w:val="0"/>
          <w:szCs w:val="21"/>
        </w:rPr>
        <w:t>项和3.2项要求外，还应遵守以下规定：</w:t>
      </w:r>
    </w:p>
    <w:p w14:paraId="1670530B">
      <w:pPr>
        <w:pStyle w:val="48"/>
        <w:numPr>
          <w:ilvl w:val="0"/>
          <w:numId w:val="1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在投标文件中向采购人提交联合体协议书，明确联合体各方承担的工作和义务；</w:t>
      </w:r>
    </w:p>
    <w:p w14:paraId="6CD97144">
      <w:pPr>
        <w:pStyle w:val="48"/>
        <w:numPr>
          <w:ilvl w:val="0"/>
          <w:numId w:val="1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联合体中有同类资质的供应商按联合体分工承担相同工作的，应当按照资质等级较低的供应商确定资质等级；</w:t>
      </w:r>
    </w:p>
    <w:p w14:paraId="79B3E628">
      <w:pPr>
        <w:pStyle w:val="48"/>
        <w:numPr>
          <w:ilvl w:val="0"/>
          <w:numId w:val="13"/>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招标人根据采购项目的特殊要求规定投标人特定条件的，联合体各方中至少应当有一方符合采购规定的特定条件。</w:t>
      </w:r>
    </w:p>
    <w:p w14:paraId="14902DEA">
      <w:pPr>
        <w:pStyle w:val="48"/>
        <w:numPr>
          <w:ilvl w:val="0"/>
          <w:numId w:val="13"/>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联合体各方不得再单独参加或者与其他供应商另外组成联合体参加同一合同项下的政府采购活动。</w:t>
      </w:r>
    </w:p>
    <w:p w14:paraId="13B29604">
      <w:pPr>
        <w:pStyle w:val="48"/>
        <w:numPr>
          <w:ilvl w:val="0"/>
          <w:numId w:val="13"/>
        </w:numPr>
        <w:autoSpaceDE w:val="0"/>
        <w:autoSpaceDN w:val="0"/>
        <w:spacing w:line="360" w:lineRule="auto"/>
        <w:ind w:left="1418" w:hanging="1416" w:firstLineChars="0"/>
        <w:contextualSpacing/>
        <w:rPr>
          <w:rFonts w:cs="宋体" w:asciiTheme="minorEastAsia" w:hAnsiTheme="minorEastAsia"/>
          <w:kern w:val="0"/>
          <w:szCs w:val="21"/>
        </w:rPr>
      </w:pPr>
      <w:r>
        <w:rPr>
          <w:rFonts w:cs="宋体" w:asciiTheme="minorEastAsia" w:hAnsiTheme="minorEastAsia"/>
          <w:kern w:val="0"/>
          <w:szCs w:val="21"/>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Cs w:val="21"/>
        </w:rPr>
        <w:t>承担连带责任</w:t>
      </w:r>
      <w:r>
        <w:rPr>
          <w:rFonts w:cs="宋体" w:asciiTheme="minorEastAsia" w:hAnsiTheme="minorEastAsia"/>
          <w:kern w:val="0"/>
          <w:szCs w:val="21"/>
        </w:rPr>
        <w:fldChar w:fldCharType="end"/>
      </w:r>
      <w:r>
        <w:rPr>
          <w:rFonts w:cs="宋体" w:asciiTheme="minorEastAsia" w:hAnsiTheme="minorEastAsia"/>
          <w:kern w:val="0"/>
          <w:szCs w:val="21"/>
        </w:rPr>
        <w:t>。</w:t>
      </w:r>
    </w:p>
    <w:p w14:paraId="1C62F4DF">
      <w:pPr>
        <w:pStyle w:val="48"/>
        <w:numPr>
          <w:ilvl w:val="0"/>
          <w:numId w:val="1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法律、行政法规规定的其他条件。</w:t>
      </w:r>
    </w:p>
    <w:p w14:paraId="6EFB6CC9">
      <w:pPr>
        <w:pStyle w:val="48"/>
        <w:autoSpaceDE w:val="0"/>
        <w:autoSpaceDN w:val="0"/>
        <w:spacing w:line="360" w:lineRule="auto"/>
        <w:ind w:left="964" w:firstLine="0" w:firstLineChars="0"/>
        <w:contextualSpacing/>
        <w:rPr>
          <w:rFonts w:cs="宋体" w:asciiTheme="minorEastAsia" w:hAnsiTheme="minorEastAsia"/>
          <w:kern w:val="0"/>
          <w:szCs w:val="21"/>
        </w:rPr>
      </w:pPr>
    </w:p>
    <w:p w14:paraId="3EE6E398">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合格的货物和服务</w:t>
      </w:r>
    </w:p>
    <w:p w14:paraId="67D45201">
      <w:pPr>
        <w:pStyle w:val="48"/>
        <w:numPr>
          <w:ilvl w:val="0"/>
          <w:numId w:val="1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提供的货物应当符合招标文件的要求，并且其质量完全符合国家标准、行业标准或地方标准，均有标准的以高（严格）者为准。没有国家标准、行业标准和企业标准的，按照通常标准或者符合采购目的的特定标准确定。</w:t>
      </w:r>
    </w:p>
    <w:p w14:paraId="192A0BAF">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投标人所提供的服务应当没有侵犯任何第三方的知识产权、技术秘密等合法权利。</w:t>
      </w:r>
    </w:p>
    <w:p w14:paraId="2CB657CD">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14:paraId="547F10CF">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根据财政部、工业和信息化部、国家质检总局、国家认监委联合发布</w:t>
      </w:r>
      <w:bookmarkStart w:id="0" w:name="baidusnap0"/>
      <w:bookmarkEnd w:id="0"/>
      <w:r>
        <w:rPr>
          <w:rFonts w:hint="eastAsia" w:cs="宋体" w:asciiTheme="minorEastAsia" w:hAnsiTheme="minorEastAsia"/>
          <w:kern w:val="0"/>
          <w:szCs w:val="21"/>
        </w:rPr>
        <w:t>《关于信息安全产品实施政府采购的通知》（财库[2010]48号）要求，投标人所投产品如被列入</w:t>
      </w:r>
      <w:r>
        <w:rPr>
          <w:rFonts w:cs="宋体" w:asciiTheme="minorEastAsia" w:hAnsiTheme="minorEastAsia"/>
          <w:kern w:val="0"/>
          <w:szCs w:val="21"/>
        </w:rPr>
        <w:t>《信息安全产品强制性认证目录》，</w:t>
      </w:r>
      <w:r>
        <w:rPr>
          <w:rFonts w:hint="eastAsia" w:cs="宋体" w:asciiTheme="minorEastAsia" w:hAnsiTheme="minorEastAsia"/>
          <w:kern w:val="0"/>
          <w:szCs w:val="21"/>
        </w:rPr>
        <w:t>则该产品应</w:t>
      </w:r>
      <w:r>
        <w:rPr>
          <w:rFonts w:cs="宋体" w:asciiTheme="minorEastAsia" w:hAnsiTheme="minorEastAsia"/>
          <w:kern w:val="0"/>
          <w:szCs w:val="21"/>
        </w:rPr>
        <w:t>具备</w:t>
      </w:r>
      <w:r>
        <w:rPr>
          <w:rFonts w:hint="eastAsia" w:cs="宋体" w:asciiTheme="minorEastAsia" w:hAnsiTheme="minorEastAsia"/>
          <w:kern w:val="0"/>
          <w:szCs w:val="21"/>
        </w:rPr>
        <w:t>中国信息安全认证中心</w:t>
      </w:r>
      <w:r>
        <w:rPr>
          <w:rFonts w:cs="宋体" w:asciiTheme="minorEastAsia" w:hAnsiTheme="minorEastAsia"/>
          <w:kern w:val="0"/>
          <w:szCs w:val="21"/>
        </w:rPr>
        <w:t>颁</w:t>
      </w:r>
      <w:r>
        <w:rPr>
          <w:rFonts w:hint="eastAsia" w:cs="宋体" w:asciiTheme="minorEastAsia" w:hAnsiTheme="minorEastAsia"/>
          <w:kern w:val="0"/>
          <w:szCs w:val="21"/>
        </w:rPr>
        <w:t>发的</w:t>
      </w:r>
      <w:r>
        <w:rPr>
          <w:rFonts w:cs="宋体" w:asciiTheme="minorEastAsia" w:hAnsiTheme="minorEastAsia"/>
          <w:kern w:val="0"/>
          <w:szCs w:val="21"/>
        </w:rPr>
        <w:t>《</w:t>
      </w:r>
      <w:r>
        <w:fldChar w:fldCharType="begin"/>
      </w:r>
      <w:r>
        <w:instrText xml:space="preserve"> HYPERLINK "http://www.cnca.gov.cn/cnca/zwxx/ggxx/images/2010/07/19/A6C32D2A507AC2A38326896013A67542.doc" \t "_blank" </w:instrText>
      </w:r>
      <w:r>
        <w:fldChar w:fldCharType="separate"/>
      </w:r>
      <w:r>
        <w:rPr>
          <w:rFonts w:hint="eastAsia" w:cs="宋体" w:asciiTheme="minorEastAsia" w:hAnsiTheme="minorEastAsia"/>
          <w:kern w:val="0"/>
          <w:szCs w:val="21"/>
        </w:rPr>
        <w:t>中国国家信息安全产品认证证书</w:t>
      </w:r>
      <w:r>
        <w:rPr>
          <w:rFonts w:hint="eastAsia" w:cs="宋体" w:asciiTheme="minorEastAsia" w:hAnsiTheme="minorEastAsia"/>
          <w:kern w:val="0"/>
          <w:szCs w:val="21"/>
        </w:rPr>
        <w:fldChar w:fldCharType="end"/>
      </w:r>
      <w:r>
        <w:rPr>
          <w:rFonts w:cs="宋体" w:asciiTheme="minorEastAsia" w:hAnsiTheme="minorEastAsia"/>
          <w:kern w:val="0"/>
          <w:szCs w:val="21"/>
        </w:rPr>
        <w:t>》。</w:t>
      </w:r>
      <w:r>
        <w:rPr>
          <w:rFonts w:hint="eastAsia" w:cs="宋体" w:asciiTheme="minorEastAsia" w:hAnsiTheme="minorEastAsia"/>
          <w:kern w:val="0"/>
          <w:szCs w:val="21"/>
        </w:rPr>
        <w:t>投标人</w:t>
      </w:r>
      <w:r>
        <w:rPr>
          <w:rFonts w:cs="宋体" w:asciiTheme="minorEastAsia" w:hAnsiTheme="minorEastAsia"/>
          <w:kern w:val="0"/>
          <w:szCs w:val="21"/>
        </w:rPr>
        <w:t>不能提供超出此目录范畴外的替代品</w:t>
      </w:r>
      <w:r>
        <w:rPr>
          <w:rFonts w:hint="eastAsia" w:cs="宋体" w:asciiTheme="minorEastAsia" w:hAnsiTheme="minorEastAsia"/>
          <w:kern w:val="0"/>
          <w:szCs w:val="21"/>
        </w:rPr>
        <w:t>。</w:t>
      </w:r>
    </w:p>
    <w:p w14:paraId="48F64843">
      <w:pPr>
        <w:pStyle w:val="48"/>
        <w:autoSpaceDE w:val="0"/>
        <w:autoSpaceDN w:val="0"/>
        <w:spacing w:line="360" w:lineRule="auto"/>
        <w:ind w:left="964" w:firstLine="0" w:firstLineChars="0"/>
        <w:contextualSpacing/>
        <w:rPr>
          <w:rFonts w:cs="宋体" w:asciiTheme="minorEastAsia" w:hAnsiTheme="minorEastAsia"/>
          <w:kern w:val="0"/>
          <w:szCs w:val="21"/>
        </w:rPr>
      </w:pPr>
    </w:p>
    <w:p w14:paraId="13D90091">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投标费用</w:t>
      </w:r>
    </w:p>
    <w:p w14:paraId="0FEA6573">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不论投标的结果如何，投标人均应自行承担所有与投标有关的全部费用，招标人在任何情况下均无义务和责任承担这些费用。</w:t>
      </w:r>
    </w:p>
    <w:p w14:paraId="3929AFA4">
      <w:pPr>
        <w:autoSpaceDE w:val="0"/>
        <w:autoSpaceDN w:val="0"/>
        <w:spacing w:line="360" w:lineRule="auto"/>
        <w:ind w:left="964"/>
        <w:contextualSpacing/>
        <w:rPr>
          <w:rFonts w:cs="宋体" w:asciiTheme="minorEastAsia" w:hAnsiTheme="minorEastAsia"/>
          <w:kern w:val="0"/>
          <w:szCs w:val="21"/>
        </w:rPr>
      </w:pPr>
    </w:p>
    <w:p w14:paraId="795A3419">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信息发布</w:t>
      </w:r>
    </w:p>
    <w:p w14:paraId="54A9669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采购项目需要公开的有关信息，包括招标公告、招标文件澄清或修改公告、中标公告以及延长投标截止时间等与招标活动有关的通知，招标人均将通过在《中国政府采购网》、《河南省政府采购网》《许昌市政府采购网》和《全国公共资源交易平台（河南省·许昌市）》公开发布。投标人在参与本采购项目招投标活动期间，请及时关注以上媒体上的相关信息，投标人因没有及时关注而未能如期获取相关信息，及因此所产生的一切后果和责任，由投标人自行承担，招标人在任何情况下均不对此承担任何责任。</w:t>
      </w:r>
    </w:p>
    <w:p w14:paraId="7AFBBCD8">
      <w:pPr>
        <w:autoSpaceDE w:val="0"/>
        <w:autoSpaceDN w:val="0"/>
        <w:spacing w:line="360" w:lineRule="auto"/>
        <w:ind w:left="964"/>
        <w:contextualSpacing/>
        <w:rPr>
          <w:rFonts w:cs="宋体" w:asciiTheme="minorEastAsia" w:hAnsiTheme="minorEastAsia"/>
          <w:kern w:val="0"/>
          <w:szCs w:val="21"/>
        </w:rPr>
      </w:pPr>
    </w:p>
    <w:p w14:paraId="5160F997">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采购代理机构代理费用收取标准和方式</w:t>
      </w:r>
    </w:p>
    <w:p w14:paraId="6FFAA84A">
      <w:pPr>
        <w:pStyle w:val="48"/>
        <w:autoSpaceDE w:val="0"/>
        <w:autoSpaceDN w:val="0"/>
        <w:spacing w:line="360" w:lineRule="auto"/>
        <w:ind w:left="964" w:firstLine="0"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本项目不收取代理费用。详见投标人须知前附表。</w:t>
      </w:r>
    </w:p>
    <w:p w14:paraId="6CB83CB0">
      <w:pPr>
        <w:pStyle w:val="48"/>
        <w:autoSpaceDE w:val="0"/>
        <w:autoSpaceDN w:val="0"/>
        <w:spacing w:line="360" w:lineRule="auto"/>
        <w:ind w:left="964" w:firstLine="0" w:firstLineChars="0"/>
        <w:contextualSpacing/>
        <w:rPr>
          <w:rFonts w:cs="宋体" w:asciiTheme="minorEastAsia" w:hAnsiTheme="minorEastAsia"/>
          <w:kern w:val="0"/>
          <w:szCs w:val="21"/>
        </w:rPr>
      </w:pPr>
    </w:p>
    <w:p w14:paraId="1D3789F7">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其他</w:t>
      </w:r>
    </w:p>
    <w:p w14:paraId="7B920A7A">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本“投标人须知”的条款如与“投标邀请”、“项目需求”、“投标人须知前附表”和“资格审查与评标”就同一内容的表述不一致的，以“投标邀请”、“ 项目需求”、 “投标人须知前附表”和“资格审查与评标”中规定的内容为准。</w:t>
      </w:r>
    </w:p>
    <w:p w14:paraId="71DC81D9">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二、招标文件说明</w:t>
      </w:r>
    </w:p>
    <w:p w14:paraId="1E396EFA">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招标文件构成</w:t>
      </w:r>
    </w:p>
    <w:p w14:paraId="134E9B50">
      <w:pPr>
        <w:pStyle w:val="48"/>
        <w:numPr>
          <w:ilvl w:val="0"/>
          <w:numId w:val="1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招标文件由以下部分组成：</w:t>
      </w:r>
    </w:p>
    <w:p w14:paraId="09C896F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（1）投标邀请（招标公告）</w:t>
      </w:r>
    </w:p>
    <w:p w14:paraId="065B86FC">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（2）项目需求</w:t>
      </w:r>
    </w:p>
    <w:p w14:paraId="449B9A1E">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（3）投标人须知前附表</w:t>
      </w:r>
    </w:p>
    <w:p w14:paraId="7BB641E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（4）投标人须知</w:t>
      </w:r>
    </w:p>
    <w:p w14:paraId="0BFECF22">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（5）政府采购政策功能</w:t>
      </w:r>
    </w:p>
    <w:p w14:paraId="38E28795">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（6）资格审查与评标</w:t>
      </w:r>
    </w:p>
    <w:p w14:paraId="1B0CE485">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（7）拟签订的合同文本</w:t>
      </w:r>
    </w:p>
    <w:p w14:paraId="219D1712">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（8）投标文件有关格式</w:t>
      </w:r>
    </w:p>
    <w:p w14:paraId="62395B03">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（9）本项目招标文件的澄清、答复、修改、补充内容（如有的话）</w:t>
      </w:r>
    </w:p>
    <w:p w14:paraId="685AF25E">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认真阅读、并充分理解招标文件的全部内容（包括所有的补充、修改内容、重要事项、格式、条款和技术规范、参数及要求等），按招标文件要求和规定编制投标文件，并保证所提供的全部资料的真实性，否则有可能导致投标被拒绝，其风险由投标人自行承担。</w:t>
      </w:r>
    </w:p>
    <w:p w14:paraId="13A87182">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认真了解本次招标的具体工作要求、工作范围以及职责，了解一切可能影响投标报价的资料。一经中标，不得以不完全了解项目要求、项目情况等为借口而提出额外补偿等要求，否则，由此引起的一切后果由中标人负责。</w:t>
      </w:r>
    </w:p>
    <w:p w14:paraId="65CD3A02">
      <w:pPr>
        <w:pStyle w:val="48"/>
        <w:autoSpaceDE w:val="0"/>
        <w:autoSpaceDN w:val="0"/>
        <w:spacing w:line="360" w:lineRule="auto"/>
        <w:ind w:left="964" w:firstLine="0" w:firstLineChars="0"/>
        <w:contextualSpacing/>
        <w:rPr>
          <w:rFonts w:cs="宋体" w:asciiTheme="minorEastAsia" w:hAnsiTheme="minorEastAsia"/>
          <w:kern w:val="0"/>
          <w:szCs w:val="21"/>
        </w:rPr>
      </w:pPr>
    </w:p>
    <w:p w14:paraId="7059CE19">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现场考察、开标前答疑会</w:t>
      </w:r>
    </w:p>
    <w:p w14:paraId="1EFDEACF">
      <w:pPr>
        <w:pStyle w:val="48"/>
        <w:numPr>
          <w:ilvl w:val="0"/>
          <w:numId w:val="1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招标人根据采购项目的具体情况，可以在招标文件公告期满后，组织已获取招标文件的潜在投标人现场考察或者召开开标前答疑会。</w:t>
      </w:r>
    </w:p>
    <w:p w14:paraId="4FEE6B1C">
      <w:pPr>
        <w:autoSpaceDE w:val="0"/>
        <w:autoSpaceDN w:val="0"/>
        <w:spacing w:line="360" w:lineRule="auto"/>
        <w:ind w:left="964" w:firstLine="29"/>
        <w:contextualSpacing/>
        <w:rPr>
          <w:rFonts w:cs="宋体" w:asciiTheme="minorEastAsia" w:hAnsiTheme="minorEastAsia"/>
          <w:kern w:val="0"/>
          <w:szCs w:val="21"/>
        </w:rPr>
      </w:pPr>
      <w:r>
        <w:rPr>
          <w:rFonts w:hint="eastAsia" w:cs="宋体" w:asciiTheme="minorEastAsia" w:hAnsiTheme="minorEastAsia"/>
          <w:kern w:val="0"/>
          <w:szCs w:val="21"/>
        </w:rPr>
        <w:t>招标人组织现场考察或者召开开标前答疑会的，所有投标人应按“投标人须知前附表”规定的时间、地点前往参加现场考察或者开标前答疑会。投标人如不参加，其风险由投标人自行承担，招标人不承担任何责任。</w:t>
      </w:r>
    </w:p>
    <w:p w14:paraId="0E23CAFC">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招标人组织现场考察或者召开答疑会的，应当在招标文件中载明，或者在招标文件公告期满后在财政部门指定的政府采购信息发布媒体和《全国公共资源交易平台（河南省·许昌市）》发布更正公告。</w:t>
      </w:r>
    </w:p>
    <w:p w14:paraId="758C0AE2">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在考察现场和开标前答疑会口头介绍的情况，除招标人事后形成书面记录、并以澄清或修改公告的形式发布、构成招标文件的组成部分以外，其他内容仅供投标人在编制投标文件时参考，招标人不对投标人据此作出的判断和决策负责。</w:t>
      </w:r>
    </w:p>
    <w:p w14:paraId="0CE86447">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现场考察及参加开标前答疑会所发生的费用及一切责任由投标人自行承担。</w:t>
      </w:r>
    </w:p>
    <w:p w14:paraId="24EEFF04">
      <w:pPr>
        <w:autoSpaceDE w:val="0"/>
        <w:autoSpaceDN w:val="0"/>
        <w:spacing w:line="360" w:lineRule="auto"/>
        <w:ind w:left="420"/>
        <w:contextualSpacing/>
        <w:rPr>
          <w:rFonts w:cs="宋体" w:asciiTheme="minorEastAsia" w:hAnsiTheme="minorEastAsia"/>
          <w:kern w:val="0"/>
          <w:szCs w:val="21"/>
        </w:rPr>
      </w:pPr>
    </w:p>
    <w:p w14:paraId="2375A6E7">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招标文件的澄清或修改</w:t>
      </w:r>
    </w:p>
    <w:p w14:paraId="6BFC0C0D">
      <w:pPr>
        <w:pStyle w:val="48"/>
        <w:numPr>
          <w:ilvl w:val="0"/>
          <w:numId w:val="1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在投标截止期前，无论出于何种原因，招标人可主动地或在解答潜在投标人提出的澄清问题时对招标文件进行修改。</w:t>
      </w:r>
    </w:p>
    <w:p w14:paraId="48369C13">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招标人可以对已发出的招标文件进行必要的澄清或者修改。澄清或者修改的内容可能影响投标文件编制的，招标人将在投标截止时间</w:t>
      </w:r>
      <w:r>
        <w:rPr>
          <w:rFonts w:cs="宋体" w:asciiTheme="minorEastAsia" w:hAnsiTheme="minorEastAsia"/>
          <w:kern w:val="0"/>
          <w:szCs w:val="21"/>
        </w:rPr>
        <w:t>15</w:t>
      </w:r>
      <w:r>
        <w:rPr>
          <w:rFonts w:hint="eastAsia" w:cs="宋体" w:asciiTheme="minorEastAsia" w:hAnsiTheme="minorEastAsia"/>
          <w:kern w:val="0"/>
          <w:szCs w:val="21"/>
        </w:rPr>
        <w:t>日前，在财政部门指定的政府采购信息发布媒体和《全国公共资源交易平台（河南省·许昌市）》发布更正公告。</w:t>
      </w:r>
    </w:p>
    <w:p w14:paraId="133D7587">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澄清或修改公告的内容为招标文件的组成部分，并对投标人具有约束力。当招标文件与澄清或修改公告就同一内容的表述不一致时，以最后发出的文件内容为准。</w:t>
      </w:r>
    </w:p>
    <w:p w14:paraId="7B19279D">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如果澄清或者修改发出的时间距规定的投标截止时间不足15日，招标人将顺延提交投标文件的截止时间。</w:t>
      </w:r>
    </w:p>
    <w:p w14:paraId="2C036BAD">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三、投标文件的编制</w:t>
      </w:r>
    </w:p>
    <w:p w14:paraId="089235F2">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投标的语言及计量单位</w:t>
      </w:r>
    </w:p>
    <w:p w14:paraId="55C85DAF">
      <w:pPr>
        <w:pStyle w:val="48"/>
        <w:numPr>
          <w:ilvl w:val="0"/>
          <w:numId w:val="1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投标人提交的投标文件以及投标人与招标人就有关投标事宜的所有来往书面文件均应使用中文。除签名、盖章、专用名称等特殊情形外，以中文以外的文字表述的投标文件视同未提供。</w:t>
      </w:r>
    </w:p>
    <w:p w14:paraId="40BA03EA">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投标计量单位，招标文件已有明确规定的，使用招标文件规定的计量单位；招标文件没有规定的，一律采用中华人民共和国法定计量单位。</w:t>
      </w:r>
    </w:p>
    <w:p w14:paraId="706D1E2E">
      <w:pPr>
        <w:pStyle w:val="48"/>
        <w:autoSpaceDE w:val="0"/>
        <w:autoSpaceDN w:val="0"/>
        <w:spacing w:line="360" w:lineRule="auto"/>
        <w:ind w:left="964" w:firstLine="0" w:firstLineChars="0"/>
        <w:contextualSpacing/>
        <w:rPr>
          <w:rFonts w:cs="宋体" w:asciiTheme="minorEastAsia" w:hAnsiTheme="minorEastAsia"/>
          <w:kern w:val="0"/>
          <w:szCs w:val="21"/>
        </w:rPr>
      </w:pPr>
    </w:p>
    <w:p w14:paraId="13FBD5B6">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投标报价</w:t>
      </w:r>
    </w:p>
    <w:p w14:paraId="5C402117">
      <w:pPr>
        <w:pStyle w:val="48"/>
        <w:numPr>
          <w:ilvl w:val="0"/>
          <w:numId w:val="1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本次招标项目的投标均以人民币为计算单位。</w:t>
      </w:r>
    </w:p>
    <w:p w14:paraId="1DFA9FE9">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采购人不得向投标人索要或者接受其给予的赠品、回扣或者与采购无关的其他商品、服务。</w:t>
      </w:r>
    </w:p>
    <w:p w14:paraId="367230B5">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投标人应对项目要求的全部内容进行报价，少报漏报将导致其投标为非实质性响应予以拒绝。</w:t>
      </w:r>
    </w:p>
    <w:p w14:paraId="09913C04">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当按照国家相关规定，结合自身服务水平和承受能力进行报价。投标报价应是履行合同的最终价格，除“项目需求”中另有说明外，投标报价应当是投标人为提供本项目所要求的全部服务所发生的一切成本、税费和利润，包括人工（含工资、社会统筹保险金、加班工资、工作餐、相关福利、关于人员聘用的费用等）、设备、国家规定检测、外发包、材料（含辅材）、管理、税费及利润等。</w:t>
      </w:r>
    </w:p>
    <w:p w14:paraId="14627DE7">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本项目所涉及的运输、施工、安装、集成、调试、验收、备品和工具等费用均包含在投标报价中。</w:t>
      </w:r>
    </w:p>
    <w:p w14:paraId="075E576F">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本次招标不接受可选择或可调整的投标方案和报价，任何有选择的或可调整的投标方案和报价将被视为非实质性响应投标而作无效投标处理。</w:t>
      </w:r>
    </w:p>
    <w:p w14:paraId="1E20DAC9">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报价不得高于本项目最高限价，且不低于成本价。本次招标实行“最高限价（项目控制金额上限）”,投标人的投标报价高于最高限价（项目控制金额上限）的，该投标人的投标文件将被视为非实质性响应予以拒绝。</w:t>
      </w:r>
    </w:p>
    <w:p w14:paraId="79AE784D">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最低报价不能作为中标的保证。</w:t>
      </w:r>
    </w:p>
    <w:p w14:paraId="6B1B6BEB">
      <w:pPr>
        <w:autoSpaceDE w:val="0"/>
        <w:autoSpaceDN w:val="0"/>
        <w:spacing w:line="360" w:lineRule="auto"/>
        <w:ind w:left="420"/>
        <w:contextualSpacing/>
        <w:rPr>
          <w:rFonts w:cs="宋体" w:asciiTheme="minorEastAsia" w:hAnsiTheme="minorEastAsia"/>
          <w:kern w:val="0"/>
          <w:szCs w:val="21"/>
        </w:rPr>
      </w:pPr>
    </w:p>
    <w:p w14:paraId="342C22B8">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投标有效期</w:t>
      </w:r>
    </w:p>
    <w:p w14:paraId="04EE7C40">
      <w:pPr>
        <w:pStyle w:val="48"/>
        <w:numPr>
          <w:ilvl w:val="0"/>
          <w:numId w:val="1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有效期从提交投标文件的截止之日起算。本项目投标有效期详见投标人须知前附表。投标文件中承诺的投标有效期应当不少于“投标人须知前附表”载明的投标有效期。投标有效期比招标文件规定短的属于非实质性响应，将被认定为无效投标。</w:t>
      </w:r>
    </w:p>
    <w:p w14:paraId="5367A647">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投标有效期内投标人撤销投标文件的，投标人将承担违背投标承诺函的责任追究。</w:t>
      </w:r>
    </w:p>
    <w:p w14:paraId="53211DE6">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特殊情况下，在原投标有效期截止之前，招标人可要求投标人延长投标有效期。这种要求与答复均应以书面形式提交。投标人可拒绝招标人的这种要求，但其投标在原投标有效期期满后将不再有效。同意延长投标有效期的投标人将不会被要求和允许修正其投标，而只会被要求相应地延长其投标承诺函的有效期。在这种情况下，有关投标人违背投标承诺的责任追究措施将在延长了的有效期内继续有效。同意延期的投标人在原投标有效期内应享之权利及应负之责任也相应延续。</w:t>
      </w:r>
    </w:p>
    <w:p w14:paraId="58BC2C90">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中标人的投标文件作为项目合同的附件，其有效期至中标人全部合同义务履行完毕为止。</w:t>
      </w:r>
    </w:p>
    <w:p w14:paraId="1FF3CDBE">
      <w:pPr>
        <w:pStyle w:val="48"/>
        <w:autoSpaceDE w:val="0"/>
        <w:autoSpaceDN w:val="0"/>
        <w:spacing w:line="360" w:lineRule="auto"/>
        <w:ind w:left="964" w:firstLine="0" w:firstLineChars="0"/>
        <w:contextualSpacing/>
        <w:rPr>
          <w:rFonts w:cs="宋体" w:asciiTheme="minorEastAsia" w:hAnsiTheme="minorEastAsia"/>
          <w:kern w:val="0"/>
          <w:szCs w:val="21"/>
        </w:rPr>
      </w:pPr>
    </w:p>
    <w:p w14:paraId="1232FF00">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投标文件构成</w:t>
      </w:r>
    </w:p>
    <w:p w14:paraId="75A7C2AB">
      <w:pPr>
        <w:pStyle w:val="48"/>
        <w:numPr>
          <w:ilvl w:val="0"/>
          <w:numId w:val="1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投标文件的构成应符合法律法规及招标文件的要求。</w:t>
      </w:r>
    </w:p>
    <w:p w14:paraId="6C28F01B">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投标人应当按照招标文件的要求编制投标文件。投标文件应当对招标文件提出的要求和条件作出明确响应。</w:t>
      </w:r>
    </w:p>
    <w:p w14:paraId="5CB4FFD5">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投标文件由资格证明材料、符合性证明材料、其它材料等组成。</w:t>
      </w:r>
    </w:p>
    <w:p w14:paraId="53A042FC">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58F8DDC8">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投标人登录许昌公共资源交易系统下载“许昌投标文件制作系统SEARUN 最新版本”，按招标文件要求根据所投标段制作电子投标文件。 一个标段对应生成一个文件夹（xxxx项目xx标段）,后缀名为“</w:t>
      </w:r>
      <w:r>
        <w:rPr>
          <w:rFonts w:cs="宋体" w:asciiTheme="minorEastAsia" w:hAnsiTheme="minorEastAsia"/>
          <w:kern w:val="0"/>
          <w:szCs w:val="21"/>
        </w:rPr>
        <w:t>.file</w:t>
      </w:r>
      <w:r>
        <w:rPr>
          <w:rFonts w:hint="eastAsia" w:cs="宋体" w:asciiTheme="minorEastAsia" w:hAnsiTheme="minorEastAsia"/>
          <w:kern w:val="0"/>
          <w:szCs w:val="21"/>
        </w:rPr>
        <w:t>”的文件用于电子投标使用。</w:t>
      </w:r>
    </w:p>
    <w:p w14:paraId="78270283">
      <w:pPr>
        <w:autoSpaceDE w:val="0"/>
        <w:autoSpaceDN w:val="0"/>
        <w:spacing w:line="360" w:lineRule="auto"/>
        <w:ind w:left="105" w:leftChars="50" w:firstLine="840" w:firstLineChars="400"/>
        <w:contextualSpacing/>
        <w:rPr>
          <w:rFonts w:cs="宋体" w:asciiTheme="minorEastAsia" w:hAnsiTheme="minorEastAsia"/>
          <w:kern w:val="0"/>
          <w:szCs w:val="21"/>
        </w:rPr>
      </w:pPr>
      <w:r>
        <w:rPr>
          <w:rFonts w:hint="eastAsia" w:cs="宋体" w:asciiTheme="minorEastAsia" w:hAnsiTheme="minorEastAsia"/>
          <w:kern w:val="0"/>
          <w:szCs w:val="21"/>
        </w:rPr>
        <w:t>电子投标文件制作技术咨询：</w:t>
      </w:r>
      <w:r>
        <w:rPr>
          <w:rFonts w:hint="eastAsia" w:cs="宋体" w:asciiTheme="minorEastAsia" w:hAnsiTheme="minorEastAsia"/>
          <w:b/>
          <w:kern w:val="0"/>
          <w:szCs w:val="21"/>
        </w:rPr>
        <w:t>0374-2961598</w:t>
      </w:r>
      <w:r>
        <w:rPr>
          <w:rFonts w:hint="eastAsia" w:cs="宋体" w:asciiTheme="minorEastAsia" w:hAnsiTheme="minorEastAsia"/>
          <w:kern w:val="0"/>
          <w:szCs w:val="21"/>
        </w:rPr>
        <w:t>。</w:t>
      </w:r>
    </w:p>
    <w:p w14:paraId="1B4898B5">
      <w:pPr>
        <w:autoSpaceDE w:val="0"/>
        <w:autoSpaceDN w:val="0"/>
        <w:spacing w:line="360" w:lineRule="auto"/>
        <w:ind w:left="964"/>
        <w:contextualSpacing/>
        <w:rPr>
          <w:rFonts w:cs="宋体" w:asciiTheme="minorEastAsia" w:hAnsiTheme="minorEastAsia"/>
          <w:kern w:val="0"/>
          <w:szCs w:val="21"/>
        </w:rPr>
      </w:pPr>
    </w:p>
    <w:p w14:paraId="32B2E922">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投标文件格式</w:t>
      </w:r>
    </w:p>
    <w:p w14:paraId="7244791A">
      <w:pPr>
        <w:pStyle w:val="48"/>
        <w:numPr>
          <w:ilvl w:val="0"/>
          <w:numId w:val="1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为便于评审及规范统一，建议投标文件参照招标文件第八部分（投标文件有关格式）的内容要求、编排顺序和格式要求，以A4幅面编上唯一的连贯页码，并在投标文件封面上注明：所投项目名称、项目编号、投标人名称、日期等字样。</w:t>
      </w:r>
    </w:p>
    <w:p w14:paraId="21E04C4F">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招标文件未提供标准格式的投标人可自行拟定。</w:t>
      </w:r>
    </w:p>
    <w:p w14:paraId="7B404881">
      <w:pPr>
        <w:autoSpaceDE w:val="0"/>
        <w:autoSpaceDN w:val="0"/>
        <w:spacing w:line="360" w:lineRule="auto"/>
        <w:ind w:left="420"/>
        <w:contextualSpacing/>
        <w:rPr>
          <w:rFonts w:cs="宋体" w:asciiTheme="minorEastAsia" w:hAnsiTheme="minorEastAsia"/>
          <w:kern w:val="0"/>
          <w:szCs w:val="21"/>
        </w:rPr>
      </w:pPr>
    </w:p>
    <w:p w14:paraId="219A7A69">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投标保证金</w:t>
      </w:r>
    </w:p>
    <w:p w14:paraId="4158A68A">
      <w:pPr>
        <w:pStyle w:val="48"/>
        <w:numPr>
          <w:ilvl w:val="0"/>
          <w:numId w:val="1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本项目不收取投标保证金。</w:t>
      </w:r>
    </w:p>
    <w:p w14:paraId="1D74821F">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投标人应提供投标承诺函。</w:t>
      </w:r>
    </w:p>
    <w:p w14:paraId="24DC906B">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投标文件的数量和签署盖章</w:t>
      </w:r>
    </w:p>
    <w:p w14:paraId="600AD0DC">
      <w:pPr>
        <w:pStyle w:val="48"/>
        <w:numPr>
          <w:ilvl w:val="0"/>
          <w:numId w:val="1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投标人应提交投标文件份数见“投标人须知前附表”。</w:t>
      </w:r>
    </w:p>
    <w:p w14:paraId="736EAE75">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在招标文件中已明示需盖章及签名之处，电子投标文件应按招标文件要求加盖投标人电子印章和法人电子印章或授权代表电子印章。</w:t>
      </w:r>
    </w:p>
    <w:p w14:paraId="1FBF5EE3">
      <w:pPr>
        <w:tabs>
          <w:tab w:val="left" w:pos="1260"/>
        </w:tabs>
        <w:autoSpaceDE w:val="0"/>
        <w:autoSpaceDN w:val="0"/>
        <w:spacing w:line="360" w:lineRule="auto"/>
        <w:contextualSpacing/>
        <w:rPr>
          <w:rFonts w:cs="仿宋_GB2312" w:asciiTheme="minorEastAsia" w:hAnsiTheme="minorEastAsia"/>
          <w:szCs w:val="21"/>
          <w:lang w:val="zh-CN"/>
        </w:rPr>
      </w:pPr>
    </w:p>
    <w:p w14:paraId="3CADC9E2">
      <w:pPr>
        <w:tabs>
          <w:tab w:val="left" w:pos="1260"/>
        </w:tabs>
        <w:autoSpaceDE w:val="0"/>
        <w:autoSpaceDN w:val="0"/>
        <w:spacing w:line="360" w:lineRule="auto"/>
        <w:contextualSpacing/>
        <w:rPr>
          <w:rFonts w:cs="仿宋_GB2312" w:asciiTheme="minorEastAsia" w:hAnsiTheme="minorEastAsia"/>
          <w:szCs w:val="21"/>
          <w:lang w:val="zh-CN"/>
        </w:rPr>
      </w:pPr>
    </w:p>
    <w:p w14:paraId="1CA5B33B">
      <w:pPr>
        <w:tabs>
          <w:tab w:val="left" w:pos="1260"/>
        </w:tabs>
        <w:autoSpaceDE w:val="0"/>
        <w:autoSpaceDN w:val="0"/>
        <w:spacing w:line="360" w:lineRule="auto"/>
        <w:contextualSpacing/>
        <w:rPr>
          <w:rFonts w:cs="仿宋_GB2312" w:asciiTheme="minorEastAsia" w:hAnsiTheme="minorEastAsia"/>
          <w:szCs w:val="21"/>
          <w:lang w:val="zh-CN"/>
        </w:rPr>
      </w:pPr>
    </w:p>
    <w:p w14:paraId="19931CCF">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四、投标文件的提交</w:t>
      </w:r>
    </w:p>
    <w:p w14:paraId="7FD6EC34">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投标截止时间</w:t>
      </w:r>
    </w:p>
    <w:p w14:paraId="1A938C87">
      <w:pPr>
        <w:pStyle w:val="48"/>
        <w:numPr>
          <w:ilvl w:val="0"/>
          <w:numId w:val="1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投标人必须在“投标邀请”和“投标人须知前附表”中规定的投标截止时间前，将</w:t>
      </w:r>
      <w:r>
        <w:rPr>
          <w:rFonts w:hint="eastAsia" w:cs="仿宋_GB2312" w:asciiTheme="minorEastAsia" w:hAnsiTheme="minorEastAsia"/>
          <w:szCs w:val="21"/>
        </w:rPr>
        <w:t>加密电子投标文件</w:t>
      </w:r>
      <w:r>
        <w:rPr>
          <w:rFonts w:hint="eastAsia" w:cs="宋体" w:asciiTheme="minorEastAsia" w:hAnsiTheme="minorEastAsia"/>
          <w:szCs w:val="21"/>
        </w:rPr>
        <w:t>（</w:t>
      </w:r>
      <w:r>
        <w:rPr>
          <w:rFonts w:asciiTheme="minorEastAsia" w:hAnsiTheme="minorEastAsia"/>
          <w:szCs w:val="21"/>
        </w:rPr>
        <w:t>.file</w:t>
      </w:r>
      <w:r>
        <w:rPr>
          <w:rFonts w:hint="eastAsia" w:cs="宋体" w:asciiTheme="minorEastAsia" w:hAnsiTheme="minorEastAsia"/>
          <w:szCs w:val="21"/>
        </w:rPr>
        <w:t>格式）</w:t>
      </w:r>
      <w:r>
        <w:rPr>
          <w:rFonts w:hint="eastAsia" w:cs="仿宋_GB2312" w:asciiTheme="minorEastAsia" w:hAnsiTheme="minorEastAsia"/>
          <w:szCs w:val="21"/>
        </w:rPr>
        <w:t>通过《全国公共资源交易平台(河南省</w:t>
      </w:r>
      <w:r>
        <w:rPr>
          <w:rFonts w:hint="eastAsia" w:ascii="MS Mincho" w:hAnsi="MS Mincho" w:eastAsia="MS Mincho" w:cs="MS Mincho"/>
          <w:szCs w:val="21"/>
        </w:rPr>
        <w:t>▪</w:t>
      </w:r>
      <w:r>
        <w:rPr>
          <w:rFonts w:hint="eastAsia" w:ascii="宋体" w:hAnsi="宋体" w:cs="宋体"/>
          <w:szCs w:val="21"/>
        </w:rPr>
        <w:t>许昌市</w:t>
      </w:r>
      <w:r>
        <w:rPr>
          <w:rFonts w:hint="eastAsia" w:cs="仿宋_GB2312" w:asciiTheme="minorEastAsia" w:hAnsiTheme="minorEastAsia"/>
          <w:szCs w:val="21"/>
        </w:rPr>
        <w:t>)》公共资源交易系统成功上传。</w:t>
      </w:r>
    </w:p>
    <w:p w14:paraId="434514BF">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可以按本须知第14条规定，通过修改招标文件自行决定酌情延长投标截止期。在此情况下，招标人和投标人受投标截止期制约的所有权利和义务均应延长至新的截止日期和时间。投标人按招标人修改通知规定的时间提交投标文件。</w:t>
      </w:r>
    </w:p>
    <w:p w14:paraId="1865DD1E">
      <w:pPr>
        <w:pStyle w:val="48"/>
        <w:autoSpaceDE w:val="0"/>
        <w:autoSpaceDN w:val="0"/>
        <w:spacing w:line="360" w:lineRule="auto"/>
        <w:ind w:left="964" w:firstLine="0" w:firstLineChars="0"/>
        <w:contextualSpacing/>
        <w:rPr>
          <w:rFonts w:cs="宋体" w:asciiTheme="minorEastAsia" w:hAnsiTheme="minorEastAsia"/>
          <w:kern w:val="0"/>
          <w:szCs w:val="21"/>
        </w:rPr>
      </w:pPr>
    </w:p>
    <w:p w14:paraId="42DF3A84">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迟交的投标文件</w:t>
      </w:r>
    </w:p>
    <w:p w14:paraId="31728EB7">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投标截止时间之后上传的投标文件，招标人将拒绝接收。</w:t>
      </w:r>
    </w:p>
    <w:p w14:paraId="0FA2738F">
      <w:pPr>
        <w:autoSpaceDE w:val="0"/>
        <w:autoSpaceDN w:val="0"/>
        <w:spacing w:line="360" w:lineRule="auto"/>
        <w:ind w:left="964"/>
        <w:contextualSpacing/>
        <w:rPr>
          <w:rFonts w:cs="宋体" w:asciiTheme="minorEastAsia" w:hAnsiTheme="minorEastAsia"/>
          <w:kern w:val="0"/>
          <w:szCs w:val="21"/>
        </w:rPr>
      </w:pPr>
    </w:p>
    <w:p w14:paraId="3AEE83B6">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投标文件的修改和撤回</w:t>
      </w:r>
    </w:p>
    <w:p w14:paraId="473F091C">
      <w:pPr>
        <w:pStyle w:val="48"/>
        <w:numPr>
          <w:ilvl w:val="0"/>
          <w:numId w:val="1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投标人在投标截止时间前，对投标文件进行补充、修改或者撤回的，须书面通知招标人。</w:t>
      </w:r>
    </w:p>
    <w:p w14:paraId="0AE38646">
      <w:pPr>
        <w:autoSpaceDE w:val="0"/>
        <w:autoSpaceDN w:val="0"/>
        <w:spacing w:line="360" w:lineRule="auto"/>
        <w:ind w:left="964" w:firstLine="29"/>
        <w:contextualSpacing/>
        <w:rPr>
          <w:rFonts w:cs="宋体" w:asciiTheme="minorEastAsia" w:hAnsiTheme="minorEastAsia"/>
          <w:kern w:val="0"/>
          <w:szCs w:val="21"/>
        </w:rPr>
      </w:pPr>
      <w:r>
        <w:rPr>
          <w:rFonts w:hint="eastAsia" w:cs="宋体" w:asciiTheme="minorEastAsia" w:hAnsiTheme="minorEastAsia"/>
          <w:kern w:val="0"/>
          <w:szCs w:val="21"/>
        </w:rPr>
        <w:t>投标人应当在投标截止时间前完成电子投标文件的提交，可以补充、修改或撤回。投标截止时间前未完成电子投标文件提交的，视为撤回投标文件。</w:t>
      </w:r>
    </w:p>
    <w:p w14:paraId="3C89243F">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投标人补充、修改的内容并作为投标文件的组成部分。补充或修改应当按招标文件要求签署、盖章、提交，并应注明“修改</w:t>
      </w:r>
      <w:r>
        <w:rPr>
          <w:rFonts w:cs="宋体" w:asciiTheme="minorEastAsia" w:hAnsiTheme="minorEastAsia"/>
          <w:kern w:val="0"/>
          <w:szCs w:val="21"/>
        </w:rPr>
        <w:t>”</w:t>
      </w:r>
      <w:r>
        <w:rPr>
          <w:rFonts w:hint="eastAsia" w:cs="宋体" w:asciiTheme="minorEastAsia" w:hAnsiTheme="minorEastAsia"/>
          <w:kern w:val="0"/>
          <w:szCs w:val="21"/>
        </w:rPr>
        <w:t>或“补充</w:t>
      </w:r>
      <w:r>
        <w:rPr>
          <w:rFonts w:cs="宋体" w:asciiTheme="minorEastAsia" w:hAnsiTheme="minorEastAsia"/>
          <w:kern w:val="0"/>
          <w:szCs w:val="21"/>
        </w:rPr>
        <w:t>”</w:t>
      </w:r>
      <w:r>
        <w:rPr>
          <w:rFonts w:hint="eastAsia" w:cs="宋体" w:asciiTheme="minorEastAsia" w:hAnsiTheme="minorEastAsia"/>
          <w:kern w:val="0"/>
          <w:szCs w:val="21"/>
        </w:rPr>
        <w:t>字样。</w:t>
      </w:r>
    </w:p>
    <w:p w14:paraId="7A70320D">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投标人在提交投标文件后，可以撤回其投标，但投标人必须在规定的投标截止时间前以书面形式告知招标人。</w:t>
      </w:r>
    </w:p>
    <w:p w14:paraId="7FF61FD0">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投标人不得在投标有效期内撤销投标文件，否则投标人将承担违背投标承诺函的责任追究。</w:t>
      </w:r>
    </w:p>
    <w:p w14:paraId="66A91940">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除投标人须知前附表另有规定外，投标人所提交的电子投标文件不予退还。</w:t>
      </w:r>
    </w:p>
    <w:p w14:paraId="7E578729">
      <w:pPr>
        <w:autoSpaceDE w:val="0"/>
        <w:autoSpaceDN w:val="0"/>
        <w:spacing w:line="360" w:lineRule="auto"/>
        <w:contextualSpacing/>
        <w:rPr>
          <w:rFonts w:cs="宋体" w:asciiTheme="minorEastAsia" w:hAnsiTheme="minorEastAsia"/>
          <w:kern w:val="0"/>
          <w:szCs w:val="21"/>
        </w:rPr>
      </w:pPr>
    </w:p>
    <w:p w14:paraId="538D73EA">
      <w:pPr>
        <w:autoSpaceDE w:val="0"/>
        <w:autoSpaceDN w:val="0"/>
        <w:spacing w:line="360" w:lineRule="auto"/>
        <w:contextualSpacing/>
        <w:rPr>
          <w:rFonts w:cs="宋体" w:asciiTheme="minorEastAsia" w:hAnsiTheme="minorEastAsia"/>
          <w:kern w:val="0"/>
          <w:szCs w:val="21"/>
        </w:rPr>
      </w:pPr>
    </w:p>
    <w:p w14:paraId="10F8F254">
      <w:pPr>
        <w:autoSpaceDE w:val="0"/>
        <w:autoSpaceDN w:val="0"/>
        <w:spacing w:line="360" w:lineRule="auto"/>
        <w:contextualSpacing/>
        <w:rPr>
          <w:rFonts w:cs="宋体" w:asciiTheme="minorEastAsia" w:hAnsiTheme="minorEastAsia"/>
          <w:kern w:val="0"/>
          <w:szCs w:val="21"/>
        </w:rPr>
      </w:pPr>
    </w:p>
    <w:p w14:paraId="4D661AC7">
      <w:pPr>
        <w:autoSpaceDE w:val="0"/>
        <w:autoSpaceDN w:val="0"/>
        <w:spacing w:line="360" w:lineRule="auto"/>
        <w:contextualSpacing/>
        <w:rPr>
          <w:rFonts w:cs="宋体" w:asciiTheme="minorEastAsia" w:hAnsiTheme="minorEastAsia"/>
          <w:kern w:val="0"/>
          <w:szCs w:val="21"/>
        </w:rPr>
      </w:pPr>
    </w:p>
    <w:p w14:paraId="42B0DAD3">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五、开标和评标</w:t>
      </w:r>
    </w:p>
    <w:p w14:paraId="70488ECB">
      <w:pPr>
        <w:pStyle w:val="48"/>
        <w:numPr>
          <w:ilvl w:val="0"/>
          <w:numId w:val="10"/>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开标</w:t>
      </w:r>
    </w:p>
    <w:p w14:paraId="103B90A6">
      <w:pPr>
        <w:pStyle w:val="48"/>
        <w:numPr>
          <w:ilvl w:val="0"/>
          <w:numId w:val="1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招标人将按招标文件规定的时间和地点组织远程不见面开标。开标由代理机构主持，投标人无须到现场。评标委员会成员不得参加开标活动。</w:t>
      </w:r>
    </w:p>
    <w:p w14:paraId="4E1EAA2E">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招标人应当对开标、评标现场活动进行全程录音录像。录音录像应当清晰可辨，音像资料作为采购文件一并存档。</w:t>
      </w:r>
    </w:p>
    <w:p w14:paraId="2BDF3D68">
      <w:pPr>
        <w:pStyle w:val="48"/>
        <w:numPr>
          <w:ilvl w:val="1"/>
          <w:numId w:val="1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开标时，由代理机构开通远程不见面开标大厅及开启“文字互动”等功能；投标人、代理机构进行电子投标文件的解密。解密后</w:t>
      </w:r>
      <w:r>
        <w:rPr>
          <w:rFonts w:hint="eastAsia" w:asciiTheme="minorEastAsia" w:hAnsiTheme="minorEastAsia"/>
          <w:szCs w:val="21"/>
        </w:rPr>
        <w:t>投标人选择功能栏“开标记录”按钮可查看</w:t>
      </w:r>
      <w:r>
        <w:rPr>
          <w:rFonts w:hint="eastAsia" w:cs="宋体" w:asciiTheme="minorEastAsia" w:hAnsiTheme="minorEastAsia"/>
          <w:kern w:val="0"/>
          <w:szCs w:val="21"/>
        </w:rPr>
        <w:t>投标人名称、投标价格、修改和撤回投标的通知（如有的话）和招标文件规定的需要宣布的其他内容。</w:t>
      </w:r>
    </w:p>
    <w:p w14:paraId="1CFB40C2">
      <w:pPr>
        <w:pStyle w:val="48"/>
        <w:numPr>
          <w:ilvl w:val="1"/>
          <w:numId w:val="20"/>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电子投标文件的解密。全流程电子化交易项目电子投标文件采用双重加密。解密需分</w:t>
      </w:r>
    </w:p>
    <w:p w14:paraId="4D7977C3">
      <w:pPr>
        <w:autoSpaceDE w:val="0"/>
        <w:autoSpaceDN w:val="0"/>
        <w:spacing w:line="360" w:lineRule="auto"/>
        <w:ind w:left="1841" w:leftChars="671" w:hanging="432" w:hangingChars="206"/>
        <w:contextualSpacing/>
        <w:rPr>
          <w:rFonts w:cs="宋体" w:asciiTheme="minorEastAsia" w:hAnsiTheme="minorEastAsia"/>
          <w:kern w:val="0"/>
          <w:szCs w:val="21"/>
        </w:rPr>
      </w:pPr>
      <w:r>
        <w:rPr>
          <w:rFonts w:hint="eastAsia" w:cs="宋体" w:asciiTheme="minorEastAsia" w:hAnsiTheme="minorEastAsia"/>
          <w:kern w:val="0"/>
          <w:szCs w:val="21"/>
        </w:rPr>
        <w:t>标段进行两次解密。</w:t>
      </w:r>
    </w:p>
    <w:p w14:paraId="06A0F730">
      <w:pPr>
        <w:pStyle w:val="48"/>
        <w:numPr>
          <w:ilvl w:val="1"/>
          <w:numId w:val="21"/>
        </w:numPr>
        <w:autoSpaceDE w:val="0"/>
        <w:autoSpaceDN w:val="0"/>
        <w:spacing w:line="360" w:lineRule="auto"/>
        <w:ind w:left="1843" w:hanging="1843" w:firstLineChars="0"/>
        <w:contextualSpacing/>
        <w:rPr>
          <w:rFonts w:cs="宋体" w:asciiTheme="minorEastAsia" w:hAnsiTheme="minorEastAsia"/>
          <w:kern w:val="0"/>
          <w:szCs w:val="21"/>
        </w:rPr>
      </w:pPr>
      <w:r>
        <w:rPr>
          <w:rFonts w:hint="eastAsia" w:cs="宋体" w:asciiTheme="minorEastAsia" w:hAnsiTheme="minorEastAsia"/>
          <w:kern w:val="0"/>
          <w:szCs w:val="21"/>
        </w:rPr>
        <w:t>投标人解密：投标人使用本单位CA数字证书远程进行解密。</w:t>
      </w:r>
    </w:p>
    <w:p w14:paraId="6D11815D">
      <w:pPr>
        <w:autoSpaceDE w:val="0"/>
        <w:autoSpaceDN w:val="0"/>
        <w:spacing w:line="360" w:lineRule="auto"/>
        <w:ind w:left="1842" w:hanging="1841" w:hangingChars="877"/>
        <w:contextualSpacing/>
        <w:jc w:val="left"/>
        <w:rPr>
          <w:rFonts w:cs="宋体" w:asciiTheme="minorEastAsia" w:hAnsiTheme="minorEastAsia"/>
          <w:kern w:val="0"/>
          <w:szCs w:val="21"/>
        </w:rPr>
      </w:pPr>
      <w:r>
        <w:rPr>
          <w:rFonts w:hint="eastAsia" w:cs="宋体" w:asciiTheme="minorEastAsia" w:hAnsiTheme="minorEastAsia"/>
          <w:kern w:val="0"/>
          <w:szCs w:val="21"/>
        </w:rPr>
        <w:t>23.3.1.2         代理机构解密：代理机构</w:t>
      </w:r>
      <w:r>
        <w:rPr>
          <w:rFonts w:cs="宋体" w:asciiTheme="minorEastAsia" w:hAnsiTheme="minorEastAsia"/>
          <w:kern w:val="0"/>
          <w:szCs w:val="21"/>
        </w:rPr>
        <w:t>按</w:t>
      </w:r>
      <w:r>
        <w:rPr>
          <w:rFonts w:hint="eastAsia" w:cs="宋体" w:asciiTheme="minorEastAsia" w:hAnsiTheme="minorEastAsia"/>
          <w:kern w:val="0"/>
          <w:szCs w:val="21"/>
        </w:rPr>
        <w:t>电子</w:t>
      </w:r>
      <w:r>
        <w:rPr>
          <w:rFonts w:cs="宋体" w:asciiTheme="minorEastAsia" w:hAnsiTheme="minorEastAsia"/>
          <w:kern w:val="0"/>
          <w:szCs w:val="21"/>
        </w:rPr>
        <w:t>投标</w:t>
      </w:r>
      <w:r>
        <w:rPr>
          <w:rFonts w:hint="eastAsia" w:cs="宋体" w:asciiTheme="minorEastAsia" w:hAnsiTheme="minorEastAsia"/>
          <w:kern w:val="0"/>
          <w:szCs w:val="21"/>
        </w:rPr>
        <w:t>文件到达交易系统</w:t>
      </w:r>
      <w:r>
        <w:rPr>
          <w:rFonts w:cs="宋体" w:asciiTheme="minorEastAsia" w:hAnsiTheme="minorEastAsia"/>
          <w:kern w:val="0"/>
          <w:szCs w:val="21"/>
        </w:rPr>
        <w:t>的先后顺序</w:t>
      </w:r>
      <w:r>
        <w:rPr>
          <w:rFonts w:hint="eastAsia" w:cs="宋体" w:asciiTheme="minorEastAsia" w:hAnsiTheme="minorEastAsia"/>
          <w:kern w:val="0"/>
          <w:szCs w:val="21"/>
        </w:rPr>
        <w:t>，使用本单位CA数字证书进行再次解密。</w:t>
      </w:r>
    </w:p>
    <w:p w14:paraId="2BD44F68">
      <w:pPr>
        <w:pStyle w:val="48"/>
        <w:numPr>
          <w:ilvl w:val="1"/>
          <w:numId w:val="22"/>
        </w:numPr>
        <w:autoSpaceDE w:val="0"/>
        <w:autoSpaceDN w:val="0"/>
        <w:spacing w:line="360" w:lineRule="auto"/>
        <w:ind w:left="1843" w:hanging="1843" w:firstLineChars="0"/>
        <w:contextualSpacing/>
        <w:rPr>
          <w:rFonts w:cs="宋体" w:asciiTheme="minorEastAsia" w:hAnsiTheme="minorEastAsia"/>
          <w:kern w:val="0"/>
          <w:szCs w:val="21"/>
        </w:rPr>
      </w:pPr>
      <w:r>
        <w:rPr>
          <w:rFonts w:hint="eastAsia" w:cs="宋体" w:asciiTheme="minorEastAsia" w:hAnsiTheme="minorEastAsia"/>
          <w:kern w:val="0"/>
          <w:szCs w:val="21"/>
        </w:rPr>
        <w:t>因投标人原因电子投标文件解密失败的，其投标将被拒绝。</w:t>
      </w:r>
    </w:p>
    <w:p w14:paraId="76A8F1DE">
      <w:pPr>
        <w:pStyle w:val="48"/>
        <w:numPr>
          <w:ilvl w:val="1"/>
          <w:numId w:val="20"/>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投标人不足3家的，不得开标。</w:t>
      </w:r>
    </w:p>
    <w:p w14:paraId="17492A42">
      <w:pPr>
        <w:pStyle w:val="48"/>
        <w:numPr>
          <w:ilvl w:val="1"/>
          <w:numId w:val="2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开标过程由采购代理机构负责记录，</w:t>
      </w:r>
      <w:r>
        <w:rPr>
          <w:rFonts w:hint="eastAsia" w:hAnsi="宋体"/>
          <w:szCs w:val="21"/>
        </w:rPr>
        <w:t>《开标记录表》经投标人进行电子签章、</w:t>
      </w:r>
      <w:r>
        <w:rPr>
          <w:rFonts w:hint="eastAsia" w:cs="宋体" w:asciiTheme="minorEastAsia" w:hAnsiTheme="minorEastAsia"/>
          <w:kern w:val="0"/>
          <w:szCs w:val="21"/>
        </w:rPr>
        <w:t>由参加开标相关工作人员签字确认后随采购文件一并存档。</w:t>
      </w:r>
      <w:r>
        <w:rPr>
          <w:rFonts w:hint="eastAsia" w:hAnsi="宋体"/>
          <w:szCs w:val="21"/>
        </w:rPr>
        <w:t>投标人未电子签章的，视同认可开标结果。</w:t>
      </w:r>
    </w:p>
    <w:p w14:paraId="3EE05C4C">
      <w:pPr>
        <w:pStyle w:val="48"/>
        <w:numPr>
          <w:ilvl w:val="1"/>
          <w:numId w:val="2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投标人对开标过程和开标记录如有疑义，以及认为采购人、采购代理机构相关工作人员有需要回避的情形的，应在不见面开标大厅“文字互动”对话框或“新增质疑”处在线提出询问或者回避申请。采购人、采购代理机构对投标人代表提出的询问或者回避申请应当及时处理。</w:t>
      </w:r>
    </w:p>
    <w:p w14:paraId="70F66A88">
      <w:pPr>
        <w:pStyle w:val="48"/>
        <w:numPr>
          <w:ilvl w:val="1"/>
          <w:numId w:val="2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项目远程不见面开标活动结束时，投标人应在《开标记录表》上进行电子签章。投标人未签章的，视同认可开标结果。</w:t>
      </w:r>
    </w:p>
    <w:p w14:paraId="63A6DCE7">
      <w:pPr>
        <w:pStyle w:val="48"/>
        <w:autoSpaceDE w:val="0"/>
        <w:autoSpaceDN w:val="0"/>
        <w:spacing w:line="360" w:lineRule="auto"/>
        <w:ind w:left="964" w:firstLine="0" w:firstLineChars="0"/>
        <w:contextualSpacing/>
        <w:rPr>
          <w:rFonts w:cs="宋体" w:asciiTheme="minorEastAsia" w:hAnsiTheme="minorEastAsia"/>
          <w:kern w:val="0"/>
          <w:szCs w:val="21"/>
        </w:rPr>
      </w:pPr>
    </w:p>
    <w:p w14:paraId="358E2C44">
      <w:pPr>
        <w:pStyle w:val="48"/>
        <w:numPr>
          <w:ilvl w:val="0"/>
          <w:numId w:val="23"/>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资格审查</w:t>
      </w:r>
    </w:p>
    <w:p w14:paraId="32D3FF44">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开标结束后，采购人依法对投标人的资格进行审查。合格投标人不足3家的，不得评标。</w:t>
      </w:r>
    </w:p>
    <w:p w14:paraId="6E45FFF8">
      <w:pPr>
        <w:autoSpaceDE w:val="0"/>
        <w:autoSpaceDN w:val="0"/>
        <w:spacing w:line="360" w:lineRule="auto"/>
        <w:ind w:left="964"/>
        <w:contextualSpacing/>
        <w:rPr>
          <w:rFonts w:cs="宋体" w:asciiTheme="minorEastAsia" w:hAnsiTheme="minorEastAsia"/>
          <w:kern w:val="0"/>
          <w:szCs w:val="21"/>
        </w:rPr>
      </w:pPr>
    </w:p>
    <w:p w14:paraId="6E451CD4">
      <w:pPr>
        <w:pStyle w:val="48"/>
        <w:numPr>
          <w:ilvl w:val="0"/>
          <w:numId w:val="23"/>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评标委员会的组成</w:t>
      </w:r>
    </w:p>
    <w:p w14:paraId="3D79E968">
      <w:pPr>
        <w:pStyle w:val="48"/>
        <w:numPr>
          <w:ilvl w:val="0"/>
          <w:numId w:val="2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将依法组建评标委员会，评标委员会由采购人代表和评审专家组成，成员人数应当为5人以上单数，其中评审专家的人数不少于评标委员会成员总数的三分之二。评审专家依法从政府采购评审专家库中随机抽取。</w:t>
      </w:r>
    </w:p>
    <w:p w14:paraId="5521C56F">
      <w:pPr>
        <w:pStyle w:val="48"/>
        <w:numPr>
          <w:ilvl w:val="0"/>
          <w:numId w:val="25"/>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招标人将依法组建评标委员会，评标委员会由评审专家组成，成员人数应当为5人以上单数。评审专家依法从政府采购评审专家库中随机抽取。</w:t>
      </w:r>
    </w:p>
    <w:p w14:paraId="3D8C9E71">
      <w:pPr>
        <w:pStyle w:val="48"/>
        <w:numPr>
          <w:ilvl w:val="0"/>
          <w:numId w:val="25"/>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采购项目符合下列情形之一的，评标委员会成员人数应当为7人以上单数：</w:t>
      </w:r>
    </w:p>
    <w:p w14:paraId="0D4D4983">
      <w:pPr>
        <w:pStyle w:val="48"/>
        <w:numPr>
          <w:ilvl w:val="0"/>
          <w:numId w:val="26"/>
        </w:numPr>
        <w:autoSpaceDE w:val="0"/>
        <w:autoSpaceDN w:val="0"/>
        <w:spacing w:line="360" w:lineRule="auto"/>
        <w:ind w:left="1843" w:hanging="1843" w:firstLineChars="0"/>
        <w:contextualSpacing/>
        <w:rPr>
          <w:rFonts w:cs="宋体" w:asciiTheme="minorEastAsia" w:hAnsiTheme="minorEastAsia"/>
          <w:kern w:val="0"/>
          <w:szCs w:val="21"/>
        </w:rPr>
      </w:pPr>
      <w:r>
        <w:rPr>
          <w:rFonts w:hint="eastAsia" w:cs="宋体" w:asciiTheme="minorEastAsia" w:hAnsiTheme="minorEastAsia"/>
          <w:kern w:val="0"/>
          <w:szCs w:val="21"/>
        </w:rPr>
        <w:t xml:space="preserve">  采购预算金额在1000万元以上；</w:t>
      </w:r>
    </w:p>
    <w:p w14:paraId="69224E2A">
      <w:pPr>
        <w:pStyle w:val="48"/>
        <w:numPr>
          <w:ilvl w:val="0"/>
          <w:numId w:val="26"/>
        </w:numPr>
        <w:autoSpaceDE w:val="0"/>
        <w:autoSpaceDN w:val="0"/>
        <w:spacing w:line="360" w:lineRule="auto"/>
        <w:ind w:left="1843" w:hanging="1843" w:firstLineChars="0"/>
        <w:contextualSpacing/>
        <w:rPr>
          <w:rFonts w:cs="宋体" w:asciiTheme="minorEastAsia" w:hAnsiTheme="minorEastAsia"/>
          <w:kern w:val="0"/>
          <w:szCs w:val="21"/>
        </w:rPr>
      </w:pPr>
      <w:r>
        <w:rPr>
          <w:rFonts w:hint="eastAsia" w:cs="宋体" w:asciiTheme="minorEastAsia" w:hAnsiTheme="minorEastAsia"/>
          <w:kern w:val="0"/>
          <w:szCs w:val="21"/>
        </w:rPr>
        <w:t xml:space="preserve">  技术复杂；</w:t>
      </w:r>
    </w:p>
    <w:p w14:paraId="1C481366">
      <w:pPr>
        <w:pStyle w:val="48"/>
        <w:numPr>
          <w:ilvl w:val="0"/>
          <w:numId w:val="26"/>
        </w:numPr>
        <w:autoSpaceDE w:val="0"/>
        <w:autoSpaceDN w:val="0"/>
        <w:spacing w:line="360" w:lineRule="auto"/>
        <w:ind w:left="1843" w:hanging="1843" w:firstLineChars="0"/>
        <w:contextualSpacing/>
        <w:rPr>
          <w:rFonts w:cs="宋体" w:asciiTheme="minorEastAsia" w:hAnsiTheme="minorEastAsia"/>
          <w:kern w:val="0"/>
          <w:szCs w:val="21"/>
        </w:rPr>
      </w:pPr>
      <w:r>
        <w:rPr>
          <w:rFonts w:hint="eastAsia" w:cs="宋体" w:asciiTheme="minorEastAsia" w:hAnsiTheme="minorEastAsia"/>
          <w:kern w:val="0"/>
          <w:szCs w:val="21"/>
        </w:rPr>
        <w:t xml:space="preserve">  社会影响较大。</w:t>
      </w:r>
    </w:p>
    <w:p w14:paraId="12DA2A19">
      <w:pPr>
        <w:pStyle w:val="48"/>
        <w:numPr>
          <w:ilvl w:val="0"/>
          <w:numId w:val="25"/>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评审专家对本单位的采购项目只能作为采购人代表参与评标。采购代理机构工作人员不得参加由本机构代理的政府采购项目的评标。</w:t>
      </w:r>
    </w:p>
    <w:p w14:paraId="2059ED4C">
      <w:pPr>
        <w:pStyle w:val="48"/>
        <w:numPr>
          <w:ilvl w:val="0"/>
          <w:numId w:val="2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评审专家与投标人存在下列利害关系之一的,应当回避:</w:t>
      </w:r>
    </w:p>
    <w:p w14:paraId="6E68BC95">
      <w:pPr>
        <w:pStyle w:val="48"/>
        <w:numPr>
          <w:ilvl w:val="0"/>
          <w:numId w:val="2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参加采购活动前三年内,与供应商存在劳动关系,或者担任过供应商的董事、监事,或者是供应商的控股股东或实际控制人；</w:t>
      </w:r>
    </w:p>
    <w:p w14:paraId="1F684F2F">
      <w:pPr>
        <w:pStyle w:val="48"/>
        <w:numPr>
          <w:ilvl w:val="0"/>
          <w:numId w:val="2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与供应商的法定代表人或者负责人有夫妻、直系血亲、三代以内旁系血亲或者近姻亲关系；</w:t>
      </w:r>
    </w:p>
    <w:p w14:paraId="7B9C65C2">
      <w:pPr>
        <w:pStyle w:val="48"/>
        <w:numPr>
          <w:ilvl w:val="0"/>
          <w:numId w:val="2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与供应商有其他可能影响政府采购活动公平、公正进行的关系。</w:t>
      </w:r>
    </w:p>
    <w:p w14:paraId="4335E94E">
      <w:pPr>
        <w:pStyle w:val="48"/>
        <w:numPr>
          <w:ilvl w:val="1"/>
          <w:numId w:val="2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评审专家发现本人与参加采购活动的供应商有利害关系的,应当主动提出回避。采购人或者代理机构发现评审专家与参加采购活动的供应商有利害关系的,应当要求其回避。</w:t>
      </w:r>
    </w:p>
    <w:p w14:paraId="0238DB06">
      <w:pPr>
        <w:pStyle w:val="48"/>
        <w:numPr>
          <w:ilvl w:val="1"/>
          <w:numId w:val="2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采购人不得担任评标小组长。</w:t>
      </w:r>
    </w:p>
    <w:p w14:paraId="7DB03D83">
      <w:pPr>
        <w:pStyle w:val="48"/>
        <w:numPr>
          <w:ilvl w:val="1"/>
          <w:numId w:val="2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采购人可以在评标前说明项目背景和采购需求，说明内容不得含有歧视性、倾向性意见，不得超出招标文件所述范围。说明应当提交书面材料，并随采购文件一并存档。</w:t>
      </w:r>
    </w:p>
    <w:p w14:paraId="3080CC49">
      <w:pPr>
        <w:pStyle w:val="48"/>
        <w:numPr>
          <w:ilvl w:val="1"/>
          <w:numId w:val="2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评标委员会成员名单在评标结果公告前应当保密。</w:t>
      </w:r>
    </w:p>
    <w:p w14:paraId="6CC98CC7">
      <w:pPr>
        <w:autoSpaceDE w:val="0"/>
        <w:autoSpaceDN w:val="0"/>
        <w:spacing w:line="360" w:lineRule="auto"/>
        <w:ind w:left="420"/>
        <w:contextualSpacing/>
        <w:rPr>
          <w:rFonts w:cs="宋体" w:asciiTheme="minorEastAsia" w:hAnsiTheme="minorEastAsia"/>
          <w:kern w:val="0"/>
          <w:szCs w:val="21"/>
        </w:rPr>
      </w:pPr>
    </w:p>
    <w:p w14:paraId="24957B5D">
      <w:pPr>
        <w:pStyle w:val="48"/>
        <w:numPr>
          <w:ilvl w:val="0"/>
          <w:numId w:val="29"/>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符合性审查</w:t>
      </w:r>
    </w:p>
    <w:p w14:paraId="282C83F6">
      <w:pPr>
        <w:pStyle w:val="48"/>
        <w:numPr>
          <w:ilvl w:val="0"/>
          <w:numId w:val="3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评标委员会依据有关法律法规和招标文件的规定，对符合资格的投标人的投标文件进行符合性审查，以确定其是否满足招标文件的实质性要求。</w:t>
      </w:r>
    </w:p>
    <w:p w14:paraId="3782C3B5">
      <w:pPr>
        <w:pStyle w:val="48"/>
        <w:numPr>
          <w:ilvl w:val="1"/>
          <w:numId w:val="3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审查、评价投标文件是否符合招标文件的商务、技术等实质性要求。</w:t>
      </w:r>
    </w:p>
    <w:p w14:paraId="2B0168C8">
      <w:pPr>
        <w:pStyle w:val="48"/>
        <w:numPr>
          <w:ilvl w:val="1"/>
          <w:numId w:val="3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可要求投标人对投标文件有关事项作出澄清或者说明。</w:t>
      </w:r>
    </w:p>
    <w:p w14:paraId="4BA9169E">
      <w:pPr>
        <w:pStyle w:val="48"/>
        <w:autoSpaceDE w:val="0"/>
        <w:autoSpaceDN w:val="0"/>
        <w:spacing w:line="360" w:lineRule="auto"/>
        <w:ind w:left="964" w:firstLine="0" w:firstLineChars="0"/>
        <w:contextualSpacing/>
        <w:rPr>
          <w:rFonts w:cs="宋体" w:asciiTheme="minorEastAsia" w:hAnsiTheme="minorEastAsia"/>
          <w:kern w:val="0"/>
          <w:szCs w:val="21"/>
        </w:rPr>
      </w:pPr>
    </w:p>
    <w:p w14:paraId="0B6D23AD">
      <w:pPr>
        <w:pStyle w:val="48"/>
        <w:numPr>
          <w:ilvl w:val="0"/>
          <w:numId w:val="31"/>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投标文件的澄清</w:t>
      </w:r>
    </w:p>
    <w:p w14:paraId="54389CAF">
      <w:pPr>
        <w:pStyle w:val="48"/>
        <w:numPr>
          <w:ilvl w:val="0"/>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对于投标文件中含义不明确、同类问题表述不一致或者有明显文字和计算错误的内容，评标委员会应当以书面形式要求投标人作出必要的澄清、说明或者补正。</w:t>
      </w:r>
    </w:p>
    <w:p w14:paraId="5E6BEE42">
      <w:pPr>
        <w:pStyle w:val="48"/>
        <w:numPr>
          <w:ilvl w:val="0"/>
          <w:numId w:val="3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投标人的澄清、说明或者补正应当采用书面形式，并加盖公章，或者由法定代表人或其授权的代表签字。投标人的澄清、说明或者补正不得超出投标文件的范围或者改变投标文件的实质性内容。</w:t>
      </w:r>
    </w:p>
    <w:p w14:paraId="3F1A8431">
      <w:pPr>
        <w:pStyle w:val="48"/>
        <w:numPr>
          <w:ilvl w:val="0"/>
          <w:numId w:val="3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投标人的澄清文件是其投标文件的组成部分。</w:t>
      </w:r>
    </w:p>
    <w:p w14:paraId="21B89CF7">
      <w:pPr>
        <w:pStyle w:val="48"/>
        <w:autoSpaceDE w:val="0"/>
        <w:autoSpaceDN w:val="0"/>
        <w:spacing w:line="360" w:lineRule="auto"/>
        <w:ind w:left="964" w:firstLine="0" w:firstLineChars="0"/>
        <w:contextualSpacing/>
        <w:rPr>
          <w:rFonts w:cs="宋体" w:asciiTheme="minorEastAsia" w:hAnsiTheme="minorEastAsia"/>
          <w:kern w:val="0"/>
          <w:szCs w:val="21"/>
        </w:rPr>
      </w:pPr>
    </w:p>
    <w:p w14:paraId="04401098">
      <w:pPr>
        <w:pStyle w:val="48"/>
        <w:numPr>
          <w:ilvl w:val="0"/>
          <w:numId w:val="31"/>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投标文件报价出现前后不一致的修正</w:t>
      </w:r>
    </w:p>
    <w:p w14:paraId="67AB6395">
      <w:pPr>
        <w:pStyle w:val="48"/>
        <w:numPr>
          <w:ilvl w:val="0"/>
          <w:numId w:val="3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投标文件中开标一览表(报价表)内容与投标文件中相应内容不一致的，以开标一览表(报价表)为准；</w:t>
      </w:r>
    </w:p>
    <w:p w14:paraId="281390D5">
      <w:pPr>
        <w:pStyle w:val="48"/>
        <w:numPr>
          <w:ilvl w:val="0"/>
          <w:numId w:val="3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大写金额和小写金额不一致的，以大写金额为准；</w:t>
      </w:r>
    </w:p>
    <w:p w14:paraId="6FD648BA">
      <w:pPr>
        <w:pStyle w:val="48"/>
        <w:numPr>
          <w:ilvl w:val="0"/>
          <w:numId w:val="3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单价金额小数点或者百分比有明显错位的，以开标一览表的总价为准，并修改单价；</w:t>
      </w:r>
    </w:p>
    <w:p w14:paraId="7E8B499F">
      <w:pPr>
        <w:pStyle w:val="48"/>
        <w:numPr>
          <w:ilvl w:val="0"/>
          <w:numId w:val="3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总价金额与按单价汇总金额不一致的，以单价金额计算结果为准。同时出现两种以上不一致的，按照前款规定的顺序修正。修正后的报价按照“投标人须知”28.2规定经投标人确认后产生约束力，投标人不确认的，其投标无效。</w:t>
      </w:r>
    </w:p>
    <w:p w14:paraId="0630840E">
      <w:pPr>
        <w:autoSpaceDE w:val="0"/>
        <w:autoSpaceDN w:val="0"/>
        <w:spacing w:line="360" w:lineRule="auto"/>
        <w:ind w:left="964"/>
        <w:contextualSpacing/>
        <w:rPr>
          <w:rFonts w:cs="宋体" w:asciiTheme="minorEastAsia" w:hAnsiTheme="minorEastAsia"/>
          <w:kern w:val="0"/>
          <w:szCs w:val="21"/>
        </w:rPr>
      </w:pPr>
    </w:p>
    <w:p w14:paraId="7837A5F7">
      <w:pPr>
        <w:pStyle w:val="48"/>
        <w:numPr>
          <w:ilvl w:val="0"/>
          <w:numId w:val="31"/>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投标无效情形</w:t>
      </w:r>
    </w:p>
    <w:p w14:paraId="619CFA2E">
      <w:pPr>
        <w:pStyle w:val="48"/>
        <w:numPr>
          <w:ilvl w:val="0"/>
          <w:numId w:val="3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投标文件属下列情况之一的，按照无效投标处理：</w:t>
      </w:r>
    </w:p>
    <w:p w14:paraId="2A3528FD">
      <w:pPr>
        <w:pStyle w:val="48"/>
        <w:numPr>
          <w:ilvl w:val="0"/>
          <w:numId w:val="37"/>
        </w:numPr>
        <w:autoSpaceDE w:val="0"/>
        <w:autoSpaceDN w:val="0"/>
        <w:spacing w:line="360" w:lineRule="auto"/>
        <w:ind w:left="1418" w:hanging="1418" w:firstLineChars="0"/>
        <w:contextualSpacing/>
        <w:rPr>
          <w:rFonts w:cs="宋体" w:asciiTheme="minorEastAsia" w:hAnsiTheme="minorEastAsia"/>
          <w:color w:val="FF0000"/>
          <w:kern w:val="0"/>
          <w:szCs w:val="21"/>
        </w:rPr>
      </w:pPr>
      <w:r>
        <w:rPr>
          <w:rFonts w:hint="eastAsia" w:cs="宋体" w:asciiTheme="minorEastAsia" w:hAnsiTheme="minorEastAsia"/>
          <w:color w:val="FF0000"/>
          <w:kern w:val="0"/>
          <w:szCs w:val="21"/>
        </w:rPr>
        <w:t>未按照招标文件的规定提交《禹州市政府采购供应商信用承诺函》的；</w:t>
      </w:r>
    </w:p>
    <w:p w14:paraId="53E1FB50">
      <w:pPr>
        <w:pStyle w:val="48"/>
        <w:numPr>
          <w:ilvl w:val="0"/>
          <w:numId w:val="37"/>
        </w:numPr>
        <w:autoSpaceDE w:val="0"/>
        <w:autoSpaceDN w:val="0"/>
        <w:spacing w:line="360" w:lineRule="auto"/>
        <w:ind w:left="1418" w:hanging="1418" w:firstLineChars="0"/>
        <w:contextualSpacing/>
        <w:rPr>
          <w:rFonts w:cs="宋体" w:asciiTheme="minorEastAsia" w:hAnsiTheme="minorEastAsia"/>
          <w:color w:val="FF0000"/>
          <w:kern w:val="0"/>
          <w:szCs w:val="21"/>
        </w:rPr>
      </w:pPr>
      <w:r>
        <w:rPr>
          <w:rFonts w:hint="eastAsia" w:cs="宋体" w:asciiTheme="minorEastAsia" w:hAnsiTheme="minorEastAsia"/>
          <w:color w:val="FF0000"/>
          <w:kern w:val="0"/>
          <w:szCs w:val="21"/>
        </w:rPr>
        <w:t>未按照招标文件的规定提交投标承诺函的；</w:t>
      </w:r>
    </w:p>
    <w:p w14:paraId="036539CD">
      <w:pPr>
        <w:pStyle w:val="48"/>
        <w:numPr>
          <w:ilvl w:val="0"/>
          <w:numId w:val="37"/>
        </w:numPr>
        <w:autoSpaceDE w:val="0"/>
        <w:autoSpaceDN w:val="0"/>
        <w:spacing w:line="360" w:lineRule="auto"/>
        <w:ind w:left="1418" w:hanging="1418" w:firstLineChars="0"/>
        <w:contextualSpacing/>
        <w:rPr>
          <w:rFonts w:cs="宋体" w:asciiTheme="minorEastAsia" w:hAnsiTheme="minorEastAsia"/>
          <w:color w:val="FF0000"/>
          <w:kern w:val="0"/>
          <w:szCs w:val="21"/>
        </w:rPr>
      </w:pPr>
      <w:r>
        <w:rPr>
          <w:rFonts w:hint="eastAsia" w:cs="宋体" w:asciiTheme="minorEastAsia" w:hAnsiTheme="minorEastAsia"/>
          <w:color w:val="FF0000"/>
          <w:kern w:val="0"/>
          <w:szCs w:val="21"/>
        </w:rPr>
        <w:t>投标文件未按招标文件要求签署、盖章的；</w:t>
      </w:r>
    </w:p>
    <w:p w14:paraId="6574AE6D">
      <w:pPr>
        <w:pStyle w:val="48"/>
        <w:numPr>
          <w:ilvl w:val="0"/>
          <w:numId w:val="37"/>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报价超过招标文件中规定的预算金额或者最高限价的；</w:t>
      </w:r>
    </w:p>
    <w:p w14:paraId="59FE46C8">
      <w:pPr>
        <w:pStyle w:val="48"/>
        <w:numPr>
          <w:ilvl w:val="0"/>
          <w:numId w:val="37"/>
        </w:numPr>
        <w:autoSpaceDE w:val="0"/>
        <w:autoSpaceDN w:val="0"/>
        <w:spacing w:line="360" w:lineRule="auto"/>
        <w:ind w:left="1418" w:hanging="1418" w:firstLineChars="0"/>
        <w:contextualSpacing/>
        <w:rPr>
          <w:rFonts w:cs="宋体" w:asciiTheme="minorEastAsia" w:hAnsiTheme="minorEastAsia"/>
          <w:kern w:val="0"/>
          <w:szCs w:val="21"/>
        </w:rPr>
      </w:pPr>
      <w:r>
        <w:rPr>
          <w:rFonts w:cs="宋体" w:asciiTheme="minorEastAsia" w:hAnsiTheme="minorEastAsia"/>
          <w:kern w:val="0"/>
          <w:szCs w:val="21"/>
        </w:rPr>
        <w:t>投标文件含有采购人不能接受的附加条件的</w:t>
      </w:r>
      <w:r>
        <w:rPr>
          <w:rFonts w:hint="eastAsia" w:cs="宋体" w:asciiTheme="minorEastAsia" w:hAnsiTheme="minorEastAsia"/>
          <w:kern w:val="0"/>
          <w:szCs w:val="21"/>
        </w:rPr>
        <w:t>。</w:t>
      </w:r>
    </w:p>
    <w:p w14:paraId="7F29C597">
      <w:pPr>
        <w:pStyle w:val="48"/>
        <w:numPr>
          <w:ilvl w:val="0"/>
          <w:numId w:val="3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根据《河南省财政厅关于防范供应商串通投标促进政府采购公平竞争的通知》（豫财购﹝2021﹞6号）要求，参与同一个标段的供应商存在下列情形之一的，其投标文件无效：</w:t>
      </w:r>
    </w:p>
    <w:p w14:paraId="5F677BFE">
      <w:pPr>
        <w:pStyle w:val="48"/>
        <w:numPr>
          <w:ilvl w:val="0"/>
          <w:numId w:val="39"/>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不同供应商的电子投标文件上传计算机的网卡MAC地址、CPU序列号和硬盘序列号等硬件信息相同的；</w:t>
      </w:r>
    </w:p>
    <w:p w14:paraId="042CEB3B">
      <w:pPr>
        <w:pStyle w:val="48"/>
        <w:numPr>
          <w:ilvl w:val="0"/>
          <w:numId w:val="40"/>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不同供应商的投标文件由同一电子设备编制、打印加密或者上传；</w:t>
      </w:r>
    </w:p>
    <w:p w14:paraId="74490900">
      <w:pPr>
        <w:pStyle w:val="48"/>
        <w:numPr>
          <w:ilvl w:val="0"/>
          <w:numId w:val="41"/>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不同供应商的投标文件由同一电子设备打印、复印；</w:t>
      </w:r>
    </w:p>
    <w:p w14:paraId="66687AF4">
      <w:pPr>
        <w:pStyle w:val="48"/>
        <w:numPr>
          <w:ilvl w:val="0"/>
          <w:numId w:val="42"/>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不同供应商的投标文件由同一人送达或者分发，或者不同供应商联系人为同一人或不同联系人的联系电话一致的；</w:t>
      </w:r>
    </w:p>
    <w:p w14:paraId="05EFE252">
      <w:pPr>
        <w:pStyle w:val="48"/>
        <w:numPr>
          <w:ilvl w:val="0"/>
          <w:numId w:val="4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不同供应商的投标文件的内容存在两处以上细节错误一致；</w:t>
      </w:r>
    </w:p>
    <w:p w14:paraId="4A217BB8">
      <w:pPr>
        <w:pStyle w:val="48"/>
        <w:numPr>
          <w:ilvl w:val="0"/>
          <w:numId w:val="44"/>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不同供应商的法定代表人、委托代理人、项目经理、项目负责人等由同一个单位缴纳社会保险或者领取报酬的；</w:t>
      </w:r>
    </w:p>
    <w:p w14:paraId="72CD9736">
      <w:pPr>
        <w:pStyle w:val="48"/>
        <w:numPr>
          <w:ilvl w:val="0"/>
          <w:numId w:val="45"/>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不同供应商投标文件中法定代表人或者负责人签字出自同一人之手；</w:t>
      </w:r>
    </w:p>
    <w:p w14:paraId="23F4A787">
      <w:pPr>
        <w:pStyle w:val="48"/>
        <w:numPr>
          <w:ilvl w:val="0"/>
          <w:numId w:val="46"/>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其它涉嫌串通的情形。</w:t>
      </w:r>
    </w:p>
    <w:p w14:paraId="372D30B4">
      <w:pPr>
        <w:pStyle w:val="48"/>
        <w:numPr>
          <w:ilvl w:val="0"/>
          <w:numId w:val="4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有下列情形之一的，视为投标人串通投标，其投标无效：</w:t>
      </w:r>
    </w:p>
    <w:p w14:paraId="0948C410">
      <w:pPr>
        <w:pStyle w:val="48"/>
        <w:numPr>
          <w:ilvl w:val="0"/>
          <w:numId w:val="4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不同投标人的投标文件由同一单位或者个人编制；</w:t>
      </w:r>
    </w:p>
    <w:p w14:paraId="42F5B753">
      <w:pPr>
        <w:pStyle w:val="48"/>
        <w:numPr>
          <w:ilvl w:val="0"/>
          <w:numId w:val="49"/>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不同投标人委托同一单位或者个人办理投标事宜；</w:t>
      </w:r>
    </w:p>
    <w:p w14:paraId="61DF0BA0">
      <w:pPr>
        <w:pStyle w:val="48"/>
        <w:numPr>
          <w:ilvl w:val="0"/>
          <w:numId w:val="50"/>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不同投标人的投标文件载明的项目管理成员或者联系人员为同一人；</w:t>
      </w:r>
    </w:p>
    <w:p w14:paraId="365AA19E">
      <w:pPr>
        <w:pStyle w:val="48"/>
        <w:numPr>
          <w:ilvl w:val="0"/>
          <w:numId w:val="51"/>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不同投标人的投标文件异常一致或者投标报价呈规律性差异；</w:t>
      </w:r>
    </w:p>
    <w:p w14:paraId="3E98E78C">
      <w:pPr>
        <w:pStyle w:val="48"/>
        <w:numPr>
          <w:ilvl w:val="0"/>
          <w:numId w:val="52"/>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不同投标人的投标文件相互混装。</w:t>
      </w:r>
    </w:p>
    <w:p w14:paraId="392BF6D2">
      <w:pPr>
        <w:pStyle w:val="48"/>
        <w:numPr>
          <w:ilvl w:val="0"/>
          <w:numId w:val="5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252D5BA5">
      <w:pPr>
        <w:pStyle w:val="48"/>
        <w:numPr>
          <w:ilvl w:val="0"/>
          <w:numId w:val="5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标委员会认为投标人的报价明显低于其他通过符合性审查投标人的报价，有可能影响产品质量或者不能诚信履约的，应当要求其在评标期间合理的时间内提供书面说明，必要时提交相关证明材料；投标人不能证明其报价合理性的，评标委员会应当将其作为无效投标处理。</w:t>
      </w:r>
    </w:p>
    <w:p w14:paraId="1ECA6BB5">
      <w:pPr>
        <w:pStyle w:val="48"/>
        <w:numPr>
          <w:ilvl w:val="0"/>
          <w:numId w:val="55"/>
        </w:numPr>
        <w:autoSpaceDE w:val="0"/>
        <w:autoSpaceDN w:val="0"/>
        <w:spacing w:line="360" w:lineRule="auto"/>
        <w:ind w:hanging="964" w:firstLineChars="0"/>
        <w:contextualSpacing/>
        <w:rPr>
          <w:rFonts w:cs="宋体" w:asciiTheme="minorEastAsia" w:hAnsiTheme="minorEastAsia"/>
          <w:kern w:val="0"/>
          <w:szCs w:val="21"/>
        </w:rPr>
      </w:pPr>
      <w:r>
        <w:rPr>
          <w:rFonts w:hint="eastAsia" w:ascii="ˎ̥" w:hAnsi="ˎ̥"/>
        </w:rPr>
        <w:t>按照《关于推进全流程电子化交易和在线监管工作有关问题的通知》（许公管办[2019]3号）规定，不同投标人电子投标文件记录的网卡MAC地址、CPU序号、硬盘序列号等硬件特征码均相同时，视为‘</w:t>
      </w:r>
      <w:r>
        <w:rPr>
          <w:rFonts w:ascii="ˎ̥" w:hAnsi="ˎ̥"/>
        </w:rPr>
        <w:t>不同</w:t>
      </w:r>
      <w:r>
        <w:rPr>
          <w:rFonts w:hint="eastAsia" w:ascii="ˎ̥" w:hAnsi="ˎ̥"/>
        </w:rPr>
        <w:t>投标人</w:t>
      </w:r>
      <w:r>
        <w:rPr>
          <w:rFonts w:ascii="ˎ̥" w:hAnsi="ˎ̥"/>
        </w:rPr>
        <w:t>的</w:t>
      </w:r>
      <w:r>
        <w:rPr>
          <w:rFonts w:hint="eastAsia" w:ascii="ˎ̥" w:hAnsi="ˎ̥"/>
        </w:rPr>
        <w:t>投标</w:t>
      </w:r>
      <w:r>
        <w:rPr>
          <w:rFonts w:ascii="ˎ̥" w:hAnsi="ˎ̥"/>
        </w:rPr>
        <w:t>文件由同一单位或者个人编制</w:t>
      </w:r>
      <w:r>
        <w:rPr>
          <w:rFonts w:hint="eastAsia" w:ascii="ˎ̥" w:hAnsi="ˎ̥"/>
        </w:rPr>
        <w:t>’或‘</w:t>
      </w:r>
      <w:r>
        <w:rPr>
          <w:rFonts w:ascii="ˎ̥" w:hAnsi="ˎ̥"/>
        </w:rPr>
        <w:t>不同</w:t>
      </w:r>
      <w:r>
        <w:rPr>
          <w:rFonts w:hint="eastAsia" w:ascii="ˎ̥" w:hAnsi="ˎ̥"/>
        </w:rPr>
        <w:t>投标人</w:t>
      </w:r>
      <w:r>
        <w:rPr>
          <w:rFonts w:ascii="ˎ̥" w:hAnsi="ˎ̥"/>
        </w:rPr>
        <w:t>委托同一单位或者个人办理</w:t>
      </w:r>
      <w:r>
        <w:rPr>
          <w:rFonts w:hint="eastAsia" w:ascii="ˎ̥" w:hAnsi="ˎ̥"/>
        </w:rPr>
        <w:t>响应</w:t>
      </w:r>
      <w:r>
        <w:rPr>
          <w:rFonts w:ascii="ˎ̥" w:hAnsi="ˎ̥"/>
        </w:rPr>
        <w:t>事宜</w:t>
      </w:r>
      <w:r>
        <w:rPr>
          <w:rFonts w:hint="eastAsia" w:ascii="ˎ̥" w:hAnsi="ˎ̥"/>
        </w:rPr>
        <w:t>’，其投标无效。</w:t>
      </w:r>
    </w:p>
    <w:p w14:paraId="55A2A48B">
      <w:pPr>
        <w:pStyle w:val="48"/>
        <w:numPr>
          <w:ilvl w:val="0"/>
          <w:numId w:val="5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法</w:t>
      </w:r>
      <w:r>
        <w:rPr>
          <w:rFonts w:cs="宋体" w:asciiTheme="minorEastAsia" w:hAnsiTheme="minorEastAsia"/>
          <w:kern w:val="0"/>
          <w:szCs w:val="21"/>
        </w:rPr>
        <w:t>律、法规和招标文件规定的其他无效情形。</w:t>
      </w:r>
    </w:p>
    <w:p w14:paraId="5544F173">
      <w:pPr>
        <w:pStyle w:val="48"/>
        <w:autoSpaceDE w:val="0"/>
        <w:autoSpaceDN w:val="0"/>
        <w:spacing w:line="360" w:lineRule="auto"/>
        <w:ind w:left="964" w:firstLine="0" w:firstLineChars="0"/>
        <w:contextualSpacing/>
        <w:rPr>
          <w:rFonts w:cs="宋体" w:asciiTheme="minorEastAsia" w:hAnsiTheme="minorEastAsia"/>
          <w:kern w:val="0"/>
          <w:szCs w:val="21"/>
        </w:rPr>
      </w:pPr>
    </w:p>
    <w:p w14:paraId="61442BFE">
      <w:pPr>
        <w:pStyle w:val="48"/>
        <w:numPr>
          <w:ilvl w:val="0"/>
          <w:numId w:val="31"/>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相同品牌投标人的认定</w:t>
      </w:r>
      <w:r>
        <w:rPr>
          <w:rFonts w:cs="仿宋_GB2312" w:asciiTheme="minorEastAsia" w:hAnsiTheme="minorEastAsia"/>
          <w:b/>
          <w:bCs/>
          <w:szCs w:val="21"/>
          <w:lang w:val="zh-CN"/>
        </w:rPr>
        <w:t>（服务类项目不适用本条款规定）</w:t>
      </w:r>
    </w:p>
    <w:p w14:paraId="5A4375BE">
      <w:pPr>
        <w:pStyle w:val="48"/>
        <w:numPr>
          <w:ilvl w:val="0"/>
          <w:numId w:val="5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B361D08">
      <w:pPr>
        <w:pStyle w:val="48"/>
        <w:numPr>
          <w:ilvl w:val="0"/>
          <w:numId w:val="5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96CC093">
      <w:pPr>
        <w:pStyle w:val="48"/>
        <w:autoSpaceDE w:val="0"/>
        <w:autoSpaceDN w:val="0"/>
        <w:spacing w:line="360" w:lineRule="auto"/>
        <w:ind w:left="964" w:firstLine="0" w:firstLineChars="0"/>
        <w:contextualSpacing/>
        <w:rPr>
          <w:rFonts w:cs="宋体" w:asciiTheme="minorEastAsia" w:hAnsiTheme="minorEastAsia"/>
          <w:kern w:val="0"/>
          <w:szCs w:val="21"/>
        </w:rPr>
      </w:pPr>
    </w:p>
    <w:p w14:paraId="4C1FEA52">
      <w:pPr>
        <w:pStyle w:val="48"/>
        <w:numPr>
          <w:ilvl w:val="0"/>
          <w:numId w:val="31"/>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投标文件的比较与评价</w:t>
      </w:r>
    </w:p>
    <w:p w14:paraId="6F05D64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评标委员会按照招标文件中规定的评标方法和标准，对符合性审查合格的投标文件进行商务和技术评估，综合比较与评价。</w:t>
      </w:r>
    </w:p>
    <w:p w14:paraId="69FB66F2">
      <w:pPr>
        <w:autoSpaceDE w:val="0"/>
        <w:autoSpaceDN w:val="0"/>
        <w:spacing w:line="360" w:lineRule="auto"/>
        <w:ind w:left="964"/>
        <w:contextualSpacing/>
        <w:rPr>
          <w:rFonts w:cs="宋体" w:asciiTheme="minorEastAsia" w:hAnsiTheme="minorEastAsia"/>
          <w:kern w:val="0"/>
          <w:szCs w:val="21"/>
        </w:rPr>
      </w:pPr>
    </w:p>
    <w:p w14:paraId="2C19607E">
      <w:pPr>
        <w:pStyle w:val="48"/>
        <w:numPr>
          <w:ilvl w:val="0"/>
          <w:numId w:val="31"/>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评标方法、评标标准</w:t>
      </w:r>
    </w:p>
    <w:p w14:paraId="2373F016">
      <w:pPr>
        <w:pStyle w:val="48"/>
        <w:numPr>
          <w:ilvl w:val="0"/>
          <w:numId w:val="5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评标方法分为最低评标价法和综合评分法。</w:t>
      </w:r>
    </w:p>
    <w:p w14:paraId="3CA03EED">
      <w:pPr>
        <w:pStyle w:val="48"/>
        <w:numPr>
          <w:ilvl w:val="0"/>
          <w:numId w:val="60"/>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最低评标价法</w:t>
      </w:r>
    </w:p>
    <w:p w14:paraId="5F6FD88D">
      <w:pPr>
        <w:pStyle w:val="48"/>
        <w:numPr>
          <w:ilvl w:val="0"/>
          <w:numId w:val="61"/>
        </w:numPr>
        <w:autoSpaceDE w:val="0"/>
        <w:autoSpaceDN w:val="0"/>
        <w:spacing w:line="360" w:lineRule="auto"/>
        <w:ind w:left="1841" w:leftChars="1" w:hanging="1839" w:hangingChars="876"/>
        <w:contextualSpacing/>
        <w:rPr>
          <w:rFonts w:cs="宋体" w:asciiTheme="minorEastAsia" w:hAnsiTheme="minorEastAsia"/>
          <w:kern w:val="0"/>
          <w:szCs w:val="21"/>
        </w:rPr>
      </w:pPr>
      <w:r>
        <w:rPr>
          <w:rFonts w:hint="eastAsia" w:cs="宋体" w:asciiTheme="minorEastAsia" w:hAnsiTheme="minorEastAsia"/>
          <w:kern w:val="0"/>
          <w:szCs w:val="21"/>
        </w:rPr>
        <w:t>最低评标价法，是指投标文件满足招标文件全部实质性要求，且投标报价最低的投标人为中标候选人的评标方法。</w:t>
      </w:r>
    </w:p>
    <w:p w14:paraId="45A26A13">
      <w:pPr>
        <w:pStyle w:val="48"/>
        <w:numPr>
          <w:ilvl w:val="0"/>
          <w:numId w:val="61"/>
        </w:numPr>
        <w:autoSpaceDE w:val="0"/>
        <w:autoSpaceDN w:val="0"/>
        <w:spacing w:line="360" w:lineRule="auto"/>
        <w:ind w:left="1841" w:leftChars="1" w:hanging="1839" w:hangingChars="876"/>
        <w:contextualSpacing/>
        <w:rPr>
          <w:rFonts w:cs="宋体" w:asciiTheme="minorEastAsia" w:hAnsiTheme="minorEastAsia"/>
          <w:kern w:val="0"/>
          <w:szCs w:val="21"/>
        </w:rPr>
      </w:pPr>
      <w:r>
        <w:rPr>
          <w:rFonts w:hint="eastAsia" w:cs="宋体" w:asciiTheme="minorEastAsia" w:hAnsiTheme="minorEastAsia"/>
          <w:kern w:val="0"/>
          <w:szCs w:val="21"/>
        </w:rPr>
        <w:t>采用最低评标价法评标时，除了算术修正和落实政府采购政策需进行的价格扣除外，不能对投标人的投标价格进行任何调整。</w:t>
      </w:r>
    </w:p>
    <w:p w14:paraId="5A17D811">
      <w:pPr>
        <w:pStyle w:val="48"/>
        <w:numPr>
          <w:ilvl w:val="0"/>
          <w:numId w:val="60"/>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综合评分法，是指投标文件满足招标文件全部实质性要求，且按照评审因素的量化指标评审得分最高的投标人为中标候选人的评标方法。</w:t>
      </w:r>
    </w:p>
    <w:p w14:paraId="14D1746F">
      <w:pPr>
        <w:pStyle w:val="48"/>
        <w:numPr>
          <w:ilvl w:val="0"/>
          <w:numId w:val="6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价格分</w:t>
      </w:r>
    </w:p>
    <w:p w14:paraId="62BD03C5">
      <w:pPr>
        <w:pStyle w:val="48"/>
        <w:numPr>
          <w:ilvl w:val="0"/>
          <w:numId w:val="6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价格分采用低价优先法计算，即满足招标文件要求且投标价格最低的投标报价为评标基准价，其价格分为满分。其他投标人的价格分统一按照下列公式计算：</w:t>
      </w:r>
    </w:p>
    <w:p w14:paraId="1996490A">
      <w:pPr>
        <w:autoSpaceDE w:val="0"/>
        <w:autoSpaceDN w:val="0"/>
        <w:spacing w:line="360" w:lineRule="auto"/>
        <w:ind w:left="964" w:firstLine="840" w:firstLineChars="400"/>
        <w:contextualSpacing/>
        <w:rPr>
          <w:rFonts w:cs="宋体" w:asciiTheme="minorEastAsia" w:hAnsiTheme="minorEastAsia"/>
          <w:kern w:val="0"/>
          <w:szCs w:val="21"/>
        </w:rPr>
      </w:pPr>
      <w:r>
        <w:rPr>
          <w:rFonts w:hint="eastAsia" w:cs="宋体" w:asciiTheme="minorEastAsia" w:hAnsiTheme="minorEastAsia"/>
          <w:kern w:val="0"/>
          <w:szCs w:val="21"/>
        </w:rPr>
        <w:t>投标报价得分=(评标基准价/投标报价)×100</w:t>
      </w:r>
    </w:p>
    <w:p w14:paraId="5F830E49">
      <w:pPr>
        <w:autoSpaceDE w:val="0"/>
        <w:autoSpaceDN w:val="0"/>
        <w:spacing w:line="360" w:lineRule="auto"/>
        <w:ind w:left="964" w:firstLine="840" w:firstLineChars="400"/>
        <w:contextualSpacing/>
        <w:rPr>
          <w:rFonts w:cs="宋体" w:asciiTheme="minorEastAsia" w:hAnsiTheme="minorEastAsia"/>
          <w:kern w:val="0"/>
          <w:szCs w:val="21"/>
        </w:rPr>
      </w:pPr>
      <w:r>
        <w:rPr>
          <w:rFonts w:hint="eastAsia" w:cs="宋体" w:asciiTheme="minorEastAsia" w:hAnsiTheme="minorEastAsia"/>
          <w:kern w:val="0"/>
          <w:szCs w:val="21"/>
        </w:rPr>
        <w:t>评标总得分=F1×A1+F2×A2+……+Fn×An</w:t>
      </w:r>
    </w:p>
    <w:p w14:paraId="7A3DEBE5">
      <w:pPr>
        <w:autoSpaceDE w:val="0"/>
        <w:autoSpaceDN w:val="0"/>
        <w:spacing w:line="360" w:lineRule="auto"/>
        <w:ind w:left="964" w:firstLine="840" w:firstLineChars="400"/>
        <w:contextualSpacing/>
        <w:rPr>
          <w:rFonts w:cs="宋体" w:asciiTheme="minorEastAsia" w:hAnsiTheme="minorEastAsia"/>
          <w:kern w:val="0"/>
          <w:szCs w:val="21"/>
        </w:rPr>
      </w:pPr>
      <w:r>
        <w:rPr>
          <w:rFonts w:hint="eastAsia" w:cs="宋体" w:asciiTheme="minorEastAsia" w:hAnsiTheme="minorEastAsia"/>
          <w:kern w:val="0"/>
          <w:szCs w:val="21"/>
        </w:rPr>
        <w:t>F1、F2……Fn分别为各项评审因素的得分;</w:t>
      </w:r>
    </w:p>
    <w:p w14:paraId="540A0F52">
      <w:pPr>
        <w:autoSpaceDE w:val="0"/>
        <w:autoSpaceDN w:val="0"/>
        <w:spacing w:line="360" w:lineRule="auto"/>
        <w:ind w:left="964" w:firstLine="840" w:firstLineChars="400"/>
        <w:contextualSpacing/>
        <w:rPr>
          <w:rFonts w:cs="宋体" w:asciiTheme="minorEastAsia" w:hAnsiTheme="minorEastAsia"/>
          <w:kern w:val="0"/>
          <w:szCs w:val="21"/>
        </w:rPr>
      </w:pPr>
      <w:r>
        <w:rPr>
          <w:rFonts w:hint="eastAsia" w:cs="宋体" w:asciiTheme="minorEastAsia" w:hAnsiTheme="minorEastAsia"/>
          <w:kern w:val="0"/>
          <w:szCs w:val="21"/>
        </w:rPr>
        <w:t>A1、A2、……An 分别为各项评审因素所占的权重(A1+A2+……+An=1)。</w:t>
      </w:r>
    </w:p>
    <w:p w14:paraId="2E3047C4">
      <w:pPr>
        <w:pStyle w:val="48"/>
        <w:numPr>
          <w:ilvl w:val="0"/>
          <w:numId w:val="6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评标过程中，不得去掉报价中的最高报价和最低报价。</w:t>
      </w:r>
    </w:p>
    <w:p w14:paraId="66E323B3">
      <w:pPr>
        <w:pStyle w:val="48"/>
        <w:numPr>
          <w:ilvl w:val="0"/>
          <w:numId w:val="6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因落实政府采购政策进行价格调整的，以调整后的价格计算评标基准价和投标报价。</w:t>
      </w:r>
    </w:p>
    <w:p w14:paraId="2CB576B3">
      <w:pPr>
        <w:pStyle w:val="48"/>
        <w:numPr>
          <w:ilvl w:val="1"/>
          <w:numId w:val="6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b/>
          <w:kern w:val="0"/>
          <w:szCs w:val="21"/>
        </w:rPr>
        <w:t>本次评标具体评标方法、评标标准见（第六章 资格审查与评标）</w:t>
      </w:r>
      <w:r>
        <w:rPr>
          <w:rFonts w:hint="eastAsia" w:cs="宋体" w:asciiTheme="minorEastAsia" w:hAnsiTheme="minorEastAsia"/>
          <w:kern w:val="0"/>
          <w:szCs w:val="21"/>
        </w:rPr>
        <w:t>。</w:t>
      </w:r>
    </w:p>
    <w:p w14:paraId="0F2482B5">
      <w:pPr>
        <w:pStyle w:val="48"/>
        <w:autoSpaceDE w:val="0"/>
        <w:autoSpaceDN w:val="0"/>
        <w:spacing w:line="360" w:lineRule="auto"/>
        <w:ind w:left="964" w:firstLine="0" w:firstLineChars="0"/>
        <w:contextualSpacing/>
        <w:rPr>
          <w:rFonts w:cs="宋体" w:asciiTheme="minorEastAsia" w:hAnsiTheme="minorEastAsia"/>
          <w:kern w:val="0"/>
          <w:szCs w:val="21"/>
        </w:rPr>
      </w:pPr>
    </w:p>
    <w:p w14:paraId="551771C4">
      <w:pPr>
        <w:pStyle w:val="48"/>
        <w:numPr>
          <w:ilvl w:val="0"/>
          <w:numId w:val="6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推荐中标候选人</w:t>
      </w:r>
    </w:p>
    <w:p w14:paraId="3F2D4208">
      <w:pPr>
        <w:pStyle w:val="48"/>
        <w:numPr>
          <w:ilvl w:val="0"/>
          <w:numId w:val="5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采用最低评标价法的，评标结果按投标报价由低到高顺序排列。投标报价相同的并列。投标文件满足招标文件全部实质性要求且投标报价最低的投标人为排名第一的中标候选人。</w:t>
      </w:r>
    </w:p>
    <w:p w14:paraId="6139D072">
      <w:pPr>
        <w:pStyle w:val="48"/>
        <w:numPr>
          <w:ilvl w:val="0"/>
          <w:numId w:val="6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EB127BD">
      <w:pPr>
        <w:pStyle w:val="48"/>
        <w:autoSpaceDE w:val="0"/>
        <w:autoSpaceDN w:val="0"/>
        <w:spacing w:line="360" w:lineRule="auto"/>
        <w:ind w:left="964" w:firstLine="0" w:firstLineChars="0"/>
        <w:contextualSpacing/>
        <w:rPr>
          <w:rFonts w:cs="宋体" w:asciiTheme="minorEastAsia" w:hAnsiTheme="minorEastAsia"/>
          <w:kern w:val="0"/>
          <w:szCs w:val="21"/>
        </w:rPr>
      </w:pPr>
    </w:p>
    <w:p w14:paraId="7124C849">
      <w:pPr>
        <w:pStyle w:val="48"/>
        <w:numPr>
          <w:ilvl w:val="0"/>
          <w:numId w:val="6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评审意见无效情形</w:t>
      </w:r>
    </w:p>
    <w:p w14:paraId="48386251">
      <w:pPr>
        <w:pStyle w:val="48"/>
        <w:numPr>
          <w:ilvl w:val="0"/>
          <w:numId w:val="6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评标委员会及其成员有下列行为之一的，其评审意见无效：</w:t>
      </w:r>
    </w:p>
    <w:p w14:paraId="0FBB8D1E">
      <w:pPr>
        <w:pStyle w:val="48"/>
        <w:numPr>
          <w:ilvl w:val="0"/>
          <w:numId w:val="6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确定参与评标至评标结束前私自接触投标人；</w:t>
      </w:r>
    </w:p>
    <w:p w14:paraId="755566FD">
      <w:pPr>
        <w:pStyle w:val="48"/>
        <w:numPr>
          <w:ilvl w:val="0"/>
          <w:numId w:val="6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接受投标人提出的与投标文件不一致的澄清或者说明，《投标人须知》26条规定的情形除外；</w:t>
      </w:r>
    </w:p>
    <w:p w14:paraId="441C75EC">
      <w:pPr>
        <w:pStyle w:val="48"/>
        <w:numPr>
          <w:ilvl w:val="0"/>
          <w:numId w:val="6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违反评标纪律发表倾向性意见或者征询采购人的倾向性意见；</w:t>
      </w:r>
    </w:p>
    <w:p w14:paraId="3941226A">
      <w:pPr>
        <w:pStyle w:val="48"/>
        <w:numPr>
          <w:ilvl w:val="0"/>
          <w:numId w:val="6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对需要专业判断的主观评审因素协商评分；</w:t>
      </w:r>
    </w:p>
    <w:p w14:paraId="6D96BA34">
      <w:pPr>
        <w:pStyle w:val="48"/>
        <w:numPr>
          <w:ilvl w:val="0"/>
          <w:numId w:val="6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在评标过程中擅离职守，影响评标程序正常进行的；</w:t>
      </w:r>
    </w:p>
    <w:p w14:paraId="2C067143">
      <w:pPr>
        <w:pStyle w:val="48"/>
        <w:numPr>
          <w:ilvl w:val="0"/>
          <w:numId w:val="6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记录、复制或者带走任何评标资料；</w:t>
      </w:r>
    </w:p>
    <w:p w14:paraId="7D3E8593">
      <w:pPr>
        <w:pStyle w:val="48"/>
        <w:numPr>
          <w:ilvl w:val="0"/>
          <w:numId w:val="6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其他不遵守评标纪律的行为。</w:t>
      </w:r>
    </w:p>
    <w:p w14:paraId="120944B6">
      <w:pPr>
        <w:pStyle w:val="48"/>
        <w:autoSpaceDE w:val="0"/>
        <w:autoSpaceDN w:val="0"/>
        <w:spacing w:line="360" w:lineRule="auto"/>
        <w:ind w:left="1384" w:firstLine="0" w:firstLineChars="0"/>
        <w:contextualSpacing/>
        <w:rPr>
          <w:rFonts w:cs="宋体" w:asciiTheme="minorEastAsia" w:hAnsiTheme="minorEastAsia"/>
          <w:kern w:val="0"/>
          <w:szCs w:val="21"/>
        </w:rPr>
      </w:pPr>
    </w:p>
    <w:p w14:paraId="7023F56A">
      <w:pPr>
        <w:autoSpaceDE w:val="0"/>
        <w:autoSpaceDN w:val="0"/>
        <w:spacing w:line="360" w:lineRule="auto"/>
        <w:ind w:left="964"/>
        <w:contextualSpacing/>
        <w:rPr>
          <w:rFonts w:cs="宋体" w:asciiTheme="minorEastAsia" w:hAnsiTheme="minorEastAsia"/>
          <w:kern w:val="0"/>
          <w:szCs w:val="21"/>
        </w:rPr>
      </w:pPr>
    </w:p>
    <w:p w14:paraId="1B300B30">
      <w:pPr>
        <w:pStyle w:val="48"/>
        <w:numPr>
          <w:ilvl w:val="0"/>
          <w:numId w:val="6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保密</w:t>
      </w:r>
    </w:p>
    <w:p w14:paraId="26BE4DE0">
      <w:pPr>
        <w:pStyle w:val="48"/>
        <w:numPr>
          <w:ilvl w:val="0"/>
          <w:numId w:val="69"/>
        </w:numPr>
        <w:autoSpaceDE w:val="0"/>
        <w:autoSpaceDN w:val="0"/>
        <w:spacing w:line="360" w:lineRule="auto"/>
        <w:ind w:left="0" w:firstLine="0"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评审专家应当遵守评审工作纪律，不得泄露评审文件、评审情况和评审中获悉的商业秘密。</w:t>
      </w:r>
    </w:p>
    <w:p w14:paraId="61DCBFD1">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35.2    采购人、采购代理机构应当采取必要措施，保证评标在严格保密的情况下进行。有关人员对评标情况以及在评标过程中获悉的国家秘密、商业秘密负有保密责任。</w:t>
      </w:r>
    </w:p>
    <w:p w14:paraId="51B0BD62">
      <w:pPr>
        <w:tabs>
          <w:tab w:val="left" w:pos="1260"/>
        </w:tabs>
        <w:autoSpaceDE w:val="0"/>
        <w:autoSpaceDN w:val="0"/>
        <w:spacing w:line="360" w:lineRule="auto"/>
        <w:contextualSpacing/>
        <w:rPr>
          <w:rFonts w:cs="仿宋_GB2312" w:asciiTheme="minorEastAsia" w:hAnsiTheme="minorEastAsia"/>
          <w:szCs w:val="21"/>
          <w:lang w:val="zh-CN"/>
        </w:rPr>
      </w:pPr>
    </w:p>
    <w:p w14:paraId="09355108">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六、定标和授予合同</w:t>
      </w:r>
    </w:p>
    <w:p w14:paraId="6EC2CFB2">
      <w:pPr>
        <w:pStyle w:val="48"/>
        <w:numPr>
          <w:ilvl w:val="0"/>
          <w:numId w:val="6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确定中标人</w:t>
      </w:r>
    </w:p>
    <w:p w14:paraId="0EADA043">
      <w:pPr>
        <w:pStyle w:val="48"/>
        <w:numPr>
          <w:ilvl w:val="0"/>
          <w:numId w:val="7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应当自收到评标报告之日起1个工作日内，在评标报告确定的中标候选人名单中按顺序确定中标人（核验中标供应商由《禹州市政府采购供应商信用承诺函》替代的证明材料）。中标候选人并列的，由采购人采取随机抽取的方式确定。</w:t>
      </w:r>
    </w:p>
    <w:p w14:paraId="1FD8FE41">
      <w:pPr>
        <w:pStyle w:val="48"/>
        <w:numPr>
          <w:ilvl w:val="0"/>
          <w:numId w:val="7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采购人在收到评标报告1个工作日内未按评标报告推荐的中标候选人顺序确定中标人，又不能说明合法理由的，视同按评标报告推荐的顺序确定排名第一的中标候选人为中标人。</w:t>
      </w:r>
    </w:p>
    <w:p w14:paraId="725A7BD9">
      <w:pPr>
        <w:pStyle w:val="48"/>
        <w:numPr>
          <w:ilvl w:val="0"/>
          <w:numId w:val="6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中标公告、发出中标通知书</w:t>
      </w:r>
    </w:p>
    <w:p w14:paraId="2FF21363">
      <w:pPr>
        <w:pStyle w:val="48"/>
        <w:numPr>
          <w:ilvl w:val="0"/>
          <w:numId w:val="7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采购人确认中标人后，1个工作日公告中标结果的同时，禹州市政府采购中心向中标人发出中标通知书。</w:t>
      </w:r>
    </w:p>
    <w:p w14:paraId="67FBCCA8">
      <w:pPr>
        <w:pStyle w:val="48"/>
        <w:numPr>
          <w:ilvl w:val="0"/>
          <w:numId w:val="7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中标通知书发出后，采购人不得违法改变中标结果，中标人无正当理由不得放弃中标。</w:t>
      </w:r>
    </w:p>
    <w:p w14:paraId="47643E1F">
      <w:pPr>
        <w:pStyle w:val="48"/>
        <w:numPr>
          <w:ilvl w:val="0"/>
          <w:numId w:val="7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中标人在接到中标通知时，须向代理机构发送投标报价及分项报价一览表（包含主要中标标的的名称、规格型号、数量、单价、服务要求等）电子文档，并同时通知代理机构联系人。</w:t>
      </w:r>
    </w:p>
    <w:p w14:paraId="7989CDA5">
      <w:pPr>
        <w:pStyle w:val="48"/>
        <w:numPr>
          <w:ilvl w:val="0"/>
          <w:numId w:val="66"/>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质疑提出与答复</w:t>
      </w:r>
    </w:p>
    <w:p w14:paraId="3545D93C">
      <w:pPr>
        <w:pStyle w:val="48"/>
        <w:numPr>
          <w:ilvl w:val="0"/>
          <w:numId w:val="7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供应商认为采购文件、采购过程和中标结果使自己的权益受到损害的，可以按照《政府采购质疑和投诉办法》（财政部令第94号）提出质疑。</w:t>
      </w:r>
      <w:r>
        <w:rPr>
          <w:rFonts w:cs="宋体" w:asciiTheme="minorEastAsia" w:hAnsiTheme="minorEastAsia"/>
          <w:kern w:val="0"/>
          <w:szCs w:val="21"/>
        </w:rPr>
        <w:t>提出质疑的供应商应当是参与</w:t>
      </w:r>
      <w:r>
        <w:rPr>
          <w:rFonts w:hint="eastAsia" w:cs="宋体" w:asciiTheme="minorEastAsia" w:hAnsiTheme="minorEastAsia"/>
          <w:kern w:val="0"/>
          <w:szCs w:val="21"/>
        </w:rPr>
        <w:t>本</w:t>
      </w:r>
      <w:r>
        <w:rPr>
          <w:rFonts w:cs="宋体" w:asciiTheme="minorEastAsia" w:hAnsiTheme="minorEastAsia"/>
          <w:kern w:val="0"/>
          <w:szCs w:val="21"/>
        </w:rPr>
        <w:t>项目采购活动的供应商。</w:t>
      </w:r>
      <w:r>
        <w:rPr>
          <w:rFonts w:hint="eastAsia" w:cs="宋体" w:asciiTheme="minorEastAsia" w:hAnsiTheme="minorEastAsia"/>
          <w:kern w:val="0"/>
          <w:szCs w:val="21"/>
        </w:rPr>
        <w:t>提出时应按照《政府采购质疑和投诉办法》（财政部令第94号）第十二条规定提交质疑函和必要的证明材料，质疑提出后</w:t>
      </w:r>
      <w:r>
        <w:rPr>
          <w:rFonts w:cs="宋体" w:asciiTheme="minorEastAsia" w:hAnsiTheme="minorEastAsia"/>
          <w:kern w:val="0"/>
          <w:szCs w:val="21"/>
        </w:rPr>
        <w:t>潜在</w:t>
      </w:r>
      <w:r>
        <w:rPr>
          <w:rFonts w:hint="eastAsia" w:cs="宋体" w:asciiTheme="minorEastAsia" w:hAnsiTheme="minorEastAsia"/>
          <w:kern w:val="0"/>
          <w:szCs w:val="21"/>
        </w:rPr>
        <w:t>投标人应及时联系招标公告中集采机构联系人查看。如未提出视为全面接受。</w:t>
      </w:r>
    </w:p>
    <w:p w14:paraId="43367D89">
      <w:pPr>
        <w:pStyle w:val="48"/>
        <w:numPr>
          <w:ilvl w:val="0"/>
          <w:numId w:val="75"/>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对采购文件提出质疑的，</w:t>
      </w:r>
      <w:r>
        <w:rPr>
          <w:rFonts w:cs="宋体" w:asciiTheme="minorEastAsia" w:hAnsiTheme="minorEastAsia"/>
          <w:kern w:val="0"/>
          <w:szCs w:val="21"/>
        </w:rPr>
        <w:t>潜在</w:t>
      </w:r>
      <w:r>
        <w:rPr>
          <w:rFonts w:hint="eastAsia" w:cs="宋体" w:asciiTheme="minorEastAsia" w:hAnsiTheme="minorEastAsia"/>
          <w:kern w:val="0"/>
          <w:szCs w:val="21"/>
        </w:rPr>
        <w:t>投标人应</w:t>
      </w:r>
      <w:r>
        <w:rPr>
          <w:rFonts w:cs="宋体" w:asciiTheme="minorEastAsia" w:hAnsiTheme="minorEastAsia"/>
          <w:kern w:val="0"/>
          <w:szCs w:val="21"/>
        </w:rPr>
        <w:t>已依法获取采购文件</w:t>
      </w:r>
      <w:r>
        <w:rPr>
          <w:rFonts w:hint="eastAsia" w:cs="宋体" w:asciiTheme="minorEastAsia" w:hAnsiTheme="minorEastAsia"/>
          <w:kern w:val="0"/>
          <w:szCs w:val="21"/>
        </w:rPr>
        <w:t>，且应当在</w:t>
      </w:r>
      <w:r>
        <w:rPr>
          <w:rFonts w:cs="宋体" w:asciiTheme="minorEastAsia" w:hAnsiTheme="minorEastAsia"/>
          <w:kern w:val="0"/>
          <w:szCs w:val="21"/>
        </w:rPr>
        <w:t>获取采购文件或者采购文件公告期限届满之日起7个工作日内</w:t>
      </w:r>
      <w:r>
        <w:rPr>
          <w:rFonts w:hint="eastAsia" w:cs="宋体" w:asciiTheme="minorEastAsia" w:hAnsiTheme="minorEastAsia"/>
          <w:kern w:val="0"/>
          <w:szCs w:val="21"/>
        </w:rPr>
        <w:t>通过《全国公共资源交易平台（河南省·许昌市）》一次性提出。</w:t>
      </w:r>
    </w:p>
    <w:p w14:paraId="2554D264">
      <w:pPr>
        <w:pStyle w:val="48"/>
        <w:numPr>
          <w:ilvl w:val="0"/>
          <w:numId w:val="75"/>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对采购过程提出质疑的，为各采购程序环节结束之日起七个工作日内，投标人通过《全国公共资源交易平台（河南省·许昌市）》一次性提出；</w:t>
      </w:r>
    </w:p>
    <w:p w14:paraId="785B8BBA">
      <w:pPr>
        <w:pStyle w:val="48"/>
        <w:numPr>
          <w:ilvl w:val="0"/>
          <w:numId w:val="75"/>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对中标结果提出质疑的，为中标结果公告期限届满之日起七个工作日内，投标人通过《全国公共资源交易平台（河南省·许昌市）》一次性提出。</w:t>
      </w:r>
    </w:p>
    <w:p w14:paraId="2C684C15">
      <w:pPr>
        <w:autoSpaceDE w:val="0"/>
        <w:autoSpaceDN w:val="0"/>
        <w:spacing w:line="360" w:lineRule="auto"/>
        <w:ind w:left="1365" w:hanging="1365" w:hangingChars="650"/>
        <w:contextualSpacing/>
        <w:rPr>
          <w:rFonts w:cs="宋体" w:asciiTheme="minorEastAsia" w:hAnsiTheme="minorEastAsia"/>
          <w:kern w:val="0"/>
          <w:szCs w:val="21"/>
        </w:rPr>
      </w:pPr>
      <w:r>
        <w:rPr>
          <w:rFonts w:hint="eastAsia" w:cs="宋体" w:asciiTheme="minorEastAsia" w:hAnsiTheme="minorEastAsia"/>
          <w:kern w:val="0"/>
          <w:szCs w:val="21"/>
        </w:rPr>
        <w:t xml:space="preserve">38.2         </w:t>
      </w:r>
      <w:r>
        <w:rPr>
          <w:rFonts w:cs="宋体" w:asciiTheme="minorEastAsia" w:hAnsiTheme="minorEastAsia"/>
          <w:kern w:val="0"/>
          <w:szCs w:val="21"/>
        </w:rPr>
        <w:t>采购人、采购代理机构认为供应商质疑不成立，或者成立但未对中标结果构成影响的，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继续开展采购活动；认为供应商质疑成立且影响或者可能影响中标结果的，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按照下列情况处理：</w:t>
      </w:r>
    </w:p>
    <w:p w14:paraId="68A8F9D8">
      <w:pPr>
        <w:pStyle w:val="48"/>
        <w:numPr>
          <w:ilvl w:val="0"/>
          <w:numId w:val="76"/>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对采购文件提出的质疑，依法通过澄清或者修改可以继续开展采购活动的，澄清或者修改采购文件后继续开展采购活动；否则应当修改采购文件后重新开展采购活动。</w:t>
      </w:r>
    </w:p>
    <w:p w14:paraId="2A00CCD3">
      <w:pPr>
        <w:pStyle w:val="48"/>
        <w:numPr>
          <w:ilvl w:val="0"/>
          <w:numId w:val="76"/>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对采购过程、中标结果提出的质疑，合格供应商符合法定数量时，可以从合格的中标</w:t>
      </w:r>
      <w:r>
        <w:rPr>
          <w:rFonts w:hint="eastAsia" w:cs="宋体" w:asciiTheme="minorEastAsia" w:hAnsiTheme="minorEastAsia"/>
          <w:kern w:val="0"/>
          <w:szCs w:val="21"/>
        </w:rPr>
        <w:t>候选人</w:t>
      </w:r>
      <w:r>
        <w:rPr>
          <w:rFonts w:cs="宋体" w:asciiTheme="minorEastAsia" w:hAnsiTheme="minorEastAsia"/>
          <w:kern w:val="0"/>
          <w:szCs w:val="21"/>
        </w:rPr>
        <w:t>中另行确定中标供应商的，应当依法另行确定中标供应商；否则应当重新开展采购活动</w:t>
      </w:r>
      <w:r>
        <w:rPr>
          <w:rFonts w:hint="eastAsia" w:cs="宋体" w:asciiTheme="minorEastAsia" w:hAnsiTheme="minorEastAsia"/>
          <w:kern w:val="0"/>
          <w:szCs w:val="21"/>
        </w:rPr>
        <w:t>。</w:t>
      </w:r>
    </w:p>
    <w:p w14:paraId="57AE7DA3">
      <w:pPr>
        <w:autoSpaceDE w:val="0"/>
        <w:autoSpaceDN w:val="0"/>
        <w:spacing w:line="360" w:lineRule="auto"/>
        <w:ind w:left="964"/>
        <w:contextualSpacing/>
        <w:rPr>
          <w:rFonts w:cs="宋体" w:asciiTheme="minorEastAsia" w:hAnsiTheme="minorEastAsia"/>
          <w:kern w:val="0"/>
          <w:szCs w:val="21"/>
        </w:rPr>
      </w:pPr>
    </w:p>
    <w:p w14:paraId="6CB148E8">
      <w:pPr>
        <w:pStyle w:val="48"/>
        <w:numPr>
          <w:ilvl w:val="0"/>
          <w:numId w:val="77"/>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签订合同与备案</w:t>
      </w:r>
    </w:p>
    <w:p w14:paraId="2C510A8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采购人应当自中标通知书发出之日起2日内，按照招标文件和中标人投标文件的规定，与中标人签订书面合同。所签订的合同不得对招标文件确定的事项和中标人投标文件作实质性修改。</w:t>
      </w:r>
    </w:p>
    <w:p w14:paraId="46AD5156">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采购人自采购合同签订之日起，1个</w:t>
      </w:r>
      <w:r>
        <w:rPr>
          <w:rFonts w:cs="宋体" w:asciiTheme="minorEastAsia" w:hAnsiTheme="minorEastAsia"/>
          <w:kern w:val="0"/>
          <w:szCs w:val="21"/>
        </w:rPr>
        <w:t>工作日内</w:t>
      </w:r>
      <w:r>
        <w:rPr>
          <w:rFonts w:hint="eastAsia" w:cs="宋体" w:asciiTheme="minorEastAsia" w:hAnsiTheme="minorEastAsia"/>
          <w:kern w:val="0"/>
          <w:szCs w:val="21"/>
        </w:rPr>
        <w:t>到禹州市政府采购监督管理办公室进行合同备案，并登陆“河南省政府采购网”进行网上备案。</w:t>
      </w:r>
    </w:p>
    <w:p w14:paraId="7BFB7A15">
      <w:pPr>
        <w:autoSpaceDE w:val="0"/>
        <w:autoSpaceDN w:val="0"/>
        <w:spacing w:line="360" w:lineRule="auto"/>
        <w:ind w:left="964"/>
        <w:contextualSpacing/>
        <w:rPr>
          <w:rFonts w:cs="宋体" w:asciiTheme="minorEastAsia" w:hAnsiTheme="minorEastAsia"/>
          <w:kern w:val="0"/>
          <w:szCs w:val="21"/>
        </w:rPr>
      </w:pPr>
    </w:p>
    <w:p w14:paraId="5FF4B8B5">
      <w:pPr>
        <w:pStyle w:val="48"/>
        <w:numPr>
          <w:ilvl w:val="0"/>
          <w:numId w:val="77"/>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履约保证金</w:t>
      </w:r>
    </w:p>
    <w:p w14:paraId="1F68F57F">
      <w:pPr>
        <w:autoSpaceDE w:val="0"/>
        <w:autoSpaceDN w:val="0"/>
        <w:spacing w:line="360" w:lineRule="auto"/>
        <w:ind w:left="964"/>
        <w:contextualSpacing/>
        <w:jc w:val="left"/>
        <w:rPr>
          <w:rFonts w:cs="宋体" w:asciiTheme="majorEastAsia" w:hAnsiTheme="majorEastAsia" w:eastAsiaTheme="majorEastAsia"/>
          <w:b/>
          <w:kern w:val="0"/>
          <w:sz w:val="32"/>
          <w:szCs w:val="32"/>
        </w:rPr>
      </w:pPr>
      <w:r>
        <w:rPr>
          <w:rFonts w:hint="eastAsia" w:cs="宋体" w:asciiTheme="minorEastAsia" w:hAnsiTheme="minorEastAsia"/>
          <w:kern w:val="0"/>
          <w:szCs w:val="21"/>
        </w:rPr>
        <w:t>“投标人须知前附表”中规定中标人提交履约保证金的，中标人应当以支票、汇票、本票或者金融机构、担保机构出具的保函等非现金形式向采购人提交。履约保证金的数额不得超过政府采购合同金额的10%。</w:t>
      </w:r>
      <w:r>
        <w:rPr>
          <w:rFonts w:hint="eastAsia" w:ascii="宋体" w:hAnsi="宋体" w:eastAsia="宋体" w:cs="宋体"/>
          <w:sz w:val="24"/>
          <w:szCs w:val="24"/>
        </w:rPr>
        <w:br w:type="textWrapping"/>
      </w:r>
    </w:p>
    <w:p w14:paraId="5166299C">
      <w:pPr>
        <w:pStyle w:val="48"/>
        <w:numPr>
          <w:ilvl w:val="0"/>
          <w:numId w:val="77"/>
        </w:numPr>
        <w:autoSpaceDE w:val="0"/>
        <w:autoSpaceDN w:val="0"/>
        <w:spacing w:line="360" w:lineRule="auto"/>
        <w:ind w:firstLineChars="0"/>
        <w:contextualSpacing/>
        <w:rPr>
          <w:rFonts w:cs="宋体" w:asciiTheme="minorEastAsia" w:hAnsiTheme="minorEastAsia"/>
          <w:color w:val="FF99FF"/>
          <w:kern w:val="0"/>
          <w:szCs w:val="21"/>
        </w:rPr>
      </w:pPr>
      <w:r>
        <w:rPr>
          <w:rFonts w:hint="eastAsia" w:cs="宋体" w:asciiTheme="minorEastAsia" w:hAnsiTheme="minorEastAsia"/>
          <w:b/>
          <w:kern w:val="0"/>
          <w:szCs w:val="21"/>
        </w:rPr>
        <w:t>政府采购合同融资</w:t>
      </w:r>
    </w:p>
    <w:p w14:paraId="1AF9C184">
      <w:pPr>
        <w:pStyle w:val="48"/>
        <w:numPr>
          <w:ilvl w:val="1"/>
          <w:numId w:val="78"/>
        </w:numPr>
        <w:wordWrap w:val="0"/>
        <w:topLinePunct/>
        <w:autoSpaceDE w:val="0"/>
        <w:autoSpaceDN w:val="0"/>
        <w:adjustRightInd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缓解中小企业融资难题</w:t>
      </w:r>
    </w:p>
    <w:p w14:paraId="5DDC7EF5">
      <w:pPr>
        <w:autoSpaceDE w:val="0"/>
        <w:autoSpaceDN w:val="0"/>
        <w:spacing w:line="360" w:lineRule="auto"/>
        <w:ind w:left="964"/>
        <w:contextualSpacing/>
        <w:jc w:val="left"/>
        <w:rPr>
          <w:rFonts w:cs="宋体" w:asciiTheme="minorEastAsia" w:hAnsiTheme="minorEastAsia"/>
          <w:color w:val="FF99FF"/>
          <w:kern w:val="0"/>
          <w:szCs w:val="21"/>
        </w:rPr>
      </w:pPr>
      <w:r>
        <w:rPr>
          <w:rFonts w:hint="eastAsia" w:cs="宋体" w:asciiTheme="minorEastAsia" w:hAnsiTheme="minorEastAsia"/>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047925AB">
      <w:pPr>
        <w:autoSpaceDE w:val="0"/>
        <w:autoSpaceDN w:val="0"/>
        <w:spacing w:line="360" w:lineRule="auto"/>
        <w:contextualSpacing/>
        <w:jc w:val="left"/>
        <w:rPr>
          <w:rFonts w:cs="宋体" w:asciiTheme="minorEastAsia" w:hAnsiTheme="minorEastAsia"/>
          <w:color w:val="FF99FF"/>
          <w:kern w:val="0"/>
          <w:szCs w:val="21"/>
        </w:rPr>
      </w:pPr>
      <w:r>
        <w:rPr>
          <w:rFonts w:hint="eastAsia" w:cs="宋体" w:asciiTheme="minorEastAsia" w:hAnsiTheme="minorEastAsia"/>
          <w:kern w:val="0"/>
          <w:szCs w:val="21"/>
        </w:rPr>
        <w:t>41.2  合作金融机构（排名不分先后）</w:t>
      </w:r>
    </w:p>
    <w:p w14:paraId="49D2D173">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合作金融机构名称：中原银行许昌分行（小微金融部）</w:t>
      </w:r>
    </w:p>
    <w:p w14:paraId="287C5EC1">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联系人及电话：陈阳 13137407575   方金龙   15836539901</w:t>
      </w:r>
    </w:p>
    <w:p w14:paraId="3DB56BFE">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地址：许昌市建安大道与紫云路交汇处中原银行</w:t>
      </w:r>
    </w:p>
    <w:p w14:paraId="350C3C98">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合作金融机构名称：浦发银行许昌分行</w:t>
      </w:r>
    </w:p>
    <w:p w14:paraId="7A895C63">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联系人及电话：赵勇  0374-7313551  18937425515</w:t>
      </w:r>
    </w:p>
    <w:p w14:paraId="6B49ED0E">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地址：禹州市禹王大道与府东路交叉口</w:t>
      </w:r>
    </w:p>
    <w:p w14:paraId="5F674C98">
      <w:pPr>
        <w:numPr>
          <w:ilvl w:val="0"/>
          <w:numId w:val="0"/>
        </w:numPr>
        <w:wordWrap w:val="0"/>
        <w:topLinePunct/>
        <w:autoSpaceDE w:val="0"/>
        <w:autoSpaceDN w:val="0"/>
        <w:adjustRightInd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41.3</w:t>
      </w:r>
      <w:r>
        <w:rPr>
          <w:rFonts w:hint="eastAsia" w:cs="宋体" w:asciiTheme="minorEastAsia" w:hAnsiTheme="minorEastAsia"/>
          <w:kern w:val="0"/>
          <w:szCs w:val="21"/>
        </w:rPr>
        <w:t xml:space="preserve"> “政府采购合同融资金融产品推介名录”链接</w:t>
      </w:r>
    </w:p>
    <w:p w14:paraId="149E86E6">
      <w:pPr>
        <w:autoSpaceDE w:val="0"/>
        <w:autoSpaceDN w:val="0"/>
        <w:spacing w:line="360" w:lineRule="auto"/>
        <w:ind w:left="964"/>
        <w:contextualSpacing/>
        <w:jc w:val="left"/>
        <w:rPr>
          <w:rFonts w:hint="eastAsia" w:cs="宋体" w:asciiTheme="minorEastAsia" w:hAnsiTheme="minorEastAsia"/>
          <w:color w:val="0000FF"/>
          <w:kern w:val="0"/>
          <w:szCs w:val="21"/>
          <w:u w:val="single"/>
        </w:rPr>
      </w:pPr>
      <w:r>
        <w:fldChar w:fldCharType="begin"/>
      </w:r>
      <w:r>
        <w:instrText xml:space="preserve"> HYPERLINK "http://xuchang.hngp.gov.cn/xuchang/content?infoId=1606365368231095&amp;channelCode=H711001" </w:instrText>
      </w:r>
      <w:r>
        <w:fldChar w:fldCharType="separate"/>
      </w:r>
      <w:r>
        <w:rPr>
          <w:rFonts w:hint="eastAsia" w:cs="宋体" w:asciiTheme="minorEastAsia" w:hAnsiTheme="minorEastAsia"/>
          <w:color w:val="0000FF"/>
          <w:kern w:val="0"/>
          <w:szCs w:val="21"/>
          <w:u w:val="single"/>
        </w:rPr>
        <w:t>http://xuchang.hngp.gov.cn/xuchang/content?infoId=1606365368231095&amp;channelCode=H711001</w:t>
      </w:r>
      <w:r>
        <w:rPr>
          <w:rFonts w:hint="eastAsia" w:cs="宋体" w:asciiTheme="minorEastAsia" w:hAnsiTheme="minorEastAsia"/>
          <w:color w:val="0000FF"/>
          <w:kern w:val="0"/>
          <w:szCs w:val="21"/>
          <w:u w:val="single"/>
        </w:rPr>
        <w:fldChar w:fldCharType="end"/>
      </w:r>
    </w:p>
    <w:p w14:paraId="7C4F6BD9">
      <w:pPr>
        <w:autoSpaceDE w:val="0"/>
        <w:autoSpaceDN w:val="0"/>
        <w:spacing w:line="360" w:lineRule="auto"/>
        <w:ind w:left="964"/>
        <w:contextualSpacing/>
        <w:jc w:val="left"/>
        <w:rPr>
          <w:rFonts w:hint="eastAsia" w:cs="宋体" w:asciiTheme="minorEastAsia" w:hAnsiTheme="minorEastAsia"/>
          <w:color w:val="0000FF"/>
          <w:kern w:val="0"/>
          <w:szCs w:val="21"/>
          <w:u w:val="single"/>
        </w:rPr>
      </w:pPr>
    </w:p>
    <w:p w14:paraId="55E5B768">
      <w:pPr>
        <w:numPr>
          <w:ilvl w:val="0"/>
          <w:numId w:val="77"/>
        </w:numPr>
        <w:autoSpaceDE w:val="0"/>
        <w:autoSpaceDN w:val="0"/>
        <w:spacing w:line="360" w:lineRule="auto"/>
        <w:contextualSpacing/>
        <w:rPr>
          <w:rFonts w:cs="宋体" w:asciiTheme="minorEastAsia" w:hAnsiTheme="minorEastAsia"/>
          <w:b/>
          <w:kern w:val="0"/>
          <w:szCs w:val="21"/>
        </w:rPr>
      </w:pPr>
      <w:r>
        <w:rPr>
          <w:rFonts w:hint="eastAsia" w:cs="宋体" w:asciiTheme="minorEastAsia" w:hAnsiTheme="minorEastAsia"/>
          <w:b/>
          <w:kern w:val="0"/>
          <w:szCs w:val="21"/>
        </w:rPr>
        <w:t>“采小帮”政府采购服务体系</w:t>
      </w:r>
    </w:p>
    <w:p w14:paraId="5A7855F3">
      <w:pPr>
        <w:autoSpaceDE w:val="0"/>
        <w:autoSpaceDN w:val="0"/>
        <w:spacing w:line="360" w:lineRule="auto"/>
        <w:ind w:left="964"/>
        <w:contextualSpacing/>
        <w:jc w:val="left"/>
        <w:rPr>
          <w:rFonts w:cs="宋体" w:asciiTheme="minorEastAsia" w:hAnsiTheme="minorEastAsia"/>
          <w:kern w:val="0"/>
          <w:szCs w:val="21"/>
        </w:rPr>
      </w:pPr>
      <w:r>
        <w:rPr>
          <w:rFonts w:hint="eastAsia" w:cs="宋体" w:asciiTheme="minorEastAsia" w:hAnsiTheme="minorEastAsia"/>
          <w:kern w:val="0"/>
          <w:szCs w:val="21"/>
        </w:rPr>
        <w:t>为持续优化我市政府采购营商环境,</w:t>
      </w:r>
      <w:r>
        <w:rPr>
          <w:rFonts w:hint="eastAsia"/>
        </w:rPr>
        <w:t xml:space="preserve"> </w:t>
      </w:r>
      <w:r>
        <w:rPr>
          <w:rFonts w:hint="eastAsia"/>
          <w:lang w:val="en-US" w:eastAsia="zh-CN"/>
        </w:rPr>
        <w:t>禹州</w:t>
      </w:r>
      <w:r>
        <w:rPr>
          <w:rFonts w:hint="eastAsia" w:cs="宋体" w:asciiTheme="minorEastAsia" w:hAnsiTheme="minorEastAsia"/>
          <w:kern w:val="0"/>
          <w:szCs w:val="21"/>
        </w:rPr>
        <w:t>市财政局政府采购监督管理办公室人员、</w:t>
      </w:r>
      <w:r>
        <w:rPr>
          <w:rFonts w:hint="eastAsia" w:cs="宋体" w:asciiTheme="minorEastAsia" w:hAnsiTheme="minorEastAsia"/>
          <w:kern w:val="0"/>
          <w:szCs w:val="21"/>
          <w:lang w:val="en-US" w:eastAsia="zh-CN"/>
        </w:rPr>
        <w:t>禹州市</w:t>
      </w:r>
      <w:r>
        <w:rPr>
          <w:rFonts w:hint="eastAsia" w:cs="宋体" w:asciiTheme="minorEastAsia" w:hAnsiTheme="minorEastAsia"/>
          <w:kern w:val="0"/>
          <w:szCs w:val="21"/>
        </w:rPr>
        <w:t>政府采购中心人员组成“采小帮”服务团队，提供政府采购政策咨询服务，以及项目实施全程跟踪提醒、监督预警服务。</w:t>
      </w:r>
    </w:p>
    <w:p w14:paraId="3FA48A2D">
      <w:pPr>
        <w:numPr>
          <w:ilvl w:val="0"/>
          <w:numId w:val="78"/>
        </w:numPr>
        <w:wordWrap w:val="0"/>
        <w:topLinePunct/>
        <w:autoSpaceDE w:val="0"/>
        <w:autoSpaceDN w:val="0"/>
        <w:adjustRightInd w:val="0"/>
        <w:spacing w:line="360" w:lineRule="auto"/>
        <w:contextualSpacing/>
        <w:rPr>
          <w:rFonts w:cs="宋体" w:asciiTheme="minorEastAsia" w:hAnsiTheme="minorEastAsia"/>
          <w:vanish/>
          <w:kern w:val="0"/>
          <w:szCs w:val="21"/>
        </w:rPr>
      </w:pPr>
    </w:p>
    <w:p w14:paraId="4E777106">
      <w:pPr>
        <w:numPr>
          <w:ilvl w:val="1"/>
          <w:numId w:val="78"/>
        </w:numPr>
        <w:wordWrap w:val="0"/>
        <w:topLinePunct/>
        <w:autoSpaceDE w:val="0"/>
        <w:autoSpaceDN w:val="0"/>
        <w:adjustRightInd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 xml:space="preserve"> “采小帮”服务团队依据职责分工，向供应商提供个性化、精准化服务，包括政策咨询、   政策宣传、采购辅导、节点提醒、风险提示、问题反馈等。</w:t>
      </w:r>
    </w:p>
    <w:p w14:paraId="05553F43">
      <w:pPr>
        <w:numPr>
          <w:ilvl w:val="1"/>
          <w:numId w:val="78"/>
        </w:numPr>
        <w:wordWrap w:val="0"/>
        <w:topLinePunct/>
        <w:autoSpaceDE w:val="0"/>
        <w:autoSpaceDN w:val="0"/>
        <w:adjustRightInd w:val="0"/>
        <w:spacing w:line="360" w:lineRule="auto"/>
        <w:ind w:left="991" w:hanging="991" w:hangingChars="472"/>
        <w:contextualSpacing/>
        <w:rPr>
          <w:rFonts w:cs="宋体" w:asciiTheme="minorEastAsia" w:hAnsiTheme="minorEastAsia"/>
          <w:kern w:val="0"/>
          <w:szCs w:val="21"/>
        </w:rPr>
      </w:pPr>
      <w:r>
        <w:rPr>
          <w:rFonts w:hint="eastAsia" w:cs="宋体" w:asciiTheme="minorEastAsia" w:hAnsiTheme="minorEastAsia"/>
          <w:kern w:val="0"/>
          <w:szCs w:val="21"/>
        </w:rPr>
        <w:t>“采小帮”服务团队帮助供应商在政府采购活动中维护自身合法权益，及时发现和制止采购人利用自身优势地位拒绝或延迟支付款项，强制要求供应商接受不合理的付款期限、方式、条件，拒不按政府采购政策规定和采购合同约定履行责任等行为。</w:t>
      </w:r>
    </w:p>
    <w:p w14:paraId="6DBFA4EF">
      <w:pPr>
        <w:numPr>
          <w:ilvl w:val="1"/>
          <w:numId w:val="78"/>
        </w:numPr>
        <w:wordWrap w:val="0"/>
        <w:topLinePunct/>
        <w:autoSpaceDE w:val="0"/>
        <w:autoSpaceDN w:val="0"/>
        <w:adjustRightInd w:val="0"/>
        <w:spacing w:line="360" w:lineRule="auto"/>
        <w:ind w:left="991" w:hanging="991" w:hangingChars="472"/>
        <w:contextualSpacing/>
        <w:rPr>
          <w:rFonts w:cs="宋体" w:asciiTheme="minorEastAsia" w:hAnsiTheme="minorEastAsia"/>
          <w:kern w:val="0"/>
          <w:szCs w:val="21"/>
        </w:rPr>
      </w:pPr>
      <w:r>
        <w:rPr>
          <w:rFonts w:hint="eastAsia" w:cs="宋体" w:asciiTheme="minorEastAsia" w:hAnsiTheme="minorEastAsia"/>
          <w:kern w:val="0"/>
          <w:szCs w:val="21"/>
        </w:rPr>
        <w:t>助手团队</w:t>
      </w:r>
    </w:p>
    <w:tbl>
      <w:tblPr>
        <w:tblStyle w:val="25"/>
        <w:tblpPr w:leftFromText="180" w:rightFromText="180" w:vertAnchor="text" w:horzAnchor="page" w:tblpX="1905" w:tblpY="4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1544"/>
        <w:gridCol w:w="2136"/>
        <w:gridCol w:w="3031"/>
      </w:tblGrid>
      <w:tr w14:paraId="40DBB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top"/>
          </w:tcPr>
          <w:p w14:paraId="699BE2F5">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部门</w:t>
            </w:r>
          </w:p>
        </w:tc>
        <w:tc>
          <w:tcPr>
            <w:tcW w:w="1544" w:type="dxa"/>
            <w:noWrap w:val="0"/>
            <w:vAlign w:val="top"/>
          </w:tcPr>
          <w:p w14:paraId="1827959C">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姓名</w:t>
            </w:r>
          </w:p>
        </w:tc>
        <w:tc>
          <w:tcPr>
            <w:tcW w:w="2136" w:type="dxa"/>
            <w:noWrap w:val="0"/>
            <w:vAlign w:val="top"/>
          </w:tcPr>
          <w:p w14:paraId="0E57598A">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联系方式</w:t>
            </w:r>
          </w:p>
        </w:tc>
        <w:tc>
          <w:tcPr>
            <w:tcW w:w="3031" w:type="dxa"/>
            <w:noWrap w:val="0"/>
            <w:vAlign w:val="top"/>
          </w:tcPr>
          <w:p w14:paraId="1870B2C0">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服务领域</w:t>
            </w:r>
          </w:p>
        </w:tc>
      </w:tr>
      <w:tr w14:paraId="6C64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center"/>
          </w:tcPr>
          <w:p w14:paraId="7FDCA91E">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禹</w:t>
            </w:r>
            <w:r>
              <w:rPr>
                <w:rFonts w:hint="eastAsia" w:asciiTheme="minorEastAsia" w:hAnsiTheme="minorEastAsia" w:eastAsiaTheme="minorEastAsia" w:cstheme="minorEastAsia"/>
                <w:sz w:val="21"/>
                <w:szCs w:val="21"/>
              </w:rPr>
              <w:t>市政府采购监督管理办公室</w:t>
            </w:r>
          </w:p>
        </w:tc>
        <w:tc>
          <w:tcPr>
            <w:tcW w:w="1544" w:type="dxa"/>
            <w:noWrap w:val="0"/>
            <w:vAlign w:val="top"/>
          </w:tcPr>
          <w:p w14:paraId="14EF42FD">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乔娜</w:t>
            </w:r>
          </w:p>
          <w:p w14:paraId="0E5A7E74">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赵纪伟</w:t>
            </w:r>
          </w:p>
          <w:p w14:paraId="6499C16D">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邢琳琳</w:t>
            </w:r>
          </w:p>
        </w:tc>
        <w:tc>
          <w:tcPr>
            <w:tcW w:w="2136" w:type="dxa"/>
            <w:noWrap w:val="0"/>
            <w:vAlign w:val="center"/>
          </w:tcPr>
          <w:p w14:paraId="1C06BC52">
            <w:pPr>
              <w:spacing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0374-</w:t>
            </w:r>
            <w:r>
              <w:rPr>
                <w:rFonts w:hint="eastAsia" w:asciiTheme="minorEastAsia" w:hAnsiTheme="minorEastAsia" w:eastAsiaTheme="minorEastAsia" w:cstheme="minorEastAsia"/>
                <w:sz w:val="21"/>
                <w:szCs w:val="21"/>
                <w:lang w:val="en-US" w:eastAsia="zh-CN"/>
              </w:rPr>
              <w:t>8112523</w:t>
            </w:r>
          </w:p>
        </w:tc>
        <w:tc>
          <w:tcPr>
            <w:tcW w:w="3031" w:type="dxa"/>
            <w:noWrap w:val="0"/>
            <w:vAlign w:val="center"/>
          </w:tcPr>
          <w:p w14:paraId="71DEE47E">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政府采购政策制度、支持中小企业发展、政府采购信息系统、</w:t>
            </w:r>
            <w:r>
              <w:rPr>
                <w:rFonts w:hint="eastAsia" w:asciiTheme="minorEastAsia" w:hAnsiTheme="minorEastAsia" w:eastAsiaTheme="minorEastAsia" w:cstheme="minorEastAsia"/>
                <w:sz w:val="21"/>
                <w:szCs w:val="21"/>
                <w:lang w:eastAsia="zh-CN"/>
              </w:rPr>
              <w:t>合同备案管理、</w:t>
            </w:r>
            <w:r>
              <w:rPr>
                <w:rFonts w:hint="eastAsia" w:asciiTheme="minorEastAsia" w:hAnsiTheme="minorEastAsia" w:eastAsiaTheme="minorEastAsia" w:cstheme="minorEastAsia"/>
                <w:sz w:val="21"/>
                <w:szCs w:val="21"/>
              </w:rPr>
              <w:t>供应商监管、网上商城管理、832平台</w:t>
            </w:r>
            <w:r>
              <w:rPr>
                <w:rFonts w:hint="eastAsia" w:asciiTheme="minorEastAsia" w:hAnsiTheme="minorEastAsia" w:eastAsiaTheme="minorEastAsia" w:cstheme="minorEastAsia"/>
                <w:sz w:val="21"/>
                <w:szCs w:val="21"/>
                <w:lang w:eastAsia="zh-CN"/>
              </w:rPr>
              <w:t>管理、质</w:t>
            </w:r>
            <w:r>
              <w:rPr>
                <w:rFonts w:hint="eastAsia" w:asciiTheme="minorEastAsia" w:hAnsiTheme="minorEastAsia" w:eastAsiaTheme="minorEastAsia" w:cstheme="minorEastAsia"/>
                <w:sz w:val="21"/>
                <w:szCs w:val="21"/>
              </w:rPr>
              <w:t>疑投诉处理</w:t>
            </w:r>
          </w:p>
        </w:tc>
      </w:tr>
      <w:tr w14:paraId="4730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811" w:type="dxa"/>
            <w:noWrap w:val="0"/>
            <w:vAlign w:val="center"/>
          </w:tcPr>
          <w:p w14:paraId="2658D1D9">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禹州</w:t>
            </w:r>
            <w:r>
              <w:rPr>
                <w:rFonts w:hint="eastAsia" w:asciiTheme="minorEastAsia" w:hAnsiTheme="minorEastAsia" w:eastAsiaTheme="minorEastAsia" w:cstheme="minorEastAsia"/>
                <w:sz w:val="21"/>
                <w:szCs w:val="21"/>
              </w:rPr>
              <w:t>市政府采购中心</w:t>
            </w:r>
          </w:p>
        </w:tc>
        <w:tc>
          <w:tcPr>
            <w:tcW w:w="1544" w:type="dxa"/>
            <w:noWrap w:val="0"/>
            <w:vAlign w:val="center"/>
          </w:tcPr>
          <w:p w14:paraId="2E86AF02">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侯英红</w:t>
            </w:r>
          </w:p>
          <w:p w14:paraId="18ADCD61">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方诗涵</w:t>
            </w:r>
          </w:p>
        </w:tc>
        <w:tc>
          <w:tcPr>
            <w:tcW w:w="2136" w:type="dxa"/>
            <w:noWrap w:val="0"/>
            <w:vAlign w:val="center"/>
          </w:tcPr>
          <w:p w14:paraId="3CAB3F53">
            <w:pPr>
              <w:spacing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0374-2077111</w:t>
            </w:r>
          </w:p>
        </w:tc>
        <w:tc>
          <w:tcPr>
            <w:tcW w:w="3031" w:type="dxa"/>
            <w:noWrap w:val="0"/>
            <w:vAlign w:val="center"/>
          </w:tcPr>
          <w:p w14:paraId="7F0E0AAE">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采购</w:t>
            </w:r>
            <w:r>
              <w:rPr>
                <w:rFonts w:hint="eastAsia" w:asciiTheme="minorEastAsia" w:hAnsiTheme="minorEastAsia" w:eastAsiaTheme="minorEastAsia" w:cstheme="minorEastAsia"/>
                <w:sz w:val="21"/>
                <w:szCs w:val="21"/>
              </w:rPr>
              <w:t>文件编制、核验，信息（公告、文件）发布，确认场地时间，集采项目答疑</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交易数据统计。</w:t>
            </w:r>
          </w:p>
        </w:tc>
      </w:tr>
    </w:tbl>
    <w:p w14:paraId="647F276D">
      <w:pPr>
        <w:numPr>
          <w:ilvl w:val="0"/>
          <w:numId w:val="0"/>
        </w:numPr>
        <w:wordWrap w:val="0"/>
        <w:topLinePunct/>
        <w:autoSpaceDE w:val="0"/>
        <w:autoSpaceDN w:val="0"/>
        <w:adjustRightInd w:val="0"/>
        <w:spacing w:line="360" w:lineRule="auto"/>
        <w:ind w:leftChars="-472"/>
        <w:contextualSpacing/>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lang w:val="en-US" w:eastAsia="zh-CN"/>
        </w:rPr>
        <w:t xml:space="preserve">     </w:t>
      </w:r>
    </w:p>
    <w:p w14:paraId="4842DDE6">
      <w:pPr>
        <w:numPr>
          <w:ilvl w:val="1"/>
          <w:numId w:val="78"/>
        </w:numPr>
        <w:wordWrap w:val="0"/>
        <w:topLinePunct/>
        <w:autoSpaceDE w:val="0"/>
        <w:autoSpaceDN w:val="0"/>
        <w:adjustRightInd w:val="0"/>
        <w:spacing w:line="360" w:lineRule="auto"/>
        <w:ind w:left="991" w:hanging="991" w:hangingChars="472"/>
        <w:contextualSpacing/>
        <w:rPr>
          <w:rFonts w:cs="宋体" w:asciiTheme="minorEastAsia" w:hAnsiTheme="minorEastAsia"/>
          <w:kern w:val="0"/>
          <w:szCs w:val="21"/>
        </w:rPr>
      </w:pPr>
      <w:r>
        <w:rPr>
          <w:rFonts w:hint="eastAsia" w:cs="宋体" w:asciiTheme="minorEastAsia" w:hAnsiTheme="minorEastAsia"/>
          <w:kern w:val="0"/>
          <w:szCs w:val="21"/>
        </w:rPr>
        <w:t xml:space="preserve">咨询途径： </w:t>
      </w:r>
    </w:p>
    <w:p w14:paraId="0E822678">
      <w:pPr>
        <w:autoSpaceDE w:val="0"/>
        <w:autoSpaceDN w:val="0"/>
        <w:spacing w:line="360" w:lineRule="auto"/>
        <w:ind w:left="964" w:firstLine="27" w:firstLineChars="13"/>
        <w:contextualSpacing/>
        <w:jc w:val="left"/>
        <w:rPr>
          <w:rFonts w:cs="宋体" w:asciiTheme="minorEastAsia" w:hAnsiTheme="minorEastAsia"/>
          <w:kern w:val="0"/>
          <w:szCs w:val="21"/>
        </w:rPr>
      </w:pPr>
      <w:r>
        <w:rPr>
          <w:rFonts w:hint="eastAsia" w:cs="宋体" w:asciiTheme="minorEastAsia" w:hAnsiTheme="minorEastAsia"/>
          <w:kern w:val="0"/>
          <w:szCs w:val="21"/>
        </w:rPr>
        <w:t>（1）电话咨询：采购人、供应商对照助手团队人员，通过电话方式直接咨询。</w:t>
      </w:r>
    </w:p>
    <w:p w14:paraId="08D443B4">
      <w:pPr>
        <w:autoSpaceDE w:val="0"/>
        <w:autoSpaceDN w:val="0"/>
        <w:spacing w:line="360" w:lineRule="auto"/>
        <w:ind w:left="993"/>
        <w:contextualSpacing/>
        <w:jc w:val="left"/>
        <w:rPr>
          <w:rFonts w:cs="宋体" w:asciiTheme="minorEastAsia" w:hAnsiTheme="minorEastAsia"/>
          <w:kern w:val="0"/>
          <w:szCs w:val="21"/>
        </w:rPr>
      </w:pPr>
      <w:r>
        <w:rPr>
          <w:rFonts w:hint="eastAsia" w:cs="宋体" w:asciiTheme="minorEastAsia" w:hAnsiTheme="minorEastAsia"/>
          <w:kern w:val="0"/>
          <w:szCs w:val="21"/>
        </w:rPr>
        <w:t>（2）邮箱咨询：</w:t>
      </w:r>
    </w:p>
    <w:p w14:paraId="5F6E2F3C">
      <w:pPr>
        <w:wordWrap w:val="0"/>
        <w:autoSpaceDE w:val="0"/>
        <w:autoSpaceDN w:val="0"/>
        <w:spacing w:line="360" w:lineRule="auto"/>
        <w:ind w:left="1418"/>
        <w:contextualSpacing/>
        <w:jc w:val="left"/>
        <w:rPr>
          <w:rFonts w:cs="宋体" w:asciiTheme="minorEastAsia" w:hAnsiTheme="minorEastAsia"/>
          <w:kern w:val="0"/>
          <w:szCs w:val="21"/>
        </w:rPr>
      </w:pPr>
      <w:r>
        <w:rPr>
          <w:rFonts w:hint="eastAsia" w:cs="宋体" w:asciiTheme="minorEastAsia" w:hAnsiTheme="minorEastAsia"/>
          <w:kern w:val="0"/>
          <w:szCs w:val="21"/>
        </w:rPr>
        <w:t>①发送电子邮件至</w:t>
      </w:r>
      <w:r>
        <w:rPr>
          <w:rFonts w:hint="eastAsia" w:cs="宋体" w:asciiTheme="minorEastAsia" w:hAnsiTheme="minorEastAsia"/>
          <w:kern w:val="0"/>
          <w:szCs w:val="21"/>
          <w:lang w:val="en-US" w:eastAsia="zh-CN"/>
        </w:rPr>
        <w:t>禹州</w:t>
      </w:r>
      <w:r>
        <w:rPr>
          <w:rFonts w:hint="eastAsia" w:cs="宋体" w:asciiTheme="minorEastAsia" w:hAnsiTheme="minorEastAsia"/>
          <w:kern w:val="0"/>
          <w:szCs w:val="21"/>
        </w:rPr>
        <w:t>市政府采购监督管理办公室咨询邮箱，邮箱地址：</w:t>
      </w:r>
      <w:r>
        <w:fldChar w:fldCharType="begin"/>
      </w:r>
      <w:r>
        <w:instrText xml:space="preserve"> HYPERLINK "mailto:xcscgb@126.com" </w:instrText>
      </w:r>
      <w:r>
        <w:fldChar w:fldCharType="separate"/>
      </w:r>
      <w:r>
        <w:rPr>
          <w:rFonts w:hint="eastAsia" w:cs="宋体" w:asciiTheme="minorEastAsia" w:hAnsiTheme="minorEastAsia"/>
          <w:color w:val="0000FF"/>
          <w:kern w:val="0"/>
          <w:szCs w:val="21"/>
          <w:u w:val="single"/>
          <w:lang w:val="en-US" w:eastAsia="zh-CN"/>
        </w:rPr>
        <w:t>yzscgb2523</w:t>
      </w:r>
      <w:r>
        <w:rPr>
          <w:rFonts w:hint="eastAsia" w:cs="宋体" w:asciiTheme="minorEastAsia" w:hAnsiTheme="minorEastAsia"/>
          <w:color w:val="0000FF"/>
          <w:kern w:val="0"/>
          <w:szCs w:val="21"/>
          <w:u w:val="single"/>
        </w:rPr>
        <w:t>@</w:t>
      </w:r>
      <w:r>
        <w:rPr>
          <w:rFonts w:hint="eastAsia" w:cs="宋体" w:asciiTheme="minorEastAsia" w:hAnsiTheme="minorEastAsia"/>
          <w:color w:val="0000FF"/>
          <w:kern w:val="0"/>
          <w:szCs w:val="21"/>
          <w:u w:val="single"/>
          <w:lang w:val="en-US" w:eastAsia="zh-CN"/>
        </w:rPr>
        <w:t>163</w:t>
      </w:r>
      <w:r>
        <w:rPr>
          <w:rFonts w:hint="eastAsia" w:cs="宋体" w:asciiTheme="minorEastAsia" w:hAnsiTheme="minorEastAsia"/>
          <w:color w:val="0000FF"/>
          <w:kern w:val="0"/>
          <w:szCs w:val="21"/>
          <w:u w:val="single"/>
        </w:rPr>
        <w:t>.com</w:t>
      </w:r>
      <w:r>
        <w:rPr>
          <w:rFonts w:hint="eastAsia" w:cs="宋体" w:asciiTheme="minorEastAsia" w:hAnsiTheme="minorEastAsia"/>
          <w:color w:val="0000FF"/>
          <w:kern w:val="0"/>
          <w:szCs w:val="21"/>
          <w:u w:val="single"/>
        </w:rPr>
        <w:fldChar w:fldCharType="end"/>
      </w:r>
      <w:r>
        <w:rPr>
          <w:rFonts w:hint="eastAsia" w:cs="宋体" w:asciiTheme="minorEastAsia" w:hAnsiTheme="minorEastAsia"/>
          <w:kern w:val="0"/>
          <w:szCs w:val="21"/>
        </w:rPr>
        <w:t>；</w:t>
      </w:r>
    </w:p>
    <w:p w14:paraId="374B66D6">
      <w:pPr>
        <w:autoSpaceDE w:val="0"/>
        <w:autoSpaceDN w:val="0"/>
        <w:spacing w:line="360" w:lineRule="auto"/>
        <w:ind w:left="964" w:firstLine="453" w:firstLineChars="216"/>
        <w:contextualSpacing/>
        <w:jc w:val="left"/>
        <w:rPr>
          <w:rFonts w:hint="eastAsia" w:cs="宋体" w:asciiTheme="minorEastAsia" w:hAnsiTheme="minorEastAsia" w:eastAsiaTheme="minorEastAsia"/>
          <w:kern w:val="0"/>
          <w:szCs w:val="21"/>
          <w:lang w:val="en-US" w:eastAsia="zh-CN"/>
        </w:rPr>
      </w:pPr>
      <w:r>
        <w:rPr>
          <w:rFonts w:hint="eastAsia" w:cs="宋体" w:asciiTheme="minorEastAsia" w:hAnsiTheme="minorEastAsia"/>
          <w:kern w:val="0"/>
          <w:szCs w:val="21"/>
        </w:rPr>
        <w:t>②发送电子邮件至</w:t>
      </w:r>
      <w:r>
        <w:rPr>
          <w:rFonts w:hint="eastAsia" w:cs="宋体" w:asciiTheme="minorEastAsia" w:hAnsiTheme="minorEastAsia"/>
          <w:kern w:val="0"/>
          <w:szCs w:val="21"/>
          <w:lang w:val="en-US" w:eastAsia="zh-CN"/>
        </w:rPr>
        <w:t>禹州</w:t>
      </w:r>
      <w:r>
        <w:rPr>
          <w:rFonts w:hint="eastAsia" w:cs="宋体" w:asciiTheme="minorEastAsia" w:hAnsiTheme="minorEastAsia"/>
          <w:kern w:val="0"/>
          <w:szCs w:val="21"/>
        </w:rPr>
        <w:t>市政府采购中心咨询邮箱，邮箱地址：</w:t>
      </w:r>
      <w:r>
        <w:fldChar w:fldCharType="begin"/>
      </w:r>
      <w:r>
        <w:instrText xml:space="preserve"> HYPERLINK "mailto:xcszfcgzx@126.com" </w:instrText>
      </w:r>
      <w:r>
        <w:fldChar w:fldCharType="separate"/>
      </w:r>
      <w:r>
        <w:rPr>
          <w:rFonts w:hint="eastAsia"/>
          <w:lang w:val="en-US" w:eastAsia="zh-CN"/>
        </w:rPr>
        <w:t>ztbjyglzx</w:t>
      </w:r>
      <w:r>
        <w:rPr>
          <w:rFonts w:hint="eastAsia" w:cs="宋体" w:asciiTheme="minorEastAsia" w:hAnsiTheme="minorEastAsia"/>
          <w:color w:val="0000FF"/>
          <w:kern w:val="0"/>
          <w:szCs w:val="21"/>
          <w:u w:val="single"/>
        </w:rPr>
        <w:t>@1</w:t>
      </w:r>
      <w:r>
        <w:rPr>
          <w:rFonts w:hint="eastAsia" w:cs="宋体" w:asciiTheme="minorEastAsia" w:hAnsiTheme="minorEastAsia"/>
          <w:color w:val="0000FF"/>
          <w:kern w:val="0"/>
          <w:szCs w:val="21"/>
          <w:u w:val="single"/>
          <w:lang w:val="en-US" w:eastAsia="zh-CN"/>
        </w:rPr>
        <w:t>63</w:t>
      </w:r>
      <w:r>
        <w:rPr>
          <w:rFonts w:hint="eastAsia" w:cs="宋体" w:asciiTheme="minorEastAsia" w:hAnsiTheme="minorEastAsia"/>
          <w:color w:val="0000FF"/>
          <w:kern w:val="0"/>
          <w:szCs w:val="21"/>
          <w:u w:val="single"/>
        </w:rPr>
        <w:t>.com</w:t>
      </w:r>
      <w:r>
        <w:rPr>
          <w:rFonts w:hint="eastAsia" w:cs="宋体" w:asciiTheme="minorEastAsia" w:hAnsiTheme="minorEastAsia"/>
          <w:color w:val="0000FF"/>
          <w:kern w:val="0"/>
          <w:szCs w:val="21"/>
          <w:u w:val="single"/>
        </w:rPr>
        <w:fldChar w:fldCharType="end"/>
      </w:r>
      <w:r>
        <w:rPr>
          <w:rFonts w:hint="eastAsia" w:cs="宋体" w:asciiTheme="minorEastAsia" w:hAnsiTheme="minorEastAsia"/>
          <w:color w:val="0000FF"/>
          <w:kern w:val="0"/>
          <w:szCs w:val="21"/>
          <w:u w:val="single"/>
          <w:lang w:val="en-US" w:eastAsia="zh-CN"/>
        </w:rPr>
        <w:t>.</w:t>
      </w:r>
    </w:p>
    <w:p w14:paraId="6547E718">
      <w:pPr>
        <w:autoSpaceDE w:val="0"/>
        <w:autoSpaceDN w:val="0"/>
        <w:spacing w:line="360" w:lineRule="auto"/>
        <w:ind w:left="964"/>
        <w:contextualSpacing/>
        <w:jc w:val="left"/>
        <w:rPr>
          <w:rFonts w:cs="宋体" w:asciiTheme="majorEastAsia" w:hAnsiTheme="majorEastAsia" w:eastAsiaTheme="majorEastAsia"/>
          <w:b/>
          <w:kern w:val="0"/>
          <w:sz w:val="32"/>
          <w:szCs w:val="32"/>
        </w:rPr>
      </w:pPr>
    </w:p>
    <w:p w14:paraId="6CC811BF">
      <w:pPr>
        <w:autoSpaceDE w:val="0"/>
        <w:autoSpaceDN w:val="0"/>
        <w:spacing w:line="360" w:lineRule="auto"/>
        <w:contextualSpacing/>
        <w:jc w:val="left"/>
        <w:rPr>
          <w:rFonts w:cs="宋体" w:asciiTheme="majorEastAsia" w:hAnsiTheme="majorEastAsia" w:eastAsiaTheme="majorEastAsia"/>
          <w:b/>
          <w:kern w:val="0"/>
          <w:sz w:val="32"/>
          <w:szCs w:val="32"/>
        </w:rPr>
      </w:pPr>
    </w:p>
    <w:p w14:paraId="76D3071E">
      <w:pPr>
        <w:autoSpaceDE w:val="0"/>
        <w:autoSpaceDN w:val="0"/>
        <w:spacing w:line="360" w:lineRule="auto"/>
        <w:ind w:left="964"/>
        <w:contextualSpacing/>
        <w:jc w:val="left"/>
        <w:rPr>
          <w:rFonts w:cs="宋体" w:asciiTheme="majorEastAsia" w:hAnsiTheme="majorEastAsia" w:eastAsiaTheme="majorEastAsia"/>
          <w:b/>
          <w:kern w:val="0"/>
          <w:sz w:val="32"/>
          <w:szCs w:val="32"/>
        </w:rPr>
      </w:pPr>
    </w:p>
    <w:p w14:paraId="48CC7029">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43448029">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5C0863B9">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62AAFFD2">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6039E03A">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70284CB3">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2BE5195C">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45D31846">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70696ADD">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1C8613E1">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0A4D6E9A">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461CFA20">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451FD4DE">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4D604FA8">
      <w:pPr>
        <w:autoSpaceDE w:val="0"/>
        <w:autoSpaceDN w:val="0"/>
        <w:spacing w:line="360" w:lineRule="auto"/>
        <w:ind w:firstLine="2570" w:firstLineChars="800"/>
        <w:contextualSpacing/>
        <w:jc w:val="left"/>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695A49F9">
      <w:pPr>
        <w:jc w:val="center"/>
        <w:rPr>
          <w:rFonts w:cs="宋体" w:asciiTheme="majorEastAsia" w:hAnsiTheme="majorEastAsia" w:eastAsiaTheme="majorEastAsia"/>
          <w:b/>
          <w:kern w:val="0"/>
          <w:sz w:val="36"/>
          <w:szCs w:val="36"/>
        </w:rPr>
      </w:pPr>
    </w:p>
    <w:p w14:paraId="28A9A5C2">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14:paraId="7FEDD576">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一、节约能源、保护环境</w:t>
      </w:r>
    </w:p>
    <w:p w14:paraId="634ABFC4">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（财库[2019]18号）以及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《关于印发节能产品政府采购品目清单的通知》（财库[2019]19号）</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3654530F">
      <w:pPr>
        <w:pStyle w:val="15"/>
        <w:spacing w:line="360" w:lineRule="auto"/>
        <w:ind w:firstLine="422" w:firstLineChars="200"/>
        <w:contextualSpacing/>
        <w:rPr>
          <w:rFonts w:cs="仿宋_GB2312" w:asciiTheme="minorEastAsia" w:hAnsiTheme="minorEastAsia"/>
          <w:b/>
          <w:sz w:val="21"/>
          <w:szCs w:val="21"/>
          <w:lang w:val="zh-CN"/>
        </w:rPr>
      </w:pPr>
      <w:r>
        <w:rPr>
          <w:rFonts w:hint="eastAsia" w:cs="仿宋_GB2312" w:asciiTheme="minorEastAsia" w:hAnsiTheme="minorEastAsia" w:eastAsiaTheme="minorEastAsia"/>
          <w:b/>
          <w:sz w:val="21"/>
          <w:szCs w:val="21"/>
          <w:lang w:val="zh-CN"/>
        </w:rPr>
        <w:t>二、</w:t>
      </w:r>
      <w:r>
        <w:rPr>
          <w:rFonts w:hint="eastAsia" w:cs="仿宋_GB2312" w:asciiTheme="minorEastAsia" w:hAnsiTheme="minorEastAsia"/>
          <w:b/>
          <w:sz w:val="21"/>
          <w:szCs w:val="21"/>
          <w:lang w:val="zh-CN"/>
        </w:rPr>
        <w:t>促进中小企业发展（不含民办非企业）</w:t>
      </w:r>
    </w:p>
    <w:p w14:paraId="4FF46484">
      <w:pPr>
        <w:topLinePunct/>
        <w:spacing w:line="360" w:lineRule="auto"/>
        <w:ind w:firstLine="420" w:firstLineChars="200"/>
        <w:contextualSpacing/>
        <w:rPr>
          <w:rFonts w:cs="仿宋_GB2312" w:asciiTheme="minorEastAsia" w:hAnsiTheme="minorEastAsia"/>
          <w:szCs w:val="21"/>
          <w:lang w:val="zh-CN"/>
        </w:rPr>
      </w:pPr>
      <w:r>
        <w:rPr>
          <w:rFonts w:hint="eastAsia" w:ascii="ˎ̥" w:hAnsi="ˎ̥"/>
        </w:rPr>
        <w:t>1、本</w:t>
      </w:r>
      <w:r>
        <w:rPr>
          <w:rFonts w:hint="eastAsia" w:cs="仿宋_GB2312" w:asciiTheme="minorEastAsia" w:hAnsiTheme="minorEastAsia"/>
          <w:szCs w:val="21"/>
          <w:lang w:val="zh-CN"/>
        </w:rPr>
        <w:t>项目为非专门面向中小企业采购的项目，根据财政部、工业和信息化部《政府采购促进中小企业发展管理办法》（财库[2020]46号）、《关于进一步加大政府采购支持中小企业力度的通知》（财库〔2022〕19号）规定，对符合该办法规定的小型和微型企业报价给予10%-20%的扣除，用扣除后的价格参与评审。</w:t>
      </w:r>
    </w:p>
    <w:p w14:paraId="71D40687">
      <w:pPr>
        <w:spacing w:line="360" w:lineRule="auto"/>
        <w:ind w:firstLine="420" w:firstLineChars="200"/>
        <w:contextualSpacing/>
        <w:rPr>
          <w:rFonts w:ascii="ˎ̥" w:hAnsi="ˎ̥"/>
        </w:rPr>
      </w:pPr>
      <w:r>
        <w:rPr>
          <w:rFonts w:hint="eastAsia" w:ascii="ˎ̥" w:hAnsi="ˎ̥"/>
        </w:rPr>
        <w:t>2、</w:t>
      </w:r>
      <w:r>
        <w:rPr>
          <w:rFonts w:ascii="ˎ̥" w:hAnsi="ˎ̥"/>
        </w:rPr>
        <w:t>在货物采购项目中，供应商提供的货物既有中小企业制造货物，也有大型企业制造货物的，不享受</w:t>
      </w:r>
      <w:r>
        <w:rPr>
          <w:rFonts w:hint="eastAsia" w:cs="仿宋_GB2312" w:asciiTheme="minorEastAsia" w:hAnsiTheme="minorEastAsia"/>
          <w:szCs w:val="21"/>
          <w:lang w:val="zh-CN"/>
        </w:rPr>
        <w:t>《政府采购促进中小企业发展管理办法》（财库[2020]46号）</w:t>
      </w:r>
      <w:r>
        <w:rPr>
          <w:rFonts w:ascii="ˎ̥" w:hAnsi="ˎ̥"/>
        </w:rPr>
        <w:t>规定的中小企业扶持政策。</w:t>
      </w:r>
    </w:p>
    <w:p w14:paraId="72EB3199">
      <w:pPr>
        <w:spacing w:line="360" w:lineRule="auto"/>
        <w:ind w:firstLine="420" w:firstLineChars="200"/>
        <w:contextualSpacing/>
        <w:rPr>
          <w:rFonts w:ascii="ˎ̥" w:hAnsi="ˎ̥"/>
        </w:rPr>
      </w:pPr>
      <w:r>
        <w:rPr>
          <w:rFonts w:hint="eastAsia" w:ascii="ˎ̥" w:hAnsi="ˎ̥"/>
        </w:rPr>
        <w:t>3、</w:t>
      </w:r>
      <w:r>
        <w:rPr>
          <w:rFonts w:ascii="ˎ̥" w:hAnsi="ˎ̥"/>
        </w:rPr>
        <w:t>以联合体形式参加政府采购活动，联合体各方均为中小企业的，联合体视同中小企业。其中，联合体各方均为小微企业的，联合体视同小微企业。</w:t>
      </w:r>
    </w:p>
    <w:p w14:paraId="682812B0">
      <w:pPr>
        <w:spacing w:line="360" w:lineRule="auto"/>
        <w:ind w:firstLine="420" w:firstLineChars="200"/>
        <w:contextualSpacing/>
        <w:rPr>
          <w:rFonts w:ascii="ˎ̥" w:hAnsi="ˎ̥"/>
        </w:rPr>
      </w:pPr>
      <w:r>
        <w:rPr>
          <w:rFonts w:hint="eastAsia" w:ascii="ˎ̥" w:hAnsi="ˎ̥"/>
        </w:rPr>
        <w:t>4、</w:t>
      </w:r>
      <w:r>
        <w:rPr>
          <w:rFonts w:ascii="ˎ̥" w:hAnsi="ˎ̥"/>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rPr>
        <w:t>4</w:t>
      </w:r>
      <w:r>
        <w:rPr>
          <w:rFonts w:ascii="ˎ̥" w:hAnsi="ˎ̥"/>
        </w:rPr>
        <w:t>—</w:t>
      </w:r>
      <w:r>
        <w:rPr>
          <w:rFonts w:hint="eastAsia" w:ascii="ˎ̥" w:hAnsi="ˎ̥"/>
        </w:rPr>
        <w:t>6</w:t>
      </w:r>
      <w:r>
        <w:rPr>
          <w:rFonts w:ascii="ˎ̥" w:hAnsi="ˎ̥"/>
        </w:rPr>
        <w:t>%的扣除，用扣除后的价格参加评审。组成联合体或者接受分包的小微企业与联合体内其他企业、分包企业之间存在直接控股、管理关系的，不享受价格扣除优惠政策。</w:t>
      </w:r>
    </w:p>
    <w:p w14:paraId="5E7D851C">
      <w:pPr>
        <w:topLinePunct/>
        <w:spacing w:line="360" w:lineRule="auto"/>
        <w:ind w:firstLine="420" w:firstLineChars="200"/>
        <w:contextualSpacing/>
        <w:rPr>
          <w:rFonts w:ascii="ˎ̥" w:hAnsi="ˎ̥"/>
        </w:rPr>
      </w:pPr>
      <w:r>
        <w:rPr>
          <w:rFonts w:hint="eastAsia" w:ascii="ˎ̥" w:hAnsi="ˎ̥"/>
        </w:rPr>
        <w:t>5、按照本次采购标的所属行业的划型标准，符合条件的中小企业应按照招标文件格式要求提供《中小企业声明函》，</w:t>
      </w:r>
      <w:r>
        <w:rPr>
          <w:rFonts w:ascii="ˎ̥" w:hAnsi="ˎ̥"/>
        </w:rPr>
        <w:t>否则不得享受相关中小企业扶持政策。</w:t>
      </w:r>
    </w:p>
    <w:p w14:paraId="19EC3050">
      <w:pPr>
        <w:topLinePunct/>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三、支持监狱企业发展</w:t>
      </w:r>
    </w:p>
    <w:p w14:paraId="08E32E76">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按照财政部、司法部发布的《关于政府采购支持监狱企业发展有关问题的通知》（</w:t>
      </w:r>
      <w:bookmarkStart w:id="1" w:name="OLE_LINK6"/>
      <w:r>
        <w:rPr>
          <w:rFonts w:hint="eastAsia" w:cs="仿宋_GB2312" w:asciiTheme="minorEastAsia" w:hAnsiTheme="minorEastAsia"/>
          <w:szCs w:val="21"/>
          <w:lang w:val="zh-CN"/>
        </w:rPr>
        <w:t>财库[2014]68号</w:t>
      </w:r>
      <w:bookmarkEnd w:id="1"/>
      <w:r>
        <w:rPr>
          <w:rFonts w:hint="eastAsia" w:cs="仿宋_GB2312" w:asciiTheme="minorEastAsia" w:hAnsiTheme="minorEastAsia"/>
          <w:szCs w:val="21"/>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2C376140">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四、促进残疾人就业</w:t>
      </w:r>
    </w:p>
    <w:p w14:paraId="545DD853">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 w:val="21"/>
          <w:szCs w:val="21"/>
        </w:rPr>
        <w:t>残疾人福利性单位属于小型、微型企业的，不重复享受政策。</w:t>
      </w:r>
    </w:p>
    <w:p w14:paraId="7B85688E">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04C51728">
      <w:pPr>
        <w:pStyle w:val="15"/>
        <w:spacing w:line="360" w:lineRule="auto"/>
        <w:ind w:firstLine="42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 w:val="21"/>
          <w:szCs w:val="21"/>
          <w:lang w:val="zh-CN"/>
        </w:rPr>
        <w:t>3、中标人为残疾人福利性单位的，招标人应当随中标结果同时公告其《残疾人福利性单位声明函》，接受社会监督。</w:t>
      </w:r>
    </w:p>
    <w:p w14:paraId="4CC88DFE">
      <w:pPr>
        <w:topLinePunct/>
        <w:spacing w:line="360" w:lineRule="auto"/>
        <w:ind w:firstLine="420" w:firstLineChars="200"/>
        <w:contextualSpacing/>
        <w:rPr>
          <w:rFonts w:cs="仿宋_GB2312" w:asciiTheme="minorEastAsia" w:hAnsiTheme="minorEastAsia"/>
          <w:szCs w:val="21"/>
          <w:lang w:val="zh-CN"/>
        </w:rPr>
      </w:pPr>
    </w:p>
    <w:p w14:paraId="5160C2B8">
      <w:pPr>
        <w:pStyle w:val="15"/>
        <w:spacing w:line="360" w:lineRule="auto"/>
        <w:ind w:left="282" w:hanging="282" w:hangingChars="78"/>
        <w:contextualSpacing/>
        <w:jc w:val="center"/>
        <w:rPr>
          <w:rFonts w:cs="宋体" w:asciiTheme="majorEastAsia" w:hAnsiTheme="majorEastAsia" w:eastAsiaTheme="majorEastAsia"/>
          <w:b/>
          <w:kern w:val="0"/>
          <w:sz w:val="36"/>
          <w:szCs w:val="36"/>
        </w:rPr>
      </w:pPr>
    </w:p>
    <w:p w14:paraId="0752D6D8">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7E84698B">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4FC093C2">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08603E54">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资格审查与评标</w:t>
      </w:r>
    </w:p>
    <w:p w14:paraId="10C67F36">
      <w:pPr>
        <w:pStyle w:val="15"/>
        <w:spacing w:line="360" w:lineRule="auto"/>
        <w:contextualSpacing/>
        <w:rPr>
          <w:rFonts w:cs="仿宋_GB2312" w:asciiTheme="minorEastAsia" w:hAnsiTheme="minorEastAsia"/>
          <w:lang w:val="zh-CN"/>
        </w:rPr>
      </w:pPr>
    </w:p>
    <w:p w14:paraId="4EC0E77A">
      <w:pPr>
        <w:pStyle w:val="15"/>
        <w:spacing w:line="360" w:lineRule="auto"/>
        <w:contextualSpacing/>
        <w:rPr>
          <w:rFonts w:asciiTheme="minorEastAsia" w:hAnsiTheme="minorEastAsia" w:eastAsiaTheme="minorEastAsia"/>
          <w:bCs/>
          <w:sz w:val="21"/>
          <w:szCs w:val="21"/>
        </w:rPr>
      </w:pPr>
      <w:r>
        <w:rPr>
          <w:rFonts w:cs="仿宋_GB2312" w:asciiTheme="minorEastAsia" w:hAnsiTheme="minorEastAsia" w:eastAsiaTheme="minorEastAsia"/>
          <w:b/>
          <w:sz w:val="21"/>
          <w:szCs w:val="21"/>
          <w:lang w:val="zh-CN"/>
        </w:rPr>
        <w:t>一、资格审查</w:t>
      </w:r>
    </w:p>
    <w:p w14:paraId="18851058">
      <w:pPr>
        <w:spacing w:line="360" w:lineRule="auto"/>
        <w:ind w:right="420" w:rightChars="200" w:firstLine="420" w:firstLineChars="200"/>
        <w:contextualSpacing/>
        <w:rPr>
          <w:rFonts w:asciiTheme="minorEastAsia" w:hAnsiTheme="minorEastAsia"/>
          <w:bCs/>
          <w:szCs w:val="21"/>
        </w:rPr>
      </w:pPr>
      <w:r>
        <w:rPr>
          <w:rFonts w:hint="eastAsia" w:asciiTheme="minorEastAsia" w:hAnsiTheme="minorEastAsia"/>
          <w:bCs/>
          <w:szCs w:val="21"/>
        </w:rPr>
        <w:t>（一）</w:t>
      </w:r>
      <w:r>
        <w:rPr>
          <w:rFonts w:asciiTheme="minorEastAsia" w:hAnsiTheme="minorEastAsia"/>
          <w:bCs/>
          <w:szCs w:val="21"/>
        </w:rPr>
        <w:t>开标结束后，</w:t>
      </w:r>
      <w:r>
        <w:rPr>
          <w:rFonts w:hint="eastAsia" w:asciiTheme="minorEastAsia" w:hAnsiTheme="minorEastAsia"/>
          <w:bCs/>
          <w:szCs w:val="21"/>
        </w:rPr>
        <w:t>采购人（采购代理机构）依法对投标人资格进行审查</w:t>
      </w:r>
      <w:r>
        <w:rPr>
          <w:rFonts w:asciiTheme="minorEastAsia" w:hAnsiTheme="minorEastAsia"/>
          <w:bCs/>
          <w:szCs w:val="21"/>
        </w:rPr>
        <w:t>。</w:t>
      </w:r>
      <w:r>
        <w:rPr>
          <w:rFonts w:hint="eastAsia" w:asciiTheme="minorEastAsia" w:hAnsiTheme="minorEastAsia"/>
          <w:bCs/>
          <w:szCs w:val="21"/>
        </w:rPr>
        <w:t>确定符合资格的投标人不少于3家的，将组织评标委员会进行评标。</w:t>
      </w:r>
    </w:p>
    <w:p w14:paraId="32DDCCE2">
      <w:pPr>
        <w:spacing w:line="360" w:lineRule="auto"/>
        <w:ind w:right="420" w:rightChars="200"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（二）资格证明材料（本栏所列内容为本项目的资格审查条件，如有一项不符合要求，则不能进入下一步评审）。</w:t>
      </w:r>
    </w:p>
    <w:p w14:paraId="68E47A5B">
      <w:pPr>
        <w:spacing w:line="360" w:lineRule="auto"/>
        <w:ind w:right="420" w:rightChars="200"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（三）资格审查中所涉及到的证书及材料，均须在电子投标文件中提供原件扫描件（或图片）。</w:t>
      </w:r>
    </w:p>
    <w:tbl>
      <w:tblPr>
        <w:tblStyle w:val="2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259B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675" w:type="dxa"/>
            <w:vAlign w:val="center"/>
          </w:tcPr>
          <w:p w14:paraId="3E3257AF">
            <w:pPr>
              <w:spacing w:line="360" w:lineRule="auto"/>
              <w:jc w:val="center"/>
              <w:rPr>
                <w:rFonts w:asciiTheme="minorEastAsia" w:hAnsiTheme="minorEastAsia"/>
                <w:b/>
                <w:szCs w:val="21"/>
              </w:rPr>
            </w:pPr>
            <w:r>
              <w:rPr>
                <w:rFonts w:hint="eastAsia" w:asciiTheme="minorEastAsia" w:hAnsiTheme="minorEastAsia"/>
                <w:b/>
                <w:szCs w:val="21"/>
              </w:rPr>
              <w:t>序号</w:t>
            </w:r>
          </w:p>
        </w:tc>
        <w:tc>
          <w:tcPr>
            <w:tcW w:w="2410" w:type="dxa"/>
            <w:vAlign w:val="center"/>
          </w:tcPr>
          <w:p w14:paraId="572F3A18">
            <w:pPr>
              <w:spacing w:line="360" w:lineRule="auto"/>
              <w:jc w:val="center"/>
              <w:rPr>
                <w:rFonts w:asciiTheme="minorEastAsia" w:hAnsiTheme="minorEastAsia"/>
                <w:b/>
                <w:szCs w:val="21"/>
              </w:rPr>
            </w:pPr>
            <w:r>
              <w:rPr>
                <w:rFonts w:hint="eastAsia" w:asciiTheme="minorEastAsia" w:hAnsiTheme="minorEastAsia"/>
                <w:b/>
                <w:szCs w:val="21"/>
              </w:rPr>
              <w:t>资格审查</w:t>
            </w:r>
            <w:r>
              <w:rPr>
                <w:rFonts w:asciiTheme="minorEastAsia" w:hAnsiTheme="minorEastAsia"/>
                <w:b/>
                <w:szCs w:val="21"/>
              </w:rPr>
              <w:t>因素</w:t>
            </w:r>
          </w:p>
        </w:tc>
        <w:tc>
          <w:tcPr>
            <w:tcW w:w="5954" w:type="dxa"/>
            <w:vAlign w:val="center"/>
          </w:tcPr>
          <w:p w14:paraId="4F072237">
            <w:pPr>
              <w:spacing w:line="360" w:lineRule="auto"/>
              <w:jc w:val="center"/>
              <w:rPr>
                <w:rFonts w:asciiTheme="minorEastAsia" w:hAnsiTheme="minorEastAsia"/>
                <w:b/>
                <w:szCs w:val="21"/>
              </w:rPr>
            </w:pPr>
            <w:r>
              <w:rPr>
                <w:rFonts w:hint="eastAsia" w:asciiTheme="minorEastAsia" w:hAnsiTheme="minorEastAsia"/>
                <w:b/>
                <w:szCs w:val="21"/>
              </w:rPr>
              <w:t>说明与要求</w:t>
            </w:r>
          </w:p>
        </w:tc>
      </w:tr>
      <w:tr w14:paraId="352A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C1E2395">
            <w:pPr>
              <w:spacing w:line="360" w:lineRule="auto"/>
              <w:jc w:val="center"/>
              <w:rPr>
                <w:rFonts w:asciiTheme="minorEastAsia" w:hAnsiTheme="minorEastAsia"/>
                <w:b/>
                <w:szCs w:val="21"/>
              </w:rPr>
            </w:pPr>
            <w:r>
              <w:rPr>
                <w:rFonts w:hint="eastAsia" w:asciiTheme="minorEastAsia" w:hAnsiTheme="minorEastAsia"/>
                <w:b/>
                <w:szCs w:val="21"/>
              </w:rPr>
              <w:t>1</w:t>
            </w:r>
          </w:p>
        </w:tc>
        <w:tc>
          <w:tcPr>
            <w:tcW w:w="2410" w:type="dxa"/>
            <w:vAlign w:val="center"/>
          </w:tcPr>
          <w:p w14:paraId="2E052713">
            <w:pPr>
              <w:spacing w:line="360" w:lineRule="auto"/>
              <w:jc w:val="center"/>
              <w:rPr>
                <w:rFonts w:asciiTheme="minorEastAsia" w:hAnsiTheme="minorEastAsia"/>
                <w:b/>
                <w:szCs w:val="21"/>
              </w:rPr>
            </w:pPr>
            <w:r>
              <w:rPr>
                <w:rFonts w:hint="eastAsia" w:asciiTheme="minorEastAsia" w:hAnsiTheme="minorEastAsia"/>
                <w:b/>
                <w:szCs w:val="21"/>
              </w:rPr>
              <w:t>投标函</w:t>
            </w:r>
          </w:p>
        </w:tc>
        <w:tc>
          <w:tcPr>
            <w:tcW w:w="5954" w:type="dxa"/>
            <w:vAlign w:val="center"/>
          </w:tcPr>
          <w:p w14:paraId="4EC151EB">
            <w:pPr>
              <w:spacing w:line="360" w:lineRule="auto"/>
              <w:rPr>
                <w:rFonts w:asciiTheme="minorEastAsia" w:hAnsiTheme="minorEastAsia"/>
                <w:b/>
                <w:szCs w:val="21"/>
              </w:rPr>
            </w:pPr>
            <w:r>
              <w:rPr>
                <w:rFonts w:hint="eastAsia" w:ascii="宋体" w:hAnsi="宋体" w:cs="微软雅黑"/>
                <w:bCs/>
                <w:szCs w:val="21"/>
              </w:rPr>
              <w:t>参考招标文件第八章3.1格式填写</w:t>
            </w:r>
          </w:p>
        </w:tc>
      </w:tr>
      <w:tr w14:paraId="0E6C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129FBE1">
            <w:pPr>
              <w:spacing w:line="360" w:lineRule="auto"/>
              <w:jc w:val="center"/>
              <w:rPr>
                <w:rFonts w:asciiTheme="minorEastAsia" w:hAnsiTheme="minorEastAsia"/>
                <w:b/>
                <w:bCs/>
                <w:szCs w:val="21"/>
              </w:rPr>
            </w:pPr>
            <w:r>
              <w:rPr>
                <w:rFonts w:hint="eastAsia" w:asciiTheme="minorEastAsia" w:hAnsiTheme="minorEastAsia"/>
                <w:b/>
                <w:bCs/>
                <w:szCs w:val="21"/>
              </w:rPr>
              <w:t>2</w:t>
            </w:r>
          </w:p>
        </w:tc>
        <w:tc>
          <w:tcPr>
            <w:tcW w:w="2410" w:type="dxa"/>
            <w:vAlign w:val="center"/>
          </w:tcPr>
          <w:p w14:paraId="74494851">
            <w:pPr>
              <w:spacing w:line="360" w:lineRule="auto"/>
              <w:jc w:val="center"/>
              <w:rPr>
                <w:rFonts w:asciiTheme="minorEastAsia" w:hAnsiTheme="minorEastAsia"/>
                <w:b/>
                <w:color w:val="FF0000"/>
                <w:szCs w:val="21"/>
              </w:rPr>
            </w:pPr>
            <w:r>
              <w:rPr>
                <w:rFonts w:hint="eastAsia" w:asciiTheme="minorEastAsia" w:hAnsiTheme="minorEastAsia"/>
                <w:b/>
                <w:color w:val="FF0000"/>
                <w:szCs w:val="21"/>
              </w:rPr>
              <w:t>禹州</w:t>
            </w:r>
            <w:r>
              <w:rPr>
                <w:rFonts w:asciiTheme="minorEastAsia" w:hAnsiTheme="minorEastAsia"/>
                <w:b/>
                <w:color w:val="FF0000"/>
                <w:szCs w:val="21"/>
              </w:rPr>
              <w:t>市政府采购</w:t>
            </w:r>
          </w:p>
          <w:p w14:paraId="02686892">
            <w:pPr>
              <w:spacing w:line="360" w:lineRule="auto"/>
              <w:jc w:val="center"/>
              <w:rPr>
                <w:rFonts w:asciiTheme="minorEastAsia" w:hAnsiTheme="minorEastAsia"/>
                <w:b/>
                <w:color w:val="FF0000"/>
                <w:szCs w:val="21"/>
              </w:rPr>
            </w:pPr>
            <w:r>
              <w:rPr>
                <w:rFonts w:asciiTheme="minorEastAsia" w:hAnsiTheme="minorEastAsia"/>
                <w:b/>
                <w:color w:val="FF0000"/>
                <w:szCs w:val="21"/>
              </w:rPr>
              <w:t>供应商信用承诺函</w:t>
            </w:r>
          </w:p>
        </w:tc>
        <w:tc>
          <w:tcPr>
            <w:tcW w:w="5954" w:type="dxa"/>
            <w:vAlign w:val="center"/>
          </w:tcPr>
          <w:p w14:paraId="60A09076">
            <w:pPr>
              <w:spacing w:line="360" w:lineRule="auto"/>
              <w:jc w:val="left"/>
              <w:rPr>
                <w:rFonts w:asciiTheme="minorEastAsia" w:hAnsiTheme="minorEastAsia"/>
                <w:b/>
                <w:bCs/>
                <w:color w:val="FF0000"/>
                <w:szCs w:val="21"/>
              </w:rPr>
            </w:pPr>
            <w:r>
              <w:rPr>
                <w:rFonts w:hint="eastAsia" w:ascii="宋体" w:hAnsi="宋体" w:cs="微软雅黑"/>
                <w:bCs/>
                <w:color w:val="FF0000"/>
                <w:szCs w:val="21"/>
              </w:rPr>
              <w:t>按照招标文件第八章3.5格式填写</w:t>
            </w:r>
          </w:p>
        </w:tc>
      </w:tr>
      <w:tr w14:paraId="3428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040C60C">
            <w:pPr>
              <w:spacing w:line="360" w:lineRule="auto"/>
              <w:jc w:val="center"/>
              <w:rPr>
                <w:rFonts w:asciiTheme="minorEastAsia" w:hAnsiTheme="minorEastAsia"/>
                <w:b/>
                <w:bCs/>
                <w:szCs w:val="21"/>
              </w:rPr>
            </w:pPr>
            <w:r>
              <w:rPr>
                <w:rFonts w:hint="eastAsia" w:asciiTheme="minorEastAsia" w:hAnsiTheme="minorEastAsia"/>
                <w:b/>
                <w:bCs/>
                <w:szCs w:val="21"/>
              </w:rPr>
              <w:t>3</w:t>
            </w:r>
          </w:p>
        </w:tc>
        <w:tc>
          <w:tcPr>
            <w:tcW w:w="2410" w:type="dxa"/>
            <w:vAlign w:val="center"/>
          </w:tcPr>
          <w:p w14:paraId="16484AC9">
            <w:pPr>
              <w:spacing w:line="360" w:lineRule="auto"/>
              <w:jc w:val="center"/>
              <w:rPr>
                <w:rFonts w:asciiTheme="minorEastAsia" w:hAnsiTheme="minorEastAsia"/>
                <w:b/>
                <w:bCs/>
                <w:szCs w:val="21"/>
              </w:rPr>
            </w:pPr>
            <w:r>
              <w:rPr>
                <w:rFonts w:hint="eastAsia" w:asciiTheme="minorEastAsia" w:hAnsiTheme="minorEastAsia"/>
                <w:b/>
                <w:bCs/>
                <w:szCs w:val="21"/>
              </w:rPr>
              <w:t>投标</w:t>
            </w:r>
            <w:r>
              <w:rPr>
                <w:rFonts w:hint="eastAsia" w:cs="仿宋_GB2312" w:asciiTheme="minorEastAsia" w:hAnsiTheme="minorEastAsia"/>
                <w:b/>
                <w:szCs w:val="21"/>
                <w:lang w:val="zh-CN"/>
              </w:rPr>
              <w:t>报价</w:t>
            </w:r>
          </w:p>
        </w:tc>
        <w:tc>
          <w:tcPr>
            <w:tcW w:w="5954" w:type="dxa"/>
          </w:tcPr>
          <w:p w14:paraId="50DF9FC2">
            <w:pPr>
              <w:spacing w:line="360" w:lineRule="auto"/>
              <w:rPr>
                <w:rFonts w:asciiTheme="minorEastAsia" w:hAnsiTheme="minorEastAsia"/>
                <w:b/>
                <w:bCs/>
                <w:szCs w:val="21"/>
              </w:rPr>
            </w:pPr>
            <w:r>
              <w:rPr>
                <w:rFonts w:hint="eastAsia" w:cs="仿宋_GB2312" w:asciiTheme="minorEastAsia" w:hAnsiTheme="minorEastAsia"/>
                <w:szCs w:val="21"/>
                <w:lang w:val="zh-CN"/>
              </w:rPr>
              <w:t>投标报价是否超出招标文件中规定的预算金额，超出预算金额的投标无效。如投标人须知前附表规定最高限价，则</w:t>
            </w:r>
            <w:r>
              <w:rPr>
                <w:rFonts w:hint="eastAsia" w:cs="宋体" w:asciiTheme="minorEastAsia" w:hAnsiTheme="minorEastAsia"/>
                <w:bCs/>
                <w:szCs w:val="21"/>
                <w:lang w:val="zh-CN"/>
              </w:rPr>
              <w:t>超出预算金额和最高限价的投标无效。</w:t>
            </w:r>
          </w:p>
        </w:tc>
      </w:tr>
      <w:tr w14:paraId="66B8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909E79E">
            <w:pPr>
              <w:spacing w:line="360" w:lineRule="auto"/>
              <w:jc w:val="center"/>
              <w:rPr>
                <w:rFonts w:asciiTheme="minorEastAsia" w:hAnsiTheme="minorEastAsia"/>
                <w:b/>
                <w:bCs/>
                <w:szCs w:val="21"/>
              </w:rPr>
            </w:pPr>
            <w:r>
              <w:rPr>
                <w:rFonts w:hint="eastAsia" w:asciiTheme="minorEastAsia" w:hAnsiTheme="minorEastAsia"/>
                <w:b/>
                <w:bCs/>
                <w:szCs w:val="21"/>
              </w:rPr>
              <w:t>4</w:t>
            </w:r>
          </w:p>
        </w:tc>
        <w:tc>
          <w:tcPr>
            <w:tcW w:w="2410" w:type="dxa"/>
            <w:vAlign w:val="center"/>
          </w:tcPr>
          <w:p w14:paraId="65FAA9AD">
            <w:pPr>
              <w:spacing w:line="360" w:lineRule="auto"/>
              <w:jc w:val="center"/>
              <w:rPr>
                <w:rFonts w:asciiTheme="minorEastAsia" w:hAnsiTheme="minorEastAsia"/>
                <w:szCs w:val="21"/>
              </w:rPr>
            </w:pPr>
            <w:r>
              <w:rPr>
                <w:rFonts w:hint="eastAsia" w:asciiTheme="minorEastAsia" w:hAnsiTheme="minorEastAsia"/>
                <w:b/>
                <w:szCs w:val="21"/>
              </w:rPr>
              <w:t>投标承诺函</w:t>
            </w:r>
          </w:p>
        </w:tc>
        <w:tc>
          <w:tcPr>
            <w:tcW w:w="5954" w:type="dxa"/>
            <w:vAlign w:val="center"/>
          </w:tcPr>
          <w:p w14:paraId="7C48516D">
            <w:pPr>
              <w:spacing w:line="360" w:lineRule="auto"/>
              <w:rPr>
                <w:rFonts w:asciiTheme="minorEastAsia" w:hAnsiTheme="minorEastAsia"/>
                <w:b/>
                <w:szCs w:val="21"/>
              </w:rPr>
            </w:pPr>
            <w:r>
              <w:rPr>
                <w:rFonts w:hint="eastAsia" w:asciiTheme="minorEastAsia" w:hAnsiTheme="minorEastAsia"/>
                <w:szCs w:val="21"/>
              </w:rPr>
              <w:t>投标人以投标承诺函的形式替代投标保证金。</w:t>
            </w:r>
          </w:p>
        </w:tc>
      </w:tr>
      <w:tr w14:paraId="0619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53D94C7">
            <w:pPr>
              <w:spacing w:line="360" w:lineRule="auto"/>
              <w:jc w:val="center"/>
              <w:rPr>
                <w:rFonts w:asciiTheme="minorEastAsia" w:hAnsiTheme="minorEastAsia"/>
                <w:b/>
                <w:bCs/>
                <w:szCs w:val="21"/>
              </w:rPr>
            </w:pPr>
            <w:r>
              <w:rPr>
                <w:rFonts w:hint="eastAsia" w:asciiTheme="minorEastAsia" w:hAnsiTheme="minorEastAsia"/>
                <w:b/>
                <w:bCs/>
                <w:szCs w:val="21"/>
              </w:rPr>
              <w:t>5</w:t>
            </w:r>
          </w:p>
        </w:tc>
        <w:tc>
          <w:tcPr>
            <w:tcW w:w="2410" w:type="dxa"/>
            <w:vAlign w:val="center"/>
          </w:tcPr>
          <w:p w14:paraId="1242F3F6">
            <w:pPr>
              <w:spacing w:line="360" w:lineRule="auto"/>
              <w:jc w:val="center"/>
              <w:rPr>
                <w:rFonts w:asciiTheme="minorEastAsia" w:hAnsiTheme="minorEastAsia"/>
                <w:b/>
                <w:bCs/>
                <w:szCs w:val="21"/>
              </w:rPr>
            </w:pPr>
            <w:r>
              <w:rPr>
                <w:rFonts w:hint="eastAsia" w:asciiTheme="minorEastAsia" w:hAnsiTheme="minorEastAsia"/>
                <w:b/>
                <w:bCs/>
                <w:szCs w:val="21"/>
              </w:rPr>
              <w:t>联合体协议</w:t>
            </w:r>
          </w:p>
        </w:tc>
        <w:tc>
          <w:tcPr>
            <w:tcW w:w="5954" w:type="dxa"/>
          </w:tcPr>
          <w:p w14:paraId="0267D751">
            <w:pPr>
              <w:spacing w:line="360" w:lineRule="auto"/>
              <w:rPr>
                <w:rFonts w:asciiTheme="minorEastAsia" w:hAnsiTheme="minorEastAsia"/>
                <w:b/>
                <w:bCs/>
                <w:szCs w:val="21"/>
              </w:rPr>
            </w:pPr>
            <w:r>
              <w:rPr>
                <w:rFonts w:hint="eastAsia" w:asciiTheme="minorEastAsia" w:hAnsiTheme="minorEastAsia"/>
                <w:bCs/>
                <w:szCs w:val="21"/>
              </w:rPr>
              <w:t>招标文件接受联合体投标且投标人为联合体的，投标人应提供本协议；否则无须提供。</w:t>
            </w:r>
          </w:p>
        </w:tc>
      </w:tr>
      <w:tr w14:paraId="3FD9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6D1E2B6">
            <w:pPr>
              <w:spacing w:line="360" w:lineRule="auto"/>
              <w:jc w:val="center"/>
              <w:rPr>
                <w:rFonts w:asciiTheme="minorEastAsia" w:hAnsiTheme="minorEastAsia"/>
                <w:b/>
                <w:bCs/>
                <w:szCs w:val="21"/>
              </w:rPr>
            </w:pPr>
            <w:r>
              <w:rPr>
                <w:rFonts w:hint="eastAsia" w:asciiTheme="minorEastAsia" w:hAnsiTheme="minorEastAsia"/>
                <w:b/>
                <w:bCs/>
                <w:szCs w:val="21"/>
              </w:rPr>
              <w:t>6</w:t>
            </w:r>
          </w:p>
        </w:tc>
        <w:tc>
          <w:tcPr>
            <w:tcW w:w="2410" w:type="dxa"/>
            <w:vAlign w:val="center"/>
          </w:tcPr>
          <w:p w14:paraId="3D6B9162">
            <w:pPr>
              <w:spacing w:line="360" w:lineRule="auto"/>
              <w:contextualSpacing/>
              <w:jc w:val="center"/>
              <w:rPr>
                <w:rFonts w:asciiTheme="minorEastAsia" w:hAnsiTheme="minorEastAsia"/>
                <w:b/>
                <w:szCs w:val="21"/>
              </w:rPr>
            </w:pPr>
            <w:r>
              <w:rPr>
                <w:rFonts w:hint="eastAsia" w:asciiTheme="minorEastAsia" w:hAnsiTheme="minorEastAsia"/>
                <w:b/>
                <w:szCs w:val="21"/>
              </w:rPr>
              <w:t>投标人身份证明及授权</w:t>
            </w:r>
          </w:p>
        </w:tc>
        <w:tc>
          <w:tcPr>
            <w:tcW w:w="5954" w:type="dxa"/>
          </w:tcPr>
          <w:p w14:paraId="58A233BD">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（1）法定代表人身份证明或提供法定代表人授权委托书及被授权人身份证明。（法人投标提供）</w:t>
            </w:r>
          </w:p>
          <w:p w14:paraId="7278A174">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（2）单位负责人身份证明或提供单位负责人授权委托书及被授权人身份证明。（非法人投标提供）</w:t>
            </w:r>
          </w:p>
          <w:p w14:paraId="08F57034">
            <w:pPr>
              <w:spacing w:line="360" w:lineRule="auto"/>
              <w:rPr>
                <w:rFonts w:ascii="楷体" w:hAnsi="楷体" w:eastAsia="楷体" w:cs="仿宋_GB2312"/>
                <w:b/>
                <w:sz w:val="24"/>
                <w:szCs w:val="24"/>
                <w:lang w:val="zh-CN"/>
              </w:rPr>
            </w:pPr>
            <w:r>
              <w:rPr>
                <w:rFonts w:hint="eastAsia" w:ascii="楷体" w:hAnsi="楷体" w:eastAsia="楷体" w:cs="仿宋_GB2312"/>
                <w:b/>
                <w:sz w:val="24"/>
                <w:szCs w:val="24"/>
                <w:lang w:val="zh-CN"/>
              </w:rPr>
              <w:t>注：</w:t>
            </w:r>
          </w:p>
          <w:p w14:paraId="2F689ED9">
            <w:pPr>
              <w:spacing w:line="360" w:lineRule="auto"/>
              <w:rPr>
                <w:rFonts w:asciiTheme="minorEastAsia" w:hAnsiTheme="minorEastAsia"/>
                <w:b/>
                <w:sz w:val="24"/>
                <w:szCs w:val="24"/>
              </w:rPr>
            </w:pPr>
            <w:r>
              <w:rPr>
                <w:rFonts w:hint="eastAsia" w:ascii="楷体" w:hAnsi="楷体" w:eastAsia="楷体"/>
                <w:sz w:val="24"/>
                <w:szCs w:val="24"/>
              </w:rPr>
              <w:t>①企业（银行、保险、石油石化、电力、电信等行业除外）、事业单位和社会团体投标人以法人身份参加投标的，法定代表人应与实际提交的“营业执照等证明文件”载明的一致。</w:t>
            </w:r>
          </w:p>
          <w:p w14:paraId="255D4346">
            <w:pPr>
              <w:spacing w:line="360" w:lineRule="auto"/>
              <w:contextualSpacing/>
              <w:rPr>
                <w:rFonts w:ascii="楷体" w:hAnsi="楷体" w:eastAsia="楷体"/>
                <w:sz w:val="24"/>
                <w:szCs w:val="24"/>
              </w:rPr>
            </w:pPr>
            <w:r>
              <w:rPr>
                <w:rFonts w:hint="eastAsia" w:ascii="楷体" w:hAnsi="楷体" w:eastAsia="楷体"/>
                <w:sz w:val="24"/>
                <w:szCs w:val="24"/>
              </w:rPr>
              <w:t>②银行、保险、石油石化、电力、电信等行业：以法人身份参加投标的，法定代表人应与实际提交的“营业执照等证明文件”载明的一致；以非法人身份参加投标的，“单位负责人”指代表单位行使职权的主要负责人，应与实际提交的“营业执照等证明文件”载明的一致。</w:t>
            </w:r>
          </w:p>
          <w:p w14:paraId="3098CCD9">
            <w:pPr>
              <w:spacing w:line="360" w:lineRule="auto"/>
              <w:contextualSpacing/>
              <w:rPr>
                <w:rFonts w:asciiTheme="minorEastAsia" w:hAnsiTheme="minorEastAsia"/>
                <w:b/>
                <w:szCs w:val="21"/>
              </w:rPr>
            </w:pPr>
            <w:r>
              <w:rPr>
                <w:rFonts w:hint="eastAsia" w:ascii="楷体" w:hAnsi="楷体" w:eastAsia="楷体"/>
                <w:sz w:val="24"/>
                <w:szCs w:val="24"/>
              </w:rPr>
              <w:t>③</w:t>
            </w:r>
            <w:r>
              <w:rPr>
                <w:rFonts w:hint="eastAsia" w:ascii="楷体" w:hAnsi="楷体" w:eastAsia="楷体"/>
                <w:kern w:val="0"/>
                <w:sz w:val="24"/>
                <w:szCs w:val="24"/>
              </w:rPr>
              <w:t>投标人为自然人的，无需填写法定代表人授权书。</w:t>
            </w:r>
          </w:p>
        </w:tc>
      </w:tr>
      <w:tr w14:paraId="61533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1D83B85">
            <w:pPr>
              <w:spacing w:line="360" w:lineRule="auto"/>
              <w:jc w:val="center"/>
              <w:rPr>
                <w:rFonts w:asciiTheme="minorEastAsia" w:hAnsiTheme="minorEastAsia"/>
                <w:b/>
                <w:bCs/>
                <w:szCs w:val="21"/>
              </w:rPr>
            </w:pPr>
            <w:r>
              <w:rPr>
                <w:rFonts w:hint="eastAsia" w:asciiTheme="minorEastAsia" w:hAnsiTheme="minorEastAsia"/>
                <w:b/>
                <w:bCs/>
                <w:szCs w:val="21"/>
              </w:rPr>
              <w:t>7</w:t>
            </w:r>
          </w:p>
        </w:tc>
        <w:tc>
          <w:tcPr>
            <w:tcW w:w="2410" w:type="dxa"/>
            <w:vAlign w:val="center"/>
          </w:tcPr>
          <w:p w14:paraId="5BF47814">
            <w:pPr>
              <w:spacing w:line="360" w:lineRule="auto"/>
              <w:rPr>
                <w:rFonts w:asciiTheme="minorEastAsia" w:hAnsiTheme="minorEastAsia"/>
                <w:b/>
                <w:bCs/>
                <w:szCs w:val="21"/>
              </w:rPr>
            </w:pPr>
            <w:r>
              <w:rPr>
                <w:rFonts w:hint="eastAsia" w:asciiTheme="minorEastAsia" w:hAnsiTheme="minorEastAsia"/>
                <w:b/>
                <w:bCs/>
                <w:szCs w:val="21"/>
              </w:rPr>
              <w:t>单位负责人为同一人或者存在直接控股、管理关系的不同供应商，不得参加同一合同项下的政府采购活动</w:t>
            </w:r>
          </w:p>
        </w:tc>
        <w:tc>
          <w:tcPr>
            <w:tcW w:w="5954" w:type="dxa"/>
          </w:tcPr>
          <w:p w14:paraId="43C9BFA0">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投标人提供与参加本项目投标的其他供应商之间，单位负责人不为同一人并且不存在直接控股、管理关系承诺函（承诺函格式自拟）。</w:t>
            </w:r>
          </w:p>
          <w:p w14:paraId="056E43CC">
            <w:pPr>
              <w:spacing w:line="360" w:lineRule="auto"/>
              <w:rPr>
                <w:rFonts w:cs="仿宋_GB2312" w:asciiTheme="minorEastAsia" w:hAnsiTheme="minorEastAsia"/>
                <w:szCs w:val="21"/>
                <w:lang w:val="zh-CN"/>
              </w:rPr>
            </w:pPr>
          </w:p>
        </w:tc>
      </w:tr>
      <w:tr w14:paraId="2EAC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5E85D96">
            <w:pPr>
              <w:spacing w:line="360" w:lineRule="auto"/>
              <w:jc w:val="center"/>
              <w:rPr>
                <w:rFonts w:asciiTheme="minorEastAsia" w:hAnsiTheme="minorEastAsia"/>
                <w:b/>
                <w:bCs/>
                <w:szCs w:val="21"/>
              </w:rPr>
            </w:pPr>
            <w:r>
              <w:rPr>
                <w:rFonts w:hint="eastAsia" w:asciiTheme="minorEastAsia" w:hAnsiTheme="minorEastAsia"/>
                <w:b/>
                <w:bCs/>
                <w:szCs w:val="21"/>
              </w:rPr>
              <w:t>8</w:t>
            </w:r>
          </w:p>
        </w:tc>
        <w:tc>
          <w:tcPr>
            <w:tcW w:w="2410" w:type="dxa"/>
            <w:vAlign w:val="center"/>
          </w:tcPr>
          <w:p w14:paraId="318165FE">
            <w:pPr>
              <w:spacing w:line="360" w:lineRule="auto"/>
              <w:rPr>
                <w:rFonts w:asciiTheme="minorEastAsia" w:hAnsiTheme="minorEastAsia"/>
                <w:b/>
                <w:bCs/>
                <w:szCs w:val="21"/>
              </w:rPr>
            </w:pPr>
            <w:r>
              <w:rPr>
                <w:rFonts w:hint="eastAsia" w:asciiTheme="minorEastAsia" w:hAnsiTheme="minorEastAsia"/>
                <w:b/>
                <w:bCs/>
                <w:szCs w:val="21"/>
              </w:rPr>
              <w:t>为本项目提供整体设计、规范编制或者项目管理、监理、检测等服务的供应商不得参加本项目投标</w:t>
            </w:r>
          </w:p>
        </w:tc>
        <w:tc>
          <w:tcPr>
            <w:tcW w:w="5954" w:type="dxa"/>
          </w:tcPr>
          <w:p w14:paraId="796CB3BC">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投标人</w:t>
            </w:r>
            <w:bookmarkStart w:id="2" w:name="baidusnap2"/>
            <w:bookmarkEnd w:id="2"/>
            <w:r>
              <w:rPr>
                <w:rFonts w:hint="eastAsia" w:cs="仿宋_GB2312" w:asciiTheme="minorEastAsia" w:hAnsiTheme="minorEastAsia"/>
                <w:szCs w:val="21"/>
                <w:lang w:val="zh-CN"/>
              </w:rPr>
              <w:t>提供未为本项目提供整体设计、</w:t>
            </w:r>
            <w:bookmarkStart w:id="3" w:name="baidusnap9"/>
            <w:bookmarkEnd w:id="3"/>
            <w:r>
              <w:rPr>
                <w:rFonts w:hint="eastAsia" w:cs="仿宋_GB2312" w:asciiTheme="minorEastAsia" w:hAnsiTheme="minorEastAsia"/>
                <w:szCs w:val="21"/>
                <w:lang w:val="zh-CN"/>
              </w:rPr>
              <w:t>规范编制或者项目管理、监理、检测等服务承诺函（承诺函格式自拟）。</w:t>
            </w:r>
          </w:p>
          <w:p w14:paraId="17B02FF1">
            <w:pPr>
              <w:spacing w:line="360" w:lineRule="auto"/>
              <w:rPr>
                <w:rFonts w:asciiTheme="minorEastAsia" w:hAnsiTheme="minorEastAsia"/>
                <w:bCs/>
                <w:szCs w:val="21"/>
              </w:rPr>
            </w:pPr>
          </w:p>
        </w:tc>
      </w:tr>
    </w:tbl>
    <w:p w14:paraId="0D6BA0B1">
      <w:pPr>
        <w:pStyle w:val="15"/>
        <w:spacing w:line="360" w:lineRule="auto"/>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二、评标</w:t>
      </w:r>
    </w:p>
    <w:p w14:paraId="0F7CB5FE">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（一）评标方法</w:t>
      </w:r>
    </w:p>
    <w:p w14:paraId="316744DD">
      <w:pPr>
        <w:pStyle w:val="15"/>
        <w:spacing w:line="360" w:lineRule="auto"/>
        <w:ind w:firstLine="420"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sz w:val="21"/>
          <w:szCs w:val="21"/>
          <w:lang w:val="zh-CN"/>
        </w:rPr>
        <w:t>本项目采用综合评分法。总分为100分。</w:t>
      </w:r>
    </w:p>
    <w:p w14:paraId="503DAB47">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w:t>
      </w:r>
      <w:r>
        <w:rPr>
          <w:rFonts w:cs="仿宋_GB2312" w:asciiTheme="minorEastAsia" w:hAnsiTheme="minorEastAsia" w:eastAsiaTheme="minorEastAsia"/>
          <w:b/>
          <w:sz w:val="21"/>
          <w:szCs w:val="21"/>
          <w:lang w:val="zh-CN"/>
        </w:rPr>
        <w:t>评标委员会负责具体评标事务，并独立履行下列职责</w:t>
      </w:r>
    </w:p>
    <w:p w14:paraId="5850E532">
      <w:pPr>
        <w:pStyle w:val="15"/>
        <w:spacing w:line="360" w:lineRule="auto"/>
        <w:ind w:firstLine="422" w:firstLineChars="200"/>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w:t>
      </w:r>
      <w:r>
        <w:rPr>
          <w:rFonts w:cs="仿宋_GB2312" w:asciiTheme="minorEastAsia" w:hAnsiTheme="minorEastAsia" w:eastAsiaTheme="minorEastAsia"/>
          <w:b/>
          <w:sz w:val="21"/>
          <w:szCs w:val="21"/>
          <w:lang w:val="zh-CN"/>
        </w:rPr>
        <w:t>审查、评价投标文件是否符合招标文件的商务、技术等实质性要求；</w:t>
      </w:r>
    </w:p>
    <w:p w14:paraId="3119850C">
      <w:pPr>
        <w:pStyle w:val="15"/>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评标委员会对符合资格的投标人的投标文件进行符合性审查，以确定其是否满足招标文件的商务、技术等实质性要求。</w:t>
      </w:r>
    </w:p>
    <w:p w14:paraId="436F8BD4">
      <w:pPr>
        <w:pStyle w:val="15"/>
        <w:spacing w:line="360" w:lineRule="auto"/>
        <w:ind w:firstLine="420" w:firstLineChars="200"/>
        <w:contextualSpacing/>
        <w:jc w:val="left"/>
        <w:rPr>
          <w:rFonts w:cs="仿宋_GB2312" w:asciiTheme="minorEastAsia" w:hAnsiTheme="minorEastAsia"/>
          <w:sz w:val="21"/>
          <w:szCs w:val="21"/>
          <w:lang w:val="zh-CN"/>
        </w:rPr>
      </w:pPr>
      <w:r>
        <w:rPr>
          <w:rFonts w:hint="eastAsia" w:cs="仿宋_GB2312" w:asciiTheme="minorEastAsia" w:hAnsiTheme="minorEastAsia"/>
          <w:sz w:val="21"/>
          <w:szCs w:val="21"/>
          <w:lang w:val="zh-CN"/>
        </w:rPr>
        <w:t>注：符合性审查中所涉及到的证书及材料，均应在电子投标文件中提供原件扫描件（或图片）。</w:t>
      </w:r>
    </w:p>
    <w:p w14:paraId="750EDF71">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2、</w:t>
      </w:r>
      <w:r>
        <w:rPr>
          <w:rFonts w:cs="仿宋_GB2312" w:asciiTheme="minorEastAsia" w:hAnsiTheme="minorEastAsia" w:eastAsiaTheme="minorEastAsia"/>
          <w:b/>
          <w:sz w:val="21"/>
          <w:szCs w:val="21"/>
          <w:lang w:val="zh-CN"/>
        </w:rPr>
        <w:t>要求投标人对投标文件有关事项作出澄清或者说明；</w:t>
      </w:r>
    </w:p>
    <w:p w14:paraId="39E66FE4">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对于投标文件中含义不明确、同类问题表述不一致或者有明显文字和计算错误的内容，评标委员会应当以书面形式要求投标人作出必要的澄清、说明或者补正。</w:t>
      </w:r>
    </w:p>
    <w:p w14:paraId="1813DA56">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投标人的澄清、说明或者补正应当采用书面形式，并加盖公章，或者由法定代表人或其授权的代表签字。投标人的澄清、说明或者补正不得超出投标文件的范围或者改变投标文件的实质性内容。</w:t>
      </w:r>
    </w:p>
    <w:p w14:paraId="1E70311D">
      <w:pPr>
        <w:pStyle w:val="15"/>
        <w:spacing w:line="360" w:lineRule="auto"/>
        <w:ind w:firstLine="465"/>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3、</w:t>
      </w:r>
      <w:r>
        <w:rPr>
          <w:rFonts w:cs="仿宋_GB2312" w:asciiTheme="minorEastAsia" w:hAnsiTheme="minorEastAsia" w:eastAsiaTheme="minorEastAsia"/>
          <w:b/>
          <w:sz w:val="21"/>
          <w:szCs w:val="21"/>
          <w:lang w:val="zh-CN"/>
        </w:rPr>
        <w:t>对投标文件进行比较和评价；</w:t>
      </w:r>
    </w:p>
    <w:p w14:paraId="677EF6DB">
      <w:pPr>
        <w:pStyle w:val="15"/>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eastAsiaTheme="minorEastAsia"/>
          <w:sz w:val="21"/>
          <w:szCs w:val="21"/>
          <w:lang w:val="zh-CN"/>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w:t>
      </w:r>
      <w:r>
        <w:rPr>
          <w:rFonts w:hint="eastAsia" w:cs="仿宋_GB2312" w:asciiTheme="minorEastAsia" w:hAnsiTheme="minorEastAsia"/>
          <w:sz w:val="21"/>
          <w:szCs w:val="21"/>
          <w:lang w:val="zh-CN"/>
        </w:rPr>
        <w:t>评标过程中，不得去掉报价中的最高报价和最低报价。</w:t>
      </w:r>
    </w:p>
    <w:p w14:paraId="642E5AE0">
      <w:pPr>
        <w:pStyle w:val="15"/>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sz w:val="21"/>
          <w:szCs w:val="21"/>
          <w:lang w:val="zh-CN"/>
        </w:rPr>
        <w:t>注：评标标准中所涉及到的证书及材料，均应在电子投标文件中提供原件扫描件（或图片）。</w:t>
      </w:r>
    </w:p>
    <w:p w14:paraId="092C208E">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（1）价格分计算</w:t>
      </w:r>
    </w:p>
    <w:p w14:paraId="63196E6C">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价格分采用低价优先法计算，即满足招标文件要求且投标价格最低的投标报价为评标基准价，其价格分为满分。因落实政府采购政策进行价格调整的，以调整后的价格计算评标基准价和投标报价。</w:t>
      </w:r>
    </w:p>
    <w:p w14:paraId="71548481">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asciiTheme="minorEastAsia" w:hAnsiTheme="minorEastAsia" w:eastAsiaTheme="minorEastAsia"/>
          <w:b/>
          <w:sz w:val="21"/>
          <w:szCs w:val="21"/>
        </w:rPr>
        <w:t>（2）</w:t>
      </w:r>
      <w:r>
        <w:rPr>
          <w:rFonts w:cs="仿宋_GB2312" w:asciiTheme="minorEastAsia" w:hAnsiTheme="minorEastAsia" w:eastAsiaTheme="minorEastAsia"/>
          <w:b/>
          <w:sz w:val="21"/>
          <w:szCs w:val="21"/>
          <w:lang w:val="zh-CN"/>
        </w:rPr>
        <w:t>关于相同品牌产品</w:t>
      </w:r>
      <w:r>
        <w:rPr>
          <w:rFonts w:cs="仿宋_GB2312" w:asciiTheme="minorEastAsia" w:hAnsiTheme="minorEastAsia" w:eastAsiaTheme="minorEastAsia"/>
          <w:b/>
          <w:bCs/>
          <w:sz w:val="21"/>
          <w:szCs w:val="21"/>
          <w:lang w:val="zh-CN"/>
        </w:rPr>
        <w:t>（服务类项目不适用本条款规定）</w:t>
      </w:r>
    </w:p>
    <w:p w14:paraId="072C94FA">
      <w:pPr>
        <w:pStyle w:val="15"/>
        <w:spacing w:line="360" w:lineRule="auto"/>
        <w:ind w:firstLine="465"/>
        <w:contextualSpacing/>
        <w:jc w:val="left"/>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采用最低评标价法的，提供相同品牌产品的不同投标人参加同一合同项下投标的，以其中通过资格审查、符合性审查且报价最低的参加评标；报价相同的，由采购人或者采购人委托评标委员会</w:t>
      </w:r>
      <w:r>
        <w:rPr>
          <w:rFonts w:hint="eastAsia" w:cs="仿宋_GB2312" w:asciiTheme="minorEastAsia" w:hAnsiTheme="minorEastAsia" w:eastAsiaTheme="minorEastAsia"/>
          <w:sz w:val="21"/>
          <w:szCs w:val="21"/>
          <w:lang w:val="zh-CN"/>
        </w:rPr>
        <w:t>采取随机抽取</w:t>
      </w:r>
      <w:r>
        <w:rPr>
          <w:rFonts w:cs="仿宋_GB2312" w:asciiTheme="minorEastAsia" w:hAnsiTheme="minorEastAsia" w:eastAsiaTheme="minorEastAsia"/>
          <w:sz w:val="21"/>
          <w:szCs w:val="21"/>
          <w:lang w:val="zh-CN"/>
        </w:rPr>
        <w:t>方式确定一个参加评标的投标人，其他投标无效。</w:t>
      </w:r>
    </w:p>
    <w:p w14:paraId="636D0AFA">
      <w:pPr>
        <w:pStyle w:val="15"/>
        <w:spacing w:line="360" w:lineRule="auto"/>
        <w:ind w:firstLine="465"/>
        <w:contextualSpacing/>
        <w:jc w:val="left"/>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采用综合评分法的，提供相同品牌产品</w:t>
      </w:r>
      <w:r>
        <w:rPr>
          <w:rFonts w:hint="eastAsia" w:cs="仿宋_GB2312" w:asciiTheme="minorEastAsia" w:hAnsiTheme="minorEastAsia" w:eastAsiaTheme="minorEastAsia"/>
          <w:sz w:val="21"/>
          <w:szCs w:val="21"/>
          <w:lang w:val="zh-CN"/>
        </w:rPr>
        <w:t>（</w:t>
      </w:r>
      <w:r>
        <w:rPr>
          <w:rFonts w:cs="仿宋_GB2312" w:asciiTheme="minorEastAsia" w:hAnsiTheme="minorEastAsia" w:eastAsiaTheme="minorEastAsia"/>
          <w:sz w:val="21"/>
          <w:szCs w:val="21"/>
          <w:lang w:val="zh-CN"/>
        </w:rPr>
        <w:t>非单一产品采购项目，多家投标人提供的核心产品品牌相同</w:t>
      </w:r>
      <w:r>
        <w:rPr>
          <w:rFonts w:hint="eastAsia" w:cs="仿宋_GB2312" w:asciiTheme="minorEastAsia" w:hAnsiTheme="minorEastAsia" w:eastAsiaTheme="minorEastAsia"/>
          <w:sz w:val="21"/>
          <w:szCs w:val="21"/>
          <w:lang w:val="zh-CN"/>
        </w:rPr>
        <w:t>）</w:t>
      </w:r>
      <w:r>
        <w:rPr>
          <w:rFonts w:cs="仿宋_GB2312" w:asciiTheme="minorEastAsia" w:hAnsiTheme="minorEastAsia" w:eastAsiaTheme="minorEastAsia"/>
          <w:sz w:val="21"/>
          <w:szCs w:val="21"/>
          <w:lang w:val="zh-CN"/>
        </w:rPr>
        <w:t>且通过资格审查、符合性审查的不同投标人参加同一合同项下投标的，按一家投标人计算，评审后得分最高的同品牌投标人作为中标候选人推荐；评审得分相同的，</w:t>
      </w:r>
      <w:r>
        <w:rPr>
          <w:rFonts w:hint="eastAsia" w:cs="仿宋_GB2312" w:asciiTheme="minorEastAsia" w:hAnsiTheme="minorEastAsia" w:eastAsiaTheme="minorEastAsia"/>
          <w:sz w:val="21"/>
          <w:szCs w:val="21"/>
          <w:lang w:val="zh-CN"/>
        </w:rPr>
        <w:t>由采购人或者采购人委托评标委员会</w:t>
      </w:r>
      <w:r>
        <w:rPr>
          <w:rFonts w:cs="仿宋_GB2312" w:asciiTheme="minorEastAsia" w:hAnsiTheme="minorEastAsia" w:eastAsiaTheme="minorEastAsia"/>
          <w:sz w:val="21"/>
          <w:szCs w:val="21"/>
          <w:lang w:val="zh-CN"/>
        </w:rPr>
        <w:t>采取随机抽取方式确定</w:t>
      </w:r>
      <w:r>
        <w:rPr>
          <w:rFonts w:hint="eastAsia" w:cs="仿宋_GB2312" w:asciiTheme="minorEastAsia" w:hAnsiTheme="minorEastAsia" w:eastAsiaTheme="minorEastAsia"/>
          <w:sz w:val="21"/>
          <w:szCs w:val="21"/>
          <w:lang w:val="zh-CN"/>
        </w:rPr>
        <w:t>一个投标人获得中标人推荐资格</w:t>
      </w:r>
      <w:r>
        <w:rPr>
          <w:rFonts w:cs="仿宋_GB2312" w:asciiTheme="minorEastAsia" w:hAnsiTheme="minorEastAsia" w:eastAsiaTheme="minorEastAsia"/>
          <w:sz w:val="21"/>
          <w:szCs w:val="21"/>
          <w:lang w:val="zh-CN"/>
        </w:rPr>
        <w:t>，其他同品牌投标人不作为中标候选人。</w:t>
      </w:r>
    </w:p>
    <w:p w14:paraId="4FB4CEAF">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asciiTheme="minorEastAsia" w:hAnsiTheme="minorEastAsia" w:eastAsiaTheme="minorEastAsia"/>
          <w:b/>
          <w:sz w:val="21"/>
          <w:szCs w:val="21"/>
        </w:rPr>
        <w:t>（3）强制采购节能产品和优先采购节能产品、优先采购环保产品</w:t>
      </w:r>
    </w:p>
    <w:p w14:paraId="4BAD4B26">
      <w:pPr>
        <w:pStyle w:val="15"/>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1）对《节能产品政府采购品目清单》所列的政府强制采购节能产品</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投标人投标文件中应提供具有国家确定的认证机构出具的、处于有效期之内的节能产品认证证书，否则将承担其投标被视为非实质性响应投标的风险。</w:t>
      </w:r>
    </w:p>
    <w:p w14:paraId="71D96790">
      <w:pPr>
        <w:pStyle w:val="15"/>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投标人所投产品若属于《节能产品政府采购品目清单》优先采购产品，</w:t>
      </w:r>
      <w:r>
        <w:rPr>
          <w:rFonts w:hint="eastAsia" w:cs="仿宋_GB2312" w:asciiTheme="minorEastAsia" w:hAnsiTheme="minorEastAsia"/>
          <w:sz w:val="21"/>
          <w:szCs w:val="21"/>
          <w:lang w:val="zh-CN"/>
        </w:rPr>
        <w:t>投标文件中应提供</w:t>
      </w:r>
      <w:r>
        <w:rPr>
          <w:rFonts w:hint="eastAsia" w:cs="仿宋_GB2312" w:asciiTheme="minorEastAsia" w:hAnsiTheme="minorEastAsia" w:eastAsiaTheme="minorEastAsia"/>
          <w:sz w:val="21"/>
          <w:szCs w:val="21"/>
          <w:lang w:val="zh-CN"/>
        </w:rPr>
        <w:t>具有国家确定的认证机构出具的、处于有效期之内的节能产品认证证书</w:t>
      </w:r>
      <w:r>
        <w:rPr>
          <w:rFonts w:hint="eastAsia" w:cs="仿宋_GB2312" w:asciiTheme="minorEastAsia" w:hAnsiTheme="minorEastAsia"/>
          <w:sz w:val="21"/>
          <w:szCs w:val="21"/>
          <w:lang w:val="zh-CN"/>
        </w:rPr>
        <w:t>，评标委员会根据本项目评标标准予以判定并赋分。</w:t>
      </w:r>
    </w:p>
    <w:p w14:paraId="61488738">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w:t>
      </w:r>
      <w:r>
        <w:rPr>
          <w:rFonts w:hint="eastAsia" w:cs="仿宋_GB2312" w:asciiTheme="minorEastAsia" w:hAnsiTheme="minorEastAsia"/>
          <w:sz w:val="21"/>
          <w:szCs w:val="21"/>
          <w:lang w:val="zh-CN"/>
        </w:rPr>
        <w:t>投标人所投产品若属于《环境标志产品政府采购品目清单》内产品，投标文件中应提供</w:t>
      </w:r>
      <w:r>
        <w:rPr>
          <w:rFonts w:hint="eastAsia" w:cs="仿宋_GB2312" w:asciiTheme="minorEastAsia" w:hAnsiTheme="minorEastAsia" w:eastAsiaTheme="minorEastAsia"/>
          <w:sz w:val="21"/>
          <w:szCs w:val="21"/>
          <w:lang w:val="zh-CN"/>
        </w:rPr>
        <w:t>具有国家确定的认证机构出具的、处于有效期之内的环境标志产品认证证书</w:t>
      </w:r>
      <w:r>
        <w:rPr>
          <w:rFonts w:hint="eastAsia" w:cs="仿宋_GB2312" w:asciiTheme="minorEastAsia" w:hAnsiTheme="minorEastAsia"/>
          <w:sz w:val="21"/>
          <w:szCs w:val="21"/>
          <w:lang w:val="zh-CN"/>
        </w:rPr>
        <w:t>，</w:t>
      </w:r>
      <w:r>
        <w:rPr>
          <w:rFonts w:hint="eastAsia" w:cs="仿宋_GB2312" w:asciiTheme="minorEastAsia" w:hAnsiTheme="minorEastAsia" w:eastAsiaTheme="minorEastAsia"/>
          <w:sz w:val="21"/>
          <w:szCs w:val="21"/>
          <w:lang w:val="zh-CN"/>
        </w:rPr>
        <w:t>评标委员会根据本项目评标标准予以判定并赋分。</w:t>
      </w:r>
    </w:p>
    <w:p w14:paraId="55950A26">
      <w:pPr>
        <w:pStyle w:val="15"/>
        <w:spacing w:line="360" w:lineRule="auto"/>
        <w:ind w:firstLine="465"/>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（4）信息产品要求</w:t>
      </w:r>
    </w:p>
    <w:p w14:paraId="621F6332">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w:t>
      </w:r>
      <w:r>
        <w:rPr>
          <w:rFonts w:hint="eastAsia" w:cs="宋体" w:asciiTheme="minorEastAsia" w:hAnsiTheme="minorEastAsia"/>
          <w:kern w:val="0"/>
          <w:szCs w:val="21"/>
        </w:rPr>
        <w:t>投标人所投产品如被列入</w:t>
      </w:r>
      <w:r>
        <w:rPr>
          <w:rFonts w:cs="宋体" w:asciiTheme="minorEastAsia" w:hAnsiTheme="minorEastAsia"/>
          <w:kern w:val="0"/>
          <w:szCs w:val="21"/>
        </w:rPr>
        <w:t>《信息安全产品强制性认证目录》</w:t>
      </w:r>
      <w:r>
        <w:rPr>
          <w:rFonts w:cs="仿宋_GB2312" w:asciiTheme="minorEastAsia" w:hAnsiTheme="minorEastAsia"/>
          <w:szCs w:val="21"/>
          <w:lang w:val="zh-CN"/>
        </w:rPr>
        <w:t>，</w:t>
      </w:r>
      <w:r>
        <w:rPr>
          <w:rFonts w:hint="eastAsia" w:cs="仿宋_GB2312" w:asciiTheme="minorEastAsia" w:hAnsiTheme="minorEastAsia"/>
          <w:szCs w:val="21"/>
          <w:lang w:val="zh-CN"/>
        </w:rPr>
        <w:t>应提供由中国信息安全认证中心按国家标准认证颁发的有效认证证书。</w:t>
      </w:r>
    </w:p>
    <w:p w14:paraId="09473A3E">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（5）投标无效情形</w:t>
      </w:r>
    </w:p>
    <w:p w14:paraId="2F4DA8EA">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1）投标人应当遵循公平竞争的原则，不得恶意串通，不得妨碍其他投标人的竞争行为，不得损害采购人或者其他投标人的合法权益。在评标过程中发现投标人有上述情形的，评标委员会应当认定其投标无效。</w:t>
      </w:r>
    </w:p>
    <w:p w14:paraId="05C085C4">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2）符合性审查资料未按招标文件要求签署、盖章的；</w:t>
      </w:r>
    </w:p>
    <w:p w14:paraId="7BD3BE29">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3）有下列情形之一的，视为投标人串通投标，其投标无效：</w:t>
      </w:r>
    </w:p>
    <w:p w14:paraId="4B785C7A">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a.不同投标人的投标文件由同一单位或者个人编制；</w:t>
      </w:r>
    </w:p>
    <w:p w14:paraId="049CFDB9">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b.不同投标人委托同一单位或者个人办理投标事宜；</w:t>
      </w:r>
    </w:p>
    <w:p w14:paraId="69B16952">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c.不同投标人的投标文件载明的项目管理成员或者联系人员为同一人；</w:t>
      </w:r>
    </w:p>
    <w:p w14:paraId="1A008ACE">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d.不同投标人的投标文件异常一致或者投标报价呈规律性差异；</w:t>
      </w:r>
    </w:p>
    <w:p w14:paraId="72813497">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e.不同投标人的投标文件相互混装；</w:t>
      </w:r>
    </w:p>
    <w:p w14:paraId="5C34D9E3">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79F9527">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5）</w:t>
      </w:r>
      <w:r>
        <w:rPr>
          <w:rFonts w:cs="仿宋_GB2312" w:asciiTheme="minorEastAsia" w:hAnsiTheme="minorEastAsia"/>
          <w:szCs w:val="21"/>
          <w:lang w:val="zh-CN"/>
        </w:rPr>
        <w:t>法律、法规和招标文件规定的其他无效情形。</w:t>
      </w:r>
    </w:p>
    <w:p w14:paraId="61640BBB">
      <w:pPr>
        <w:pStyle w:val="15"/>
        <w:spacing w:line="360" w:lineRule="auto"/>
        <w:ind w:firstLine="422" w:firstLineChars="200"/>
        <w:contextualSpacing/>
        <w:rPr>
          <w:rFonts w:hint="eastAsia" w:cs="仿宋_GB2312" w:asciiTheme="minorEastAsia" w:hAnsiTheme="minorEastAsia" w:eastAsiaTheme="minorEastAsia"/>
          <w:b/>
          <w:sz w:val="21"/>
          <w:szCs w:val="21"/>
          <w:lang w:val="zh-CN"/>
        </w:rPr>
      </w:pPr>
    </w:p>
    <w:p w14:paraId="3738D42B">
      <w:pPr>
        <w:pStyle w:val="15"/>
        <w:spacing w:line="360" w:lineRule="auto"/>
        <w:ind w:firstLine="422" w:firstLineChars="200"/>
        <w:contextualSpacing/>
        <w:rPr>
          <w:rFonts w:hint="eastAsia" w:cs="仿宋_GB2312" w:asciiTheme="minorEastAsia" w:hAnsiTheme="minorEastAsia" w:eastAsiaTheme="minorEastAsia"/>
          <w:b/>
          <w:sz w:val="21"/>
          <w:szCs w:val="21"/>
          <w:lang w:val="zh-CN"/>
        </w:rPr>
      </w:pPr>
    </w:p>
    <w:p w14:paraId="72F4376E">
      <w:pPr>
        <w:pStyle w:val="15"/>
        <w:spacing w:line="360" w:lineRule="auto"/>
        <w:ind w:firstLine="422" w:firstLineChars="200"/>
        <w:contextualSpacing/>
        <w:rPr>
          <w:rFonts w:hint="eastAsia" w:cs="仿宋_GB2312" w:asciiTheme="minorEastAsia" w:hAnsiTheme="minorEastAsia" w:eastAsiaTheme="minorEastAsia"/>
          <w:b/>
          <w:sz w:val="21"/>
          <w:szCs w:val="21"/>
          <w:lang w:val="zh-CN"/>
        </w:rPr>
      </w:pPr>
    </w:p>
    <w:p w14:paraId="6E52F7D6">
      <w:pPr>
        <w:pStyle w:val="15"/>
        <w:numPr>
          <w:ilvl w:val="0"/>
          <w:numId w:val="79"/>
        </w:numPr>
        <w:spacing w:line="360" w:lineRule="auto"/>
        <w:ind w:firstLine="422" w:firstLineChars="200"/>
        <w:contextualSpacing/>
        <w:rPr>
          <w:rFonts w:hint="eastAsia"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评标标准</w:t>
      </w:r>
    </w:p>
    <w:tbl>
      <w:tblPr>
        <w:tblStyle w:val="24"/>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5"/>
        <w:gridCol w:w="8334"/>
      </w:tblGrid>
      <w:tr w14:paraId="57C9A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50" w:hRule="atLeast"/>
        </w:trPr>
        <w:tc>
          <w:tcPr>
            <w:tcW w:w="1305" w:type="dxa"/>
            <w:tcBorders>
              <w:top w:val="single" w:color="000000" w:sz="4" w:space="0"/>
              <w:left w:val="single" w:color="000000" w:sz="4" w:space="0"/>
              <w:bottom w:val="single" w:color="000000" w:sz="4" w:space="0"/>
              <w:right w:val="single" w:color="000000" w:sz="4" w:space="0"/>
            </w:tcBorders>
            <w:noWrap/>
            <w:vAlign w:val="center"/>
          </w:tcPr>
          <w:p w14:paraId="679C9751">
            <w:pPr>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分值构成</w:t>
            </w:r>
          </w:p>
          <w:p w14:paraId="0F775214">
            <w:pPr>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(总分100分)</w:t>
            </w:r>
          </w:p>
        </w:tc>
        <w:tc>
          <w:tcPr>
            <w:tcW w:w="8334" w:type="dxa"/>
            <w:tcBorders>
              <w:top w:val="single" w:color="000000" w:sz="4" w:space="0"/>
              <w:left w:val="single" w:color="000000" w:sz="4" w:space="0"/>
              <w:bottom w:val="single" w:color="000000" w:sz="4" w:space="0"/>
              <w:right w:val="single" w:color="000000" w:sz="4" w:space="0"/>
            </w:tcBorders>
            <w:noWrap/>
            <w:vAlign w:val="center"/>
          </w:tcPr>
          <w:p w14:paraId="7D78305D">
            <w:pPr>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价格分值：50分</w:t>
            </w:r>
          </w:p>
          <w:p w14:paraId="7158B833">
            <w:pPr>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商务部分：4分</w:t>
            </w:r>
          </w:p>
          <w:p w14:paraId="0980EE2E">
            <w:pPr>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技术部分：46分</w:t>
            </w:r>
          </w:p>
        </w:tc>
      </w:tr>
      <w:tr w14:paraId="6F0C0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1305" w:type="dxa"/>
            <w:tcBorders>
              <w:top w:val="single" w:color="000000" w:sz="4" w:space="0"/>
              <w:left w:val="single" w:color="000000" w:sz="4" w:space="0"/>
              <w:bottom w:val="single" w:color="000000" w:sz="4" w:space="0"/>
              <w:right w:val="single" w:color="000000" w:sz="4" w:space="0"/>
            </w:tcBorders>
            <w:noWrap/>
            <w:vAlign w:val="center"/>
          </w:tcPr>
          <w:p w14:paraId="1F18F940">
            <w:pPr>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评分因素/分值</w:t>
            </w:r>
          </w:p>
        </w:tc>
        <w:tc>
          <w:tcPr>
            <w:tcW w:w="8334" w:type="dxa"/>
            <w:tcBorders>
              <w:top w:val="single" w:color="000000" w:sz="4" w:space="0"/>
              <w:left w:val="single" w:color="000000" w:sz="4" w:space="0"/>
              <w:bottom w:val="single" w:color="000000" w:sz="4" w:space="0"/>
              <w:right w:val="single" w:color="000000" w:sz="4" w:space="0"/>
            </w:tcBorders>
            <w:noWrap/>
            <w:vAlign w:val="center"/>
          </w:tcPr>
          <w:p w14:paraId="608312BE">
            <w:pPr>
              <w:spacing w:line="360" w:lineRule="auto"/>
              <w:ind w:firstLine="1680" w:firstLineChars="8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r>
      <w:tr w14:paraId="4E0907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639" w:type="dxa"/>
            <w:gridSpan w:val="2"/>
            <w:tcBorders>
              <w:top w:val="single" w:color="000000" w:sz="4" w:space="0"/>
              <w:left w:val="single" w:color="000000" w:sz="4" w:space="0"/>
              <w:bottom w:val="single" w:color="000000" w:sz="4" w:space="0"/>
              <w:right w:val="single" w:color="000000" w:sz="4" w:space="0"/>
            </w:tcBorders>
            <w:noWrap/>
            <w:vAlign w:val="top"/>
          </w:tcPr>
          <w:p w14:paraId="471878C7">
            <w:pPr>
              <w:spacing w:line="360" w:lineRule="auto"/>
              <w:ind w:firstLine="2520" w:firstLineChars="1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一、价格部分（满分50分）</w:t>
            </w:r>
          </w:p>
        </w:tc>
      </w:tr>
      <w:tr w14:paraId="24FB5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2" w:hRule="atLeast"/>
        </w:trPr>
        <w:tc>
          <w:tcPr>
            <w:tcW w:w="1305" w:type="dxa"/>
            <w:tcBorders>
              <w:top w:val="single" w:color="000000" w:sz="4" w:space="0"/>
              <w:left w:val="single" w:color="000000" w:sz="4" w:space="0"/>
              <w:bottom w:val="single" w:color="000000" w:sz="4" w:space="0"/>
              <w:right w:val="single" w:color="000000" w:sz="4" w:space="0"/>
            </w:tcBorders>
            <w:noWrap/>
            <w:vAlign w:val="center"/>
          </w:tcPr>
          <w:p w14:paraId="3C3223E0">
            <w:pPr>
              <w:spacing w:line="360" w:lineRule="auto"/>
              <w:ind w:firstLine="210" w:firstLineChars="1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投标报价</w:t>
            </w:r>
          </w:p>
          <w:p w14:paraId="2F991B21">
            <w:pPr>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（50分）</w:t>
            </w:r>
          </w:p>
        </w:tc>
        <w:tc>
          <w:tcPr>
            <w:tcW w:w="8334" w:type="dxa"/>
            <w:tcBorders>
              <w:top w:val="single" w:color="000000" w:sz="4" w:space="0"/>
              <w:left w:val="single" w:color="000000" w:sz="4" w:space="0"/>
              <w:bottom w:val="single" w:color="000000" w:sz="4" w:space="0"/>
              <w:right w:val="single" w:color="000000" w:sz="4" w:space="0"/>
            </w:tcBorders>
            <w:noWrap/>
            <w:vAlign w:val="top"/>
          </w:tcPr>
          <w:p w14:paraId="3DA416ED">
            <w:pPr>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投标报价分采用低价优先法计算，即满足招标文件要求且投标报价最低的为评审基准价，其报价分为满分。</w:t>
            </w:r>
          </w:p>
          <w:p w14:paraId="5E74A1A6">
            <w:pPr>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报价得分=（评审基准价/投标报价）×50</w:t>
            </w:r>
          </w:p>
          <w:p w14:paraId="42000492">
            <w:pPr>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注：分值计算保留小数点后两位，小数点后第三位“四舍五入”。</w:t>
            </w:r>
          </w:p>
        </w:tc>
      </w:tr>
      <w:tr w14:paraId="45DA2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9639" w:type="dxa"/>
            <w:gridSpan w:val="2"/>
            <w:tcBorders>
              <w:top w:val="single" w:color="000000" w:sz="4" w:space="0"/>
              <w:left w:val="single" w:color="000000" w:sz="4" w:space="0"/>
              <w:bottom w:val="single" w:color="000000" w:sz="4" w:space="0"/>
              <w:right w:val="single" w:color="000000" w:sz="4" w:space="0"/>
            </w:tcBorders>
            <w:noWrap/>
            <w:vAlign w:val="center"/>
          </w:tcPr>
          <w:p w14:paraId="331DCF4C">
            <w:pPr>
              <w:spacing w:line="360" w:lineRule="auto"/>
              <w:ind w:firstLine="2940" w:firstLineChars="14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二、商务部分（满分4分）</w:t>
            </w:r>
          </w:p>
        </w:tc>
      </w:tr>
      <w:tr w14:paraId="4833F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7" w:hRule="atLeast"/>
        </w:trPr>
        <w:tc>
          <w:tcPr>
            <w:tcW w:w="1305" w:type="dxa"/>
            <w:tcBorders>
              <w:top w:val="single" w:color="000000" w:sz="4" w:space="0"/>
              <w:left w:val="single" w:color="000000" w:sz="4" w:space="0"/>
              <w:bottom w:val="single" w:color="000000" w:sz="4" w:space="0"/>
              <w:right w:val="single" w:color="000000" w:sz="4" w:space="0"/>
            </w:tcBorders>
            <w:noWrap/>
            <w:vAlign w:val="center"/>
          </w:tcPr>
          <w:p w14:paraId="7E92B45A">
            <w:pPr>
              <w:spacing w:line="360" w:lineRule="auto"/>
              <w:ind w:firstLine="210" w:firstLineChars="1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业绩</w:t>
            </w:r>
          </w:p>
          <w:p w14:paraId="37F1B356">
            <w:pPr>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（4分）</w:t>
            </w:r>
          </w:p>
        </w:tc>
        <w:tc>
          <w:tcPr>
            <w:tcW w:w="8334" w:type="dxa"/>
            <w:tcBorders>
              <w:top w:val="single" w:color="000000" w:sz="4" w:space="0"/>
              <w:left w:val="single" w:color="000000" w:sz="4" w:space="0"/>
              <w:bottom w:val="single" w:color="000000" w:sz="4" w:space="0"/>
              <w:right w:val="single" w:color="000000" w:sz="4" w:space="0"/>
            </w:tcBorders>
            <w:noWrap/>
            <w:vAlign w:val="top"/>
          </w:tcPr>
          <w:p w14:paraId="33642AC1">
            <w:pPr>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投标人提供2021年1月1日以来类似项目业绩，每有一份加2分，最多得4分。（须提供合同书扫描件）</w:t>
            </w:r>
          </w:p>
        </w:tc>
      </w:tr>
      <w:tr w14:paraId="71190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639" w:type="dxa"/>
            <w:gridSpan w:val="2"/>
            <w:tcBorders>
              <w:top w:val="single" w:color="000000" w:sz="4" w:space="0"/>
              <w:left w:val="single" w:color="000000" w:sz="4" w:space="0"/>
              <w:right w:val="single" w:color="000000" w:sz="4" w:space="0"/>
            </w:tcBorders>
            <w:noWrap/>
            <w:vAlign w:val="center"/>
          </w:tcPr>
          <w:p w14:paraId="2D083A0F">
            <w:pPr>
              <w:spacing w:line="360" w:lineRule="auto"/>
              <w:ind w:firstLine="2940" w:firstLineChars="14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三、技术部分（满分46分）</w:t>
            </w:r>
          </w:p>
        </w:tc>
      </w:tr>
      <w:tr w14:paraId="3E6EF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305" w:type="dxa"/>
            <w:tcBorders>
              <w:top w:val="single" w:color="000000" w:sz="4" w:space="0"/>
              <w:left w:val="single" w:color="000000" w:sz="4" w:space="0"/>
              <w:bottom w:val="single" w:color="000000" w:sz="4" w:space="0"/>
              <w:right w:val="single" w:color="000000" w:sz="4" w:space="0"/>
            </w:tcBorders>
            <w:noWrap/>
            <w:vAlign w:val="center"/>
          </w:tcPr>
          <w:p w14:paraId="1BA6A26A">
            <w:pPr>
              <w:spacing w:line="360" w:lineRule="auto"/>
              <w:ind w:firstLine="210" w:firstLineChars="1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技术指标</w:t>
            </w:r>
            <w:r>
              <w:rPr>
                <w:rFonts w:hint="eastAsia" w:cs="仿宋_GB2312" w:asciiTheme="minorEastAsia" w:hAnsiTheme="minorEastAsia"/>
                <w:szCs w:val="21"/>
                <w:lang w:val="zh-CN"/>
              </w:rPr>
              <w:br w:type="textWrapping"/>
            </w:r>
            <w:r>
              <w:rPr>
                <w:rFonts w:hint="eastAsia" w:cs="仿宋_GB2312" w:asciiTheme="minorEastAsia" w:hAnsiTheme="minorEastAsia"/>
                <w:szCs w:val="21"/>
                <w:lang w:val="zh-CN"/>
              </w:rPr>
              <w:t>（28分）</w:t>
            </w:r>
          </w:p>
        </w:tc>
        <w:tc>
          <w:tcPr>
            <w:tcW w:w="8334" w:type="dxa"/>
            <w:noWrap/>
            <w:vAlign w:val="center"/>
          </w:tcPr>
          <w:p w14:paraId="76926046">
            <w:pPr>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加“▲”项为关键技术参数，每满足一项并提供CMA或CNAS认证机构出具的检测报告并加盖制造商公章加2分，不提供不得分，该项满分为28分。</w:t>
            </w:r>
          </w:p>
        </w:tc>
      </w:tr>
      <w:tr w14:paraId="53C43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305" w:type="dxa"/>
            <w:tcBorders>
              <w:top w:val="single" w:color="000000" w:sz="4" w:space="0"/>
              <w:left w:val="single" w:color="000000" w:sz="4" w:space="0"/>
              <w:bottom w:val="single" w:color="000000" w:sz="4" w:space="0"/>
              <w:right w:val="single" w:color="000000" w:sz="4" w:space="0"/>
            </w:tcBorders>
            <w:noWrap/>
            <w:vAlign w:val="center"/>
          </w:tcPr>
          <w:p w14:paraId="19CCC5D8">
            <w:pPr>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整体设计</w:t>
            </w:r>
          </w:p>
          <w:p w14:paraId="4820C40A">
            <w:pPr>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方案</w:t>
            </w:r>
          </w:p>
          <w:p w14:paraId="2DCCE6C0">
            <w:pPr>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（9分）</w:t>
            </w:r>
          </w:p>
        </w:tc>
        <w:tc>
          <w:tcPr>
            <w:tcW w:w="8334" w:type="dxa"/>
            <w:noWrap/>
            <w:vAlign w:val="top"/>
          </w:tcPr>
          <w:p w14:paraId="40BC50C2">
            <w:pPr>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针对本项目提供的供货方案（包含供货进度安排、货期保证），实施人员配备计划，质量控制措施（包含货物运输、保险、检验），平台架构功能设计等，方案思路清晰、科学合理、完整有效得9分；较为详细可行的实施计划和工作流程得6分；仅有简单描述的，得3分；不提供不得分。</w:t>
            </w:r>
          </w:p>
        </w:tc>
      </w:tr>
      <w:tr w14:paraId="50D8F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305" w:type="dxa"/>
            <w:tcBorders>
              <w:top w:val="single" w:color="000000" w:sz="4" w:space="0"/>
              <w:left w:val="single" w:color="000000" w:sz="4" w:space="0"/>
              <w:bottom w:val="single" w:color="000000" w:sz="4" w:space="0"/>
              <w:right w:val="single" w:color="000000" w:sz="4" w:space="0"/>
            </w:tcBorders>
            <w:noWrap/>
            <w:vAlign w:val="center"/>
          </w:tcPr>
          <w:p w14:paraId="189ED628">
            <w:pPr>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售后服务</w:t>
            </w:r>
          </w:p>
          <w:p w14:paraId="5DD385AF">
            <w:pPr>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（9分）</w:t>
            </w:r>
          </w:p>
        </w:tc>
        <w:tc>
          <w:tcPr>
            <w:tcW w:w="8334" w:type="dxa"/>
            <w:noWrap/>
            <w:vAlign w:val="center"/>
          </w:tcPr>
          <w:p w14:paraId="0C8999FA">
            <w:pPr>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1、保质期内执行“三包”并能及时更换，并提供定期保养、维护、维修得2分。</w:t>
            </w:r>
          </w:p>
          <w:p w14:paraId="741BC39E">
            <w:pPr>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2、针对本项目实际需求，提供详细具体可行的服务计划，售后承诺措施及服务时间等，内容完善科学合理得3分,仅有简单描述得1分。</w:t>
            </w:r>
          </w:p>
          <w:p w14:paraId="0A94881E">
            <w:pPr>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3、投标人提供培训方案，包括：培训计划（培训时间安排培训次数、培训方式）、培训内容和范围（设备维修保养设备运行操作、简易的故障判断与排除）、负责培训的授课人员安排，方案合理、可行、完整的得4分,仅有简单描述的得1分。</w:t>
            </w:r>
          </w:p>
        </w:tc>
      </w:tr>
    </w:tbl>
    <w:p w14:paraId="1E6F824C">
      <w:pPr>
        <w:pStyle w:val="15"/>
        <w:spacing w:line="360" w:lineRule="auto"/>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b/>
          <w:sz w:val="21"/>
          <w:szCs w:val="21"/>
          <w:lang w:val="zh-CN"/>
        </w:rPr>
        <w:t>（7）</w:t>
      </w:r>
      <w:r>
        <w:rPr>
          <w:rFonts w:cs="仿宋_GB2312" w:asciiTheme="minorEastAsia" w:hAnsiTheme="minorEastAsia" w:eastAsiaTheme="minorEastAsia"/>
          <w:b/>
          <w:sz w:val="21"/>
          <w:szCs w:val="21"/>
          <w:lang w:val="zh-CN"/>
        </w:rPr>
        <w:t>评标结果汇总完成后，除下列情形外，任何人不得修改评标结果：</w:t>
      </w:r>
    </w:p>
    <w:p w14:paraId="089BFAC1">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1） </w:t>
      </w:r>
      <w:r>
        <w:rPr>
          <w:rFonts w:cs="仿宋_GB2312" w:asciiTheme="minorEastAsia" w:hAnsiTheme="minorEastAsia"/>
          <w:szCs w:val="21"/>
          <w:lang w:val="zh-CN"/>
        </w:rPr>
        <w:t>分值汇总计算错误的；</w:t>
      </w:r>
    </w:p>
    <w:p w14:paraId="02DF9B17">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2） </w:t>
      </w:r>
      <w:r>
        <w:rPr>
          <w:rFonts w:cs="仿宋_GB2312" w:asciiTheme="minorEastAsia" w:hAnsiTheme="minorEastAsia"/>
          <w:szCs w:val="21"/>
          <w:lang w:val="zh-CN"/>
        </w:rPr>
        <w:t>分项评分超出评分标准范围的；</w:t>
      </w:r>
    </w:p>
    <w:p w14:paraId="20EE41F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3） </w:t>
      </w:r>
      <w:r>
        <w:rPr>
          <w:rFonts w:cs="仿宋_GB2312" w:asciiTheme="minorEastAsia" w:hAnsiTheme="minorEastAsia"/>
          <w:szCs w:val="21"/>
          <w:lang w:val="zh-CN"/>
        </w:rPr>
        <w:t>评标委员会成员对客观评审因素评分不一致的；</w:t>
      </w:r>
    </w:p>
    <w:p w14:paraId="4E9E6300">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4） </w:t>
      </w:r>
      <w:r>
        <w:rPr>
          <w:rFonts w:cs="仿宋_GB2312" w:asciiTheme="minorEastAsia" w:hAnsiTheme="minorEastAsia"/>
          <w:szCs w:val="21"/>
          <w:lang w:val="zh-CN"/>
        </w:rPr>
        <w:t>经评标委员会认定评分畸高、畸低的。</w:t>
      </w:r>
    </w:p>
    <w:p w14:paraId="3992901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cs="仿宋_GB2312" w:asciiTheme="minorEastAsia" w:hAnsiTheme="minorEastAsia"/>
          <w:szCs w:val="21"/>
          <w:lang w:val="zh-CN"/>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473A2FB9">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cs="仿宋_GB2312" w:asciiTheme="minorEastAsia" w:hAnsiTheme="minorEastAsia"/>
          <w:szCs w:val="21"/>
          <w:lang w:val="zh-CN"/>
        </w:rPr>
        <w:t>投标人对本条第一款情形提出质疑的，采购人或者采购代理机构可以组织原评标委员会进行重新评审，重新评审改变评标结果的，应当书面报告本级财政部门。</w:t>
      </w:r>
    </w:p>
    <w:p w14:paraId="096E6ED3">
      <w:pPr>
        <w:wordWrap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8）按照《关于推进全流程电子化交易和在线监管工作有关问题的通知》（许公管办[2019]3号）规定：评标专家应严格按照要求查看“硬件特征码”相关信息并进行评审，在评审报告中显示“不同投标人电子投标文件制作硬件特征码”是否雷同的分析及判定结果。</w:t>
      </w:r>
    </w:p>
    <w:p w14:paraId="5F47949B">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（9）</w:t>
      </w:r>
      <w:r>
        <w:rPr>
          <w:rFonts w:cs="仿宋_GB2312" w:asciiTheme="minorEastAsia" w:hAnsiTheme="minorEastAsia"/>
          <w:b/>
          <w:szCs w:val="21"/>
          <w:lang w:val="zh-CN"/>
        </w:rPr>
        <w:t>评标委员会</w:t>
      </w:r>
      <w:r>
        <w:rPr>
          <w:rFonts w:hint="eastAsia" w:cs="仿宋_GB2312" w:asciiTheme="minorEastAsia" w:hAnsiTheme="minorEastAsia"/>
          <w:b/>
          <w:szCs w:val="21"/>
          <w:lang w:val="zh-CN"/>
        </w:rPr>
        <w:t>争议处理</w:t>
      </w:r>
    </w:p>
    <w:p w14:paraId="2F1BEF5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cs="仿宋_GB2312" w:asciiTheme="minorEastAsia" w:hAnsiTheme="minorEastAsia"/>
          <w:szCs w:val="21"/>
          <w:lang w:val="zh-CN"/>
        </w:rPr>
        <w:t>评标委员会成员对需要共同认定的事项存在争议的，应当按照少数服从多数的原则作出结论。持不同意见的评标委员会成员应当在评标报告上签署不同意见及理由，否则视为同意评标报告。</w:t>
      </w:r>
    </w:p>
    <w:p w14:paraId="6D1BB7E0">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4、</w:t>
      </w:r>
      <w:r>
        <w:rPr>
          <w:rFonts w:cs="仿宋_GB2312" w:asciiTheme="minorEastAsia" w:hAnsiTheme="minorEastAsia"/>
          <w:b/>
          <w:szCs w:val="21"/>
          <w:lang w:val="zh-CN"/>
        </w:rPr>
        <w:t>确定中标候选人名单，以及根据采购人委托直接确定中标人</w:t>
      </w:r>
      <w:r>
        <w:rPr>
          <w:rFonts w:hint="eastAsia" w:cs="仿宋_GB2312" w:asciiTheme="minorEastAsia" w:hAnsiTheme="minorEastAsia"/>
          <w:b/>
          <w:szCs w:val="21"/>
          <w:lang w:val="zh-CN"/>
        </w:rPr>
        <w:t>。</w:t>
      </w:r>
    </w:p>
    <w:p w14:paraId="316DFF43">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rPr>
      </w:pPr>
    </w:p>
    <w:p w14:paraId="6F712B38">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5395F11F">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4A540C16">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535F2E02">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3B0020FF">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kern w:val="0"/>
          <w:sz w:val="32"/>
          <w:szCs w:val="32"/>
        </w:rPr>
      </w:pPr>
    </w:p>
    <w:p w14:paraId="7293C98D">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1381F9A6">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第七章 拟签订的合同文本</w:t>
      </w:r>
    </w:p>
    <w:p w14:paraId="5AC8104F">
      <w:pPr>
        <w:pStyle w:val="15"/>
        <w:spacing w:line="360" w:lineRule="auto"/>
        <w:contextualSpacing/>
        <w:jc w:val="center"/>
        <w:rPr>
          <w:rFonts w:cs="宋体" w:asciiTheme="majorEastAsia" w:hAnsiTheme="majorEastAsia" w:eastAsiaTheme="majorEastAsia"/>
          <w:b/>
          <w:kern w:val="0"/>
          <w:sz w:val="36"/>
          <w:szCs w:val="36"/>
        </w:rPr>
      </w:pPr>
    </w:p>
    <w:p w14:paraId="6FD5471D">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（此合同仅供参考。以最终采购人与中标人签定的合同条款为准进行公示，</w:t>
      </w:r>
    </w:p>
    <w:p w14:paraId="4384631E">
      <w:pPr>
        <w:spacing w:line="360" w:lineRule="auto"/>
        <w:jc w:val="center"/>
        <w:rPr>
          <w:rFonts w:ascii="宋体" w:hAnsi="宋体" w:cs="微软雅黑"/>
          <w:b/>
          <w:bCs/>
          <w:szCs w:val="21"/>
        </w:rPr>
      </w:pPr>
      <w:r>
        <w:rPr>
          <w:rFonts w:hint="eastAsia" w:ascii="宋体" w:hAnsi="宋体" w:cs="微软雅黑"/>
          <w:b/>
          <w:bCs/>
          <w:szCs w:val="21"/>
        </w:rPr>
        <w:t>最终签定合同的主要条款不能与招标文件有冲突）</w:t>
      </w:r>
    </w:p>
    <w:p w14:paraId="6AFDEF3C">
      <w:pPr>
        <w:spacing w:line="360" w:lineRule="auto"/>
        <w:ind w:firstLine="5400" w:firstLineChars="3000"/>
        <w:rPr>
          <w:rFonts w:ascii="宋体" w:hAnsi="宋体" w:eastAsia="宋体"/>
          <w:sz w:val="18"/>
          <w:szCs w:val="18"/>
        </w:rPr>
      </w:pPr>
      <w:r>
        <w:rPr>
          <w:rFonts w:hint="eastAsia" w:ascii="宋体" w:hAnsi="宋体" w:eastAsia="宋体"/>
          <w:sz w:val="18"/>
          <w:szCs w:val="18"/>
        </w:rPr>
        <w:t>本合同口是/口否中小企业预留合同</w:t>
      </w:r>
    </w:p>
    <w:p w14:paraId="6CE828E6">
      <w:pPr>
        <w:spacing w:line="360" w:lineRule="auto"/>
        <w:ind w:firstLine="2250" w:firstLineChars="750"/>
        <w:jc w:val="left"/>
        <w:rPr>
          <w:rFonts w:ascii="宋体" w:hAnsi="宋体" w:eastAsia="宋体"/>
          <w:sz w:val="30"/>
          <w:szCs w:val="30"/>
        </w:rPr>
      </w:pPr>
      <w:r>
        <w:rPr>
          <w:rFonts w:hint="eastAsia" w:ascii="宋体" w:hAnsi="宋体" w:eastAsia="宋体"/>
          <w:sz w:val="30"/>
          <w:szCs w:val="30"/>
        </w:rPr>
        <w:t>政府采购货物合同（范本）</w:t>
      </w:r>
    </w:p>
    <w:p w14:paraId="1316D95C">
      <w:pPr>
        <w:spacing w:line="360" w:lineRule="auto"/>
        <w:rPr>
          <w:rFonts w:ascii="宋体" w:hAnsi="宋体" w:eastAsia="宋体"/>
          <w:szCs w:val="21"/>
          <w:u w:val="single"/>
        </w:rPr>
      </w:pPr>
      <w:r>
        <w:rPr>
          <w:rFonts w:hint="eastAsia" w:ascii="宋体" w:hAnsi="宋体" w:eastAsia="宋体"/>
          <w:szCs w:val="21"/>
        </w:rPr>
        <w:t>合同编号：</w:t>
      </w:r>
    </w:p>
    <w:p w14:paraId="120FB976">
      <w:pPr>
        <w:spacing w:line="360" w:lineRule="auto"/>
        <w:rPr>
          <w:rFonts w:ascii="宋体" w:hAnsi="宋体" w:eastAsia="宋体"/>
          <w:szCs w:val="21"/>
          <w:u w:val="single"/>
        </w:rPr>
      </w:pPr>
      <w:r>
        <w:rPr>
          <w:rFonts w:hint="eastAsia" w:ascii="宋体" w:hAnsi="宋体" w:eastAsia="宋体"/>
          <w:szCs w:val="21"/>
        </w:rPr>
        <w:t>签 订 地：</w:t>
      </w:r>
    </w:p>
    <w:p w14:paraId="28E2858D">
      <w:pPr>
        <w:spacing w:line="360" w:lineRule="auto"/>
        <w:rPr>
          <w:rFonts w:ascii="宋体" w:hAnsi="宋体" w:eastAsia="宋体"/>
          <w:szCs w:val="21"/>
          <w:u w:val="single"/>
        </w:rPr>
      </w:pPr>
      <w:r>
        <w:rPr>
          <w:rFonts w:hint="eastAsia" w:ascii="宋体" w:hAnsi="宋体" w:eastAsia="宋体"/>
          <w:szCs w:val="21"/>
        </w:rPr>
        <w:t>甲方（采购人）：</w:t>
      </w:r>
    </w:p>
    <w:p w14:paraId="3CD2DC79">
      <w:pPr>
        <w:spacing w:line="360" w:lineRule="auto"/>
        <w:rPr>
          <w:rFonts w:ascii="宋体" w:hAnsi="宋体" w:eastAsia="宋体"/>
          <w:szCs w:val="21"/>
          <w:u w:val="single"/>
        </w:rPr>
      </w:pPr>
      <w:r>
        <w:rPr>
          <w:rFonts w:hint="eastAsia" w:ascii="宋体" w:hAnsi="宋体" w:eastAsia="宋体"/>
          <w:szCs w:val="21"/>
        </w:rPr>
        <w:t>住所地：</w:t>
      </w:r>
    </w:p>
    <w:p w14:paraId="39DC3E7B">
      <w:pPr>
        <w:spacing w:line="360" w:lineRule="auto"/>
        <w:rPr>
          <w:rFonts w:ascii="宋体" w:hAnsi="宋体" w:eastAsia="宋体"/>
          <w:szCs w:val="21"/>
          <w:u w:val="single"/>
        </w:rPr>
      </w:pPr>
      <w:r>
        <w:rPr>
          <w:rFonts w:hint="eastAsia" w:ascii="宋体" w:hAnsi="宋体" w:eastAsia="宋体"/>
          <w:szCs w:val="21"/>
        </w:rPr>
        <w:t>乙方（中标人）：</w:t>
      </w:r>
    </w:p>
    <w:p w14:paraId="06F76E7E">
      <w:pPr>
        <w:spacing w:line="360" w:lineRule="auto"/>
        <w:rPr>
          <w:rFonts w:ascii="宋体" w:hAnsi="宋体" w:eastAsia="宋体"/>
          <w:szCs w:val="21"/>
          <w:u w:val="single"/>
        </w:rPr>
      </w:pPr>
      <w:r>
        <w:rPr>
          <w:rFonts w:hint="eastAsia" w:ascii="宋体" w:hAnsi="宋体" w:eastAsia="宋体"/>
          <w:szCs w:val="21"/>
        </w:rPr>
        <w:t>住所地：</w:t>
      </w:r>
    </w:p>
    <w:p w14:paraId="296D5D03">
      <w:pPr>
        <w:spacing w:line="360" w:lineRule="auto"/>
        <w:rPr>
          <w:rFonts w:ascii="宋体" w:hAnsi="宋体" w:eastAsia="宋体"/>
          <w:szCs w:val="21"/>
          <w:u w:val="single"/>
        </w:rPr>
      </w:pPr>
      <w:r>
        <w:rPr>
          <w:rFonts w:hint="eastAsia" w:ascii="宋体" w:hAnsi="宋体" w:eastAsia="宋体"/>
          <w:szCs w:val="21"/>
        </w:rPr>
        <w:t>乙方于年月日参加了（</w:t>
      </w:r>
      <w:r>
        <w:rPr>
          <w:rFonts w:hint="eastAsia" w:ascii="宋体" w:hAnsi="宋体" w:eastAsia="宋体"/>
          <w:szCs w:val="21"/>
          <w:u w:val="single"/>
        </w:rPr>
        <w:t>采购代理机构）</w:t>
      </w:r>
      <w:r>
        <w:rPr>
          <w:rFonts w:hint="eastAsia" w:ascii="宋体" w:hAnsi="宋体" w:eastAsia="宋体"/>
          <w:szCs w:val="21"/>
        </w:rPr>
        <w:t>组织的“（</w:t>
      </w:r>
      <w:r>
        <w:rPr>
          <w:rFonts w:hint="eastAsia" w:ascii="宋体" w:hAnsi="宋体" w:eastAsia="宋体"/>
          <w:szCs w:val="21"/>
          <w:u w:val="single"/>
        </w:rPr>
        <w:t>项目名称及项目编号）</w:t>
      </w:r>
      <w:r>
        <w:rPr>
          <w:rFonts w:hint="eastAsia" w:ascii="宋体" w:hAnsi="宋体" w:eastAsia="宋体"/>
          <w:szCs w:val="21"/>
        </w:rPr>
        <w:t>” 政府采购活动，经评标委员会评审确定乙方为（</w:t>
      </w:r>
      <w:r>
        <w:rPr>
          <w:rFonts w:hint="eastAsia" w:ascii="宋体" w:hAnsi="宋体" w:eastAsia="宋体"/>
          <w:szCs w:val="21"/>
          <w:u w:val="single"/>
        </w:rPr>
        <w:t>包及包名称）</w:t>
      </w:r>
      <w:r>
        <w:rPr>
          <w:rFonts w:hint="eastAsia" w:ascii="宋体" w:hAnsi="宋体" w:eastAsia="宋体"/>
          <w:szCs w:val="21"/>
        </w:rPr>
        <w:t>中标人，按照《中华人民共和国民法典》《中华人民共和国政府采购法》和相关的法律法规规定，以及招标文件规定，经甲乙双方协商一致，签订本政府采购合同。</w:t>
      </w:r>
    </w:p>
    <w:p w14:paraId="24882C13">
      <w:pPr>
        <w:pStyle w:val="48"/>
        <w:numPr>
          <w:ilvl w:val="0"/>
          <w:numId w:val="80"/>
        </w:numPr>
        <w:spacing w:line="360" w:lineRule="auto"/>
        <w:ind w:left="420" w:firstLineChars="0"/>
        <w:rPr>
          <w:rFonts w:ascii="宋体" w:hAnsi="宋体" w:eastAsia="宋体"/>
          <w:szCs w:val="21"/>
        </w:rPr>
      </w:pPr>
      <w:r>
        <w:rPr>
          <w:rFonts w:hint="eastAsia" w:ascii="宋体" w:hAnsi="宋体" w:eastAsia="宋体"/>
          <w:szCs w:val="21"/>
        </w:rPr>
        <w:t xml:space="preserve"> 货物条款</w:t>
      </w:r>
    </w:p>
    <w:p w14:paraId="003F62E9">
      <w:pPr>
        <w:spacing w:line="360" w:lineRule="auto"/>
        <w:rPr>
          <w:rFonts w:ascii="宋体" w:hAnsi="宋体" w:eastAsia="宋体"/>
          <w:szCs w:val="21"/>
        </w:rPr>
      </w:pPr>
      <w:r>
        <w:rPr>
          <w:rFonts w:hint="eastAsia" w:ascii="宋体" w:hAnsi="宋体" w:eastAsia="宋体"/>
          <w:szCs w:val="21"/>
        </w:rPr>
        <w:t>乙方向甲方提供以下货物</w:t>
      </w:r>
    </w:p>
    <w:tbl>
      <w:tblPr>
        <w:tblStyle w:val="24"/>
        <w:tblW w:w="0" w:type="auto"/>
        <w:tblInd w:w="0" w:type="dxa"/>
        <w:tblLayout w:type="autofit"/>
        <w:tblCellMar>
          <w:top w:w="0" w:type="dxa"/>
          <w:left w:w="108" w:type="dxa"/>
          <w:bottom w:w="0" w:type="dxa"/>
          <w:right w:w="108" w:type="dxa"/>
        </w:tblCellMar>
      </w:tblPr>
      <w:tblGrid>
        <w:gridCol w:w="1242"/>
        <w:gridCol w:w="4253"/>
        <w:gridCol w:w="709"/>
        <w:gridCol w:w="708"/>
        <w:gridCol w:w="749"/>
      </w:tblGrid>
      <w:tr w14:paraId="1AD0E5F9">
        <w:tblPrEx>
          <w:tblCellMar>
            <w:top w:w="0" w:type="dxa"/>
            <w:left w:w="108" w:type="dxa"/>
            <w:bottom w:w="0" w:type="dxa"/>
            <w:right w:w="108" w:type="dxa"/>
          </w:tblCellMar>
        </w:tblPrEx>
        <w:trPr>
          <w:trHeight w:val="312" w:hRule="atLeast"/>
        </w:trPr>
        <w:tc>
          <w:tcPr>
            <w:tcW w:w="1242" w:type="dxa"/>
          </w:tcPr>
          <w:p w14:paraId="51283047">
            <w:pPr>
              <w:spacing w:line="360" w:lineRule="auto"/>
              <w:rPr>
                <w:rFonts w:ascii="宋体" w:hAnsi="宋体" w:eastAsia="宋体"/>
                <w:szCs w:val="21"/>
              </w:rPr>
            </w:pPr>
            <w:r>
              <w:rPr>
                <w:rFonts w:hint="eastAsia" w:ascii="宋体" w:hAnsi="宋体" w:eastAsia="宋体"/>
                <w:szCs w:val="21"/>
              </w:rPr>
              <w:t>货物名称</w:t>
            </w:r>
          </w:p>
        </w:tc>
        <w:tc>
          <w:tcPr>
            <w:tcW w:w="4253" w:type="dxa"/>
          </w:tcPr>
          <w:p w14:paraId="33D647F1">
            <w:pPr>
              <w:spacing w:line="360" w:lineRule="auto"/>
              <w:jc w:val="center"/>
              <w:rPr>
                <w:rFonts w:ascii="宋体" w:hAnsi="宋体" w:eastAsia="宋体"/>
                <w:szCs w:val="21"/>
              </w:rPr>
            </w:pPr>
            <w:r>
              <w:rPr>
                <w:rFonts w:hint="eastAsia" w:ascii="宋体" w:hAnsi="宋体" w:eastAsia="宋体"/>
                <w:szCs w:val="21"/>
              </w:rPr>
              <w:t>品牌、规格型号（技术参数）</w:t>
            </w:r>
          </w:p>
        </w:tc>
        <w:tc>
          <w:tcPr>
            <w:tcW w:w="709" w:type="dxa"/>
            <w:tcBorders>
              <w:right w:val="single" w:color="auto" w:sz="4" w:space="0"/>
            </w:tcBorders>
          </w:tcPr>
          <w:p w14:paraId="5681B154">
            <w:pPr>
              <w:spacing w:line="360" w:lineRule="auto"/>
              <w:rPr>
                <w:rFonts w:ascii="宋体" w:hAnsi="宋体" w:eastAsia="宋体"/>
                <w:szCs w:val="21"/>
              </w:rPr>
            </w:pPr>
            <w:r>
              <w:rPr>
                <w:rFonts w:hint="eastAsia" w:ascii="宋体" w:hAnsi="宋体" w:eastAsia="宋体"/>
                <w:szCs w:val="21"/>
              </w:rPr>
              <w:t>单价</w:t>
            </w:r>
          </w:p>
        </w:tc>
        <w:tc>
          <w:tcPr>
            <w:tcW w:w="708" w:type="dxa"/>
            <w:tcBorders>
              <w:left w:val="single" w:color="auto" w:sz="4" w:space="0"/>
              <w:right w:val="single" w:color="auto" w:sz="4" w:space="0"/>
            </w:tcBorders>
          </w:tcPr>
          <w:p w14:paraId="0E548B2A">
            <w:pPr>
              <w:spacing w:line="360" w:lineRule="auto"/>
              <w:rPr>
                <w:rFonts w:ascii="宋体" w:hAnsi="宋体" w:eastAsia="宋体"/>
                <w:szCs w:val="21"/>
              </w:rPr>
            </w:pPr>
            <w:r>
              <w:rPr>
                <w:rFonts w:hint="eastAsia" w:ascii="宋体" w:hAnsi="宋体" w:eastAsia="宋体"/>
                <w:szCs w:val="21"/>
              </w:rPr>
              <w:t>数量</w:t>
            </w:r>
          </w:p>
        </w:tc>
        <w:tc>
          <w:tcPr>
            <w:tcW w:w="749" w:type="dxa"/>
            <w:tcBorders>
              <w:left w:val="single" w:color="auto" w:sz="4" w:space="0"/>
              <w:right w:val="single" w:color="auto" w:sz="4" w:space="0"/>
            </w:tcBorders>
          </w:tcPr>
          <w:p w14:paraId="7DD7935B">
            <w:pPr>
              <w:spacing w:line="360" w:lineRule="auto"/>
              <w:rPr>
                <w:rFonts w:ascii="宋体" w:hAnsi="宋体" w:eastAsia="宋体"/>
                <w:szCs w:val="21"/>
              </w:rPr>
            </w:pPr>
            <w:r>
              <w:rPr>
                <w:rFonts w:hint="eastAsia" w:ascii="宋体" w:hAnsi="宋体" w:eastAsia="宋体"/>
                <w:szCs w:val="21"/>
              </w:rPr>
              <w:t>小计</w:t>
            </w:r>
          </w:p>
        </w:tc>
      </w:tr>
      <w:tr w14:paraId="1430882B">
        <w:tblPrEx>
          <w:tblCellMar>
            <w:top w:w="0" w:type="dxa"/>
            <w:left w:w="108" w:type="dxa"/>
            <w:bottom w:w="0" w:type="dxa"/>
            <w:right w:w="108" w:type="dxa"/>
          </w:tblCellMar>
        </w:tblPrEx>
        <w:trPr>
          <w:trHeight w:val="312" w:hRule="atLeast"/>
        </w:trPr>
        <w:tc>
          <w:tcPr>
            <w:tcW w:w="1242" w:type="dxa"/>
          </w:tcPr>
          <w:p w14:paraId="4972E934">
            <w:pPr>
              <w:spacing w:line="360" w:lineRule="auto"/>
              <w:rPr>
                <w:rFonts w:ascii="宋体" w:hAnsi="宋体" w:eastAsia="宋体"/>
                <w:szCs w:val="21"/>
              </w:rPr>
            </w:pPr>
          </w:p>
        </w:tc>
        <w:tc>
          <w:tcPr>
            <w:tcW w:w="4253" w:type="dxa"/>
          </w:tcPr>
          <w:p w14:paraId="626BCC2E">
            <w:pPr>
              <w:spacing w:line="360" w:lineRule="auto"/>
              <w:rPr>
                <w:rFonts w:ascii="宋体" w:hAnsi="宋体" w:eastAsia="宋体"/>
                <w:szCs w:val="21"/>
              </w:rPr>
            </w:pPr>
          </w:p>
        </w:tc>
        <w:tc>
          <w:tcPr>
            <w:tcW w:w="709" w:type="dxa"/>
            <w:tcBorders>
              <w:right w:val="single" w:color="auto" w:sz="4" w:space="0"/>
            </w:tcBorders>
          </w:tcPr>
          <w:p w14:paraId="14F456FF">
            <w:pPr>
              <w:spacing w:line="360" w:lineRule="auto"/>
              <w:rPr>
                <w:rFonts w:ascii="宋体" w:hAnsi="宋体" w:eastAsia="宋体"/>
                <w:szCs w:val="21"/>
              </w:rPr>
            </w:pPr>
          </w:p>
        </w:tc>
        <w:tc>
          <w:tcPr>
            <w:tcW w:w="708" w:type="dxa"/>
            <w:tcBorders>
              <w:left w:val="single" w:color="auto" w:sz="4" w:space="0"/>
              <w:right w:val="single" w:color="auto" w:sz="4" w:space="0"/>
            </w:tcBorders>
          </w:tcPr>
          <w:p w14:paraId="1FB0B354">
            <w:pPr>
              <w:spacing w:line="360" w:lineRule="auto"/>
              <w:rPr>
                <w:rFonts w:ascii="宋体" w:hAnsi="宋体" w:eastAsia="宋体"/>
                <w:szCs w:val="21"/>
              </w:rPr>
            </w:pPr>
          </w:p>
        </w:tc>
        <w:tc>
          <w:tcPr>
            <w:tcW w:w="749" w:type="dxa"/>
            <w:tcBorders>
              <w:left w:val="single" w:color="auto" w:sz="4" w:space="0"/>
              <w:right w:val="single" w:color="auto" w:sz="4" w:space="0"/>
            </w:tcBorders>
          </w:tcPr>
          <w:p w14:paraId="3730F4C0">
            <w:pPr>
              <w:spacing w:line="360" w:lineRule="auto"/>
              <w:rPr>
                <w:rFonts w:ascii="宋体" w:hAnsi="宋体" w:eastAsia="宋体"/>
                <w:szCs w:val="21"/>
              </w:rPr>
            </w:pPr>
          </w:p>
        </w:tc>
      </w:tr>
      <w:tr w14:paraId="0CC69987">
        <w:tblPrEx>
          <w:tblCellMar>
            <w:top w:w="0" w:type="dxa"/>
            <w:left w:w="108" w:type="dxa"/>
            <w:bottom w:w="0" w:type="dxa"/>
            <w:right w:w="108" w:type="dxa"/>
          </w:tblCellMar>
        </w:tblPrEx>
        <w:trPr>
          <w:trHeight w:val="312" w:hRule="atLeast"/>
        </w:trPr>
        <w:tc>
          <w:tcPr>
            <w:tcW w:w="1242" w:type="dxa"/>
          </w:tcPr>
          <w:p w14:paraId="50C4B2A8">
            <w:pPr>
              <w:spacing w:line="360" w:lineRule="auto"/>
              <w:rPr>
                <w:rFonts w:ascii="宋体" w:hAnsi="宋体" w:eastAsia="宋体"/>
                <w:szCs w:val="21"/>
              </w:rPr>
            </w:pPr>
          </w:p>
        </w:tc>
        <w:tc>
          <w:tcPr>
            <w:tcW w:w="4253" w:type="dxa"/>
          </w:tcPr>
          <w:p w14:paraId="4D14E99E">
            <w:pPr>
              <w:spacing w:line="360" w:lineRule="auto"/>
              <w:rPr>
                <w:rFonts w:ascii="宋体" w:hAnsi="宋体" w:eastAsia="宋体"/>
                <w:szCs w:val="21"/>
              </w:rPr>
            </w:pPr>
          </w:p>
        </w:tc>
        <w:tc>
          <w:tcPr>
            <w:tcW w:w="709" w:type="dxa"/>
            <w:tcBorders>
              <w:right w:val="single" w:color="auto" w:sz="4" w:space="0"/>
            </w:tcBorders>
          </w:tcPr>
          <w:p w14:paraId="081A9E26">
            <w:pPr>
              <w:spacing w:line="360" w:lineRule="auto"/>
              <w:rPr>
                <w:rFonts w:ascii="宋体" w:hAnsi="宋体" w:eastAsia="宋体"/>
                <w:szCs w:val="21"/>
              </w:rPr>
            </w:pPr>
          </w:p>
        </w:tc>
        <w:tc>
          <w:tcPr>
            <w:tcW w:w="708" w:type="dxa"/>
            <w:tcBorders>
              <w:left w:val="single" w:color="auto" w:sz="4" w:space="0"/>
              <w:right w:val="single" w:color="auto" w:sz="4" w:space="0"/>
            </w:tcBorders>
          </w:tcPr>
          <w:p w14:paraId="42AA0CB4">
            <w:pPr>
              <w:spacing w:line="360" w:lineRule="auto"/>
              <w:rPr>
                <w:rFonts w:ascii="宋体" w:hAnsi="宋体" w:eastAsia="宋体"/>
                <w:szCs w:val="21"/>
              </w:rPr>
            </w:pPr>
          </w:p>
        </w:tc>
        <w:tc>
          <w:tcPr>
            <w:tcW w:w="749" w:type="dxa"/>
            <w:tcBorders>
              <w:left w:val="single" w:color="auto" w:sz="4" w:space="0"/>
              <w:right w:val="single" w:color="auto" w:sz="4" w:space="0"/>
            </w:tcBorders>
          </w:tcPr>
          <w:p w14:paraId="14761DC4">
            <w:pPr>
              <w:spacing w:line="360" w:lineRule="auto"/>
              <w:rPr>
                <w:rFonts w:ascii="宋体" w:hAnsi="宋体" w:eastAsia="宋体"/>
                <w:szCs w:val="21"/>
              </w:rPr>
            </w:pPr>
          </w:p>
        </w:tc>
      </w:tr>
      <w:tr w14:paraId="68F21545">
        <w:tblPrEx>
          <w:tblCellMar>
            <w:top w:w="0" w:type="dxa"/>
            <w:left w:w="108" w:type="dxa"/>
            <w:bottom w:w="0" w:type="dxa"/>
            <w:right w:w="108" w:type="dxa"/>
          </w:tblCellMar>
        </w:tblPrEx>
        <w:trPr>
          <w:trHeight w:val="312" w:hRule="atLeast"/>
        </w:trPr>
        <w:tc>
          <w:tcPr>
            <w:tcW w:w="1242" w:type="dxa"/>
          </w:tcPr>
          <w:p w14:paraId="4C26A9D2">
            <w:pPr>
              <w:spacing w:line="360" w:lineRule="auto"/>
              <w:rPr>
                <w:rFonts w:ascii="宋体" w:hAnsi="宋体" w:eastAsia="宋体"/>
                <w:szCs w:val="21"/>
              </w:rPr>
            </w:pPr>
          </w:p>
        </w:tc>
        <w:tc>
          <w:tcPr>
            <w:tcW w:w="4253" w:type="dxa"/>
          </w:tcPr>
          <w:p w14:paraId="1ADC9956">
            <w:pPr>
              <w:spacing w:line="360" w:lineRule="auto"/>
              <w:rPr>
                <w:rFonts w:ascii="宋体" w:hAnsi="宋体" w:eastAsia="宋体"/>
                <w:szCs w:val="21"/>
              </w:rPr>
            </w:pPr>
          </w:p>
        </w:tc>
        <w:tc>
          <w:tcPr>
            <w:tcW w:w="709" w:type="dxa"/>
            <w:tcBorders>
              <w:right w:val="single" w:color="auto" w:sz="4" w:space="0"/>
            </w:tcBorders>
          </w:tcPr>
          <w:p w14:paraId="11BB8E24">
            <w:pPr>
              <w:spacing w:line="360" w:lineRule="auto"/>
              <w:rPr>
                <w:rFonts w:ascii="宋体" w:hAnsi="宋体" w:eastAsia="宋体"/>
                <w:szCs w:val="21"/>
              </w:rPr>
            </w:pPr>
          </w:p>
        </w:tc>
        <w:tc>
          <w:tcPr>
            <w:tcW w:w="708" w:type="dxa"/>
            <w:tcBorders>
              <w:left w:val="single" w:color="auto" w:sz="4" w:space="0"/>
              <w:right w:val="single" w:color="auto" w:sz="4" w:space="0"/>
            </w:tcBorders>
          </w:tcPr>
          <w:p w14:paraId="3E21A31D">
            <w:pPr>
              <w:spacing w:line="360" w:lineRule="auto"/>
              <w:rPr>
                <w:rFonts w:ascii="宋体" w:hAnsi="宋体" w:eastAsia="宋体"/>
                <w:szCs w:val="21"/>
              </w:rPr>
            </w:pPr>
          </w:p>
        </w:tc>
        <w:tc>
          <w:tcPr>
            <w:tcW w:w="749" w:type="dxa"/>
            <w:tcBorders>
              <w:left w:val="single" w:color="auto" w:sz="4" w:space="0"/>
              <w:right w:val="single" w:color="auto" w:sz="4" w:space="0"/>
            </w:tcBorders>
          </w:tcPr>
          <w:p w14:paraId="574AF772">
            <w:pPr>
              <w:spacing w:line="360" w:lineRule="auto"/>
              <w:rPr>
                <w:rFonts w:ascii="宋体" w:hAnsi="宋体" w:eastAsia="宋体"/>
                <w:szCs w:val="21"/>
              </w:rPr>
            </w:pPr>
          </w:p>
        </w:tc>
      </w:tr>
      <w:tr w14:paraId="2420EBC2">
        <w:tblPrEx>
          <w:tblCellMar>
            <w:top w:w="0" w:type="dxa"/>
            <w:left w:w="108" w:type="dxa"/>
            <w:bottom w:w="0" w:type="dxa"/>
            <w:right w:w="108" w:type="dxa"/>
          </w:tblCellMar>
        </w:tblPrEx>
        <w:trPr>
          <w:trHeight w:val="312" w:hRule="atLeast"/>
        </w:trPr>
        <w:tc>
          <w:tcPr>
            <w:tcW w:w="5495" w:type="dxa"/>
            <w:gridSpan w:val="2"/>
          </w:tcPr>
          <w:p w14:paraId="71F74F1C">
            <w:pPr>
              <w:spacing w:line="360" w:lineRule="auto"/>
              <w:jc w:val="center"/>
              <w:rPr>
                <w:rFonts w:ascii="宋体" w:hAnsi="宋体" w:eastAsia="宋体"/>
                <w:szCs w:val="21"/>
              </w:rPr>
            </w:pPr>
            <w:r>
              <w:rPr>
                <w:rFonts w:hint="eastAsia" w:ascii="宋体" w:hAnsi="宋体" w:eastAsia="宋体"/>
                <w:szCs w:val="21"/>
              </w:rPr>
              <w:t>合计</w:t>
            </w:r>
          </w:p>
        </w:tc>
        <w:tc>
          <w:tcPr>
            <w:tcW w:w="2166" w:type="dxa"/>
            <w:gridSpan w:val="3"/>
            <w:tcBorders>
              <w:right w:val="single" w:color="auto" w:sz="4" w:space="0"/>
            </w:tcBorders>
          </w:tcPr>
          <w:p w14:paraId="3BB60B47">
            <w:pPr>
              <w:spacing w:line="360" w:lineRule="auto"/>
              <w:rPr>
                <w:rFonts w:ascii="宋体" w:hAnsi="宋体" w:eastAsia="宋体"/>
                <w:szCs w:val="21"/>
              </w:rPr>
            </w:pPr>
          </w:p>
        </w:tc>
      </w:tr>
    </w:tbl>
    <w:p w14:paraId="41282FAB">
      <w:pPr>
        <w:spacing w:line="360" w:lineRule="auto"/>
        <w:ind w:firstLine="105" w:firstLineChars="50"/>
        <w:rPr>
          <w:rFonts w:ascii="宋体" w:hAnsi="宋体" w:eastAsia="宋体"/>
          <w:szCs w:val="21"/>
        </w:rPr>
      </w:pPr>
      <w:r>
        <w:rPr>
          <w:rFonts w:hint="eastAsia" w:ascii="宋体" w:hAnsi="宋体" w:eastAsia="宋体"/>
          <w:szCs w:val="21"/>
        </w:rPr>
        <w:t>注：如上述表格不适用相关货物的，具体品牌、数量、规格型号（技术参数）及质保期等可用附件形式列明，作为本合同组成部分。</w:t>
      </w:r>
    </w:p>
    <w:p w14:paraId="2727D48F">
      <w:pPr>
        <w:spacing w:line="360" w:lineRule="auto"/>
        <w:rPr>
          <w:rFonts w:ascii="宋体" w:hAnsi="宋体" w:eastAsia="宋体"/>
          <w:szCs w:val="21"/>
        </w:rPr>
      </w:pPr>
      <w:r>
        <w:rPr>
          <w:rFonts w:hint="eastAsia" w:ascii="宋体" w:hAnsi="宋体" w:eastAsia="宋体"/>
          <w:szCs w:val="21"/>
        </w:rPr>
        <w:t>第二条  合同总金额</w:t>
      </w:r>
    </w:p>
    <w:p w14:paraId="2C808872">
      <w:pPr>
        <w:spacing w:line="360" w:lineRule="auto"/>
        <w:ind w:firstLine="315" w:firstLineChars="150"/>
        <w:rPr>
          <w:rFonts w:ascii="宋体" w:hAnsi="宋体" w:eastAsia="宋体"/>
          <w:szCs w:val="21"/>
          <w:u w:val="single"/>
        </w:rPr>
      </w:pPr>
      <w:r>
        <w:rPr>
          <w:rFonts w:hint="eastAsia" w:ascii="宋体" w:hAnsi="宋体" w:eastAsia="宋体"/>
          <w:szCs w:val="21"/>
        </w:rPr>
        <w:t>合同总金额为人民币（大写）：￥</w:t>
      </w:r>
    </w:p>
    <w:p w14:paraId="41AED17C">
      <w:pPr>
        <w:spacing w:line="360" w:lineRule="auto"/>
        <w:ind w:firstLine="315" w:firstLineChars="150"/>
        <w:rPr>
          <w:rFonts w:ascii="宋体" w:hAnsi="宋体" w:eastAsia="宋体"/>
          <w:szCs w:val="21"/>
        </w:rPr>
      </w:pPr>
      <w:r>
        <w:rPr>
          <w:rFonts w:hint="eastAsia" w:ascii="宋体" w:hAnsi="宋体" w:eastAsia="宋体"/>
          <w:szCs w:val="21"/>
        </w:rPr>
        <w:t>此价格为合同执行不变价，不因国家政策变化面变化，该价款包括了货物及与之配套的设计、制造、正版软件、检验、包装、运输、保险、税费以及安装、组织验收、培训，技术服务（包括技术资料、团纸提供等）.质保期服务等全部价款，除此之外，甲方不再向乙方支付其他任何费用。</w:t>
      </w:r>
    </w:p>
    <w:p w14:paraId="04BA3CA7">
      <w:pPr>
        <w:spacing w:line="360" w:lineRule="auto"/>
        <w:rPr>
          <w:rFonts w:ascii="宋体" w:hAnsi="宋体" w:eastAsia="宋体"/>
          <w:szCs w:val="21"/>
        </w:rPr>
      </w:pPr>
      <w:r>
        <w:rPr>
          <w:rFonts w:hint="eastAsia" w:ascii="宋体" w:hAnsi="宋体" w:eastAsia="宋体"/>
          <w:szCs w:val="21"/>
        </w:rPr>
        <w:t>第三条   质量要求及技术标准</w:t>
      </w:r>
    </w:p>
    <w:p w14:paraId="6913C4FD">
      <w:pPr>
        <w:spacing w:line="360" w:lineRule="auto"/>
        <w:ind w:firstLine="315" w:firstLineChars="150"/>
        <w:rPr>
          <w:rFonts w:ascii="宋体" w:hAnsi="宋体" w:eastAsia="宋体"/>
          <w:szCs w:val="21"/>
        </w:rPr>
      </w:pPr>
      <w:r>
        <w:rPr>
          <w:rFonts w:hint="eastAsia" w:ascii="宋体" w:hAnsi="宋体" w:eastAsia="宋体"/>
          <w:szCs w:val="21"/>
        </w:rPr>
        <w:t>1.货物原产地：</w:t>
      </w:r>
    </w:p>
    <w:p w14:paraId="33C9645C">
      <w:pPr>
        <w:spacing w:line="360" w:lineRule="auto"/>
        <w:ind w:firstLine="315" w:firstLineChars="150"/>
        <w:rPr>
          <w:rFonts w:ascii="宋体" w:hAnsi="宋体" w:eastAsia="宋体"/>
          <w:szCs w:val="21"/>
        </w:rPr>
      </w:pPr>
      <w:r>
        <w:rPr>
          <w:rFonts w:hint="eastAsia" w:ascii="宋体" w:hAnsi="宋体" w:eastAsia="宋体"/>
          <w:szCs w:val="21"/>
        </w:rPr>
        <w:t>2.货物的 质量要求：</w:t>
      </w:r>
    </w:p>
    <w:p w14:paraId="7A6BEADE">
      <w:pPr>
        <w:spacing w:line="360" w:lineRule="auto"/>
        <w:ind w:firstLine="315" w:firstLineChars="150"/>
        <w:rPr>
          <w:rFonts w:ascii="宋体" w:hAnsi="宋体" w:eastAsia="宋体"/>
          <w:szCs w:val="21"/>
        </w:rPr>
      </w:pPr>
      <w:r>
        <w:rPr>
          <w:rFonts w:hint="eastAsia" w:ascii="宋体" w:hAnsi="宋体" w:eastAsia="宋体"/>
          <w:szCs w:val="21"/>
        </w:rPr>
        <w:t>3.货物的技术标准：</w:t>
      </w:r>
    </w:p>
    <w:p w14:paraId="0FCC8BD6">
      <w:pPr>
        <w:spacing w:line="360" w:lineRule="auto"/>
        <w:rPr>
          <w:rFonts w:ascii="宋体" w:hAnsi="宋体" w:eastAsia="宋体"/>
          <w:szCs w:val="21"/>
        </w:rPr>
      </w:pPr>
      <w:r>
        <w:rPr>
          <w:rFonts w:hint="eastAsia" w:ascii="宋体" w:hAnsi="宋体" w:eastAsia="宋体"/>
          <w:szCs w:val="21"/>
        </w:rPr>
        <w:t>第四条   交货</w:t>
      </w:r>
    </w:p>
    <w:p w14:paraId="77F500CF">
      <w:pPr>
        <w:spacing w:line="360" w:lineRule="auto"/>
        <w:ind w:firstLine="315" w:firstLineChars="150"/>
        <w:rPr>
          <w:rFonts w:ascii="宋体" w:hAnsi="宋体" w:eastAsia="宋体"/>
          <w:szCs w:val="21"/>
        </w:rPr>
      </w:pPr>
      <w:r>
        <w:rPr>
          <w:rFonts w:hint="eastAsia" w:ascii="宋体" w:hAnsi="宋体" w:eastAsia="宋体"/>
          <w:szCs w:val="21"/>
        </w:rPr>
        <w:t>1.交货日期：</w:t>
      </w:r>
    </w:p>
    <w:p w14:paraId="212A24F4">
      <w:pPr>
        <w:spacing w:line="360" w:lineRule="auto"/>
        <w:ind w:firstLine="315" w:firstLineChars="150"/>
        <w:rPr>
          <w:rFonts w:ascii="宋体" w:hAnsi="宋体" w:eastAsia="宋体"/>
          <w:szCs w:val="21"/>
        </w:rPr>
      </w:pPr>
      <w:r>
        <w:rPr>
          <w:rFonts w:hint="eastAsia" w:ascii="宋体" w:hAnsi="宋体" w:eastAsia="宋体"/>
          <w:szCs w:val="21"/>
        </w:rPr>
        <w:t>2.交货地点：</w:t>
      </w:r>
    </w:p>
    <w:p w14:paraId="06C08C65">
      <w:pPr>
        <w:spacing w:line="360" w:lineRule="auto"/>
        <w:rPr>
          <w:rFonts w:ascii="宋体" w:hAnsi="宋体" w:eastAsia="宋体"/>
          <w:szCs w:val="21"/>
        </w:rPr>
      </w:pPr>
      <w:r>
        <w:rPr>
          <w:rFonts w:hint="eastAsia" w:ascii="宋体" w:hAnsi="宋体" w:eastAsia="宋体"/>
          <w:szCs w:val="21"/>
        </w:rPr>
        <w:t>第五条   包装、 装运及运输</w:t>
      </w:r>
    </w:p>
    <w:p w14:paraId="116288D1">
      <w:pPr>
        <w:spacing w:line="360" w:lineRule="auto"/>
        <w:ind w:firstLine="315" w:firstLineChars="150"/>
        <w:rPr>
          <w:rFonts w:ascii="宋体" w:hAnsi="宋体" w:eastAsia="宋体"/>
          <w:szCs w:val="21"/>
        </w:rPr>
      </w:pPr>
      <w:r>
        <w:rPr>
          <w:rFonts w:hint="eastAsia" w:ascii="宋体" w:hAnsi="宋体" w:eastAsia="宋体"/>
          <w:szCs w:val="21"/>
        </w:rPr>
        <w:t>1.乙方负责包装、装运和运输，由于不适当的包装、装运和运输造成货物有任何损坏均由乙方负责。</w:t>
      </w:r>
    </w:p>
    <w:p w14:paraId="1131DA45">
      <w:pPr>
        <w:spacing w:line="360" w:lineRule="auto"/>
        <w:ind w:firstLine="315" w:firstLineChars="150"/>
        <w:rPr>
          <w:rFonts w:ascii="宋体" w:hAnsi="宋体" w:eastAsia="宋体"/>
          <w:szCs w:val="21"/>
        </w:rPr>
      </w:pPr>
      <w:r>
        <w:rPr>
          <w:rFonts w:hint="eastAsia" w:ascii="宋体" w:hAnsi="宋体" w:eastAsia="宋体"/>
          <w:szCs w:val="21"/>
        </w:rPr>
        <w:t>2.包装费、运费及相关费用已包含在合同总金额内。</w:t>
      </w:r>
    </w:p>
    <w:p w14:paraId="3D5C267F">
      <w:pPr>
        <w:spacing w:line="360" w:lineRule="auto"/>
        <w:ind w:firstLine="315" w:firstLineChars="150"/>
        <w:rPr>
          <w:rFonts w:ascii="宋体" w:hAnsi="宋体" w:eastAsia="宋体"/>
          <w:szCs w:val="21"/>
        </w:rPr>
      </w:pPr>
      <w:r>
        <w:rPr>
          <w:rFonts w:hint="eastAsia" w:ascii="宋体" w:hAnsi="宋体" w:eastAsia="宋体"/>
          <w:szCs w:val="21"/>
        </w:rPr>
        <w:t>3.根据财政部等三部门《关于印发〈商品包装政府采购需求标准（试行）〉〈快递包装政府采购需求标准（试行）的通知》规定，对乙方提出的具体包装要求：</w:t>
      </w:r>
    </w:p>
    <w:p w14:paraId="65902FC1">
      <w:pPr>
        <w:spacing w:line="360" w:lineRule="auto"/>
        <w:rPr>
          <w:rFonts w:ascii="宋体" w:hAnsi="宋体" w:eastAsia="宋体"/>
          <w:szCs w:val="21"/>
        </w:rPr>
      </w:pPr>
      <w:r>
        <w:rPr>
          <w:rFonts w:hint="eastAsia" w:ascii="宋体" w:hAnsi="宋体" w:eastAsia="宋体"/>
          <w:szCs w:val="21"/>
        </w:rPr>
        <w:t>第六条    货款支付</w:t>
      </w:r>
    </w:p>
    <w:p w14:paraId="5E28B645">
      <w:pPr>
        <w:spacing w:line="360" w:lineRule="auto"/>
        <w:ind w:firstLine="420" w:firstLineChars="200"/>
        <w:rPr>
          <w:rFonts w:ascii="宋体" w:hAnsi="宋体" w:eastAsia="宋体"/>
          <w:szCs w:val="21"/>
        </w:rPr>
      </w:pPr>
      <w:r>
        <w:rPr>
          <w:rFonts w:hint="eastAsia" w:ascii="宋体" w:hAnsi="宋体" w:eastAsia="宋体"/>
          <w:szCs w:val="21"/>
        </w:rPr>
        <w:t>1.货物运到交货地点，经甲乙双方共同验收合格后由甲方负责办理贷款支付手续。</w:t>
      </w:r>
    </w:p>
    <w:p w14:paraId="28EAC4A7">
      <w:pPr>
        <w:spacing w:line="360" w:lineRule="auto"/>
        <w:ind w:firstLine="420" w:firstLineChars="200"/>
        <w:rPr>
          <w:rFonts w:ascii="宋体" w:hAnsi="宋体" w:eastAsia="宋体"/>
          <w:szCs w:val="21"/>
        </w:rPr>
      </w:pPr>
      <w:r>
        <w:rPr>
          <w:rFonts w:hint="eastAsia" w:ascii="宋体" w:hAnsi="宋体" w:eastAsia="宋体"/>
          <w:szCs w:val="21"/>
        </w:rPr>
        <w:t>2.允许并鼓励乙方提供电子发票，甲方自收到发票之日起2个工作日内支付资金，并不得附加未经约定的其他条件。</w:t>
      </w:r>
    </w:p>
    <w:p w14:paraId="031704C8">
      <w:pPr>
        <w:spacing w:line="360" w:lineRule="auto"/>
        <w:ind w:firstLine="210" w:firstLineChars="100"/>
        <w:rPr>
          <w:rFonts w:ascii="宋体" w:hAnsi="宋体" w:eastAsia="宋体"/>
          <w:szCs w:val="21"/>
        </w:rPr>
      </w:pPr>
      <w:r>
        <w:rPr>
          <w:rFonts w:hint="eastAsia" w:ascii="宋体" w:hAnsi="宋体" w:eastAsia="宋体"/>
          <w:szCs w:val="21"/>
        </w:rPr>
        <w:t>3.付款方式</w:t>
      </w:r>
    </w:p>
    <w:p w14:paraId="1B4CF31F">
      <w:pPr>
        <w:spacing w:line="360" w:lineRule="auto"/>
        <w:ind w:firstLine="210" w:firstLineChars="100"/>
        <w:rPr>
          <w:rFonts w:ascii="宋体" w:hAnsi="宋体" w:eastAsia="宋体"/>
          <w:szCs w:val="21"/>
        </w:rPr>
      </w:pPr>
      <w:r>
        <w:rPr>
          <w:rFonts w:hint="eastAsia" w:ascii="宋体" w:hAnsi="宋体" w:eastAsia="宋体"/>
          <w:szCs w:val="21"/>
        </w:rPr>
        <w:t>3.1预付款比例： _ %， 于政府采购合同签订生效并具备实施条件后2个工作日内支付。</w:t>
      </w:r>
    </w:p>
    <w:p w14:paraId="599657B3">
      <w:pPr>
        <w:spacing w:line="360" w:lineRule="auto"/>
        <w:rPr>
          <w:rFonts w:ascii="宋体" w:hAnsi="宋体" w:eastAsia="宋体"/>
          <w:szCs w:val="21"/>
        </w:rPr>
      </w:pPr>
      <w:r>
        <w:rPr>
          <w:rFonts w:hint="eastAsia" w:ascii="宋体" w:hAnsi="宋体" w:eastAsia="宋体"/>
          <w:szCs w:val="21"/>
        </w:rPr>
        <w:t>第七条   履约保证金</w:t>
      </w:r>
    </w:p>
    <w:p w14:paraId="34CB2577">
      <w:pPr>
        <w:spacing w:line="360" w:lineRule="auto"/>
        <w:ind w:firstLine="105" w:firstLineChars="50"/>
        <w:rPr>
          <w:rFonts w:ascii="宋体" w:hAnsi="宋体" w:eastAsia="宋体"/>
          <w:szCs w:val="21"/>
        </w:rPr>
      </w:pPr>
      <w:r>
        <w:rPr>
          <w:rFonts w:hint="eastAsia" w:ascii="宋体" w:hAnsi="宋体" w:eastAsia="宋体"/>
          <w:szCs w:val="21"/>
        </w:rPr>
        <w:t>根据许昌市优化政府采购营商环境要求，项目不收取履约保证金。</w:t>
      </w:r>
    </w:p>
    <w:p w14:paraId="32D7CA46">
      <w:pPr>
        <w:spacing w:line="360" w:lineRule="auto"/>
        <w:rPr>
          <w:rFonts w:ascii="宋体" w:hAnsi="宋体" w:eastAsia="宋体"/>
          <w:szCs w:val="21"/>
        </w:rPr>
      </w:pPr>
      <w:r>
        <w:rPr>
          <w:rFonts w:hint="eastAsia" w:ascii="宋体" w:hAnsi="宋体" w:eastAsia="宋体"/>
          <w:szCs w:val="21"/>
        </w:rPr>
        <w:t>第八条   售后服务及承诺</w:t>
      </w:r>
    </w:p>
    <w:p w14:paraId="2CEDF137">
      <w:pPr>
        <w:spacing w:line="360" w:lineRule="auto"/>
        <w:ind w:firstLine="315" w:firstLineChars="150"/>
        <w:rPr>
          <w:rFonts w:ascii="宋体" w:hAnsi="宋体" w:eastAsia="宋体"/>
          <w:szCs w:val="21"/>
        </w:rPr>
      </w:pPr>
      <w:r>
        <w:rPr>
          <w:rFonts w:hint="eastAsia" w:ascii="宋体" w:hAnsi="宋体" w:eastAsia="宋体"/>
          <w:szCs w:val="21"/>
        </w:rPr>
        <w:t>1.乙方有完善的服务体系，有能力提供持续的、本地化售后服务。</w:t>
      </w:r>
    </w:p>
    <w:p w14:paraId="2C5DBBA6">
      <w:pPr>
        <w:spacing w:line="360" w:lineRule="auto"/>
        <w:ind w:firstLine="315" w:firstLineChars="150"/>
        <w:rPr>
          <w:rFonts w:ascii="宋体" w:hAnsi="宋体" w:eastAsia="宋体"/>
          <w:szCs w:val="21"/>
        </w:rPr>
      </w:pPr>
      <w:r>
        <w:rPr>
          <w:rFonts w:hint="eastAsia" w:ascii="宋体" w:hAnsi="宋体" w:eastAsia="宋体"/>
          <w:szCs w:val="21"/>
        </w:rPr>
        <w:t>2.乙方负责系统安装和调试以及操作人员培训，并制定详细的培训计划，使操作人员能独立进行管理、操作、维护和故障处理等工作，做好相关记录及技术文档收集整理，待验收合格后移交给甲方。</w:t>
      </w:r>
    </w:p>
    <w:p w14:paraId="64A9366E">
      <w:pPr>
        <w:spacing w:line="360" w:lineRule="auto"/>
        <w:ind w:firstLine="315" w:firstLineChars="150"/>
        <w:rPr>
          <w:rFonts w:ascii="宋体" w:hAnsi="宋体" w:eastAsia="宋体"/>
          <w:szCs w:val="21"/>
        </w:rPr>
      </w:pPr>
      <w:r>
        <w:rPr>
          <w:rFonts w:hint="eastAsia" w:ascii="宋体" w:hAnsi="宋体" w:eastAsia="宋体"/>
          <w:szCs w:val="21"/>
        </w:rPr>
        <w:t>3.供货及服务范围：乙方负责货物的侯应、运输、安装调试。免费培训、售后服务。</w:t>
      </w:r>
    </w:p>
    <w:p w14:paraId="5DE945E4">
      <w:pPr>
        <w:spacing w:line="360" w:lineRule="auto"/>
        <w:rPr>
          <w:rFonts w:ascii="宋体" w:hAnsi="宋体" w:eastAsia="宋体"/>
          <w:szCs w:val="21"/>
        </w:rPr>
      </w:pPr>
      <w:r>
        <w:rPr>
          <w:rFonts w:hint="eastAsia" w:ascii="宋体" w:hAnsi="宋体" w:eastAsia="宋体"/>
          <w:szCs w:val="21"/>
        </w:rPr>
        <w:t>第九条   验收</w:t>
      </w:r>
    </w:p>
    <w:p w14:paraId="1B5A68E1">
      <w:pPr>
        <w:spacing w:line="360" w:lineRule="auto"/>
        <w:ind w:firstLine="315" w:firstLineChars="150"/>
        <w:rPr>
          <w:rFonts w:ascii="宋体" w:hAnsi="宋体" w:eastAsia="宋体"/>
          <w:szCs w:val="21"/>
        </w:rPr>
      </w:pPr>
      <w:r>
        <w:rPr>
          <w:rFonts w:hint="eastAsia" w:ascii="宋体" w:hAnsi="宋体" w:eastAsia="宋体"/>
          <w:szCs w:val="21"/>
        </w:rPr>
        <w:t>1.货物运抵现场后，采购人将对货物数量、质量、规格等进行检验。如发现货物和规格或者两者都与合同不符，采购人有权根据检验结果要求中标人立即更换或者提出索赔要求。</w:t>
      </w:r>
    </w:p>
    <w:p w14:paraId="21525625">
      <w:pPr>
        <w:spacing w:line="360" w:lineRule="auto"/>
        <w:ind w:firstLine="315" w:firstLineChars="150"/>
        <w:rPr>
          <w:rFonts w:ascii="宋体" w:hAnsi="宋体" w:eastAsia="宋体"/>
          <w:szCs w:val="21"/>
        </w:rPr>
      </w:pPr>
      <w:r>
        <w:rPr>
          <w:rFonts w:hint="eastAsia" w:ascii="宋体" w:hAnsi="宋体" w:eastAsia="宋体"/>
          <w:szCs w:val="21"/>
        </w:rPr>
        <w:t>2.开箱检查设备外观，如有损伤或质量缺陷，乙方应及时更换。</w:t>
      </w:r>
    </w:p>
    <w:p w14:paraId="5C6AF4C8">
      <w:pPr>
        <w:spacing w:line="360" w:lineRule="auto"/>
        <w:ind w:firstLine="315" w:firstLineChars="150"/>
        <w:rPr>
          <w:rFonts w:ascii="宋体" w:hAnsi="宋体" w:eastAsia="宋体"/>
          <w:szCs w:val="21"/>
        </w:rPr>
      </w:pPr>
      <w:r>
        <w:rPr>
          <w:rFonts w:hint="eastAsia" w:ascii="宋体" w:hAnsi="宋体" w:eastAsia="宋体"/>
          <w:szCs w:val="21"/>
        </w:rPr>
        <w:t>3.依据合同设备清单，对设备品牌、规格型号（技术参数）、数量、质保书等必备附件进行检查。</w:t>
      </w:r>
    </w:p>
    <w:p w14:paraId="0738762A">
      <w:pPr>
        <w:spacing w:line="360" w:lineRule="auto"/>
        <w:ind w:firstLine="315" w:firstLineChars="150"/>
        <w:rPr>
          <w:rFonts w:ascii="宋体" w:hAnsi="宋体" w:eastAsia="宋体"/>
          <w:szCs w:val="21"/>
        </w:rPr>
      </w:pPr>
      <w:r>
        <w:rPr>
          <w:rFonts w:hint="eastAsia" w:ascii="宋体" w:hAnsi="宋体" w:eastAsia="宋体"/>
          <w:szCs w:val="21"/>
        </w:rPr>
        <w:t>4.货物由中标人进行安装。完毕后，采购人应对货物的数量、质量、规格、性能等进行详细全面地检验。在收到乙方项目验收建议之日起7个工作日内，对采购项目进行实质性验收（验收建议有明显不当的除外）。</w:t>
      </w:r>
    </w:p>
    <w:p w14:paraId="5493220C">
      <w:pPr>
        <w:spacing w:line="360" w:lineRule="auto"/>
        <w:ind w:firstLine="315" w:firstLineChars="150"/>
        <w:rPr>
          <w:rFonts w:ascii="宋体" w:hAnsi="宋体" w:eastAsia="宋体"/>
          <w:szCs w:val="21"/>
        </w:rPr>
      </w:pPr>
      <w:r>
        <w:rPr>
          <w:rFonts w:hint="eastAsia" w:ascii="宋体" w:hAnsi="宋体" w:eastAsia="宋体"/>
          <w:szCs w:val="21"/>
        </w:rPr>
        <w:t>5.对大型或复杂的政府采购项目，以及特种设备。甲方应当邀请国家认可的质量检测机构参与验收工作，并出具验收报告，相关费用负担由甲乙双方约定，履约验收报告应当依法依规及时在青岛市政府采购网公开发布。</w:t>
      </w:r>
    </w:p>
    <w:p w14:paraId="74250742">
      <w:pPr>
        <w:spacing w:line="360" w:lineRule="auto"/>
        <w:ind w:firstLine="315" w:firstLineChars="150"/>
        <w:rPr>
          <w:rFonts w:ascii="宋体" w:hAnsi="宋体" w:eastAsia="宋体"/>
          <w:szCs w:val="21"/>
        </w:rPr>
      </w:pPr>
      <w:r>
        <w:rPr>
          <w:rFonts w:hint="eastAsia" w:ascii="宋体" w:hAnsi="宋体" w:eastAsia="宋体"/>
          <w:szCs w:val="21"/>
        </w:rPr>
        <w:t>6.根据财政部等三部门《关于印发〈商品包装政府采购需求标准（试行）〉〈快遇包装政府采购需求标准（试行）〉的通知》规定，采购文件对商品包装和快递包装提出具体要求的，对乙方所提供包装的履约验收要求（必要时要求乙方在履约验收环节出具检测报告）：</w:t>
      </w:r>
    </w:p>
    <w:p w14:paraId="25906C69">
      <w:pPr>
        <w:spacing w:line="360" w:lineRule="auto"/>
        <w:rPr>
          <w:rFonts w:ascii="宋体" w:hAnsi="宋体" w:eastAsia="宋体"/>
          <w:szCs w:val="21"/>
        </w:rPr>
      </w:pPr>
      <w:r>
        <w:rPr>
          <w:rFonts w:hint="eastAsia" w:ascii="宋体" w:hAnsi="宋体" w:eastAsia="宋体"/>
          <w:szCs w:val="21"/>
        </w:rPr>
        <w:t>第十条   权利瑕疵担当</w:t>
      </w:r>
    </w:p>
    <w:p w14:paraId="54A48B4F">
      <w:pPr>
        <w:spacing w:line="360" w:lineRule="auto"/>
        <w:ind w:firstLine="315" w:firstLineChars="150"/>
        <w:rPr>
          <w:rFonts w:ascii="宋体" w:hAnsi="宋体" w:eastAsia="宋体"/>
          <w:szCs w:val="21"/>
        </w:rPr>
      </w:pPr>
      <w:r>
        <w:rPr>
          <w:rFonts w:hint="eastAsia" w:ascii="宋体" w:hAnsi="宋体" w:eastAsia="宋体"/>
          <w:szCs w:val="21"/>
        </w:rPr>
        <w:t>1.乙方保证对其出售的标的物享有合法的权利：</w:t>
      </w:r>
    </w:p>
    <w:p w14:paraId="4B64C974">
      <w:pPr>
        <w:spacing w:line="360" w:lineRule="auto"/>
        <w:ind w:firstLine="315" w:firstLineChars="150"/>
        <w:rPr>
          <w:rFonts w:ascii="宋体" w:hAnsi="宋体" w:eastAsia="宋体"/>
          <w:szCs w:val="21"/>
        </w:rPr>
      </w:pPr>
      <w:r>
        <w:rPr>
          <w:rFonts w:hint="eastAsia" w:ascii="宋体" w:hAnsi="宋体" w:eastAsia="宋体"/>
          <w:szCs w:val="21"/>
        </w:rPr>
        <w:t>2.乙方应保证在其出售的标的物上不存在任何未曾向甲方边露的担保物权，如抵押权、质押权、留置权等：</w:t>
      </w:r>
    </w:p>
    <w:p w14:paraId="12B1C0D4">
      <w:pPr>
        <w:spacing w:line="360" w:lineRule="auto"/>
        <w:ind w:firstLine="315" w:firstLineChars="150"/>
        <w:rPr>
          <w:rFonts w:ascii="宋体" w:hAnsi="宋体" w:eastAsia="宋体"/>
          <w:szCs w:val="21"/>
        </w:rPr>
      </w:pPr>
      <w:r>
        <w:rPr>
          <w:rFonts w:hint="eastAsia" w:ascii="宋体" w:hAnsi="宋体" w:eastAsia="宋体"/>
          <w:szCs w:val="21"/>
        </w:rPr>
        <w:t>3.乙方应保证其所出售的标的物没有侵害任何第三人的知识产权和商业秘密等权利：</w:t>
      </w:r>
    </w:p>
    <w:p w14:paraId="5B978ECE">
      <w:pPr>
        <w:spacing w:line="360" w:lineRule="auto"/>
        <w:ind w:firstLine="315" w:firstLineChars="150"/>
        <w:rPr>
          <w:rFonts w:ascii="宋体" w:hAnsi="宋体" w:eastAsia="宋体"/>
          <w:szCs w:val="21"/>
        </w:rPr>
      </w:pPr>
      <w:r>
        <w:rPr>
          <w:rFonts w:hint="eastAsia" w:ascii="宋体" w:hAnsi="宋体" w:eastAsia="宋体"/>
          <w:szCs w:val="21"/>
        </w:rPr>
        <w:t>4.如甲方使用该标的物构成上述侵权的，则由乙方承担全部责任。</w:t>
      </w:r>
    </w:p>
    <w:p w14:paraId="5F0035F7">
      <w:pPr>
        <w:spacing w:line="360" w:lineRule="auto"/>
        <w:rPr>
          <w:rFonts w:ascii="宋体" w:hAnsi="宋体" w:eastAsia="宋体"/>
          <w:szCs w:val="21"/>
        </w:rPr>
      </w:pPr>
      <w:r>
        <w:rPr>
          <w:rFonts w:hint="eastAsia" w:ascii="宋体" w:hAnsi="宋体" w:eastAsia="宋体"/>
          <w:szCs w:val="21"/>
        </w:rPr>
        <w:t>第十一条   知识产权</w:t>
      </w:r>
    </w:p>
    <w:p w14:paraId="51037E12">
      <w:pPr>
        <w:spacing w:line="360" w:lineRule="auto"/>
        <w:ind w:firstLine="315" w:firstLineChars="150"/>
        <w:rPr>
          <w:rFonts w:ascii="宋体" w:hAnsi="宋体" w:eastAsia="宋体"/>
          <w:szCs w:val="21"/>
        </w:rPr>
      </w:pPr>
      <w:r>
        <w:rPr>
          <w:rFonts w:hint="eastAsia" w:ascii="宋体" w:hAnsi="宋体" w:eastAsia="宋体"/>
          <w:szCs w:val="21"/>
        </w:rPr>
        <w:t>1.乙方保证，甲方在使用该货物或者货物的任何一部分时，免受第三方提出的侵犯其专利权、商标权或其他知识产权的起诉。如发生此类纠纷，由乙方承担一切责任：如因此给甲方造成损失的，乙方负责全额赔偿。</w:t>
      </w:r>
    </w:p>
    <w:p w14:paraId="4100368C">
      <w:pPr>
        <w:spacing w:line="360" w:lineRule="auto"/>
        <w:ind w:firstLine="315" w:firstLineChars="150"/>
        <w:rPr>
          <w:rFonts w:ascii="宋体" w:hAnsi="宋体" w:eastAsia="宋体"/>
          <w:szCs w:val="21"/>
        </w:rPr>
      </w:pPr>
      <w:r>
        <w:rPr>
          <w:rFonts w:hint="eastAsia" w:ascii="宋体" w:hAnsi="宋体" w:eastAsia="宋体"/>
          <w:szCs w:val="21"/>
        </w:rPr>
        <w:t>2.乙方为执行本合同而提供的技术资料或者其他相关资料、软件等由甲方永久免费使用。</w:t>
      </w:r>
    </w:p>
    <w:p w14:paraId="363EFA8A">
      <w:pPr>
        <w:spacing w:line="360" w:lineRule="auto"/>
        <w:rPr>
          <w:rFonts w:ascii="宋体" w:hAnsi="宋体" w:eastAsia="宋体"/>
          <w:szCs w:val="21"/>
        </w:rPr>
      </w:pPr>
      <w:r>
        <w:rPr>
          <w:rFonts w:hint="eastAsia" w:ascii="宋体" w:hAnsi="宋体" w:eastAsia="宋体"/>
          <w:szCs w:val="21"/>
        </w:rPr>
        <w:t>第十二条    甲方责任</w:t>
      </w:r>
    </w:p>
    <w:p w14:paraId="1408FEFD">
      <w:pPr>
        <w:spacing w:line="360" w:lineRule="auto"/>
        <w:ind w:firstLine="315" w:firstLineChars="150"/>
        <w:rPr>
          <w:rFonts w:ascii="宋体" w:hAnsi="宋体" w:eastAsia="宋体"/>
          <w:szCs w:val="21"/>
        </w:rPr>
      </w:pPr>
      <w:r>
        <w:rPr>
          <w:rFonts w:hint="eastAsia" w:ascii="宋体" w:hAnsi="宋体" w:eastAsia="宋体"/>
          <w:szCs w:val="21"/>
        </w:rPr>
        <w:t>1.及时办理付款手续。</w:t>
      </w:r>
    </w:p>
    <w:p w14:paraId="545A6020">
      <w:pPr>
        <w:spacing w:line="360" w:lineRule="auto"/>
        <w:ind w:firstLine="315" w:firstLineChars="150"/>
        <w:rPr>
          <w:rFonts w:ascii="宋体" w:hAnsi="宋体" w:eastAsia="宋体"/>
          <w:szCs w:val="21"/>
        </w:rPr>
      </w:pPr>
      <w:r>
        <w:rPr>
          <w:rFonts w:hint="eastAsia" w:ascii="宋体" w:hAnsi="宋体" w:eastAsia="宋体"/>
          <w:szCs w:val="21"/>
        </w:rPr>
        <w:t>2.负责提供工作场地，协助乙方办理有关事宜。</w:t>
      </w:r>
    </w:p>
    <w:p w14:paraId="1C610B15">
      <w:pPr>
        <w:spacing w:line="360" w:lineRule="auto"/>
        <w:ind w:firstLine="315" w:firstLineChars="150"/>
        <w:rPr>
          <w:rFonts w:ascii="宋体" w:hAnsi="宋体" w:eastAsia="宋体"/>
          <w:szCs w:val="21"/>
        </w:rPr>
      </w:pPr>
      <w:r>
        <w:rPr>
          <w:rFonts w:hint="eastAsia" w:ascii="宋体" w:hAnsi="宋体" w:eastAsia="宋体"/>
          <w:szCs w:val="21"/>
        </w:rPr>
        <w:t>3.对合同条款及所知悉的乙方商业秘密负有保密义务。</w:t>
      </w:r>
    </w:p>
    <w:p w14:paraId="7FA65BAB">
      <w:pPr>
        <w:spacing w:line="360" w:lineRule="auto"/>
        <w:rPr>
          <w:rFonts w:ascii="宋体" w:hAnsi="宋体" w:eastAsia="宋体"/>
          <w:szCs w:val="21"/>
        </w:rPr>
      </w:pPr>
      <w:r>
        <w:rPr>
          <w:rFonts w:hint="eastAsia" w:ascii="宋体" w:hAnsi="宋体" w:eastAsia="宋体"/>
          <w:szCs w:val="21"/>
        </w:rPr>
        <w:t>第十三条    乙方责任</w:t>
      </w:r>
    </w:p>
    <w:p w14:paraId="5F5A52E3">
      <w:pPr>
        <w:spacing w:line="360" w:lineRule="auto"/>
        <w:ind w:firstLine="315" w:firstLineChars="150"/>
        <w:rPr>
          <w:rFonts w:ascii="宋体" w:hAnsi="宋体" w:eastAsia="宋体"/>
          <w:szCs w:val="21"/>
        </w:rPr>
      </w:pPr>
      <w:r>
        <w:rPr>
          <w:rFonts w:hint="eastAsia" w:ascii="宋体" w:hAnsi="宋体" w:eastAsia="宋体"/>
          <w:szCs w:val="21"/>
        </w:rPr>
        <w:t>1.保证所供货物均为投标文件承诺的货物，符合相关质量检测标准， 具有该产品的出厂标准或国家鉴定证书。保证其全部部件为全新的未使用的且符合相关质量要求。</w:t>
      </w:r>
    </w:p>
    <w:p w14:paraId="2EE0B8DF">
      <w:pPr>
        <w:spacing w:line="360" w:lineRule="auto"/>
        <w:ind w:firstLine="315" w:firstLineChars="150"/>
        <w:rPr>
          <w:rFonts w:ascii="宋体" w:hAnsi="宋体" w:eastAsia="宋体"/>
          <w:szCs w:val="21"/>
        </w:rPr>
      </w:pPr>
      <w:r>
        <w:rPr>
          <w:rFonts w:hint="eastAsia" w:ascii="宋体" w:hAnsi="宋体" w:eastAsia="宋体"/>
          <w:szCs w:val="21"/>
        </w:rPr>
        <w:t>2.保证货物的售后服务，严格依据投标文件及相关承诺，对货物及系统进行保修、维护等服务。</w:t>
      </w:r>
    </w:p>
    <w:p w14:paraId="51E4CE90">
      <w:pPr>
        <w:spacing w:line="360" w:lineRule="auto"/>
        <w:ind w:firstLine="315" w:firstLineChars="150"/>
        <w:rPr>
          <w:rFonts w:ascii="宋体" w:hAnsi="宋体" w:eastAsia="宋体"/>
          <w:szCs w:val="21"/>
        </w:rPr>
      </w:pPr>
      <w:r>
        <w:rPr>
          <w:rFonts w:hint="eastAsia" w:ascii="宋体" w:hAnsi="宋体" w:eastAsia="宋体"/>
          <w:szCs w:val="21"/>
        </w:rPr>
        <w:t>3.保证其所供货物不存在侵犯第三方知识产权的行为，否则由此产生的损失由己方承担。</w:t>
      </w:r>
    </w:p>
    <w:p w14:paraId="48A3FA36">
      <w:pPr>
        <w:spacing w:line="360" w:lineRule="auto"/>
        <w:rPr>
          <w:rFonts w:ascii="宋体" w:hAnsi="宋体" w:eastAsia="宋体"/>
          <w:szCs w:val="21"/>
        </w:rPr>
      </w:pPr>
      <w:r>
        <w:rPr>
          <w:rFonts w:hint="eastAsia" w:ascii="宋体" w:hAnsi="宋体" w:eastAsia="宋体"/>
          <w:szCs w:val="21"/>
        </w:rPr>
        <w:t>第十四条   违约责任</w:t>
      </w:r>
    </w:p>
    <w:p w14:paraId="0D91CA2E">
      <w:pPr>
        <w:spacing w:line="360" w:lineRule="auto"/>
        <w:ind w:firstLine="315" w:firstLineChars="150"/>
        <w:rPr>
          <w:rFonts w:ascii="宋体" w:hAnsi="宋体" w:eastAsia="宋体"/>
          <w:szCs w:val="21"/>
        </w:rPr>
      </w:pPr>
      <w:r>
        <w:rPr>
          <w:rFonts w:hint="eastAsia" w:ascii="宋体" w:hAnsi="宋体" w:eastAsia="宋体"/>
          <w:szCs w:val="21"/>
        </w:rPr>
        <w:t>1.甲乙双方任意一方无故终止合同的，造约方应当按照合同总金额的_ %向守约方支付违约金。</w:t>
      </w:r>
    </w:p>
    <w:p w14:paraId="51688268">
      <w:pPr>
        <w:spacing w:line="360" w:lineRule="auto"/>
        <w:ind w:firstLine="315" w:firstLineChars="150"/>
        <w:rPr>
          <w:rFonts w:ascii="宋体" w:hAnsi="宋体" w:eastAsia="宋体"/>
          <w:szCs w:val="21"/>
        </w:rPr>
      </w:pPr>
      <w:r>
        <w:rPr>
          <w:rFonts w:hint="eastAsia" w:ascii="宋体" w:hAnsi="宋体" w:eastAsia="宋体"/>
          <w:szCs w:val="21"/>
        </w:rPr>
        <w:t>2.乙方逾期交付货物时，每逾_日乙方向甲方支付合同总金 额%的潜纳金。逾期交货超过__日的， 甲方有权决定是否继续履行合同，如甲方决定终止履行合同的，乙方应按照第1款的规定赔偿甲方违约金。</w:t>
      </w:r>
    </w:p>
    <w:p w14:paraId="141C9760">
      <w:pPr>
        <w:spacing w:line="360" w:lineRule="auto"/>
        <w:ind w:firstLine="315" w:firstLineChars="150"/>
        <w:rPr>
          <w:rFonts w:ascii="宋体" w:hAnsi="宋体" w:eastAsia="宋体"/>
          <w:szCs w:val="21"/>
        </w:rPr>
      </w:pPr>
      <w:r>
        <w:rPr>
          <w:rFonts w:hint="eastAsia" w:ascii="宋体" w:hAnsi="宋体" w:eastAsia="宋体"/>
          <w:szCs w:val="21"/>
        </w:rPr>
        <w:t>3.乙方所供货物品牌、规格型号，质量等不符合合同约定标准，甲方有权拒收，以及甲方收货后，发现货品出现质量问题不能使用的，甲方有权终止合同，同时，乙方向甲方支付合同总金额_ %的违约金， 如果违约金不足以支付甲方所受损失的，甲方有权要求其赔偿。</w:t>
      </w:r>
    </w:p>
    <w:p w14:paraId="3DE71D1A">
      <w:pPr>
        <w:spacing w:line="360" w:lineRule="auto"/>
        <w:ind w:firstLine="315" w:firstLineChars="150"/>
        <w:rPr>
          <w:rFonts w:ascii="宋体" w:hAnsi="宋体" w:eastAsia="宋体"/>
          <w:szCs w:val="21"/>
        </w:rPr>
      </w:pPr>
      <w:r>
        <w:rPr>
          <w:rFonts w:hint="eastAsia" w:ascii="宋体" w:hAnsi="宋体" w:eastAsia="宋体"/>
          <w:szCs w:val="21"/>
        </w:rPr>
        <w:t>4.在质保期内产品出现质量问题，乙方必须在接到甲方通知后_小时内到达现场解决，否则甲方有权另请单位解决，由此产生的费用由乙方承担，产生的损失由乙方赔偿。</w:t>
      </w:r>
    </w:p>
    <w:p w14:paraId="0AAF6C61">
      <w:pPr>
        <w:spacing w:line="360" w:lineRule="auto"/>
        <w:ind w:firstLine="315" w:firstLineChars="150"/>
        <w:rPr>
          <w:rFonts w:ascii="宋体" w:hAnsi="宋体" w:eastAsia="宋体"/>
          <w:szCs w:val="21"/>
        </w:rPr>
      </w:pPr>
      <w:r>
        <w:rPr>
          <w:rFonts w:hint="eastAsia" w:ascii="宋体" w:hAnsi="宋体" w:eastAsia="宋体"/>
          <w:szCs w:val="21"/>
        </w:rPr>
        <w:t>5.甲方逾期支付资金的违约责任：</w:t>
      </w:r>
    </w:p>
    <w:p w14:paraId="578304F9">
      <w:pPr>
        <w:spacing w:line="360" w:lineRule="auto"/>
        <w:ind w:firstLine="315" w:firstLineChars="150"/>
        <w:rPr>
          <w:rFonts w:ascii="宋体" w:hAnsi="宋体" w:eastAsia="宋体"/>
          <w:szCs w:val="21"/>
        </w:rPr>
      </w:pPr>
      <w:r>
        <w:rPr>
          <w:rFonts w:hint="eastAsia" w:ascii="宋体" w:hAnsi="宋体" w:eastAsia="宋体"/>
          <w:szCs w:val="21"/>
        </w:rPr>
        <w:t>6.因甲方原因导致变更，中止或者终止政府采购合同的，甲方对供应商受到的损失予以赔借或者补偿：</w:t>
      </w:r>
    </w:p>
    <w:p w14:paraId="30DC68BC">
      <w:pPr>
        <w:spacing w:line="360" w:lineRule="auto"/>
        <w:ind w:firstLine="315" w:firstLineChars="150"/>
        <w:rPr>
          <w:rFonts w:ascii="宋体" w:hAnsi="宋体" w:eastAsia="宋体"/>
          <w:szCs w:val="21"/>
        </w:rPr>
      </w:pPr>
      <w:r>
        <w:rPr>
          <w:rFonts w:hint="eastAsia" w:ascii="宋体" w:hAnsi="宋体" w:eastAsia="宋体"/>
          <w:szCs w:val="21"/>
        </w:rPr>
        <w:t>7.甲乙双方违背其他合间条款。违约方赔偿对方损失。</w:t>
      </w:r>
    </w:p>
    <w:p w14:paraId="0E80C554">
      <w:pPr>
        <w:spacing w:line="360" w:lineRule="auto"/>
        <w:rPr>
          <w:rFonts w:ascii="宋体" w:hAnsi="宋体" w:eastAsia="宋体"/>
          <w:szCs w:val="21"/>
        </w:rPr>
      </w:pPr>
      <w:r>
        <w:rPr>
          <w:rFonts w:hint="eastAsia" w:ascii="宋体" w:hAnsi="宋体" w:eastAsia="宋体"/>
          <w:szCs w:val="21"/>
        </w:rPr>
        <w:t>第十五条   不可抗力</w:t>
      </w:r>
    </w:p>
    <w:p w14:paraId="409DF5B2">
      <w:pPr>
        <w:spacing w:line="360" w:lineRule="auto"/>
        <w:ind w:firstLine="315" w:firstLineChars="150"/>
        <w:rPr>
          <w:rFonts w:ascii="宋体" w:hAnsi="宋体" w:eastAsia="宋体"/>
          <w:szCs w:val="21"/>
        </w:rPr>
      </w:pPr>
      <w:r>
        <w:rPr>
          <w:rFonts w:hint="eastAsia" w:ascii="宋体" w:hAnsi="宋体" w:eastAsia="宋体"/>
          <w:szCs w:val="21"/>
        </w:rPr>
        <w:t>甲乙双方的任何一方由于不可抗力不能履行合同时，应当及时通知对方不能履行或不能完全履行的情况和理由：在取得有关主管机关证明后，允许延期履行、部分履行或者终止履行合同的，根据情况可部分或全部免于承担违约责任。</w:t>
      </w:r>
    </w:p>
    <w:p w14:paraId="7D8369C2">
      <w:pPr>
        <w:spacing w:line="360" w:lineRule="auto"/>
        <w:rPr>
          <w:rFonts w:ascii="宋体" w:hAnsi="宋体" w:eastAsia="宋体"/>
          <w:szCs w:val="21"/>
        </w:rPr>
      </w:pPr>
      <w:r>
        <w:rPr>
          <w:rFonts w:hint="eastAsia" w:ascii="宋体" w:hAnsi="宋体" w:eastAsia="宋体"/>
          <w:szCs w:val="21"/>
        </w:rPr>
        <w:t>第十六条   保密</w:t>
      </w:r>
    </w:p>
    <w:p w14:paraId="547EC077">
      <w:pPr>
        <w:spacing w:line="360" w:lineRule="auto"/>
        <w:ind w:firstLine="315" w:firstLineChars="150"/>
        <w:rPr>
          <w:rFonts w:ascii="宋体" w:hAnsi="宋体" w:eastAsia="宋体"/>
          <w:szCs w:val="21"/>
        </w:rPr>
      </w:pPr>
      <w:r>
        <w:rPr>
          <w:rFonts w:hint="eastAsia" w:ascii="宋体" w:hAnsi="宋体" w:eastAsia="宋体"/>
          <w:szCs w:val="21"/>
        </w:rPr>
        <w:t>乙方在合同履行期间知悉甲方的工作秘密（包括相关业务信息），不得透露或以其他方式提供给合同双方以外的其他方（包括乙方内部与本合同无关的任何人员）。乙方的保密责任不因本合同的终止面终止。</w:t>
      </w:r>
    </w:p>
    <w:p w14:paraId="3BEFB141">
      <w:pPr>
        <w:spacing w:line="360" w:lineRule="auto"/>
        <w:ind w:firstLine="315" w:firstLineChars="150"/>
        <w:rPr>
          <w:rFonts w:ascii="宋体" w:hAnsi="宋体" w:eastAsia="宋体"/>
          <w:szCs w:val="21"/>
        </w:rPr>
      </w:pPr>
      <w:r>
        <w:rPr>
          <w:rFonts w:hint="eastAsia" w:ascii="宋体" w:hAnsi="宋体" w:eastAsia="宋体"/>
          <w:szCs w:val="21"/>
        </w:rPr>
        <w:t>乙方违反本合同所规定的保害义务，应按照本合同总金额的_ %支付违约金。</w:t>
      </w:r>
    </w:p>
    <w:p w14:paraId="348D7AAE">
      <w:pPr>
        <w:spacing w:line="360" w:lineRule="auto"/>
        <w:rPr>
          <w:rFonts w:ascii="宋体" w:hAnsi="宋体" w:eastAsia="宋体"/>
          <w:szCs w:val="21"/>
        </w:rPr>
      </w:pPr>
      <w:r>
        <w:rPr>
          <w:rFonts w:hint="eastAsia" w:ascii="宋体" w:hAnsi="宋体" w:eastAsia="宋体"/>
          <w:szCs w:val="21"/>
        </w:rPr>
        <w:t>第十七条   争议解决</w:t>
      </w:r>
    </w:p>
    <w:p w14:paraId="1617BA2C">
      <w:pPr>
        <w:spacing w:line="360" w:lineRule="auto"/>
        <w:ind w:firstLine="315" w:firstLineChars="150"/>
        <w:rPr>
          <w:rFonts w:ascii="宋体" w:hAnsi="宋体" w:eastAsia="宋体"/>
          <w:szCs w:val="21"/>
        </w:rPr>
      </w:pPr>
      <w:r>
        <w:rPr>
          <w:rFonts w:hint="eastAsia" w:ascii="宋体" w:hAnsi="宋体" w:eastAsia="宋体"/>
          <w:szCs w:val="21"/>
        </w:rPr>
        <w:t>甲乙双方在合同履行中发生争议，应通过协商解决。如协商不成，可以向合同签订地法院提起</w:t>
      </w:r>
      <w:r>
        <w:rPr>
          <w:rFonts w:hint="eastAsia" w:ascii="宋体" w:hAnsi="宋体" w:eastAsia="宋体"/>
          <w:szCs w:val="21"/>
          <w:lang w:val="en-US" w:eastAsia="zh-CN"/>
        </w:rPr>
        <w:t>诉讼</w:t>
      </w:r>
      <w:r>
        <w:rPr>
          <w:rFonts w:hint="eastAsia" w:ascii="宋体" w:hAnsi="宋体" w:eastAsia="宋体"/>
          <w:szCs w:val="21"/>
        </w:rPr>
        <w:t>。</w:t>
      </w:r>
    </w:p>
    <w:p w14:paraId="4B6F61BD">
      <w:pPr>
        <w:spacing w:line="360" w:lineRule="auto"/>
        <w:rPr>
          <w:rFonts w:ascii="宋体" w:hAnsi="宋体" w:eastAsia="宋体"/>
          <w:szCs w:val="21"/>
        </w:rPr>
      </w:pPr>
      <w:r>
        <w:rPr>
          <w:rFonts w:hint="eastAsia" w:ascii="宋体" w:hAnsi="宋体" w:eastAsia="宋体"/>
          <w:szCs w:val="21"/>
        </w:rPr>
        <w:t>第十八条   合同生效及其他</w:t>
      </w:r>
    </w:p>
    <w:p w14:paraId="3DC459CF">
      <w:pPr>
        <w:spacing w:line="360" w:lineRule="auto"/>
        <w:ind w:firstLine="315" w:firstLineChars="150"/>
        <w:rPr>
          <w:rFonts w:ascii="宋体" w:hAnsi="宋体" w:eastAsia="宋体"/>
          <w:szCs w:val="21"/>
        </w:rPr>
      </w:pPr>
      <w:r>
        <w:rPr>
          <w:rFonts w:hint="eastAsia" w:ascii="宋体" w:hAnsi="宋体" w:eastAsia="宋体"/>
          <w:szCs w:val="21"/>
        </w:rPr>
        <w:t>1.除招标文件规定且甲方事先书面同意外，乙方不得部分或者全部转让、分包履行其应履行的合同项下的义务。</w:t>
      </w:r>
    </w:p>
    <w:p w14:paraId="1FE9BBB9">
      <w:pPr>
        <w:spacing w:line="360" w:lineRule="auto"/>
        <w:ind w:firstLine="315" w:firstLineChars="150"/>
        <w:rPr>
          <w:rFonts w:ascii="宋体" w:hAnsi="宋体" w:eastAsia="宋体"/>
          <w:szCs w:val="21"/>
        </w:rPr>
      </w:pPr>
      <w:r>
        <w:rPr>
          <w:rFonts w:hint="eastAsia" w:ascii="宋体" w:hAnsi="宋体" w:eastAsia="宋体"/>
          <w:szCs w:val="21"/>
        </w:rPr>
        <w:t>2.合同由甲，乙双方法定代表人（或者授权代表）签字并加盖单位公章，以最后一方签字日期为合同生效日期。</w:t>
      </w:r>
    </w:p>
    <w:p w14:paraId="04509CAD">
      <w:pPr>
        <w:spacing w:line="360" w:lineRule="auto"/>
        <w:ind w:firstLine="315" w:firstLineChars="150"/>
        <w:rPr>
          <w:rFonts w:ascii="宋体" w:hAnsi="宋体" w:eastAsia="宋体"/>
          <w:szCs w:val="21"/>
        </w:rPr>
      </w:pPr>
      <w:r>
        <w:rPr>
          <w:rFonts w:hint="eastAsia" w:ascii="宋体" w:hAnsi="宋体" w:eastAsia="宋体"/>
          <w:szCs w:val="21"/>
        </w:rPr>
        <w:t>3.本合同一式份，甲方份，乙方份。</w:t>
      </w:r>
    </w:p>
    <w:p w14:paraId="14B21DF3">
      <w:pPr>
        <w:spacing w:line="360" w:lineRule="auto"/>
        <w:rPr>
          <w:rFonts w:ascii="宋体" w:hAnsi="宋体" w:eastAsia="宋体"/>
          <w:szCs w:val="21"/>
        </w:rPr>
      </w:pPr>
      <w:r>
        <w:rPr>
          <w:rFonts w:hint="eastAsia" w:ascii="宋体" w:hAnsi="宋体" w:eastAsia="宋体"/>
          <w:szCs w:val="21"/>
        </w:rPr>
        <w:t>第十九条   政府采购合</w:t>
      </w:r>
      <w:r>
        <w:rPr>
          <w:rFonts w:hint="eastAsia" w:ascii="宋体" w:hAnsi="宋体" w:eastAsia="宋体"/>
          <w:szCs w:val="21"/>
          <w:lang w:val="en-US" w:eastAsia="zh-CN"/>
        </w:rPr>
        <w:t>同</w:t>
      </w:r>
      <w:r>
        <w:rPr>
          <w:rFonts w:hint="eastAsia" w:ascii="宋体" w:hAnsi="宋体" w:eastAsia="宋体"/>
          <w:szCs w:val="21"/>
        </w:rPr>
        <w:t>融资</w:t>
      </w:r>
    </w:p>
    <w:p w14:paraId="77404ADE">
      <w:pPr>
        <w:spacing w:line="360" w:lineRule="auto"/>
        <w:ind w:firstLine="315" w:firstLineChars="150"/>
        <w:rPr>
          <w:rFonts w:ascii="宋体" w:hAnsi="宋体" w:eastAsia="宋体"/>
          <w:szCs w:val="21"/>
        </w:rPr>
      </w:pPr>
      <w:r>
        <w:rPr>
          <w:rFonts w:hint="eastAsia" w:ascii="宋体" w:hAnsi="宋体" w:eastAsia="宋体"/>
          <w:szCs w:val="21"/>
        </w:rPr>
        <w:t>1.政府采购合同签订前开展融资业务的。中标（成交）供应商持政府采购中标（成交）通知书提前与金融机构进行合同融资商治，双方达成融资意向后，中标（成交）供应商与采购人签订政府采购合同，合同中供应商的银行账户要与合同融资的回救账户一致。中标（成交）供应商和贷款金融机构应及时将政府采购合同作为融资质押的信息告知采购人。采购人要从严加强合同付款账户管理，未经贷款银行同意，不随意更改合同</w:t>
      </w:r>
      <w:r>
        <w:rPr>
          <w:rFonts w:hint="eastAsia" w:ascii="宋体" w:hAnsi="宋体" w:eastAsia="宋体"/>
          <w:szCs w:val="21"/>
          <w:lang w:val="en-US" w:eastAsia="zh-CN"/>
        </w:rPr>
        <w:t>付款</w:t>
      </w:r>
      <w:r>
        <w:rPr>
          <w:rFonts w:hint="eastAsia" w:ascii="宋体" w:hAnsi="宋体" w:eastAsia="宋体"/>
          <w:szCs w:val="21"/>
        </w:rPr>
        <w:t>账户。</w:t>
      </w:r>
    </w:p>
    <w:p w14:paraId="7593C2E0">
      <w:pPr>
        <w:spacing w:line="360" w:lineRule="auto"/>
        <w:ind w:firstLine="315" w:firstLineChars="150"/>
        <w:rPr>
          <w:rFonts w:ascii="宋体" w:hAnsi="宋体" w:eastAsia="宋体"/>
          <w:szCs w:val="21"/>
        </w:rPr>
      </w:pPr>
      <w:r>
        <w:rPr>
          <w:rFonts w:hint="eastAsia" w:ascii="宋体" w:hAnsi="宋体" w:eastAsia="宋体"/>
          <w:szCs w:val="21"/>
        </w:rPr>
        <w:t>2.政府采购合</w:t>
      </w:r>
      <w:r>
        <w:rPr>
          <w:rFonts w:hint="eastAsia" w:ascii="宋体" w:hAnsi="宋体" w:eastAsia="宋体"/>
          <w:szCs w:val="21"/>
          <w:lang w:val="en-US" w:eastAsia="zh-CN"/>
        </w:rPr>
        <w:t>同</w:t>
      </w:r>
      <w:r>
        <w:rPr>
          <w:rFonts w:hint="eastAsia" w:ascii="宋体" w:hAnsi="宋体" w:eastAsia="宋体"/>
          <w:szCs w:val="21"/>
        </w:rPr>
        <w:t>签订后开展融资的账户管理。在合同履行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报贷款银行回款账户一致。</w:t>
      </w:r>
    </w:p>
    <w:p w14:paraId="3E51CC75">
      <w:pPr>
        <w:spacing w:line="360" w:lineRule="auto"/>
        <w:ind w:firstLine="315" w:firstLineChars="150"/>
        <w:rPr>
          <w:rFonts w:ascii="宋体" w:hAnsi="宋体" w:eastAsia="宋体"/>
          <w:szCs w:val="21"/>
        </w:rPr>
      </w:pPr>
      <w:r>
        <w:rPr>
          <w:rFonts w:hint="eastAsia" w:ascii="宋体" w:hAnsi="宋体" w:eastAsia="宋体"/>
          <w:szCs w:val="21"/>
        </w:rPr>
        <w:t>3.当中标（成交）供应商成功获取银行贷款后，采购人还应根据信息公开要求，加强合同账户及资金支付管理，确保合</w:t>
      </w:r>
      <w:r>
        <w:rPr>
          <w:rFonts w:hint="eastAsia" w:ascii="宋体" w:hAnsi="宋体" w:eastAsia="宋体"/>
          <w:szCs w:val="21"/>
          <w:lang w:val="en-US" w:eastAsia="zh-CN"/>
        </w:rPr>
        <w:t>同</w:t>
      </w:r>
      <w:r>
        <w:rPr>
          <w:rFonts w:hint="eastAsia" w:ascii="宋体" w:hAnsi="宋体" w:eastAsia="宋体"/>
          <w:szCs w:val="21"/>
        </w:rPr>
        <w:t>资金准确支付到贷款银行确认的回款账户。采购人不得不经贷款银行同意擅自更改合同账户。非法支付项目资金，造成不良后果的，将承担相应法律责任。</w:t>
      </w:r>
    </w:p>
    <w:p w14:paraId="624E16D7">
      <w:pPr>
        <w:spacing w:line="360" w:lineRule="auto"/>
        <w:rPr>
          <w:rFonts w:ascii="宋体" w:hAnsi="宋体" w:eastAsia="宋体"/>
          <w:szCs w:val="21"/>
        </w:rPr>
      </w:pPr>
      <w:r>
        <w:rPr>
          <w:rFonts w:hint="eastAsia" w:ascii="宋体" w:hAnsi="宋体" w:eastAsia="宋体"/>
          <w:szCs w:val="21"/>
        </w:rPr>
        <w:t>第二十条        本合同附件</w:t>
      </w:r>
    </w:p>
    <w:p w14:paraId="207E0051">
      <w:pPr>
        <w:spacing w:line="360" w:lineRule="auto"/>
        <w:ind w:firstLine="315" w:firstLineChars="150"/>
        <w:rPr>
          <w:rFonts w:ascii="宋体" w:hAnsi="宋体" w:eastAsia="宋体"/>
          <w:szCs w:val="21"/>
        </w:rPr>
      </w:pPr>
      <w:r>
        <w:rPr>
          <w:rFonts w:hint="eastAsia" w:ascii="宋体" w:hAnsi="宋体" w:eastAsia="宋体"/>
          <w:szCs w:val="21"/>
        </w:rPr>
        <w:t>1.中标通知书：</w:t>
      </w:r>
    </w:p>
    <w:p w14:paraId="3FDE856E">
      <w:pPr>
        <w:spacing w:line="360" w:lineRule="auto"/>
        <w:ind w:firstLine="315" w:firstLineChars="150"/>
        <w:rPr>
          <w:rFonts w:ascii="宋体" w:hAnsi="宋体" w:eastAsia="宋体"/>
          <w:szCs w:val="21"/>
        </w:rPr>
      </w:pPr>
      <w:r>
        <w:rPr>
          <w:rFonts w:hint="eastAsia" w:ascii="宋体" w:hAnsi="宋体" w:eastAsia="宋体"/>
          <w:szCs w:val="21"/>
        </w:rPr>
        <w:t>2.政府采购招标文件（含招标文件的澄清，修改等）：</w:t>
      </w:r>
    </w:p>
    <w:p w14:paraId="436D2843">
      <w:pPr>
        <w:spacing w:line="360" w:lineRule="auto"/>
        <w:ind w:firstLine="315" w:firstLineChars="150"/>
        <w:rPr>
          <w:rFonts w:ascii="宋体" w:hAnsi="宋体" w:eastAsia="宋体"/>
          <w:szCs w:val="21"/>
        </w:rPr>
      </w:pPr>
      <w:r>
        <w:rPr>
          <w:rFonts w:hint="eastAsia" w:ascii="宋体" w:hAnsi="宋体" w:eastAsia="宋体"/>
          <w:szCs w:val="21"/>
        </w:rPr>
        <w:t>3.乙方投标文件：</w:t>
      </w:r>
    </w:p>
    <w:p w14:paraId="351DE2C5">
      <w:pPr>
        <w:spacing w:line="360" w:lineRule="auto"/>
        <w:ind w:firstLine="315" w:firstLineChars="150"/>
        <w:rPr>
          <w:rFonts w:ascii="宋体" w:hAnsi="宋体" w:eastAsia="宋体"/>
          <w:szCs w:val="21"/>
        </w:rPr>
      </w:pPr>
      <w:r>
        <w:rPr>
          <w:rFonts w:hint="eastAsia" w:ascii="宋体" w:hAnsi="宋体" w:eastAsia="宋体"/>
          <w:szCs w:val="21"/>
        </w:rPr>
        <w:t>4.中标人在评标过程中作出的有关澄清、说明，承诺或者补正文件（材料）。</w:t>
      </w:r>
    </w:p>
    <w:p w14:paraId="71C2E72E">
      <w:pPr>
        <w:spacing w:line="360" w:lineRule="auto"/>
        <w:rPr>
          <w:rFonts w:ascii="宋体" w:hAnsi="宋体" w:eastAsia="宋体"/>
          <w:szCs w:val="21"/>
        </w:rPr>
      </w:pPr>
      <w:r>
        <w:rPr>
          <w:rFonts w:hint="eastAsia" w:ascii="宋体" w:hAnsi="宋体" w:eastAsia="宋体"/>
          <w:szCs w:val="21"/>
        </w:rPr>
        <w:t>甲  方：                                      乙  方：</w:t>
      </w:r>
    </w:p>
    <w:p w14:paraId="1CD9F8B1">
      <w:pPr>
        <w:spacing w:line="360" w:lineRule="auto"/>
        <w:rPr>
          <w:rFonts w:ascii="宋体" w:hAnsi="宋体" w:eastAsia="宋体"/>
          <w:szCs w:val="21"/>
        </w:rPr>
      </w:pPr>
      <w:r>
        <w:rPr>
          <w:rFonts w:hint="eastAsia" w:ascii="宋体" w:hAnsi="宋体" w:eastAsia="宋体"/>
          <w:szCs w:val="21"/>
        </w:rPr>
        <w:t>单位名称（公章）：                              单位名称（公章）：</w:t>
      </w:r>
    </w:p>
    <w:p w14:paraId="1D0A1342">
      <w:pPr>
        <w:spacing w:line="360" w:lineRule="auto"/>
        <w:rPr>
          <w:rFonts w:ascii="宋体" w:hAnsi="宋体" w:eastAsia="宋体"/>
          <w:szCs w:val="21"/>
        </w:rPr>
      </w:pPr>
      <w:r>
        <w:rPr>
          <w:rFonts w:hint="eastAsia" w:ascii="宋体" w:hAnsi="宋体" w:eastAsia="宋体"/>
          <w:szCs w:val="21"/>
        </w:rPr>
        <w:t>法定代表人（授权代表）签字：                    法定代表人（授权代表）签字：</w:t>
      </w:r>
    </w:p>
    <w:p w14:paraId="456DCDE7">
      <w:pPr>
        <w:tabs>
          <w:tab w:val="left" w:pos="4587"/>
        </w:tabs>
        <w:spacing w:line="360" w:lineRule="auto"/>
        <w:rPr>
          <w:rFonts w:ascii="宋体" w:hAnsi="宋体" w:eastAsia="宋体"/>
          <w:szCs w:val="21"/>
        </w:rPr>
      </w:pPr>
      <w:r>
        <w:rPr>
          <w:rFonts w:hint="eastAsia" w:ascii="宋体" w:hAnsi="宋体" w:eastAsia="宋体"/>
          <w:szCs w:val="21"/>
        </w:rPr>
        <w:t xml:space="preserve">  电  话：                                    </w:t>
      </w:r>
      <w:r>
        <w:rPr>
          <w:rFonts w:ascii="宋体" w:hAnsi="宋体" w:eastAsia="宋体"/>
          <w:szCs w:val="21"/>
        </w:rPr>
        <w:t>电话：</w:t>
      </w:r>
      <w:r>
        <w:rPr>
          <w:rFonts w:ascii="宋体" w:hAnsi="宋体" w:eastAsia="宋体"/>
          <w:szCs w:val="21"/>
        </w:rPr>
        <w:tab/>
      </w:r>
    </w:p>
    <w:p w14:paraId="2DBAE354">
      <w:pPr>
        <w:spacing w:line="360" w:lineRule="auto"/>
        <w:rPr>
          <w:rFonts w:ascii="宋体" w:hAnsi="宋体" w:eastAsia="宋体"/>
          <w:szCs w:val="21"/>
        </w:rPr>
      </w:pPr>
      <w:r>
        <w:rPr>
          <w:rFonts w:hint="eastAsia" w:ascii="宋体" w:hAnsi="宋体" w:eastAsia="宋体"/>
          <w:szCs w:val="21"/>
        </w:rPr>
        <w:t>年     月    日                                年   月   日</w:t>
      </w:r>
    </w:p>
    <w:p w14:paraId="2534B5D6">
      <w:pPr>
        <w:tabs>
          <w:tab w:val="left" w:pos="1260"/>
        </w:tabs>
        <w:autoSpaceDE w:val="0"/>
        <w:autoSpaceDN w:val="0"/>
        <w:adjustRightInd w:val="0"/>
        <w:spacing w:line="360" w:lineRule="auto"/>
        <w:rPr>
          <w:rFonts w:ascii="宋体" w:hAnsi="宋体" w:eastAsia="宋体" w:cs="宋体"/>
          <w:b/>
          <w:kern w:val="0"/>
          <w:sz w:val="32"/>
          <w:szCs w:val="32"/>
        </w:rPr>
      </w:pPr>
    </w:p>
    <w:p w14:paraId="7537FDDB">
      <w:pPr>
        <w:pStyle w:val="15"/>
        <w:spacing w:line="360" w:lineRule="auto"/>
        <w:contextualSpacing/>
        <w:jc w:val="center"/>
        <w:rPr>
          <w:rFonts w:cs="宋体" w:asciiTheme="majorEastAsia" w:hAnsiTheme="majorEastAsia" w:eastAsiaTheme="majorEastAsia"/>
          <w:b/>
          <w:kern w:val="0"/>
          <w:sz w:val="36"/>
          <w:szCs w:val="36"/>
        </w:rPr>
      </w:pPr>
    </w:p>
    <w:p w14:paraId="263E3925">
      <w:pPr>
        <w:pStyle w:val="15"/>
        <w:spacing w:line="360" w:lineRule="auto"/>
        <w:contextualSpacing/>
        <w:jc w:val="center"/>
        <w:rPr>
          <w:rFonts w:cs="宋体" w:asciiTheme="majorEastAsia" w:hAnsiTheme="majorEastAsia" w:eastAsiaTheme="majorEastAsia"/>
          <w:b/>
          <w:kern w:val="0"/>
          <w:sz w:val="36"/>
          <w:szCs w:val="36"/>
        </w:rPr>
      </w:pPr>
    </w:p>
    <w:p w14:paraId="0F3E53AA">
      <w:pPr>
        <w:pStyle w:val="15"/>
        <w:spacing w:line="360" w:lineRule="auto"/>
        <w:contextualSpacing/>
        <w:jc w:val="center"/>
        <w:rPr>
          <w:rFonts w:cs="宋体" w:asciiTheme="majorEastAsia" w:hAnsiTheme="majorEastAsia" w:eastAsiaTheme="majorEastAsia"/>
          <w:b/>
          <w:kern w:val="0"/>
          <w:sz w:val="36"/>
          <w:szCs w:val="36"/>
        </w:rPr>
      </w:pPr>
    </w:p>
    <w:p w14:paraId="78359EC2">
      <w:pPr>
        <w:pStyle w:val="15"/>
        <w:spacing w:line="360" w:lineRule="auto"/>
        <w:contextualSpacing/>
        <w:jc w:val="center"/>
        <w:rPr>
          <w:rFonts w:cs="宋体" w:asciiTheme="majorEastAsia" w:hAnsiTheme="majorEastAsia" w:eastAsiaTheme="majorEastAsia"/>
          <w:b/>
          <w:kern w:val="0"/>
          <w:sz w:val="36"/>
          <w:szCs w:val="36"/>
        </w:rPr>
      </w:pPr>
    </w:p>
    <w:p w14:paraId="098B885A">
      <w:pPr>
        <w:pStyle w:val="15"/>
        <w:spacing w:line="360" w:lineRule="auto"/>
        <w:contextualSpacing/>
        <w:jc w:val="center"/>
        <w:rPr>
          <w:rFonts w:cs="宋体" w:asciiTheme="majorEastAsia" w:hAnsiTheme="majorEastAsia" w:eastAsiaTheme="majorEastAsia"/>
          <w:b/>
          <w:kern w:val="0"/>
          <w:sz w:val="36"/>
          <w:szCs w:val="36"/>
        </w:rPr>
      </w:pPr>
    </w:p>
    <w:p w14:paraId="0DE271C7">
      <w:pPr>
        <w:pStyle w:val="15"/>
        <w:spacing w:line="360" w:lineRule="auto"/>
        <w:contextualSpacing/>
        <w:jc w:val="center"/>
        <w:rPr>
          <w:rFonts w:cs="宋体" w:asciiTheme="majorEastAsia" w:hAnsiTheme="majorEastAsia" w:eastAsiaTheme="majorEastAsia"/>
          <w:b/>
          <w:kern w:val="0"/>
          <w:sz w:val="36"/>
          <w:szCs w:val="36"/>
        </w:rPr>
      </w:pPr>
    </w:p>
    <w:p w14:paraId="26329DCA">
      <w:pPr>
        <w:pStyle w:val="15"/>
        <w:spacing w:line="360" w:lineRule="auto"/>
        <w:contextualSpacing/>
        <w:jc w:val="center"/>
        <w:rPr>
          <w:rFonts w:cs="宋体" w:asciiTheme="majorEastAsia" w:hAnsiTheme="majorEastAsia" w:eastAsiaTheme="majorEastAsia"/>
          <w:b/>
          <w:kern w:val="0"/>
          <w:sz w:val="36"/>
          <w:szCs w:val="36"/>
        </w:rPr>
      </w:pPr>
    </w:p>
    <w:p w14:paraId="5C25C3EB">
      <w:pPr>
        <w:pStyle w:val="15"/>
        <w:spacing w:line="360" w:lineRule="auto"/>
        <w:contextualSpacing/>
        <w:jc w:val="center"/>
        <w:rPr>
          <w:rFonts w:cs="宋体" w:asciiTheme="majorEastAsia" w:hAnsiTheme="majorEastAsia" w:eastAsiaTheme="majorEastAsia"/>
          <w:b/>
          <w:kern w:val="0"/>
          <w:sz w:val="36"/>
          <w:szCs w:val="36"/>
        </w:rPr>
      </w:pPr>
    </w:p>
    <w:p w14:paraId="160D0B90">
      <w:pPr>
        <w:pStyle w:val="15"/>
        <w:spacing w:line="360" w:lineRule="auto"/>
        <w:contextualSpacing/>
        <w:jc w:val="center"/>
        <w:rPr>
          <w:rFonts w:cs="宋体" w:asciiTheme="majorEastAsia" w:hAnsiTheme="majorEastAsia" w:eastAsiaTheme="majorEastAsia"/>
          <w:b/>
          <w:kern w:val="0"/>
          <w:sz w:val="36"/>
          <w:szCs w:val="36"/>
        </w:rPr>
      </w:pPr>
    </w:p>
    <w:p w14:paraId="02A389E6">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第八章 投标文件有关格式</w:t>
      </w:r>
    </w:p>
    <w:p w14:paraId="1B87A09D">
      <w:pPr>
        <w:pStyle w:val="58"/>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lang w:val="zh-CN"/>
        </w:rPr>
      </w:pPr>
      <w:bookmarkStart w:id="4" w:name="_Toc186274126"/>
      <w:bookmarkStart w:id="5" w:name="_Toc174185203"/>
      <w:bookmarkStart w:id="6" w:name="_Toc184023138"/>
      <w:r>
        <w:rPr>
          <w:rFonts w:hint="eastAsia" w:cs="黑体" w:asciiTheme="minorEastAsia" w:hAnsiTheme="minorEastAsia" w:eastAsiaTheme="minorEastAsia"/>
          <w:color w:val="auto"/>
          <w:kern w:val="2"/>
          <w:sz w:val="28"/>
          <w:szCs w:val="28"/>
          <w:lang w:val="zh-CN"/>
        </w:rPr>
        <w:t>一、投标人应答索引表</w:t>
      </w:r>
      <w:bookmarkEnd w:id="4"/>
      <w:bookmarkEnd w:id="5"/>
      <w:bookmarkEnd w:id="6"/>
    </w:p>
    <w:tbl>
      <w:tblPr>
        <w:tblStyle w:val="24"/>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4FEAB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796084EF">
            <w:pPr>
              <w:snapToGrid w:val="0"/>
              <w:spacing w:line="400" w:lineRule="exact"/>
              <w:jc w:val="center"/>
              <w:rPr>
                <w:rFonts w:ascii="宋体" w:hAnsi="宋体" w:cs="微软雅黑"/>
                <w:b/>
                <w:szCs w:val="21"/>
              </w:rPr>
            </w:pPr>
            <w:r>
              <w:rPr>
                <w:rFonts w:hint="eastAsia" w:ascii="宋体" w:hAnsi="宋体" w:cs="微软雅黑"/>
                <w:b/>
                <w:szCs w:val="21"/>
              </w:rPr>
              <w:t>序号</w:t>
            </w:r>
          </w:p>
        </w:tc>
        <w:tc>
          <w:tcPr>
            <w:tcW w:w="3751" w:type="dxa"/>
            <w:vAlign w:val="center"/>
          </w:tcPr>
          <w:p w14:paraId="1DBB0164">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559" w:type="dxa"/>
            <w:vAlign w:val="center"/>
          </w:tcPr>
          <w:p w14:paraId="2D9747D8">
            <w:pPr>
              <w:snapToGrid w:val="0"/>
              <w:spacing w:line="400" w:lineRule="exact"/>
              <w:jc w:val="center"/>
              <w:rPr>
                <w:rFonts w:ascii="宋体" w:hAnsi="宋体" w:cs="微软雅黑"/>
                <w:b/>
                <w:szCs w:val="21"/>
              </w:rPr>
            </w:pPr>
            <w:r>
              <w:rPr>
                <w:rFonts w:hint="eastAsia" w:ascii="宋体" w:hAnsi="宋体" w:cs="微软雅黑"/>
                <w:b/>
                <w:szCs w:val="21"/>
              </w:rPr>
              <w:t>投标人应答</w:t>
            </w:r>
          </w:p>
          <w:p w14:paraId="357731C2">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560" w:type="dxa"/>
            <w:vAlign w:val="center"/>
          </w:tcPr>
          <w:p w14:paraId="1A79A082">
            <w:pPr>
              <w:snapToGrid w:val="0"/>
              <w:spacing w:line="400" w:lineRule="exact"/>
              <w:jc w:val="center"/>
              <w:rPr>
                <w:rFonts w:ascii="宋体" w:hAnsi="宋体" w:cs="微软雅黑"/>
                <w:b/>
                <w:szCs w:val="21"/>
              </w:rPr>
            </w:pPr>
            <w:r>
              <w:rPr>
                <w:rFonts w:hint="eastAsia" w:ascii="宋体" w:hAnsi="宋体" w:cs="微软雅黑"/>
                <w:b/>
                <w:szCs w:val="21"/>
              </w:rPr>
              <w:t>投标文件中所在页码</w:t>
            </w:r>
          </w:p>
        </w:tc>
        <w:tc>
          <w:tcPr>
            <w:tcW w:w="2018" w:type="dxa"/>
            <w:vAlign w:val="center"/>
          </w:tcPr>
          <w:p w14:paraId="5FB60B85">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14:paraId="2157B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38F4B3C">
            <w:pPr>
              <w:adjustRightInd w:val="0"/>
              <w:snapToGrid w:val="0"/>
              <w:spacing w:line="400" w:lineRule="exact"/>
              <w:jc w:val="center"/>
              <w:textAlignment w:val="baseline"/>
              <w:rPr>
                <w:rFonts w:ascii="宋体" w:hAnsi="宋体" w:cs="微软雅黑"/>
                <w:color w:val="FF0000"/>
                <w:szCs w:val="21"/>
              </w:rPr>
            </w:pPr>
            <w:r>
              <w:rPr>
                <w:rFonts w:hint="eastAsia" w:ascii="宋体" w:hAnsi="宋体" w:cs="微软雅黑"/>
                <w:color w:val="FF0000"/>
                <w:szCs w:val="21"/>
              </w:rPr>
              <w:t>1</w:t>
            </w:r>
          </w:p>
        </w:tc>
        <w:tc>
          <w:tcPr>
            <w:tcW w:w="3751" w:type="dxa"/>
            <w:vAlign w:val="center"/>
          </w:tcPr>
          <w:p w14:paraId="0095FE99">
            <w:pPr>
              <w:pStyle w:val="15"/>
              <w:kinsoku w:val="0"/>
              <w:overflowPunct w:val="0"/>
              <w:autoSpaceDE w:val="0"/>
              <w:autoSpaceDN w:val="0"/>
              <w:spacing w:line="320" w:lineRule="exact"/>
              <w:rPr>
                <w:rFonts w:hAnsi="宋体" w:cs="微软雅黑"/>
                <w:bCs/>
                <w:color w:val="FF0000"/>
                <w:kern w:val="0"/>
                <w:sz w:val="21"/>
                <w:szCs w:val="21"/>
              </w:rPr>
            </w:pPr>
            <w:r>
              <w:rPr>
                <w:rFonts w:hint="eastAsia" w:hAnsi="宋体"/>
                <w:color w:val="FF0000"/>
                <w:kern w:val="0"/>
                <w:sz w:val="21"/>
                <w:szCs w:val="21"/>
              </w:rPr>
              <w:t>投标人应答索引表</w:t>
            </w:r>
          </w:p>
        </w:tc>
        <w:tc>
          <w:tcPr>
            <w:tcW w:w="1559" w:type="dxa"/>
            <w:vAlign w:val="center"/>
          </w:tcPr>
          <w:p w14:paraId="1DFE9BBD">
            <w:pPr>
              <w:snapToGrid w:val="0"/>
              <w:spacing w:line="400" w:lineRule="exact"/>
              <w:jc w:val="center"/>
              <w:rPr>
                <w:rFonts w:ascii="宋体" w:hAnsi="宋体" w:cs="微软雅黑"/>
                <w:szCs w:val="21"/>
              </w:rPr>
            </w:pPr>
          </w:p>
        </w:tc>
        <w:tc>
          <w:tcPr>
            <w:tcW w:w="1560" w:type="dxa"/>
            <w:vAlign w:val="center"/>
          </w:tcPr>
          <w:p w14:paraId="32627B3E">
            <w:pPr>
              <w:snapToGrid w:val="0"/>
              <w:spacing w:line="400" w:lineRule="exact"/>
              <w:rPr>
                <w:rFonts w:ascii="宋体" w:hAnsi="宋体" w:cs="微软雅黑"/>
                <w:szCs w:val="21"/>
              </w:rPr>
            </w:pPr>
          </w:p>
        </w:tc>
        <w:tc>
          <w:tcPr>
            <w:tcW w:w="2018" w:type="dxa"/>
            <w:vAlign w:val="center"/>
          </w:tcPr>
          <w:p w14:paraId="6A214D3C">
            <w:pPr>
              <w:snapToGrid w:val="0"/>
              <w:spacing w:line="400" w:lineRule="exact"/>
              <w:rPr>
                <w:rFonts w:ascii="宋体" w:hAnsi="宋体" w:cs="微软雅黑"/>
                <w:szCs w:val="21"/>
              </w:rPr>
            </w:pPr>
          </w:p>
        </w:tc>
      </w:tr>
      <w:tr w14:paraId="054A0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2F4562B8">
            <w:pPr>
              <w:adjustRightInd w:val="0"/>
              <w:snapToGrid w:val="0"/>
              <w:spacing w:line="400" w:lineRule="exact"/>
              <w:jc w:val="center"/>
              <w:textAlignment w:val="baseline"/>
              <w:rPr>
                <w:rFonts w:ascii="宋体" w:hAnsi="宋体" w:cs="微软雅黑"/>
                <w:color w:val="FF0000"/>
                <w:szCs w:val="21"/>
              </w:rPr>
            </w:pPr>
            <w:r>
              <w:rPr>
                <w:rFonts w:hint="eastAsia" w:ascii="宋体" w:hAnsi="宋体" w:cs="微软雅黑"/>
                <w:color w:val="FF0000"/>
                <w:szCs w:val="21"/>
              </w:rPr>
              <w:t>2</w:t>
            </w:r>
          </w:p>
        </w:tc>
        <w:tc>
          <w:tcPr>
            <w:tcW w:w="3751" w:type="dxa"/>
            <w:vAlign w:val="center"/>
          </w:tcPr>
          <w:p w14:paraId="2B0E798E">
            <w:pPr>
              <w:pStyle w:val="15"/>
              <w:kinsoku w:val="0"/>
              <w:overflowPunct w:val="0"/>
              <w:autoSpaceDE w:val="0"/>
              <w:autoSpaceDN w:val="0"/>
              <w:spacing w:line="320" w:lineRule="exact"/>
              <w:rPr>
                <w:rFonts w:hAnsi="宋体"/>
                <w:color w:val="FF0000"/>
                <w:kern w:val="0"/>
                <w:sz w:val="21"/>
                <w:szCs w:val="21"/>
              </w:rPr>
            </w:pPr>
            <w:r>
              <w:rPr>
                <w:rFonts w:hint="eastAsia" w:hAnsi="宋体"/>
                <w:color w:val="FF0000"/>
                <w:kern w:val="0"/>
                <w:sz w:val="21"/>
                <w:szCs w:val="21"/>
              </w:rPr>
              <w:t>开标一览表</w:t>
            </w:r>
          </w:p>
        </w:tc>
        <w:tc>
          <w:tcPr>
            <w:tcW w:w="1559" w:type="dxa"/>
            <w:vAlign w:val="center"/>
          </w:tcPr>
          <w:p w14:paraId="722F4A2D">
            <w:pPr>
              <w:snapToGrid w:val="0"/>
              <w:spacing w:line="400" w:lineRule="exact"/>
              <w:jc w:val="center"/>
              <w:rPr>
                <w:rFonts w:ascii="宋体" w:hAnsi="宋体" w:cs="微软雅黑"/>
                <w:szCs w:val="21"/>
              </w:rPr>
            </w:pPr>
          </w:p>
        </w:tc>
        <w:tc>
          <w:tcPr>
            <w:tcW w:w="1560" w:type="dxa"/>
            <w:vAlign w:val="center"/>
          </w:tcPr>
          <w:p w14:paraId="10D53568">
            <w:pPr>
              <w:snapToGrid w:val="0"/>
              <w:spacing w:line="400" w:lineRule="exact"/>
              <w:rPr>
                <w:rFonts w:ascii="宋体" w:hAnsi="宋体" w:cs="微软雅黑"/>
                <w:szCs w:val="21"/>
              </w:rPr>
            </w:pPr>
          </w:p>
        </w:tc>
        <w:tc>
          <w:tcPr>
            <w:tcW w:w="2018" w:type="dxa"/>
            <w:vAlign w:val="center"/>
          </w:tcPr>
          <w:p w14:paraId="5D731EE6">
            <w:pPr>
              <w:snapToGrid w:val="0"/>
              <w:spacing w:line="400" w:lineRule="exact"/>
              <w:rPr>
                <w:rFonts w:ascii="宋体" w:hAnsi="宋体" w:cs="微软雅黑"/>
                <w:szCs w:val="21"/>
              </w:rPr>
            </w:pPr>
          </w:p>
        </w:tc>
      </w:tr>
      <w:tr w14:paraId="1E9F1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CA4B588">
            <w:pPr>
              <w:adjustRightInd w:val="0"/>
              <w:snapToGrid w:val="0"/>
              <w:spacing w:line="400" w:lineRule="exact"/>
              <w:jc w:val="center"/>
              <w:textAlignment w:val="baseline"/>
              <w:rPr>
                <w:rFonts w:ascii="宋体" w:hAnsi="宋体" w:cs="微软雅黑"/>
                <w:color w:val="FF0000"/>
                <w:szCs w:val="21"/>
              </w:rPr>
            </w:pPr>
            <w:r>
              <w:rPr>
                <w:rFonts w:hint="eastAsia" w:ascii="宋体" w:hAnsi="宋体" w:cs="微软雅黑"/>
                <w:color w:val="FF0000"/>
                <w:szCs w:val="21"/>
              </w:rPr>
              <w:t>3</w:t>
            </w:r>
          </w:p>
        </w:tc>
        <w:tc>
          <w:tcPr>
            <w:tcW w:w="3751" w:type="dxa"/>
            <w:vAlign w:val="center"/>
          </w:tcPr>
          <w:p w14:paraId="4E807CBD">
            <w:pPr>
              <w:pStyle w:val="15"/>
              <w:kinsoku w:val="0"/>
              <w:overflowPunct w:val="0"/>
              <w:autoSpaceDE w:val="0"/>
              <w:autoSpaceDN w:val="0"/>
              <w:spacing w:line="320" w:lineRule="exact"/>
              <w:rPr>
                <w:rFonts w:hAnsi="宋体" w:cs="微软雅黑"/>
                <w:bCs/>
                <w:color w:val="FF0000"/>
                <w:kern w:val="0"/>
                <w:sz w:val="21"/>
                <w:szCs w:val="21"/>
              </w:rPr>
            </w:pPr>
            <w:r>
              <w:rPr>
                <w:rFonts w:hint="eastAsia" w:hAnsi="宋体"/>
                <w:color w:val="FF0000"/>
                <w:kern w:val="0"/>
                <w:sz w:val="21"/>
                <w:szCs w:val="21"/>
              </w:rPr>
              <w:t>投标函</w:t>
            </w:r>
          </w:p>
        </w:tc>
        <w:tc>
          <w:tcPr>
            <w:tcW w:w="1559" w:type="dxa"/>
            <w:vAlign w:val="center"/>
          </w:tcPr>
          <w:p w14:paraId="06EB6B92">
            <w:pPr>
              <w:snapToGrid w:val="0"/>
              <w:spacing w:line="400" w:lineRule="exact"/>
              <w:jc w:val="center"/>
              <w:rPr>
                <w:rFonts w:ascii="宋体" w:hAnsi="宋体" w:cs="微软雅黑"/>
                <w:szCs w:val="21"/>
              </w:rPr>
            </w:pPr>
          </w:p>
        </w:tc>
        <w:tc>
          <w:tcPr>
            <w:tcW w:w="1560" w:type="dxa"/>
            <w:vAlign w:val="center"/>
          </w:tcPr>
          <w:p w14:paraId="5D753F68">
            <w:pPr>
              <w:snapToGrid w:val="0"/>
              <w:spacing w:line="400" w:lineRule="exact"/>
              <w:rPr>
                <w:rFonts w:ascii="宋体" w:hAnsi="宋体" w:cs="微软雅黑"/>
                <w:szCs w:val="21"/>
              </w:rPr>
            </w:pPr>
          </w:p>
        </w:tc>
        <w:tc>
          <w:tcPr>
            <w:tcW w:w="2018" w:type="dxa"/>
            <w:vAlign w:val="center"/>
          </w:tcPr>
          <w:p w14:paraId="6EFBD174">
            <w:pPr>
              <w:snapToGrid w:val="0"/>
              <w:spacing w:line="400" w:lineRule="exact"/>
              <w:rPr>
                <w:rFonts w:ascii="宋体" w:hAnsi="宋体" w:cs="微软雅黑"/>
                <w:szCs w:val="21"/>
              </w:rPr>
            </w:pPr>
          </w:p>
        </w:tc>
      </w:tr>
      <w:tr w14:paraId="083D4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0139DB69">
            <w:pPr>
              <w:adjustRightInd w:val="0"/>
              <w:snapToGrid w:val="0"/>
              <w:spacing w:line="400" w:lineRule="exact"/>
              <w:jc w:val="center"/>
              <w:textAlignment w:val="baseline"/>
              <w:rPr>
                <w:rFonts w:ascii="宋体" w:hAnsi="宋体" w:cs="微软雅黑"/>
                <w:color w:val="FF0000"/>
                <w:szCs w:val="21"/>
              </w:rPr>
            </w:pPr>
            <w:r>
              <w:rPr>
                <w:rFonts w:hint="eastAsia" w:ascii="宋体" w:hAnsi="宋体" w:cs="微软雅黑"/>
                <w:color w:val="FF0000"/>
                <w:szCs w:val="21"/>
              </w:rPr>
              <w:t>4</w:t>
            </w:r>
          </w:p>
        </w:tc>
        <w:tc>
          <w:tcPr>
            <w:tcW w:w="3751" w:type="dxa"/>
            <w:vAlign w:val="center"/>
          </w:tcPr>
          <w:p w14:paraId="24545732">
            <w:pPr>
              <w:pStyle w:val="15"/>
              <w:kinsoku w:val="0"/>
              <w:overflowPunct w:val="0"/>
              <w:autoSpaceDE w:val="0"/>
              <w:autoSpaceDN w:val="0"/>
              <w:spacing w:line="320" w:lineRule="exact"/>
              <w:rPr>
                <w:rFonts w:hAnsi="宋体"/>
                <w:color w:val="FF0000"/>
                <w:kern w:val="0"/>
                <w:sz w:val="21"/>
                <w:szCs w:val="21"/>
              </w:rPr>
            </w:pPr>
            <w:r>
              <w:rPr>
                <w:rFonts w:hint="eastAsia" w:asciiTheme="majorEastAsia" w:hAnsiTheme="majorEastAsia" w:eastAsiaTheme="majorEastAsia" w:cstheme="majorEastAsia"/>
                <w:bCs/>
                <w:color w:val="FF0000"/>
                <w:sz w:val="21"/>
                <w:szCs w:val="21"/>
                <w:lang w:val="zh-CN"/>
              </w:rPr>
              <w:t>法定代表人（单位负责人）</w:t>
            </w:r>
            <w:r>
              <w:rPr>
                <w:rFonts w:asciiTheme="majorEastAsia" w:hAnsiTheme="majorEastAsia" w:eastAsiaTheme="majorEastAsia" w:cstheme="majorEastAsia"/>
                <w:bCs/>
                <w:color w:val="FF0000"/>
                <w:sz w:val="21"/>
                <w:szCs w:val="21"/>
                <w:lang w:val="zh-CN"/>
              </w:rPr>
              <w:t>资</w:t>
            </w:r>
            <w:r>
              <w:rPr>
                <w:rFonts w:hint="eastAsia" w:asciiTheme="majorEastAsia" w:hAnsiTheme="majorEastAsia" w:eastAsiaTheme="majorEastAsia" w:cstheme="majorEastAsia"/>
                <w:bCs/>
                <w:color w:val="FF0000"/>
                <w:sz w:val="21"/>
                <w:szCs w:val="21"/>
                <w:lang w:val="zh-CN"/>
              </w:rPr>
              <w:t>格</w:t>
            </w:r>
            <w:r>
              <w:rPr>
                <w:rFonts w:asciiTheme="majorEastAsia" w:hAnsiTheme="majorEastAsia" w:eastAsiaTheme="majorEastAsia" w:cstheme="majorEastAsia"/>
                <w:bCs/>
                <w:color w:val="FF0000"/>
                <w:sz w:val="21"/>
                <w:szCs w:val="21"/>
                <w:lang w:val="zh-CN"/>
              </w:rPr>
              <w:t>证</w:t>
            </w:r>
            <w:r>
              <w:rPr>
                <w:rFonts w:hint="eastAsia" w:asciiTheme="majorEastAsia" w:hAnsiTheme="majorEastAsia" w:eastAsiaTheme="majorEastAsia" w:cstheme="majorEastAsia"/>
                <w:bCs/>
                <w:color w:val="FF0000"/>
                <w:sz w:val="21"/>
                <w:szCs w:val="21"/>
                <w:lang w:val="zh-CN"/>
              </w:rPr>
              <w:t>明</w:t>
            </w:r>
            <w:r>
              <w:rPr>
                <w:rFonts w:asciiTheme="majorEastAsia" w:hAnsiTheme="majorEastAsia" w:eastAsiaTheme="majorEastAsia" w:cstheme="majorEastAsia"/>
                <w:bCs/>
                <w:color w:val="FF0000"/>
                <w:sz w:val="21"/>
                <w:szCs w:val="21"/>
                <w:lang w:val="zh-CN"/>
              </w:rPr>
              <w:t>书</w:t>
            </w:r>
          </w:p>
        </w:tc>
        <w:tc>
          <w:tcPr>
            <w:tcW w:w="1559" w:type="dxa"/>
            <w:vAlign w:val="center"/>
          </w:tcPr>
          <w:p w14:paraId="10C2D768">
            <w:pPr>
              <w:snapToGrid w:val="0"/>
              <w:spacing w:line="400" w:lineRule="exact"/>
              <w:jc w:val="center"/>
              <w:rPr>
                <w:rFonts w:ascii="宋体" w:hAnsi="宋体" w:cs="微软雅黑"/>
                <w:szCs w:val="21"/>
              </w:rPr>
            </w:pPr>
          </w:p>
        </w:tc>
        <w:tc>
          <w:tcPr>
            <w:tcW w:w="1560" w:type="dxa"/>
            <w:vAlign w:val="center"/>
          </w:tcPr>
          <w:p w14:paraId="700EC8F9">
            <w:pPr>
              <w:snapToGrid w:val="0"/>
              <w:spacing w:line="400" w:lineRule="exact"/>
              <w:rPr>
                <w:rFonts w:ascii="宋体" w:hAnsi="宋体" w:cs="微软雅黑"/>
                <w:szCs w:val="21"/>
              </w:rPr>
            </w:pPr>
          </w:p>
        </w:tc>
        <w:tc>
          <w:tcPr>
            <w:tcW w:w="2018" w:type="dxa"/>
            <w:vAlign w:val="center"/>
          </w:tcPr>
          <w:p w14:paraId="2B2E8251">
            <w:pPr>
              <w:snapToGrid w:val="0"/>
              <w:spacing w:line="400" w:lineRule="exact"/>
              <w:rPr>
                <w:rFonts w:ascii="宋体" w:hAnsi="宋体" w:cs="微软雅黑"/>
                <w:szCs w:val="21"/>
              </w:rPr>
            </w:pPr>
          </w:p>
        </w:tc>
      </w:tr>
      <w:tr w14:paraId="2A31B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24104B8">
            <w:pPr>
              <w:adjustRightInd w:val="0"/>
              <w:snapToGrid w:val="0"/>
              <w:spacing w:line="400" w:lineRule="exact"/>
              <w:jc w:val="center"/>
              <w:textAlignment w:val="baseline"/>
              <w:rPr>
                <w:rFonts w:ascii="宋体" w:hAnsi="宋体" w:cs="微软雅黑"/>
                <w:color w:val="FF0000"/>
                <w:szCs w:val="21"/>
              </w:rPr>
            </w:pPr>
            <w:r>
              <w:rPr>
                <w:rFonts w:hint="eastAsia" w:ascii="宋体" w:hAnsi="宋体" w:cs="微软雅黑"/>
                <w:color w:val="FF0000"/>
                <w:szCs w:val="21"/>
              </w:rPr>
              <w:t>5</w:t>
            </w:r>
          </w:p>
        </w:tc>
        <w:tc>
          <w:tcPr>
            <w:tcW w:w="3751" w:type="dxa"/>
            <w:vAlign w:val="center"/>
          </w:tcPr>
          <w:p w14:paraId="70B200A8">
            <w:pPr>
              <w:pStyle w:val="15"/>
              <w:kinsoku w:val="0"/>
              <w:overflowPunct w:val="0"/>
              <w:autoSpaceDE w:val="0"/>
              <w:autoSpaceDN w:val="0"/>
              <w:spacing w:line="320" w:lineRule="exact"/>
              <w:rPr>
                <w:rFonts w:hAnsi="宋体"/>
                <w:color w:val="FF0000"/>
                <w:kern w:val="0"/>
                <w:sz w:val="21"/>
                <w:szCs w:val="21"/>
              </w:rPr>
            </w:pPr>
            <w:r>
              <w:rPr>
                <w:rFonts w:hint="eastAsia" w:hAnsi="宋体"/>
                <w:color w:val="FF0000"/>
                <w:kern w:val="0"/>
                <w:sz w:val="21"/>
                <w:szCs w:val="21"/>
              </w:rPr>
              <w:t>法定代表人（单位负责人）授权书</w:t>
            </w:r>
          </w:p>
        </w:tc>
        <w:tc>
          <w:tcPr>
            <w:tcW w:w="1559" w:type="dxa"/>
            <w:vAlign w:val="center"/>
          </w:tcPr>
          <w:p w14:paraId="7A61AA2B">
            <w:pPr>
              <w:snapToGrid w:val="0"/>
              <w:spacing w:line="400" w:lineRule="exact"/>
              <w:jc w:val="center"/>
              <w:rPr>
                <w:rFonts w:ascii="宋体" w:hAnsi="宋体" w:cs="微软雅黑"/>
                <w:szCs w:val="21"/>
              </w:rPr>
            </w:pPr>
          </w:p>
        </w:tc>
        <w:tc>
          <w:tcPr>
            <w:tcW w:w="1560" w:type="dxa"/>
            <w:vAlign w:val="center"/>
          </w:tcPr>
          <w:p w14:paraId="7D5F1884">
            <w:pPr>
              <w:snapToGrid w:val="0"/>
              <w:spacing w:line="400" w:lineRule="exact"/>
              <w:rPr>
                <w:rFonts w:ascii="宋体" w:hAnsi="宋体" w:cs="微软雅黑"/>
                <w:szCs w:val="21"/>
              </w:rPr>
            </w:pPr>
          </w:p>
        </w:tc>
        <w:tc>
          <w:tcPr>
            <w:tcW w:w="2018" w:type="dxa"/>
            <w:vAlign w:val="center"/>
          </w:tcPr>
          <w:p w14:paraId="757458DC">
            <w:pPr>
              <w:snapToGrid w:val="0"/>
              <w:spacing w:line="400" w:lineRule="exact"/>
              <w:rPr>
                <w:rFonts w:ascii="宋体" w:hAnsi="宋体" w:cs="微软雅黑"/>
                <w:szCs w:val="21"/>
              </w:rPr>
            </w:pPr>
          </w:p>
        </w:tc>
      </w:tr>
      <w:tr w14:paraId="2FF56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F8871F4">
            <w:pPr>
              <w:adjustRightInd w:val="0"/>
              <w:snapToGrid w:val="0"/>
              <w:spacing w:line="400" w:lineRule="exact"/>
              <w:jc w:val="center"/>
              <w:textAlignment w:val="baseline"/>
              <w:rPr>
                <w:rFonts w:ascii="宋体" w:hAnsi="宋体" w:cs="微软雅黑"/>
                <w:color w:val="FF0000"/>
                <w:szCs w:val="21"/>
              </w:rPr>
            </w:pPr>
            <w:r>
              <w:rPr>
                <w:rFonts w:hint="eastAsia" w:ascii="宋体" w:hAnsi="宋体" w:cs="微软雅黑"/>
                <w:color w:val="FF0000"/>
                <w:szCs w:val="21"/>
              </w:rPr>
              <w:t>6</w:t>
            </w:r>
          </w:p>
        </w:tc>
        <w:tc>
          <w:tcPr>
            <w:tcW w:w="3751" w:type="dxa"/>
            <w:vAlign w:val="center"/>
          </w:tcPr>
          <w:p w14:paraId="55F009DA">
            <w:pPr>
              <w:pStyle w:val="15"/>
              <w:kinsoku w:val="0"/>
              <w:overflowPunct w:val="0"/>
              <w:autoSpaceDE w:val="0"/>
              <w:autoSpaceDN w:val="0"/>
              <w:spacing w:line="320" w:lineRule="exact"/>
              <w:rPr>
                <w:rFonts w:hAnsi="宋体" w:cs="微软雅黑"/>
                <w:bCs/>
                <w:color w:val="FF0000"/>
                <w:kern w:val="0"/>
                <w:sz w:val="21"/>
                <w:szCs w:val="21"/>
              </w:rPr>
            </w:pPr>
            <w:r>
              <w:rPr>
                <w:rFonts w:hint="eastAsia" w:asciiTheme="majorEastAsia" w:hAnsiTheme="majorEastAsia" w:eastAsiaTheme="majorEastAsia" w:cstheme="majorEastAsia"/>
                <w:bCs/>
                <w:color w:val="FF0000"/>
                <w:sz w:val="21"/>
                <w:szCs w:val="21"/>
                <w:lang w:val="zh-CN"/>
              </w:rPr>
              <w:t>投标承诺函</w:t>
            </w:r>
          </w:p>
        </w:tc>
        <w:tc>
          <w:tcPr>
            <w:tcW w:w="1559" w:type="dxa"/>
            <w:vAlign w:val="center"/>
          </w:tcPr>
          <w:p w14:paraId="66DE00E6">
            <w:pPr>
              <w:snapToGrid w:val="0"/>
              <w:spacing w:line="400" w:lineRule="exact"/>
              <w:jc w:val="center"/>
              <w:rPr>
                <w:rFonts w:ascii="宋体" w:hAnsi="宋体" w:cs="微软雅黑"/>
                <w:szCs w:val="21"/>
              </w:rPr>
            </w:pPr>
          </w:p>
        </w:tc>
        <w:tc>
          <w:tcPr>
            <w:tcW w:w="1560" w:type="dxa"/>
            <w:vAlign w:val="center"/>
          </w:tcPr>
          <w:p w14:paraId="4630EF68">
            <w:pPr>
              <w:snapToGrid w:val="0"/>
              <w:spacing w:line="400" w:lineRule="exact"/>
              <w:rPr>
                <w:rFonts w:ascii="宋体" w:hAnsi="宋体" w:cs="微软雅黑"/>
                <w:szCs w:val="21"/>
              </w:rPr>
            </w:pPr>
          </w:p>
        </w:tc>
        <w:tc>
          <w:tcPr>
            <w:tcW w:w="2018" w:type="dxa"/>
            <w:vAlign w:val="center"/>
          </w:tcPr>
          <w:p w14:paraId="55A663E6">
            <w:pPr>
              <w:snapToGrid w:val="0"/>
              <w:spacing w:line="400" w:lineRule="exact"/>
              <w:rPr>
                <w:rFonts w:ascii="宋体" w:hAnsi="宋体" w:cs="微软雅黑"/>
                <w:szCs w:val="21"/>
              </w:rPr>
            </w:pPr>
          </w:p>
        </w:tc>
      </w:tr>
      <w:tr w14:paraId="76361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B18A183">
            <w:pPr>
              <w:adjustRightInd w:val="0"/>
              <w:snapToGrid w:val="0"/>
              <w:spacing w:line="400" w:lineRule="exact"/>
              <w:jc w:val="center"/>
              <w:textAlignment w:val="baseline"/>
              <w:rPr>
                <w:rFonts w:ascii="宋体" w:hAnsi="宋体" w:cs="微软雅黑"/>
                <w:color w:val="FF0000"/>
                <w:szCs w:val="21"/>
              </w:rPr>
            </w:pPr>
            <w:r>
              <w:rPr>
                <w:rFonts w:hint="eastAsia" w:ascii="宋体" w:hAnsi="宋体" w:cs="微软雅黑"/>
                <w:color w:val="FF0000"/>
                <w:szCs w:val="21"/>
              </w:rPr>
              <w:t>7</w:t>
            </w:r>
          </w:p>
        </w:tc>
        <w:tc>
          <w:tcPr>
            <w:tcW w:w="3751" w:type="dxa"/>
            <w:vAlign w:val="center"/>
          </w:tcPr>
          <w:p w14:paraId="4152DB30">
            <w:pPr>
              <w:pStyle w:val="15"/>
              <w:kinsoku w:val="0"/>
              <w:overflowPunct w:val="0"/>
              <w:autoSpaceDE w:val="0"/>
              <w:autoSpaceDN w:val="0"/>
              <w:spacing w:line="320" w:lineRule="exact"/>
              <w:rPr>
                <w:rFonts w:hAnsi="宋体" w:cs="微软雅黑"/>
                <w:bCs/>
                <w:color w:val="FF0000"/>
                <w:kern w:val="0"/>
                <w:sz w:val="21"/>
                <w:szCs w:val="21"/>
              </w:rPr>
            </w:pPr>
            <w:r>
              <w:rPr>
                <w:rFonts w:hint="eastAsia" w:hAnsi="宋体"/>
                <w:color w:val="FF0000"/>
                <w:kern w:val="0"/>
                <w:sz w:val="21"/>
                <w:szCs w:val="21"/>
              </w:rPr>
              <w:t>禹州市政府采购供应商信用承诺函</w:t>
            </w:r>
          </w:p>
        </w:tc>
        <w:tc>
          <w:tcPr>
            <w:tcW w:w="1559" w:type="dxa"/>
            <w:vAlign w:val="center"/>
          </w:tcPr>
          <w:p w14:paraId="31DD05B8">
            <w:pPr>
              <w:jc w:val="center"/>
              <w:rPr>
                <w:szCs w:val="21"/>
              </w:rPr>
            </w:pPr>
          </w:p>
        </w:tc>
        <w:tc>
          <w:tcPr>
            <w:tcW w:w="1560" w:type="dxa"/>
            <w:vAlign w:val="center"/>
          </w:tcPr>
          <w:p w14:paraId="27097271">
            <w:pPr>
              <w:snapToGrid w:val="0"/>
              <w:spacing w:line="400" w:lineRule="exact"/>
              <w:rPr>
                <w:rFonts w:ascii="宋体" w:hAnsi="宋体" w:cs="微软雅黑"/>
                <w:szCs w:val="21"/>
              </w:rPr>
            </w:pPr>
          </w:p>
        </w:tc>
        <w:tc>
          <w:tcPr>
            <w:tcW w:w="2018" w:type="dxa"/>
            <w:vAlign w:val="center"/>
          </w:tcPr>
          <w:p w14:paraId="5787B1F7">
            <w:pPr>
              <w:snapToGrid w:val="0"/>
              <w:spacing w:line="400" w:lineRule="exact"/>
              <w:rPr>
                <w:rFonts w:ascii="宋体" w:hAnsi="宋体" w:cs="微软雅黑"/>
                <w:szCs w:val="21"/>
              </w:rPr>
            </w:pPr>
          </w:p>
        </w:tc>
      </w:tr>
      <w:tr w14:paraId="0E21A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393BB34">
            <w:pPr>
              <w:adjustRightInd w:val="0"/>
              <w:snapToGrid w:val="0"/>
              <w:spacing w:line="400" w:lineRule="exact"/>
              <w:jc w:val="center"/>
              <w:textAlignment w:val="baseline"/>
              <w:rPr>
                <w:rFonts w:asciiTheme="majorEastAsia" w:hAnsiTheme="majorEastAsia" w:eastAsiaTheme="majorEastAsia" w:cstheme="majorEastAsia"/>
                <w:bCs/>
                <w:color w:val="FF0000"/>
                <w:szCs w:val="21"/>
                <w:lang w:val="zh-CN"/>
              </w:rPr>
            </w:pPr>
            <w:r>
              <w:rPr>
                <w:rFonts w:hint="eastAsia" w:asciiTheme="majorEastAsia" w:hAnsiTheme="majorEastAsia" w:eastAsiaTheme="majorEastAsia" w:cstheme="majorEastAsia"/>
                <w:bCs/>
                <w:color w:val="FF0000"/>
                <w:szCs w:val="21"/>
                <w:lang w:val="zh-CN"/>
              </w:rPr>
              <w:t>8</w:t>
            </w:r>
          </w:p>
        </w:tc>
        <w:tc>
          <w:tcPr>
            <w:tcW w:w="3751" w:type="dxa"/>
            <w:vAlign w:val="center"/>
          </w:tcPr>
          <w:p w14:paraId="0A30AD9E">
            <w:pPr>
              <w:pStyle w:val="15"/>
              <w:kinsoku w:val="0"/>
              <w:overflowPunct w:val="0"/>
              <w:autoSpaceDE w:val="0"/>
              <w:autoSpaceDN w:val="0"/>
              <w:spacing w:line="320" w:lineRule="exact"/>
              <w:rPr>
                <w:rFonts w:asciiTheme="majorEastAsia" w:hAnsiTheme="majorEastAsia" w:eastAsiaTheme="majorEastAsia" w:cstheme="majorEastAsia"/>
                <w:bCs/>
                <w:color w:val="FF0000"/>
                <w:sz w:val="21"/>
                <w:szCs w:val="21"/>
                <w:lang w:val="zh-CN"/>
              </w:rPr>
            </w:pPr>
            <w:r>
              <w:rPr>
                <w:rFonts w:hint="eastAsia" w:asciiTheme="majorEastAsia" w:hAnsiTheme="majorEastAsia" w:eastAsiaTheme="majorEastAsia" w:cstheme="majorEastAsia"/>
                <w:bCs/>
                <w:color w:val="FF0000"/>
                <w:sz w:val="21"/>
                <w:szCs w:val="21"/>
                <w:lang w:val="zh-CN"/>
              </w:rPr>
              <w:t>联合体协议</w:t>
            </w:r>
          </w:p>
        </w:tc>
        <w:tc>
          <w:tcPr>
            <w:tcW w:w="1559" w:type="dxa"/>
            <w:vAlign w:val="center"/>
          </w:tcPr>
          <w:p w14:paraId="6B4C68A9">
            <w:pPr>
              <w:jc w:val="center"/>
              <w:rPr>
                <w:szCs w:val="21"/>
              </w:rPr>
            </w:pPr>
          </w:p>
        </w:tc>
        <w:tc>
          <w:tcPr>
            <w:tcW w:w="1560" w:type="dxa"/>
            <w:vAlign w:val="center"/>
          </w:tcPr>
          <w:p w14:paraId="65B78B97">
            <w:pPr>
              <w:snapToGrid w:val="0"/>
              <w:spacing w:line="400" w:lineRule="exact"/>
              <w:rPr>
                <w:rFonts w:ascii="宋体" w:hAnsi="宋体" w:cs="微软雅黑"/>
                <w:szCs w:val="21"/>
              </w:rPr>
            </w:pPr>
          </w:p>
        </w:tc>
        <w:tc>
          <w:tcPr>
            <w:tcW w:w="2018" w:type="dxa"/>
            <w:vAlign w:val="center"/>
          </w:tcPr>
          <w:p w14:paraId="350F2293">
            <w:pPr>
              <w:snapToGrid w:val="0"/>
              <w:spacing w:line="400" w:lineRule="exact"/>
              <w:rPr>
                <w:rFonts w:ascii="宋体" w:hAnsi="宋体" w:cs="微软雅黑"/>
                <w:szCs w:val="21"/>
              </w:rPr>
            </w:pPr>
          </w:p>
        </w:tc>
      </w:tr>
      <w:tr w14:paraId="0F359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C320D3C">
            <w:pPr>
              <w:adjustRightInd w:val="0"/>
              <w:snapToGrid w:val="0"/>
              <w:spacing w:line="400" w:lineRule="exact"/>
              <w:jc w:val="center"/>
              <w:textAlignment w:val="baseline"/>
              <w:rPr>
                <w:rFonts w:asciiTheme="majorEastAsia" w:hAnsiTheme="majorEastAsia" w:eastAsiaTheme="majorEastAsia" w:cstheme="majorEastAsia"/>
                <w:bCs/>
                <w:color w:val="FF0000"/>
                <w:szCs w:val="21"/>
                <w:lang w:val="zh-CN"/>
              </w:rPr>
            </w:pPr>
            <w:r>
              <w:rPr>
                <w:rFonts w:hint="eastAsia" w:asciiTheme="majorEastAsia" w:hAnsiTheme="majorEastAsia" w:eastAsiaTheme="majorEastAsia" w:cstheme="majorEastAsia"/>
                <w:bCs/>
                <w:color w:val="FF0000"/>
                <w:szCs w:val="21"/>
                <w:lang w:val="zh-CN"/>
              </w:rPr>
              <w:t>9</w:t>
            </w:r>
          </w:p>
        </w:tc>
        <w:tc>
          <w:tcPr>
            <w:tcW w:w="3751" w:type="dxa"/>
            <w:vAlign w:val="center"/>
          </w:tcPr>
          <w:p w14:paraId="693383D1">
            <w:pPr>
              <w:pStyle w:val="15"/>
              <w:kinsoku w:val="0"/>
              <w:overflowPunct w:val="0"/>
              <w:autoSpaceDE w:val="0"/>
              <w:autoSpaceDN w:val="0"/>
              <w:spacing w:line="320" w:lineRule="exact"/>
              <w:rPr>
                <w:rFonts w:asciiTheme="majorEastAsia" w:hAnsiTheme="majorEastAsia" w:eastAsiaTheme="majorEastAsia" w:cstheme="majorEastAsia"/>
                <w:bCs/>
                <w:color w:val="FF0000"/>
                <w:sz w:val="21"/>
                <w:szCs w:val="21"/>
                <w:lang w:val="zh-CN"/>
              </w:rPr>
            </w:pPr>
            <w:r>
              <w:rPr>
                <w:rFonts w:hint="eastAsia" w:asciiTheme="majorEastAsia" w:hAnsiTheme="majorEastAsia" w:eastAsiaTheme="majorEastAsia" w:cstheme="majorEastAsia"/>
                <w:bCs/>
                <w:color w:val="FF0000"/>
                <w:sz w:val="21"/>
                <w:szCs w:val="21"/>
                <w:lang w:val="zh-CN"/>
              </w:rPr>
              <w:t>投标人与参加本项目投标的其他供应商之间，单位负责人不为同一人并且不存在直接控股、管理关系承诺函</w:t>
            </w:r>
          </w:p>
        </w:tc>
        <w:tc>
          <w:tcPr>
            <w:tcW w:w="1559" w:type="dxa"/>
            <w:vAlign w:val="center"/>
          </w:tcPr>
          <w:p w14:paraId="5A544638">
            <w:pPr>
              <w:jc w:val="center"/>
              <w:rPr>
                <w:szCs w:val="21"/>
              </w:rPr>
            </w:pPr>
          </w:p>
        </w:tc>
        <w:tc>
          <w:tcPr>
            <w:tcW w:w="1560" w:type="dxa"/>
            <w:vAlign w:val="center"/>
          </w:tcPr>
          <w:p w14:paraId="4B61A8A9">
            <w:pPr>
              <w:snapToGrid w:val="0"/>
              <w:spacing w:line="400" w:lineRule="exact"/>
              <w:rPr>
                <w:rFonts w:ascii="宋体" w:hAnsi="宋体" w:cs="微软雅黑"/>
                <w:szCs w:val="21"/>
              </w:rPr>
            </w:pPr>
          </w:p>
        </w:tc>
        <w:tc>
          <w:tcPr>
            <w:tcW w:w="2018" w:type="dxa"/>
            <w:vAlign w:val="center"/>
          </w:tcPr>
          <w:p w14:paraId="67C79E39">
            <w:pPr>
              <w:snapToGrid w:val="0"/>
              <w:spacing w:line="400" w:lineRule="exact"/>
              <w:rPr>
                <w:rFonts w:ascii="宋体" w:hAnsi="宋体" w:cs="微软雅黑"/>
                <w:szCs w:val="21"/>
              </w:rPr>
            </w:pPr>
          </w:p>
        </w:tc>
      </w:tr>
      <w:tr w14:paraId="14ACA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1F510F3">
            <w:pPr>
              <w:adjustRightInd w:val="0"/>
              <w:snapToGrid w:val="0"/>
              <w:spacing w:line="400" w:lineRule="exact"/>
              <w:jc w:val="center"/>
              <w:textAlignment w:val="baseline"/>
              <w:rPr>
                <w:rFonts w:asciiTheme="majorEastAsia" w:hAnsiTheme="majorEastAsia" w:eastAsiaTheme="majorEastAsia" w:cstheme="majorEastAsia"/>
                <w:bCs/>
                <w:color w:val="FF0000"/>
                <w:szCs w:val="21"/>
                <w:lang w:val="zh-CN"/>
              </w:rPr>
            </w:pPr>
            <w:r>
              <w:rPr>
                <w:rFonts w:hint="eastAsia" w:asciiTheme="majorEastAsia" w:hAnsiTheme="majorEastAsia" w:eastAsiaTheme="majorEastAsia" w:cstheme="majorEastAsia"/>
                <w:bCs/>
                <w:color w:val="FF0000"/>
                <w:szCs w:val="21"/>
                <w:lang w:val="zh-CN"/>
              </w:rPr>
              <w:t>10</w:t>
            </w:r>
          </w:p>
        </w:tc>
        <w:tc>
          <w:tcPr>
            <w:tcW w:w="3751" w:type="dxa"/>
            <w:vAlign w:val="center"/>
          </w:tcPr>
          <w:p w14:paraId="4D80626C">
            <w:pPr>
              <w:pStyle w:val="15"/>
              <w:kinsoku w:val="0"/>
              <w:overflowPunct w:val="0"/>
              <w:autoSpaceDE w:val="0"/>
              <w:autoSpaceDN w:val="0"/>
              <w:spacing w:line="320" w:lineRule="exact"/>
              <w:rPr>
                <w:rFonts w:asciiTheme="majorEastAsia" w:hAnsiTheme="majorEastAsia" w:eastAsiaTheme="majorEastAsia" w:cstheme="majorEastAsia"/>
                <w:bCs/>
                <w:color w:val="FF0000"/>
                <w:sz w:val="21"/>
                <w:szCs w:val="21"/>
                <w:lang w:val="zh-CN"/>
              </w:rPr>
            </w:pPr>
            <w:r>
              <w:rPr>
                <w:rFonts w:hint="eastAsia" w:cs="仿宋_GB2312" w:asciiTheme="minorEastAsia" w:hAnsiTheme="minorEastAsia"/>
                <w:color w:val="FF0000"/>
                <w:sz w:val="21"/>
                <w:szCs w:val="21"/>
                <w:lang w:val="zh-CN"/>
              </w:rPr>
              <w:t>投标人未为本项目提供整体设计、规范编制或者项目管理、监理、检测等服务承诺函</w:t>
            </w:r>
          </w:p>
        </w:tc>
        <w:tc>
          <w:tcPr>
            <w:tcW w:w="1559" w:type="dxa"/>
            <w:vAlign w:val="center"/>
          </w:tcPr>
          <w:p w14:paraId="10E2E832">
            <w:pPr>
              <w:jc w:val="center"/>
              <w:rPr>
                <w:szCs w:val="21"/>
              </w:rPr>
            </w:pPr>
          </w:p>
        </w:tc>
        <w:tc>
          <w:tcPr>
            <w:tcW w:w="1560" w:type="dxa"/>
            <w:vAlign w:val="center"/>
          </w:tcPr>
          <w:p w14:paraId="4620B2EE">
            <w:pPr>
              <w:snapToGrid w:val="0"/>
              <w:spacing w:line="400" w:lineRule="exact"/>
              <w:rPr>
                <w:rFonts w:ascii="宋体" w:hAnsi="宋体" w:cs="微软雅黑"/>
                <w:szCs w:val="21"/>
              </w:rPr>
            </w:pPr>
          </w:p>
        </w:tc>
        <w:tc>
          <w:tcPr>
            <w:tcW w:w="2018" w:type="dxa"/>
            <w:vAlign w:val="center"/>
          </w:tcPr>
          <w:p w14:paraId="59AC3E75">
            <w:pPr>
              <w:snapToGrid w:val="0"/>
              <w:spacing w:line="400" w:lineRule="exact"/>
              <w:rPr>
                <w:rFonts w:ascii="宋体" w:hAnsi="宋体" w:cs="微软雅黑"/>
                <w:szCs w:val="21"/>
              </w:rPr>
            </w:pPr>
          </w:p>
        </w:tc>
      </w:tr>
      <w:tr w14:paraId="4B5E7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55C7553F">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11</w:t>
            </w:r>
          </w:p>
        </w:tc>
        <w:tc>
          <w:tcPr>
            <w:tcW w:w="3751" w:type="dxa"/>
            <w:tcBorders>
              <w:top w:val="double" w:color="auto" w:sz="4" w:space="0"/>
            </w:tcBorders>
            <w:vAlign w:val="center"/>
          </w:tcPr>
          <w:p w14:paraId="7AC5FC42">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投标分项报价表</w:t>
            </w:r>
          </w:p>
        </w:tc>
        <w:tc>
          <w:tcPr>
            <w:tcW w:w="1559" w:type="dxa"/>
            <w:tcBorders>
              <w:top w:val="double" w:color="auto" w:sz="4" w:space="0"/>
            </w:tcBorders>
            <w:vAlign w:val="center"/>
          </w:tcPr>
          <w:p w14:paraId="249A5C29">
            <w:pPr>
              <w:jc w:val="center"/>
              <w:rPr>
                <w:szCs w:val="21"/>
              </w:rPr>
            </w:pPr>
          </w:p>
        </w:tc>
        <w:tc>
          <w:tcPr>
            <w:tcW w:w="1560" w:type="dxa"/>
            <w:tcBorders>
              <w:top w:val="double" w:color="auto" w:sz="4" w:space="0"/>
            </w:tcBorders>
            <w:vAlign w:val="center"/>
          </w:tcPr>
          <w:p w14:paraId="3335BAEC">
            <w:pPr>
              <w:snapToGrid w:val="0"/>
              <w:spacing w:line="400" w:lineRule="exact"/>
              <w:rPr>
                <w:rFonts w:ascii="宋体" w:hAnsi="宋体" w:cs="微软雅黑"/>
                <w:szCs w:val="21"/>
              </w:rPr>
            </w:pPr>
          </w:p>
        </w:tc>
        <w:tc>
          <w:tcPr>
            <w:tcW w:w="2018" w:type="dxa"/>
            <w:tcBorders>
              <w:top w:val="double" w:color="auto" w:sz="4" w:space="0"/>
            </w:tcBorders>
            <w:vAlign w:val="center"/>
          </w:tcPr>
          <w:p w14:paraId="2489B9BF">
            <w:pPr>
              <w:snapToGrid w:val="0"/>
              <w:spacing w:line="400" w:lineRule="exact"/>
              <w:rPr>
                <w:rFonts w:ascii="宋体" w:hAnsi="宋体" w:cs="微软雅黑"/>
                <w:szCs w:val="21"/>
              </w:rPr>
            </w:pPr>
          </w:p>
        </w:tc>
      </w:tr>
      <w:tr w14:paraId="410B9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81CC9B8">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12</w:t>
            </w:r>
          </w:p>
        </w:tc>
        <w:tc>
          <w:tcPr>
            <w:tcW w:w="3751" w:type="dxa"/>
            <w:vAlign w:val="center"/>
          </w:tcPr>
          <w:p w14:paraId="369E3654">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技术规格偏离表</w:t>
            </w:r>
          </w:p>
        </w:tc>
        <w:tc>
          <w:tcPr>
            <w:tcW w:w="1559" w:type="dxa"/>
            <w:vAlign w:val="center"/>
          </w:tcPr>
          <w:p w14:paraId="5DA3CDBB">
            <w:pPr>
              <w:jc w:val="center"/>
              <w:rPr>
                <w:szCs w:val="21"/>
              </w:rPr>
            </w:pPr>
          </w:p>
        </w:tc>
        <w:tc>
          <w:tcPr>
            <w:tcW w:w="1560" w:type="dxa"/>
            <w:vAlign w:val="center"/>
          </w:tcPr>
          <w:p w14:paraId="7994C4EB">
            <w:pPr>
              <w:snapToGrid w:val="0"/>
              <w:spacing w:line="400" w:lineRule="exact"/>
              <w:rPr>
                <w:rFonts w:ascii="宋体" w:hAnsi="宋体" w:cs="微软雅黑"/>
                <w:szCs w:val="21"/>
              </w:rPr>
            </w:pPr>
          </w:p>
        </w:tc>
        <w:tc>
          <w:tcPr>
            <w:tcW w:w="2018" w:type="dxa"/>
            <w:vAlign w:val="center"/>
          </w:tcPr>
          <w:p w14:paraId="77E54374">
            <w:pPr>
              <w:snapToGrid w:val="0"/>
              <w:spacing w:line="400" w:lineRule="exact"/>
              <w:rPr>
                <w:rFonts w:ascii="宋体" w:hAnsi="宋体" w:cs="微软雅黑"/>
                <w:szCs w:val="21"/>
              </w:rPr>
            </w:pPr>
          </w:p>
        </w:tc>
      </w:tr>
      <w:tr w14:paraId="00885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2B59C23">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13</w:t>
            </w:r>
          </w:p>
        </w:tc>
        <w:tc>
          <w:tcPr>
            <w:tcW w:w="3751" w:type="dxa"/>
            <w:vAlign w:val="center"/>
          </w:tcPr>
          <w:p w14:paraId="57B3F1F8">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技术方案（实施方案）</w:t>
            </w:r>
          </w:p>
        </w:tc>
        <w:tc>
          <w:tcPr>
            <w:tcW w:w="1559" w:type="dxa"/>
            <w:vAlign w:val="center"/>
          </w:tcPr>
          <w:p w14:paraId="015CC6B3">
            <w:pPr>
              <w:jc w:val="center"/>
              <w:rPr>
                <w:szCs w:val="21"/>
              </w:rPr>
            </w:pPr>
          </w:p>
        </w:tc>
        <w:tc>
          <w:tcPr>
            <w:tcW w:w="1560" w:type="dxa"/>
            <w:tcBorders>
              <w:top w:val="single" w:color="auto" w:sz="4" w:space="0"/>
            </w:tcBorders>
            <w:vAlign w:val="center"/>
          </w:tcPr>
          <w:p w14:paraId="4563463F">
            <w:pPr>
              <w:snapToGrid w:val="0"/>
              <w:spacing w:line="400" w:lineRule="exact"/>
              <w:rPr>
                <w:rFonts w:ascii="宋体" w:hAnsi="宋体" w:cs="微软雅黑"/>
                <w:szCs w:val="21"/>
              </w:rPr>
            </w:pPr>
          </w:p>
        </w:tc>
        <w:tc>
          <w:tcPr>
            <w:tcW w:w="2018" w:type="dxa"/>
            <w:tcBorders>
              <w:top w:val="single" w:color="auto" w:sz="4" w:space="0"/>
            </w:tcBorders>
            <w:vAlign w:val="center"/>
          </w:tcPr>
          <w:p w14:paraId="6F39106B">
            <w:pPr>
              <w:snapToGrid w:val="0"/>
              <w:spacing w:line="400" w:lineRule="exact"/>
              <w:rPr>
                <w:rFonts w:ascii="宋体" w:hAnsi="宋体" w:cs="微软雅黑"/>
                <w:szCs w:val="21"/>
              </w:rPr>
            </w:pPr>
          </w:p>
        </w:tc>
      </w:tr>
      <w:tr w14:paraId="46BF2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D7FC976">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14</w:t>
            </w:r>
          </w:p>
        </w:tc>
        <w:tc>
          <w:tcPr>
            <w:tcW w:w="3751" w:type="dxa"/>
            <w:vAlign w:val="center"/>
          </w:tcPr>
          <w:p w14:paraId="350F82C9">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售后服务方案</w:t>
            </w:r>
          </w:p>
        </w:tc>
        <w:tc>
          <w:tcPr>
            <w:tcW w:w="1559" w:type="dxa"/>
            <w:vAlign w:val="center"/>
          </w:tcPr>
          <w:p w14:paraId="3EFB999B">
            <w:pPr>
              <w:jc w:val="center"/>
              <w:rPr>
                <w:szCs w:val="21"/>
              </w:rPr>
            </w:pPr>
          </w:p>
        </w:tc>
        <w:tc>
          <w:tcPr>
            <w:tcW w:w="1560" w:type="dxa"/>
            <w:vAlign w:val="center"/>
          </w:tcPr>
          <w:p w14:paraId="01448EBB">
            <w:pPr>
              <w:snapToGrid w:val="0"/>
              <w:spacing w:line="400" w:lineRule="exact"/>
              <w:rPr>
                <w:rFonts w:ascii="宋体" w:hAnsi="宋体" w:cs="微软雅黑"/>
                <w:szCs w:val="21"/>
              </w:rPr>
            </w:pPr>
          </w:p>
        </w:tc>
        <w:tc>
          <w:tcPr>
            <w:tcW w:w="2018" w:type="dxa"/>
            <w:vAlign w:val="center"/>
          </w:tcPr>
          <w:p w14:paraId="28FA2AD3">
            <w:pPr>
              <w:snapToGrid w:val="0"/>
              <w:spacing w:line="400" w:lineRule="exact"/>
              <w:rPr>
                <w:rFonts w:ascii="宋体" w:hAnsi="宋体" w:cs="微软雅黑"/>
                <w:szCs w:val="21"/>
              </w:rPr>
            </w:pPr>
          </w:p>
        </w:tc>
      </w:tr>
      <w:tr w14:paraId="153B4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CC1A314">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15</w:t>
            </w:r>
          </w:p>
        </w:tc>
        <w:tc>
          <w:tcPr>
            <w:tcW w:w="3751" w:type="dxa"/>
            <w:vAlign w:val="center"/>
          </w:tcPr>
          <w:p w14:paraId="6E36EC52">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业绩情况表</w:t>
            </w:r>
          </w:p>
        </w:tc>
        <w:tc>
          <w:tcPr>
            <w:tcW w:w="1559" w:type="dxa"/>
            <w:vAlign w:val="center"/>
          </w:tcPr>
          <w:p w14:paraId="6EB9B86D">
            <w:pPr>
              <w:jc w:val="center"/>
              <w:rPr>
                <w:szCs w:val="21"/>
              </w:rPr>
            </w:pPr>
          </w:p>
        </w:tc>
        <w:tc>
          <w:tcPr>
            <w:tcW w:w="1560" w:type="dxa"/>
            <w:vAlign w:val="center"/>
          </w:tcPr>
          <w:p w14:paraId="648C5038">
            <w:pPr>
              <w:snapToGrid w:val="0"/>
              <w:spacing w:line="400" w:lineRule="exact"/>
              <w:rPr>
                <w:rFonts w:ascii="宋体" w:hAnsi="宋体" w:cs="微软雅黑"/>
                <w:szCs w:val="21"/>
              </w:rPr>
            </w:pPr>
          </w:p>
        </w:tc>
        <w:tc>
          <w:tcPr>
            <w:tcW w:w="2018" w:type="dxa"/>
            <w:vAlign w:val="center"/>
          </w:tcPr>
          <w:p w14:paraId="576784DD">
            <w:pPr>
              <w:snapToGrid w:val="0"/>
              <w:spacing w:line="400" w:lineRule="exact"/>
              <w:rPr>
                <w:rFonts w:ascii="宋体" w:hAnsi="宋体" w:cs="微软雅黑"/>
                <w:szCs w:val="21"/>
              </w:rPr>
            </w:pPr>
          </w:p>
        </w:tc>
      </w:tr>
      <w:tr w14:paraId="4A876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D25E9CC">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16</w:t>
            </w:r>
          </w:p>
        </w:tc>
        <w:tc>
          <w:tcPr>
            <w:tcW w:w="3751" w:type="dxa"/>
            <w:vAlign w:val="center"/>
          </w:tcPr>
          <w:p w14:paraId="71F50B86">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政府强制采购节能产品品目清单情况</w:t>
            </w:r>
          </w:p>
        </w:tc>
        <w:tc>
          <w:tcPr>
            <w:tcW w:w="1559" w:type="dxa"/>
            <w:vAlign w:val="center"/>
          </w:tcPr>
          <w:p w14:paraId="53BECF2E">
            <w:pPr>
              <w:jc w:val="center"/>
              <w:rPr>
                <w:szCs w:val="21"/>
              </w:rPr>
            </w:pPr>
          </w:p>
        </w:tc>
        <w:tc>
          <w:tcPr>
            <w:tcW w:w="1560" w:type="dxa"/>
            <w:vAlign w:val="center"/>
          </w:tcPr>
          <w:p w14:paraId="125FCEE5">
            <w:pPr>
              <w:snapToGrid w:val="0"/>
              <w:spacing w:line="400" w:lineRule="exact"/>
              <w:rPr>
                <w:rFonts w:ascii="宋体" w:hAnsi="宋体" w:cs="微软雅黑"/>
                <w:szCs w:val="21"/>
              </w:rPr>
            </w:pPr>
          </w:p>
        </w:tc>
        <w:tc>
          <w:tcPr>
            <w:tcW w:w="2018" w:type="dxa"/>
            <w:vAlign w:val="center"/>
          </w:tcPr>
          <w:p w14:paraId="786B316B">
            <w:pPr>
              <w:snapToGrid w:val="0"/>
              <w:spacing w:line="400" w:lineRule="exact"/>
              <w:rPr>
                <w:rFonts w:ascii="宋体" w:hAnsi="宋体" w:cs="微软雅黑"/>
                <w:szCs w:val="21"/>
              </w:rPr>
            </w:pPr>
          </w:p>
        </w:tc>
      </w:tr>
      <w:tr w14:paraId="5AC79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32EC11C">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17</w:t>
            </w:r>
          </w:p>
        </w:tc>
        <w:tc>
          <w:tcPr>
            <w:tcW w:w="3751" w:type="dxa"/>
            <w:vAlign w:val="center"/>
          </w:tcPr>
          <w:p w14:paraId="22225194">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优先采购节能产品政府采购品目清单情况</w:t>
            </w:r>
          </w:p>
        </w:tc>
        <w:tc>
          <w:tcPr>
            <w:tcW w:w="1559" w:type="dxa"/>
            <w:vAlign w:val="center"/>
          </w:tcPr>
          <w:p w14:paraId="10B74D12">
            <w:pPr>
              <w:jc w:val="center"/>
              <w:rPr>
                <w:szCs w:val="21"/>
              </w:rPr>
            </w:pPr>
          </w:p>
        </w:tc>
        <w:tc>
          <w:tcPr>
            <w:tcW w:w="1560" w:type="dxa"/>
            <w:vAlign w:val="center"/>
          </w:tcPr>
          <w:p w14:paraId="298912B3">
            <w:pPr>
              <w:snapToGrid w:val="0"/>
              <w:spacing w:line="400" w:lineRule="exact"/>
              <w:rPr>
                <w:rFonts w:ascii="宋体" w:hAnsi="宋体" w:cs="微软雅黑"/>
                <w:szCs w:val="21"/>
              </w:rPr>
            </w:pPr>
          </w:p>
        </w:tc>
        <w:tc>
          <w:tcPr>
            <w:tcW w:w="2018" w:type="dxa"/>
            <w:vAlign w:val="center"/>
          </w:tcPr>
          <w:p w14:paraId="6D85CCCA">
            <w:pPr>
              <w:snapToGrid w:val="0"/>
              <w:spacing w:line="400" w:lineRule="exact"/>
              <w:rPr>
                <w:rFonts w:ascii="宋体" w:hAnsi="宋体" w:cs="微软雅黑"/>
                <w:szCs w:val="21"/>
              </w:rPr>
            </w:pPr>
          </w:p>
        </w:tc>
      </w:tr>
      <w:tr w14:paraId="163D2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E9428F0">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18</w:t>
            </w:r>
          </w:p>
        </w:tc>
        <w:tc>
          <w:tcPr>
            <w:tcW w:w="3751" w:type="dxa"/>
            <w:vAlign w:val="center"/>
          </w:tcPr>
          <w:p w14:paraId="005CAAFF">
            <w:pPr>
              <w:pStyle w:val="15"/>
              <w:kinsoku w:val="0"/>
              <w:overflowPunct w:val="0"/>
              <w:autoSpaceDE w:val="0"/>
              <w:autoSpaceDN w:val="0"/>
              <w:spacing w:line="320" w:lineRule="exact"/>
              <w:rPr>
                <w:rFonts w:hAnsi="宋体" w:cs="微软雅黑"/>
                <w:bCs/>
                <w:kern w:val="0"/>
                <w:sz w:val="21"/>
                <w:szCs w:val="21"/>
              </w:rPr>
            </w:pPr>
            <w:r>
              <w:rPr>
                <w:rFonts w:hint="eastAsia" w:ascii="宋体" w:hAnsi="宋体"/>
                <w:sz w:val="21"/>
                <w:szCs w:val="21"/>
                <w:lang w:val="en-GB"/>
              </w:rPr>
              <w:t>优先采购环境标志产品政府采购品目清单情况</w:t>
            </w:r>
          </w:p>
        </w:tc>
        <w:tc>
          <w:tcPr>
            <w:tcW w:w="1559" w:type="dxa"/>
            <w:vAlign w:val="center"/>
          </w:tcPr>
          <w:p w14:paraId="01FFB52A">
            <w:pPr>
              <w:jc w:val="center"/>
              <w:rPr>
                <w:szCs w:val="21"/>
              </w:rPr>
            </w:pPr>
          </w:p>
        </w:tc>
        <w:tc>
          <w:tcPr>
            <w:tcW w:w="1560" w:type="dxa"/>
            <w:vAlign w:val="center"/>
          </w:tcPr>
          <w:p w14:paraId="053D4F5C">
            <w:pPr>
              <w:snapToGrid w:val="0"/>
              <w:spacing w:line="400" w:lineRule="exact"/>
              <w:rPr>
                <w:rFonts w:ascii="宋体" w:hAnsi="宋体" w:cs="微软雅黑"/>
                <w:szCs w:val="21"/>
              </w:rPr>
            </w:pPr>
          </w:p>
        </w:tc>
        <w:tc>
          <w:tcPr>
            <w:tcW w:w="2018" w:type="dxa"/>
            <w:vAlign w:val="center"/>
          </w:tcPr>
          <w:p w14:paraId="1CD9B21F">
            <w:pPr>
              <w:snapToGrid w:val="0"/>
              <w:spacing w:line="400" w:lineRule="exact"/>
              <w:rPr>
                <w:rFonts w:ascii="宋体" w:hAnsi="宋体" w:cs="微软雅黑"/>
                <w:szCs w:val="21"/>
              </w:rPr>
            </w:pPr>
          </w:p>
        </w:tc>
      </w:tr>
      <w:tr w14:paraId="34E55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2623FF1">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19</w:t>
            </w:r>
          </w:p>
        </w:tc>
        <w:tc>
          <w:tcPr>
            <w:tcW w:w="3751" w:type="dxa"/>
            <w:vAlign w:val="center"/>
          </w:tcPr>
          <w:p w14:paraId="28323FD2">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中小企业声明函</w:t>
            </w:r>
          </w:p>
        </w:tc>
        <w:tc>
          <w:tcPr>
            <w:tcW w:w="1559" w:type="dxa"/>
            <w:vAlign w:val="center"/>
          </w:tcPr>
          <w:p w14:paraId="33923F11">
            <w:pPr>
              <w:jc w:val="center"/>
              <w:rPr>
                <w:szCs w:val="21"/>
              </w:rPr>
            </w:pPr>
          </w:p>
        </w:tc>
        <w:tc>
          <w:tcPr>
            <w:tcW w:w="1560" w:type="dxa"/>
            <w:vAlign w:val="center"/>
          </w:tcPr>
          <w:p w14:paraId="6458205F">
            <w:pPr>
              <w:snapToGrid w:val="0"/>
              <w:spacing w:line="400" w:lineRule="exact"/>
              <w:rPr>
                <w:rFonts w:ascii="宋体" w:hAnsi="宋体" w:cs="微软雅黑"/>
                <w:szCs w:val="21"/>
              </w:rPr>
            </w:pPr>
          </w:p>
        </w:tc>
        <w:tc>
          <w:tcPr>
            <w:tcW w:w="2018" w:type="dxa"/>
            <w:vAlign w:val="center"/>
          </w:tcPr>
          <w:p w14:paraId="012BEA40">
            <w:pPr>
              <w:snapToGrid w:val="0"/>
              <w:spacing w:line="400" w:lineRule="exact"/>
              <w:rPr>
                <w:rFonts w:ascii="宋体" w:hAnsi="宋体" w:cs="微软雅黑"/>
                <w:szCs w:val="21"/>
              </w:rPr>
            </w:pPr>
          </w:p>
        </w:tc>
      </w:tr>
      <w:tr w14:paraId="47A08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C16AC14">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20</w:t>
            </w:r>
          </w:p>
        </w:tc>
        <w:tc>
          <w:tcPr>
            <w:tcW w:w="3751" w:type="dxa"/>
            <w:vAlign w:val="center"/>
          </w:tcPr>
          <w:p w14:paraId="6FFEB97F">
            <w:pPr>
              <w:pStyle w:val="15"/>
              <w:kinsoku w:val="0"/>
              <w:overflowPunct w:val="0"/>
              <w:autoSpaceDE w:val="0"/>
              <w:autoSpaceDN w:val="0"/>
              <w:spacing w:line="320" w:lineRule="exact"/>
              <w:rPr>
                <w:rFonts w:hAnsi="宋体" w:cs="微软雅黑"/>
                <w:bCs/>
                <w:kern w:val="0"/>
                <w:sz w:val="21"/>
                <w:szCs w:val="21"/>
              </w:rPr>
            </w:pPr>
            <w:r>
              <w:rPr>
                <w:rFonts w:hint="eastAsia" w:cs="仿宋_GB2312" w:asciiTheme="minorEastAsia" w:hAnsiTheme="minorEastAsia" w:eastAsiaTheme="minorEastAsia"/>
                <w:sz w:val="21"/>
                <w:szCs w:val="21"/>
                <w:lang w:val="zh-CN"/>
              </w:rPr>
              <w:t>残疾人福利性单位声明函</w:t>
            </w:r>
          </w:p>
        </w:tc>
        <w:tc>
          <w:tcPr>
            <w:tcW w:w="1559" w:type="dxa"/>
            <w:vAlign w:val="center"/>
          </w:tcPr>
          <w:p w14:paraId="282C54EA">
            <w:pPr>
              <w:jc w:val="center"/>
              <w:rPr>
                <w:szCs w:val="21"/>
              </w:rPr>
            </w:pPr>
          </w:p>
        </w:tc>
        <w:tc>
          <w:tcPr>
            <w:tcW w:w="1560" w:type="dxa"/>
            <w:vAlign w:val="center"/>
          </w:tcPr>
          <w:p w14:paraId="085A3513">
            <w:pPr>
              <w:snapToGrid w:val="0"/>
              <w:spacing w:line="400" w:lineRule="exact"/>
              <w:rPr>
                <w:rFonts w:ascii="宋体" w:hAnsi="宋体" w:cs="微软雅黑"/>
                <w:szCs w:val="21"/>
              </w:rPr>
            </w:pPr>
          </w:p>
        </w:tc>
        <w:tc>
          <w:tcPr>
            <w:tcW w:w="2018" w:type="dxa"/>
            <w:vAlign w:val="center"/>
          </w:tcPr>
          <w:p w14:paraId="49C5B909">
            <w:pPr>
              <w:snapToGrid w:val="0"/>
              <w:spacing w:line="400" w:lineRule="exact"/>
              <w:rPr>
                <w:rFonts w:ascii="宋体" w:hAnsi="宋体" w:cs="微软雅黑"/>
                <w:szCs w:val="21"/>
              </w:rPr>
            </w:pPr>
          </w:p>
        </w:tc>
      </w:tr>
      <w:tr w14:paraId="568F1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4BBB4CF">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21</w:t>
            </w:r>
          </w:p>
        </w:tc>
        <w:tc>
          <w:tcPr>
            <w:tcW w:w="3751" w:type="dxa"/>
            <w:vAlign w:val="center"/>
          </w:tcPr>
          <w:p w14:paraId="77689B5A">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监狱企业证明文件</w:t>
            </w:r>
          </w:p>
        </w:tc>
        <w:tc>
          <w:tcPr>
            <w:tcW w:w="1559" w:type="dxa"/>
            <w:vAlign w:val="center"/>
          </w:tcPr>
          <w:p w14:paraId="4879827C">
            <w:pPr>
              <w:jc w:val="center"/>
              <w:rPr>
                <w:szCs w:val="21"/>
              </w:rPr>
            </w:pPr>
          </w:p>
        </w:tc>
        <w:tc>
          <w:tcPr>
            <w:tcW w:w="1560" w:type="dxa"/>
            <w:vAlign w:val="center"/>
          </w:tcPr>
          <w:p w14:paraId="4BCA3C54">
            <w:pPr>
              <w:snapToGrid w:val="0"/>
              <w:spacing w:line="400" w:lineRule="exact"/>
              <w:rPr>
                <w:rFonts w:ascii="宋体" w:hAnsi="宋体" w:cs="微软雅黑"/>
                <w:szCs w:val="21"/>
              </w:rPr>
            </w:pPr>
          </w:p>
        </w:tc>
        <w:tc>
          <w:tcPr>
            <w:tcW w:w="2018" w:type="dxa"/>
            <w:vAlign w:val="center"/>
          </w:tcPr>
          <w:p w14:paraId="596259A0">
            <w:pPr>
              <w:snapToGrid w:val="0"/>
              <w:spacing w:line="400" w:lineRule="exact"/>
              <w:rPr>
                <w:rFonts w:ascii="宋体" w:hAnsi="宋体" w:cs="微软雅黑"/>
                <w:szCs w:val="21"/>
              </w:rPr>
            </w:pPr>
          </w:p>
        </w:tc>
      </w:tr>
      <w:tr w14:paraId="26401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vAlign w:val="center"/>
          </w:tcPr>
          <w:p w14:paraId="70CA5885">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22</w:t>
            </w:r>
          </w:p>
        </w:tc>
        <w:tc>
          <w:tcPr>
            <w:tcW w:w="3751" w:type="dxa"/>
            <w:vAlign w:val="center"/>
          </w:tcPr>
          <w:p w14:paraId="3C08DDF8">
            <w:pPr>
              <w:pStyle w:val="15"/>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cs="宋体" w:asciiTheme="minorEastAsia" w:hAnsiTheme="minorEastAsia"/>
                <w:bCs/>
                <w:sz w:val="21"/>
                <w:szCs w:val="21"/>
                <w:lang w:val="zh-CN"/>
              </w:rPr>
              <w:t>中国信息安全认证中心按国家标准认证颁发的</w:t>
            </w:r>
            <w:r>
              <w:rPr>
                <w:rFonts w:cs="宋体" w:asciiTheme="minorEastAsia" w:hAnsiTheme="minorEastAsia"/>
                <w:kern w:val="0"/>
                <w:sz w:val="21"/>
                <w:szCs w:val="21"/>
              </w:rPr>
              <w:t>信息安全产品</w:t>
            </w:r>
            <w:r>
              <w:rPr>
                <w:rFonts w:hint="eastAsia" w:cs="宋体" w:asciiTheme="minorEastAsia" w:hAnsiTheme="minorEastAsia"/>
                <w:bCs/>
                <w:sz w:val="21"/>
                <w:szCs w:val="21"/>
                <w:lang w:val="zh-CN"/>
              </w:rPr>
              <w:t>有效认证证书</w:t>
            </w:r>
          </w:p>
        </w:tc>
        <w:tc>
          <w:tcPr>
            <w:tcW w:w="1559" w:type="dxa"/>
            <w:vAlign w:val="center"/>
          </w:tcPr>
          <w:p w14:paraId="106F9F73">
            <w:pPr>
              <w:pStyle w:val="15"/>
              <w:rPr>
                <w:sz w:val="21"/>
                <w:szCs w:val="21"/>
              </w:rPr>
            </w:pPr>
          </w:p>
        </w:tc>
        <w:tc>
          <w:tcPr>
            <w:tcW w:w="1560" w:type="dxa"/>
            <w:vAlign w:val="center"/>
          </w:tcPr>
          <w:p w14:paraId="526E5534">
            <w:pPr>
              <w:snapToGrid w:val="0"/>
              <w:spacing w:line="400" w:lineRule="exact"/>
              <w:rPr>
                <w:rFonts w:ascii="宋体" w:hAnsi="宋体" w:cs="微软雅黑"/>
                <w:szCs w:val="21"/>
              </w:rPr>
            </w:pPr>
          </w:p>
        </w:tc>
        <w:tc>
          <w:tcPr>
            <w:tcW w:w="2018" w:type="dxa"/>
            <w:vAlign w:val="center"/>
          </w:tcPr>
          <w:p w14:paraId="5DD69141">
            <w:pPr>
              <w:snapToGrid w:val="0"/>
              <w:spacing w:line="400" w:lineRule="exact"/>
              <w:rPr>
                <w:rFonts w:ascii="宋体" w:hAnsi="宋体" w:cs="微软雅黑"/>
                <w:szCs w:val="21"/>
              </w:rPr>
            </w:pPr>
          </w:p>
        </w:tc>
      </w:tr>
      <w:tr w14:paraId="7BEE0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14:paraId="734773F5">
            <w:pPr>
              <w:adjustRightInd w:val="0"/>
              <w:snapToGrid w:val="0"/>
              <w:spacing w:line="400" w:lineRule="exact"/>
              <w:jc w:val="center"/>
              <w:textAlignment w:val="baseline"/>
              <w:rPr>
                <w:rFonts w:ascii="宋体" w:hAnsi="宋体" w:cs="微软雅黑"/>
                <w:szCs w:val="21"/>
              </w:rPr>
            </w:pPr>
            <w:r>
              <w:rPr>
                <w:rFonts w:hint="eastAsia" w:ascii="宋体" w:hAnsi="宋体" w:cs="微软雅黑"/>
                <w:szCs w:val="21"/>
              </w:rPr>
              <w:t>23</w:t>
            </w:r>
          </w:p>
        </w:tc>
        <w:tc>
          <w:tcPr>
            <w:tcW w:w="3751" w:type="dxa"/>
            <w:tcBorders>
              <w:bottom w:val="single" w:color="auto" w:sz="4" w:space="0"/>
            </w:tcBorders>
            <w:vAlign w:val="center"/>
          </w:tcPr>
          <w:p w14:paraId="0BDDB440">
            <w:pPr>
              <w:pStyle w:val="15"/>
              <w:kinsoku w:val="0"/>
              <w:overflowPunct w:val="0"/>
              <w:autoSpaceDE w:val="0"/>
              <w:autoSpaceDN w:val="0"/>
              <w:spacing w:line="320" w:lineRule="exact"/>
              <w:rPr>
                <w:rFonts w:hAnsi="宋体" w:cs="微软雅黑"/>
                <w:bCs/>
                <w:kern w:val="0"/>
                <w:sz w:val="21"/>
                <w:szCs w:val="21"/>
              </w:rPr>
            </w:pPr>
            <w:r>
              <w:rPr>
                <w:rFonts w:hint="eastAsia" w:hAnsi="宋体" w:cs="微软雅黑"/>
                <w:bCs/>
                <w:kern w:val="0"/>
                <w:sz w:val="21"/>
                <w:szCs w:val="21"/>
              </w:rPr>
              <w:t>其它资料</w:t>
            </w:r>
          </w:p>
        </w:tc>
        <w:tc>
          <w:tcPr>
            <w:tcW w:w="1559" w:type="dxa"/>
            <w:vAlign w:val="center"/>
          </w:tcPr>
          <w:p w14:paraId="5CCE260A">
            <w:pPr>
              <w:pStyle w:val="15"/>
              <w:rPr>
                <w:szCs w:val="21"/>
              </w:rPr>
            </w:pPr>
          </w:p>
        </w:tc>
        <w:tc>
          <w:tcPr>
            <w:tcW w:w="1560" w:type="dxa"/>
            <w:vAlign w:val="center"/>
          </w:tcPr>
          <w:p w14:paraId="2EB9DB71">
            <w:pPr>
              <w:snapToGrid w:val="0"/>
              <w:spacing w:line="400" w:lineRule="exact"/>
              <w:rPr>
                <w:rFonts w:ascii="宋体" w:hAnsi="宋体" w:cs="微软雅黑"/>
                <w:szCs w:val="21"/>
              </w:rPr>
            </w:pPr>
          </w:p>
        </w:tc>
        <w:tc>
          <w:tcPr>
            <w:tcW w:w="2018" w:type="dxa"/>
            <w:vAlign w:val="center"/>
          </w:tcPr>
          <w:p w14:paraId="56D7E956">
            <w:pPr>
              <w:snapToGrid w:val="0"/>
              <w:spacing w:line="400" w:lineRule="exact"/>
              <w:rPr>
                <w:rFonts w:ascii="宋体" w:hAnsi="宋体" w:cs="微软雅黑"/>
                <w:szCs w:val="21"/>
              </w:rPr>
            </w:pPr>
          </w:p>
        </w:tc>
      </w:tr>
    </w:tbl>
    <w:p w14:paraId="2A578A2E">
      <w:pPr>
        <w:pStyle w:val="15"/>
        <w:spacing w:line="360" w:lineRule="auto"/>
        <w:jc w:val="center"/>
        <w:rPr>
          <w:rFonts w:asciiTheme="majorEastAsia" w:hAnsiTheme="majorEastAsia" w:eastAsiaTheme="majorEastAsia"/>
          <w:b/>
          <w:snapToGrid w:val="0"/>
          <w:kern w:val="0"/>
          <w:sz w:val="28"/>
          <w:szCs w:val="28"/>
        </w:rPr>
      </w:pPr>
    </w:p>
    <w:p w14:paraId="4736D06D">
      <w:pPr>
        <w:widowControl/>
        <w:jc w:val="left"/>
        <w:rPr>
          <w:rFonts w:asciiTheme="majorEastAsia" w:hAnsiTheme="majorEastAsia" w:eastAsiaTheme="majorEastAsia"/>
          <w:b/>
          <w:snapToGrid w:val="0"/>
          <w:kern w:val="0"/>
          <w:sz w:val="28"/>
          <w:szCs w:val="28"/>
        </w:rPr>
      </w:pPr>
      <w:r>
        <w:rPr>
          <w:rFonts w:asciiTheme="majorEastAsia" w:hAnsiTheme="majorEastAsia" w:eastAsiaTheme="majorEastAsia"/>
          <w:b/>
          <w:snapToGrid w:val="0"/>
          <w:kern w:val="0"/>
          <w:sz w:val="28"/>
          <w:szCs w:val="28"/>
        </w:rPr>
        <w:br w:type="page"/>
      </w:r>
    </w:p>
    <w:p w14:paraId="334E8DE4">
      <w:pPr>
        <w:pStyle w:val="15"/>
        <w:spacing w:line="360" w:lineRule="auto"/>
        <w:jc w:val="center"/>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二、开标一览表</w:t>
      </w:r>
    </w:p>
    <w:p w14:paraId="6B64BDF0">
      <w:pPr>
        <w:pStyle w:val="15"/>
        <w:spacing w:line="360" w:lineRule="auto"/>
        <w:jc w:val="center"/>
        <w:rPr>
          <w:rFonts w:asciiTheme="majorEastAsia" w:hAnsiTheme="majorEastAsia" w:eastAsiaTheme="majorEastAsia"/>
          <w:b/>
          <w:snapToGrid w:val="0"/>
          <w:kern w:val="0"/>
          <w:sz w:val="28"/>
          <w:szCs w:val="28"/>
        </w:rPr>
      </w:pPr>
    </w:p>
    <w:p w14:paraId="10F39E05">
      <w:pPr>
        <w:spacing w:before="50" w:after="156"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66A8B611">
      <w:pPr>
        <w:spacing w:line="360" w:lineRule="auto"/>
        <w:contextualSpacing/>
        <w:rPr>
          <w:rFonts w:asciiTheme="minorEastAsia" w:hAnsiTheme="minorEastAsia"/>
          <w:szCs w:val="21"/>
        </w:rPr>
      </w:pPr>
      <w:r>
        <w:rPr>
          <w:rFonts w:hint="eastAsia" w:asciiTheme="minorEastAsia" w:hAnsiTheme="minorEastAsia"/>
          <w:szCs w:val="21"/>
        </w:rPr>
        <w:t xml:space="preserve">项目名称：                                                      </w:t>
      </w:r>
      <w:r>
        <w:rPr>
          <w:rFonts w:hint="eastAsia" w:cs="Arial" w:asciiTheme="minorEastAsia" w:hAnsiTheme="minorEastAsia"/>
          <w:szCs w:val="21"/>
        </w:rPr>
        <w:t>单位：元（人民币）</w:t>
      </w:r>
    </w:p>
    <w:tbl>
      <w:tblPr>
        <w:tblStyle w:val="24"/>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314C6641">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00B163A">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BFEDEF0">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5980137">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投标报价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A3710BB">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交付日期</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A3567CA">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备注</w:t>
            </w:r>
          </w:p>
        </w:tc>
      </w:tr>
      <w:tr w14:paraId="2C15BA0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194A929C">
            <w:pPr>
              <w:autoSpaceDE w:val="0"/>
              <w:autoSpaceDN w:val="0"/>
              <w:adjustRightInd w:val="0"/>
              <w:spacing w:line="480" w:lineRule="exact"/>
              <w:ind w:firstLine="240"/>
              <w:rPr>
                <w:rFonts w:asciiTheme="minorEastAsia" w:hAnsiTheme="minorEastAsia"/>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485A370D">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403BDD48">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5523419F">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7A73A9ED">
            <w:pPr>
              <w:autoSpaceDE w:val="0"/>
              <w:autoSpaceDN w:val="0"/>
              <w:adjustRightInd w:val="0"/>
              <w:spacing w:line="480" w:lineRule="exact"/>
              <w:ind w:firstLine="240"/>
              <w:rPr>
                <w:rFonts w:cs="宋体" w:asciiTheme="minorEastAsia" w:hAnsiTheme="minorEastAsia"/>
                <w:szCs w:val="21"/>
                <w:lang w:val="zh-CN"/>
              </w:rPr>
            </w:pPr>
          </w:p>
        </w:tc>
      </w:tr>
      <w:tr w14:paraId="77241E5C">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242541A1">
            <w:pPr>
              <w:autoSpaceDE w:val="0"/>
              <w:autoSpaceDN w:val="0"/>
              <w:adjustRightInd w:val="0"/>
              <w:spacing w:line="480" w:lineRule="exact"/>
              <w:ind w:firstLine="240"/>
              <w:rPr>
                <w:rFonts w:asciiTheme="minorEastAsia" w:hAnsiTheme="minorEastAsia"/>
                <w:szCs w:val="21"/>
              </w:rPr>
            </w:pPr>
            <w:r>
              <w:rPr>
                <w:rFonts w:cs="Arial" w:asciiTheme="minorEastAsia" w:hAnsiTheme="minorEastAsia"/>
                <w:szCs w:val="21"/>
              </w:rPr>
              <w:t>…</w:t>
            </w:r>
          </w:p>
        </w:tc>
        <w:tc>
          <w:tcPr>
            <w:tcW w:w="1843" w:type="dxa"/>
            <w:tcBorders>
              <w:top w:val="single" w:color="auto" w:sz="6" w:space="0"/>
              <w:left w:val="single" w:color="auto" w:sz="6" w:space="0"/>
              <w:bottom w:val="single" w:color="auto" w:sz="6" w:space="0"/>
              <w:right w:val="single" w:color="auto" w:sz="6" w:space="0"/>
            </w:tcBorders>
            <w:vAlign w:val="center"/>
          </w:tcPr>
          <w:p w14:paraId="7B93222B">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455D04A7">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0892D137">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5F137004">
            <w:pPr>
              <w:autoSpaceDE w:val="0"/>
              <w:autoSpaceDN w:val="0"/>
              <w:adjustRightInd w:val="0"/>
              <w:spacing w:line="480" w:lineRule="exact"/>
              <w:ind w:firstLine="240"/>
              <w:rPr>
                <w:rFonts w:cs="宋体" w:asciiTheme="minorEastAsia" w:hAnsiTheme="minorEastAsia"/>
                <w:szCs w:val="21"/>
                <w:lang w:val="zh-CN"/>
              </w:rPr>
            </w:pPr>
          </w:p>
        </w:tc>
      </w:tr>
    </w:tbl>
    <w:p w14:paraId="00911A40">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投标人名称：</w:t>
      </w:r>
      <w:r>
        <w:rPr>
          <w:rFonts w:hint="eastAsia" w:cs="宋体" w:asciiTheme="minorEastAsia" w:hAnsiTheme="minorEastAsia"/>
          <w:szCs w:val="21"/>
          <w:u w:val="single"/>
          <w:lang w:val="zh-CN"/>
        </w:rPr>
        <w:t xml:space="preserve">     （全称）   </w:t>
      </w:r>
      <w:r>
        <w:rPr>
          <w:rFonts w:hint="eastAsia" w:cs="宋体" w:asciiTheme="minorEastAsia" w:hAnsiTheme="minorEastAsia"/>
          <w:szCs w:val="21"/>
          <w:lang w:val="zh-CN"/>
        </w:rPr>
        <w:t>（公章）：</w:t>
      </w:r>
    </w:p>
    <w:p w14:paraId="7E95F06B">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日期：年   月     日</w:t>
      </w:r>
    </w:p>
    <w:p w14:paraId="6728C2F0">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注：1、交付日期指完成该项目的最终时间（日历天）。</w:t>
      </w:r>
    </w:p>
    <w:p w14:paraId="35129073">
      <w:pPr>
        <w:autoSpaceDE w:val="0"/>
        <w:autoSpaceDN w:val="0"/>
        <w:adjustRightInd w:val="0"/>
        <w:spacing w:line="480" w:lineRule="auto"/>
        <w:ind w:firstLine="420" w:firstLineChars="200"/>
        <w:rPr>
          <w:rFonts w:cs="宋体" w:asciiTheme="minorEastAsia" w:hAnsiTheme="minorEastAsia"/>
          <w:szCs w:val="21"/>
          <w:lang w:val="zh-CN"/>
        </w:rPr>
      </w:pPr>
      <w:r>
        <w:rPr>
          <w:rFonts w:hint="eastAsia" w:cs="宋体" w:asciiTheme="minorEastAsia" w:hAnsiTheme="minorEastAsia"/>
          <w:szCs w:val="21"/>
          <w:lang w:val="zh-CN"/>
        </w:rPr>
        <w:t>2、如招标公告明确项目交付日期以年为单位，本表应填写完成该项目的年限。</w:t>
      </w:r>
    </w:p>
    <w:p w14:paraId="4A1EED0C">
      <w:pPr>
        <w:autoSpaceDE w:val="0"/>
        <w:autoSpaceDN w:val="0"/>
        <w:adjustRightInd w:val="0"/>
        <w:spacing w:line="360" w:lineRule="auto"/>
        <w:rPr>
          <w:rFonts w:ascii="宋体" w:cs="宋体"/>
          <w:sz w:val="24"/>
          <w:lang w:val="zh-CN"/>
        </w:rPr>
      </w:pPr>
    </w:p>
    <w:p w14:paraId="132FED84">
      <w:pPr>
        <w:autoSpaceDE w:val="0"/>
        <w:autoSpaceDN w:val="0"/>
        <w:adjustRightInd w:val="0"/>
        <w:spacing w:line="360" w:lineRule="auto"/>
        <w:rPr>
          <w:rFonts w:ascii="宋体" w:cs="宋体"/>
          <w:sz w:val="24"/>
          <w:lang w:val="zh-CN"/>
        </w:rPr>
      </w:pPr>
    </w:p>
    <w:p w14:paraId="6717BA11">
      <w:pPr>
        <w:autoSpaceDE w:val="0"/>
        <w:autoSpaceDN w:val="0"/>
        <w:adjustRightInd w:val="0"/>
        <w:spacing w:line="360" w:lineRule="auto"/>
        <w:rPr>
          <w:rFonts w:ascii="宋体" w:cs="宋体"/>
          <w:sz w:val="24"/>
          <w:lang w:val="zh-CN"/>
        </w:rPr>
      </w:pPr>
    </w:p>
    <w:p w14:paraId="4BA2AB48">
      <w:pPr>
        <w:autoSpaceDE w:val="0"/>
        <w:autoSpaceDN w:val="0"/>
        <w:adjustRightInd w:val="0"/>
        <w:spacing w:line="360" w:lineRule="auto"/>
        <w:rPr>
          <w:rFonts w:ascii="宋体" w:cs="宋体"/>
          <w:sz w:val="24"/>
          <w:lang w:val="zh-CN"/>
        </w:rPr>
      </w:pPr>
    </w:p>
    <w:p w14:paraId="23E0D420">
      <w:pPr>
        <w:autoSpaceDE w:val="0"/>
        <w:autoSpaceDN w:val="0"/>
        <w:adjustRightInd w:val="0"/>
        <w:spacing w:line="360" w:lineRule="auto"/>
        <w:rPr>
          <w:rFonts w:ascii="宋体" w:cs="宋体"/>
          <w:sz w:val="24"/>
          <w:lang w:val="zh-CN"/>
        </w:rPr>
      </w:pPr>
    </w:p>
    <w:p w14:paraId="19C2AE1B">
      <w:pPr>
        <w:autoSpaceDE w:val="0"/>
        <w:autoSpaceDN w:val="0"/>
        <w:adjustRightInd w:val="0"/>
        <w:spacing w:line="360" w:lineRule="auto"/>
        <w:rPr>
          <w:rFonts w:ascii="宋体" w:cs="宋体"/>
          <w:sz w:val="24"/>
          <w:lang w:val="zh-CN"/>
        </w:rPr>
      </w:pPr>
    </w:p>
    <w:p w14:paraId="29066B1E">
      <w:pPr>
        <w:autoSpaceDE w:val="0"/>
        <w:autoSpaceDN w:val="0"/>
        <w:adjustRightInd w:val="0"/>
        <w:spacing w:line="360" w:lineRule="auto"/>
        <w:rPr>
          <w:rFonts w:ascii="宋体" w:cs="宋体"/>
          <w:sz w:val="24"/>
          <w:lang w:val="zh-CN"/>
        </w:rPr>
      </w:pPr>
    </w:p>
    <w:p w14:paraId="7A5BC773">
      <w:pPr>
        <w:autoSpaceDE w:val="0"/>
        <w:autoSpaceDN w:val="0"/>
        <w:adjustRightInd w:val="0"/>
        <w:spacing w:line="360" w:lineRule="auto"/>
        <w:rPr>
          <w:rFonts w:ascii="宋体" w:cs="宋体"/>
          <w:sz w:val="24"/>
          <w:lang w:val="zh-CN"/>
        </w:rPr>
      </w:pPr>
    </w:p>
    <w:p w14:paraId="35EBFE67">
      <w:pPr>
        <w:autoSpaceDE w:val="0"/>
        <w:autoSpaceDN w:val="0"/>
        <w:adjustRightInd w:val="0"/>
        <w:spacing w:line="360" w:lineRule="auto"/>
        <w:rPr>
          <w:rFonts w:ascii="宋体" w:cs="宋体"/>
          <w:sz w:val="24"/>
          <w:lang w:val="zh-CN"/>
        </w:rPr>
      </w:pPr>
    </w:p>
    <w:p w14:paraId="7D474828">
      <w:pPr>
        <w:autoSpaceDE w:val="0"/>
        <w:autoSpaceDN w:val="0"/>
        <w:adjustRightInd w:val="0"/>
        <w:spacing w:line="360" w:lineRule="auto"/>
        <w:rPr>
          <w:rFonts w:ascii="宋体" w:cs="宋体"/>
          <w:sz w:val="24"/>
          <w:lang w:val="zh-CN"/>
        </w:rPr>
      </w:pPr>
    </w:p>
    <w:p w14:paraId="282EBC7E">
      <w:pPr>
        <w:autoSpaceDE w:val="0"/>
        <w:autoSpaceDN w:val="0"/>
        <w:adjustRightInd w:val="0"/>
        <w:spacing w:line="360" w:lineRule="auto"/>
        <w:rPr>
          <w:rFonts w:cs="黑体" w:asciiTheme="minorEastAsia" w:hAnsiTheme="minorEastAsia"/>
          <w:b/>
          <w:bCs/>
          <w:sz w:val="44"/>
          <w:szCs w:val="44"/>
          <w:lang w:val="zh-CN"/>
        </w:rPr>
      </w:pPr>
    </w:p>
    <w:p w14:paraId="5BD93E8E">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三、资格审查证明材料</w:t>
      </w:r>
    </w:p>
    <w:p w14:paraId="0A52AB9A">
      <w:pPr>
        <w:pStyle w:val="15"/>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3.1 投 标 函</w:t>
      </w:r>
    </w:p>
    <w:p w14:paraId="4D005EB5">
      <w:pPr>
        <w:pStyle w:val="15"/>
        <w:spacing w:line="360" w:lineRule="auto"/>
        <w:jc w:val="center"/>
        <w:rPr>
          <w:rFonts w:asciiTheme="majorEastAsia" w:hAnsiTheme="majorEastAsia" w:eastAsiaTheme="majorEastAsia"/>
          <w:b/>
          <w:snapToGrid w:val="0"/>
          <w:kern w:val="0"/>
          <w:sz w:val="28"/>
          <w:szCs w:val="28"/>
        </w:rPr>
      </w:pPr>
    </w:p>
    <w:p w14:paraId="1EFB800B">
      <w:pPr>
        <w:adjustRightInd w:val="0"/>
        <w:spacing w:line="360" w:lineRule="auto"/>
        <w:contextualSpacing/>
        <w:rPr>
          <w:rFonts w:asciiTheme="minorEastAsia" w:hAnsiTheme="minorEastAsia"/>
          <w:b/>
          <w:snapToGrid w:val="0"/>
          <w:kern w:val="0"/>
          <w:szCs w:val="21"/>
        </w:rPr>
      </w:pPr>
      <w:r>
        <w:rPr>
          <w:rFonts w:hint="eastAsia" w:asciiTheme="minorEastAsia" w:hAnsiTheme="minorEastAsia"/>
          <w:snapToGrid w:val="0"/>
          <w:kern w:val="0"/>
          <w:szCs w:val="21"/>
        </w:rPr>
        <w:t>致：禹州市政府采购中心</w:t>
      </w:r>
    </w:p>
    <w:p w14:paraId="6FAB3EC1">
      <w:pPr>
        <w:adjustRightInd w:val="0"/>
        <w:spacing w:line="360" w:lineRule="auto"/>
        <w:ind w:firstLine="420" w:firstLineChars="200"/>
        <w:contextualSpacing/>
        <w:outlineLvl w:val="0"/>
        <w:rPr>
          <w:rFonts w:asciiTheme="minorEastAsia" w:hAnsiTheme="minorEastAsia"/>
          <w:snapToGrid w:val="0"/>
          <w:kern w:val="0"/>
          <w:szCs w:val="21"/>
        </w:rPr>
      </w:pPr>
      <w:r>
        <w:rPr>
          <w:rFonts w:hint="eastAsia" w:asciiTheme="minorEastAsia" w:hAnsiTheme="minorEastAsia"/>
          <w:snapToGrid w:val="0"/>
          <w:kern w:val="0"/>
          <w:szCs w:val="21"/>
        </w:rPr>
        <w:t>根据贵方_</w:t>
      </w:r>
      <w:r>
        <w:rPr>
          <w:rFonts w:hint="eastAsia" w:asciiTheme="minorEastAsia" w:hAnsiTheme="minorEastAsia"/>
          <w:snapToGrid w:val="0"/>
          <w:kern w:val="0"/>
          <w:szCs w:val="21"/>
          <w:u w:val="single"/>
        </w:rPr>
        <w:t xml:space="preserve">_    </w:t>
      </w:r>
      <w:r>
        <w:rPr>
          <w:rFonts w:hint="eastAsia" w:asciiTheme="minorEastAsia" w:hAnsiTheme="minorEastAsia"/>
          <w:snapToGrid w:val="0"/>
          <w:kern w:val="0"/>
          <w:szCs w:val="21"/>
        </w:rPr>
        <w:t>_（项目名称、招标编号）采购的招标公告及投标邀请，_______（姓名和职务）被正式授权并代表投标人（投标人名称、地址）提交。</w:t>
      </w:r>
    </w:p>
    <w:p w14:paraId="1EFE03F5">
      <w:pPr>
        <w:pStyle w:val="15"/>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我方确认收到贵方提供的（项目名称、招标编号）招标文件的全部内容。</w:t>
      </w:r>
    </w:p>
    <w:p w14:paraId="79D97299">
      <w:pPr>
        <w:pStyle w:val="15"/>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和</w:t>
      </w:r>
      <w:r>
        <w:rPr>
          <w:rFonts w:hint="eastAsia" w:asciiTheme="minorEastAsia" w:hAnsiTheme="minorEastAsia" w:eastAsiaTheme="minorEastAsia"/>
          <w:sz w:val="21"/>
          <w:szCs w:val="21"/>
        </w:rPr>
        <w:t>已完全理解并接受招标文件的各项规定和要求及资金支付规定，对招标文件的合理性、合法性不再有异议，</w:t>
      </w:r>
      <w:r>
        <w:rPr>
          <w:rFonts w:hint="eastAsia" w:ascii="宋体" w:hAnsi="宋体"/>
          <w:sz w:val="21"/>
          <w:szCs w:val="21"/>
        </w:rPr>
        <w:t>并承诺在发生争议时不会以对《招标文件》存在误解、不明白的条款为由，对贵中心行使任何法律上的抗辩权。</w:t>
      </w:r>
    </w:p>
    <w:p w14:paraId="7523A2F7">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我方已完全明白招标文件的所有条款要求，并声明如下：</w:t>
      </w:r>
    </w:p>
    <w:p w14:paraId="3AE6D716">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一、按招标文件提供的全部货物与相关服务的投标总价详见《开标一览表》。</w:t>
      </w:r>
    </w:p>
    <w:p w14:paraId="17AB4CCB">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二、</w:t>
      </w:r>
      <w:r>
        <w:rPr>
          <w:rFonts w:hint="eastAsia" w:ascii="宋体" w:hAnsi="宋体"/>
          <w:szCs w:val="21"/>
        </w:rPr>
        <w:t>我方同意在本项目招标文件中规定的开标日起90天内遵守本投标文件中的承诺且在此期限期满之前均具有约束力。我方同意并遵守本招标文件“投标人须知”中第十四条第三款关于延长投标有效期的规定。</w:t>
      </w:r>
      <w:r>
        <w:rPr>
          <w:rFonts w:hint="eastAsia" w:cs="Courier New" w:asciiTheme="minorEastAsia" w:hAnsiTheme="minorEastAsia"/>
          <w:szCs w:val="21"/>
        </w:rPr>
        <w:t>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14:paraId="7A1AEDE2">
      <w:pPr>
        <w:pStyle w:val="22"/>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三、我方明白并同意，在规定的开标日之后，投标有效期之内撤销投标的，则我方承担违背投标承诺的责任追究。</w:t>
      </w:r>
    </w:p>
    <w:p w14:paraId="41956E21">
      <w:pPr>
        <w:pStyle w:val="22"/>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四、我方同意按照贵方可能提出的要求而提供与投标有关的任何其它数据、信息或资料。</w:t>
      </w:r>
    </w:p>
    <w:p w14:paraId="53386212">
      <w:pPr>
        <w:pStyle w:val="22"/>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五、我方理解贵方不一定接受最低投标价或任何贵方可能收到的投标。</w:t>
      </w:r>
    </w:p>
    <w:p w14:paraId="49485321">
      <w:pPr>
        <w:pStyle w:val="22"/>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六、我方如果中标，将保证履行招标文件及其澄清、修改文件（如果有）中的全部责任和义务，按质、按量、按期完成《项目需求》及《合同书》中的全部任务。</w:t>
      </w:r>
    </w:p>
    <w:p w14:paraId="1C4F4D12">
      <w:pPr>
        <w:pStyle w:val="22"/>
        <w:adjustRightInd w:val="0"/>
        <w:spacing w:line="360" w:lineRule="auto"/>
        <w:ind w:firstLine="420" w:firstLineChars="200"/>
        <w:contextualSpacing/>
        <w:rPr>
          <w:rFonts w:cs="宋体" w:asciiTheme="minorEastAsia" w:hAnsiTheme="minorEastAsia" w:eastAsiaTheme="minorEastAsia"/>
          <w:sz w:val="21"/>
          <w:szCs w:val="21"/>
        </w:rPr>
      </w:pPr>
      <w:r>
        <w:rPr>
          <w:rFonts w:hint="eastAsia" w:cs="Courier New" w:asciiTheme="minorEastAsia" w:hAnsiTheme="minorEastAsia" w:eastAsiaTheme="minorEastAsia"/>
          <w:sz w:val="21"/>
          <w:szCs w:val="21"/>
        </w:rPr>
        <w:t>七、我方在此保证所提交的所有文件和全部说明是真实的和正确的。</w:t>
      </w:r>
    </w:p>
    <w:p w14:paraId="2FEC15FE">
      <w:pPr>
        <w:pStyle w:val="15"/>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八、我方投标报价已包含应向知识产权所有权人支付的所有相关税费，并保证采购人在中国使用我方提供的货物时，如有第三方提出侵犯其知识产权主张的，责任由我方承担。 </w:t>
      </w:r>
    </w:p>
    <w:p w14:paraId="7727BAD4">
      <w:pPr>
        <w:pStyle w:val="15"/>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九、我方具备《政府采购法》第二十二条规定的条件；承诺如下：</w:t>
      </w:r>
    </w:p>
    <w:p w14:paraId="188C88B5">
      <w:pPr>
        <w:pStyle w:val="15"/>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 具有独立承担民事责任能力的在中华人民共和国境内注册的法人或其他组织或自然人，有效的营业执照（或事业法人登记证或身份证等相关证明）。</w:t>
      </w:r>
    </w:p>
    <w:p w14:paraId="5CDA813D">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2. 我方已依法缴纳了各项税费及社会保险费用，如有需要，可随时向采购人提供近三个月内的相关缴费证明，以便核查。</w:t>
      </w:r>
    </w:p>
    <w:p w14:paraId="6A6B0C2D">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3. 我方已依法建立健全的财务会计制度，如有需要，可随时向采购人提供相关证明材料，以便核查。</w:t>
      </w:r>
    </w:p>
    <w:p w14:paraId="38EE7941">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4. 参加政府采购活动前三年内，在经营活动中没有重大违法记录。</w:t>
      </w:r>
    </w:p>
    <w:p w14:paraId="7D9074AA">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5. 符合法律、行政法规规定的其他条件。</w:t>
      </w:r>
    </w:p>
    <w:p w14:paraId="374C5CAD">
      <w:pPr>
        <w:adjustRightInd w:val="0"/>
        <w:spacing w:line="360" w:lineRule="auto"/>
        <w:ind w:firstLine="441" w:firstLineChars="210"/>
        <w:contextualSpacing/>
        <w:rPr>
          <w:rFonts w:cs="Arial" w:asciiTheme="minorEastAsia" w:hAnsiTheme="minorEastAsia"/>
          <w:szCs w:val="21"/>
        </w:rPr>
      </w:pPr>
      <w:r>
        <w:rPr>
          <w:rFonts w:hint="eastAsia" w:cs="宋体" w:asciiTheme="minorEastAsia" w:hAnsiTheme="minorEastAsia"/>
          <w:szCs w:val="21"/>
        </w:rPr>
        <w:t>以上内容如有虚假或与事实不符的，评审委员会可将</w:t>
      </w:r>
      <w:r>
        <w:rPr>
          <w:rFonts w:hint="eastAsia" w:cs="Arial" w:asciiTheme="minorEastAsia" w:hAnsiTheme="minorEastAsia"/>
          <w:szCs w:val="21"/>
        </w:rPr>
        <w:t>我方做无效投标处理，我方愿意承担相应的法律责任。</w:t>
      </w:r>
    </w:p>
    <w:p w14:paraId="25384280">
      <w:pPr>
        <w:pStyle w:val="15"/>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十、我方具备履行合同所必需的设备和专业技术能力。</w:t>
      </w:r>
    </w:p>
    <w:p w14:paraId="254581F2">
      <w:pPr>
        <w:pStyle w:val="15"/>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napToGrid w:val="0"/>
          <w:kern w:val="0"/>
          <w:sz w:val="21"/>
          <w:szCs w:val="21"/>
        </w:rPr>
        <w:t>十一、</w:t>
      </w:r>
      <w:r>
        <w:rPr>
          <w:rFonts w:hint="eastAsia" w:asciiTheme="minorEastAsia" w:hAnsiTheme="minorEastAsia" w:eastAsiaTheme="minorEastAsia"/>
          <w:sz w:val="21"/>
          <w:szCs w:val="21"/>
        </w:rPr>
        <w:t>我方对在本函及投标文件中所作的所有承诺承担法律责任。</w:t>
      </w:r>
    </w:p>
    <w:p w14:paraId="6860621B">
      <w:pPr>
        <w:pStyle w:val="15"/>
        <w:adjustRightInd w:val="0"/>
        <w:snapToGrid w:val="0"/>
        <w:spacing w:line="360" w:lineRule="auto"/>
        <w:rPr>
          <w:rFonts w:asciiTheme="minorEastAsia" w:hAnsiTheme="minorEastAsia" w:eastAsiaTheme="minorEastAsia"/>
          <w:sz w:val="21"/>
          <w:szCs w:val="21"/>
        </w:rPr>
      </w:pPr>
    </w:p>
    <w:p w14:paraId="56F86300">
      <w:pPr>
        <w:pStyle w:val="15"/>
        <w:adjustRightInd w:val="0"/>
        <w:snapToGrid w:val="0"/>
        <w:spacing w:line="360" w:lineRule="auto"/>
        <w:rPr>
          <w:rFonts w:asciiTheme="minorEastAsia" w:hAnsiTheme="minorEastAsia" w:eastAsiaTheme="minorEastAsia"/>
          <w:sz w:val="21"/>
          <w:szCs w:val="21"/>
        </w:rPr>
      </w:pPr>
    </w:p>
    <w:p w14:paraId="2F4E7DA8">
      <w:pPr>
        <w:pStyle w:val="15"/>
        <w:adjustRightInd w:val="0"/>
        <w:snapToGrid w:val="0"/>
        <w:spacing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所有与本招标有关的一切正式往来请寄：</w:t>
      </w:r>
    </w:p>
    <w:p w14:paraId="1B0E6E52">
      <w:pPr>
        <w:adjustRightInd w:val="0"/>
        <w:snapToGrid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地    址：  邮政编码：</w:t>
      </w:r>
    </w:p>
    <w:p w14:paraId="6719CCB3">
      <w:pPr>
        <w:adjustRightInd w:val="0"/>
        <w:snapToGrid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电    话：  传    真：</w:t>
      </w:r>
    </w:p>
    <w:p w14:paraId="508F276B">
      <w:pPr>
        <w:adjustRightInd w:val="0"/>
        <w:snapToGrid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投标人代表姓名：  职    务：</w:t>
      </w:r>
    </w:p>
    <w:p w14:paraId="2A1B2E69">
      <w:pPr>
        <w:adjustRightInd w:val="0"/>
        <w:snapToGrid w:val="0"/>
        <w:spacing w:line="360" w:lineRule="auto"/>
        <w:rPr>
          <w:rFonts w:cs="宋体" w:asciiTheme="minorEastAsia" w:hAnsiTheme="minorEastAsia"/>
          <w:szCs w:val="21"/>
          <w:u w:val="single"/>
        </w:rPr>
      </w:pPr>
    </w:p>
    <w:p w14:paraId="06A4F4B3">
      <w:pPr>
        <w:adjustRightInd w:val="0"/>
        <w:snapToGrid w:val="0"/>
        <w:spacing w:line="360" w:lineRule="auto"/>
        <w:ind w:firstLine="4305" w:firstLineChars="2050"/>
        <w:rPr>
          <w:rFonts w:cs="宋体" w:asciiTheme="minorEastAsia" w:hAnsiTheme="minorEastAsia"/>
          <w:szCs w:val="21"/>
        </w:rPr>
      </w:pPr>
    </w:p>
    <w:p w14:paraId="003CF65A">
      <w:pPr>
        <w:adjustRightInd w:val="0"/>
        <w:snapToGrid w:val="0"/>
        <w:spacing w:line="360" w:lineRule="auto"/>
        <w:ind w:firstLine="4305" w:firstLineChars="2050"/>
        <w:rPr>
          <w:rFonts w:cs="宋体" w:asciiTheme="minorEastAsia" w:hAnsiTheme="minorEastAsia"/>
          <w:szCs w:val="21"/>
        </w:rPr>
      </w:pPr>
    </w:p>
    <w:p w14:paraId="647654CC">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投标人名称（并加盖公章）：</w:t>
      </w:r>
    </w:p>
    <w:p w14:paraId="0EDC5739">
      <w:pPr>
        <w:adjustRightInd w:val="0"/>
        <w:snapToGrid w:val="0"/>
        <w:spacing w:line="360" w:lineRule="auto"/>
        <w:ind w:firstLine="4305" w:firstLineChars="2050"/>
        <w:rPr>
          <w:rFonts w:cs="宋体" w:asciiTheme="minorEastAsia" w:hAnsiTheme="minorEastAsia"/>
          <w:szCs w:val="21"/>
        </w:rPr>
      </w:pPr>
    </w:p>
    <w:p w14:paraId="31828ACB">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日期：年月 日</w:t>
      </w:r>
    </w:p>
    <w:p w14:paraId="1A36FEFA">
      <w:pPr>
        <w:adjustRightInd w:val="0"/>
        <w:snapToGrid w:val="0"/>
        <w:spacing w:line="360" w:lineRule="auto"/>
        <w:ind w:firstLine="4305" w:firstLineChars="2050"/>
        <w:rPr>
          <w:rFonts w:cs="宋体" w:asciiTheme="minorEastAsia" w:hAnsiTheme="minorEastAsia"/>
          <w:szCs w:val="21"/>
        </w:rPr>
      </w:pPr>
    </w:p>
    <w:p w14:paraId="780E580D">
      <w:pPr>
        <w:adjustRightInd w:val="0"/>
        <w:snapToGrid w:val="0"/>
        <w:spacing w:line="360" w:lineRule="auto"/>
        <w:ind w:firstLine="4305" w:firstLineChars="2050"/>
        <w:rPr>
          <w:rFonts w:cs="宋体" w:asciiTheme="minorEastAsia" w:hAnsiTheme="minorEastAsia"/>
          <w:szCs w:val="21"/>
        </w:rPr>
      </w:pPr>
    </w:p>
    <w:p w14:paraId="58FEB036">
      <w:pPr>
        <w:adjustRightInd w:val="0"/>
        <w:snapToGrid w:val="0"/>
        <w:spacing w:line="360" w:lineRule="auto"/>
        <w:rPr>
          <w:rFonts w:cs="宋体" w:asciiTheme="minorEastAsia" w:hAnsiTheme="minorEastAsia"/>
          <w:szCs w:val="21"/>
        </w:rPr>
      </w:pPr>
    </w:p>
    <w:p w14:paraId="12F35261">
      <w:pPr>
        <w:spacing w:line="480" w:lineRule="exact"/>
        <w:jc w:val="center"/>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3.2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2B1254D1">
      <w:pPr>
        <w:autoSpaceDE w:val="0"/>
        <w:autoSpaceDN w:val="0"/>
        <w:adjustRightInd w:val="0"/>
        <w:spacing w:line="480" w:lineRule="auto"/>
        <w:ind w:firstLine="616" w:firstLineChars="257"/>
        <w:rPr>
          <w:rFonts w:ascii="宋体" w:hAnsi="宋体"/>
          <w:sz w:val="24"/>
          <w:szCs w:val="24"/>
        </w:rPr>
      </w:pPr>
    </w:p>
    <w:p w14:paraId="60A4FB69">
      <w:pPr>
        <w:pStyle w:val="50"/>
        <w:spacing w:line="480" w:lineRule="auto"/>
        <w:ind w:firstLine="472" w:firstLineChars="225"/>
        <w:jc w:val="left"/>
        <w:rPr>
          <w:rFonts w:asciiTheme="minorEastAsia" w:hAnsiTheme="minorEastAsia"/>
          <w:sz w:val="21"/>
          <w:szCs w:val="21"/>
        </w:rPr>
      </w:pPr>
      <w:r>
        <w:rPr>
          <w:rFonts w:asciiTheme="minorEastAsia" w:hAnsiTheme="minorEastAsia"/>
          <w:sz w:val="21"/>
          <w:szCs w:val="21"/>
        </w:rPr>
        <w:t>单</w:t>
      </w:r>
      <w:r>
        <w:rPr>
          <w:rFonts w:hint="eastAsia" w:asciiTheme="minorEastAsia" w:hAnsiTheme="minorEastAsia"/>
          <w:sz w:val="21"/>
          <w:szCs w:val="21"/>
        </w:rPr>
        <w:t>位名</w:t>
      </w:r>
      <w:r>
        <w:rPr>
          <w:rFonts w:asciiTheme="minorEastAsia" w:hAnsiTheme="minorEastAsia"/>
          <w:sz w:val="21"/>
          <w:szCs w:val="21"/>
        </w:rPr>
        <w:t>称</w:t>
      </w:r>
      <w:r>
        <w:rPr>
          <w:rFonts w:hint="eastAsia" w:asciiTheme="minorEastAsia" w:hAnsiTheme="minorEastAsia"/>
          <w:sz w:val="21"/>
          <w:szCs w:val="21"/>
        </w:rPr>
        <w:t>：</w:t>
      </w:r>
    </w:p>
    <w:p w14:paraId="4B92319D">
      <w:pPr>
        <w:pStyle w:val="50"/>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地址：</w:t>
      </w:r>
    </w:p>
    <w:p w14:paraId="07DFA1F3">
      <w:pPr>
        <w:pStyle w:val="50"/>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姓名：       性</w:t>
      </w:r>
      <w:r>
        <w:rPr>
          <w:rFonts w:asciiTheme="minorEastAsia" w:hAnsiTheme="minorEastAsia"/>
          <w:sz w:val="21"/>
          <w:szCs w:val="21"/>
        </w:rPr>
        <w:t>别</w:t>
      </w:r>
      <w:r>
        <w:rPr>
          <w:rFonts w:hint="eastAsia" w:asciiTheme="minorEastAsia" w:hAnsiTheme="minorEastAsia"/>
          <w:sz w:val="21"/>
          <w:szCs w:val="21"/>
        </w:rPr>
        <w:t>：     年</w:t>
      </w:r>
      <w:r>
        <w:rPr>
          <w:rFonts w:asciiTheme="minorEastAsia" w:hAnsiTheme="minorEastAsia"/>
          <w:sz w:val="21"/>
          <w:szCs w:val="21"/>
        </w:rPr>
        <w:t>龄</w:t>
      </w:r>
      <w:r>
        <w:rPr>
          <w:rFonts w:hint="eastAsia" w:asciiTheme="minorEastAsia" w:hAnsiTheme="minorEastAsia"/>
          <w:sz w:val="21"/>
          <w:szCs w:val="21"/>
        </w:rPr>
        <w:t>：</w:t>
      </w:r>
      <w:r>
        <w:rPr>
          <w:rFonts w:asciiTheme="minorEastAsia" w:hAnsiTheme="minorEastAsia"/>
          <w:sz w:val="21"/>
          <w:szCs w:val="21"/>
        </w:rPr>
        <w:t xml:space="preserve">     职务</w:t>
      </w:r>
      <w:r>
        <w:rPr>
          <w:rFonts w:hint="eastAsia" w:asciiTheme="minorEastAsia" w:hAnsiTheme="minorEastAsia"/>
          <w:sz w:val="21"/>
          <w:szCs w:val="21"/>
        </w:rPr>
        <w:t xml:space="preserve">：        </w:t>
      </w:r>
    </w:p>
    <w:p w14:paraId="7898CC6A">
      <w:pPr>
        <w:pStyle w:val="50"/>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本人系</w:t>
      </w:r>
      <w:r>
        <w:rPr>
          <w:rFonts w:hint="eastAsia" w:asciiTheme="minorEastAsia" w:hAnsiTheme="minorEastAsia"/>
          <w:i/>
          <w:snapToGrid w:val="0"/>
          <w:sz w:val="21"/>
          <w:szCs w:val="21"/>
          <w:u w:val="single"/>
        </w:rPr>
        <w:t>投</w:t>
      </w:r>
      <w:r>
        <w:rPr>
          <w:rFonts w:asciiTheme="minorEastAsia" w:hAnsiTheme="minorEastAsia"/>
          <w:i/>
          <w:snapToGrid w:val="0"/>
          <w:sz w:val="21"/>
          <w:szCs w:val="21"/>
          <w:u w:val="single"/>
        </w:rPr>
        <w:t>标</w:t>
      </w:r>
      <w:r>
        <w:rPr>
          <w:rFonts w:hint="eastAsia" w:asciiTheme="minorEastAsia" w:hAnsiTheme="minorEastAsia"/>
          <w:i/>
          <w:snapToGrid w:val="0"/>
          <w:sz w:val="21"/>
          <w:szCs w:val="21"/>
          <w:u w:val="single"/>
        </w:rPr>
        <w:t>人名</w:t>
      </w:r>
      <w:r>
        <w:rPr>
          <w:rFonts w:asciiTheme="minorEastAsia" w:hAnsiTheme="minorEastAsia"/>
          <w:i/>
          <w:snapToGrid w:val="0"/>
          <w:sz w:val="21"/>
          <w:szCs w:val="21"/>
          <w:u w:val="single"/>
        </w:rPr>
        <w:t>称</w:t>
      </w:r>
      <w:r>
        <w:rPr>
          <w:rFonts w:hint="eastAsia" w:asciiTheme="minorEastAsia" w:hAnsiTheme="minorEastAsia"/>
          <w:sz w:val="21"/>
          <w:szCs w:val="21"/>
        </w:rPr>
        <w:t>的法定代表人（单位负责人）。就</w:t>
      </w:r>
      <w:r>
        <w:rPr>
          <w:rFonts w:asciiTheme="minorEastAsia" w:hAnsiTheme="minorEastAsia"/>
          <w:sz w:val="21"/>
          <w:szCs w:val="21"/>
        </w:rPr>
        <w:t>参</w:t>
      </w:r>
      <w:r>
        <w:rPr>
          <w:rFonts w:hint="eastAsia" w:asciiTheme="minorEastAsia" w:hAnsiTheme="minorEastAsia"/>
          <w:sz w:val="21"/>
          <w:szCs w:val="21"/>
        </w:rPr>
        <w:t>加贵方招</w:t>
      </w:r>
      <w:r>
        <w:rPr>
          <w:rFonts w:asciiTheme="minorEastAsia" w:hAnsiTheme="minorEastAsia"/>
          <w:sz w:val="21"/>
          <w:szCs w:val="21"/>
        </w:rPr>
        <w:t>标编号为</w:t>
      </w:r>
      <w:r>
        <w:rPr>
          <w:rFonts w:asciiTheme="minorEastAsia" w:hAnsiTheme="minorEastAsia"/>
          <w:i/>
          <w:sz w:val="21"/>
          <w:szCs w:val="21"/>
          <w:u w:val="single"/>
        </w:rPr>
        <w:t>项目编号</w:t>
      </w:r>
      <w:r>
        <w:rPr>
          <w:rFonts w:hint="eastAsia" w:asciiTheme="minorEastAsia" w:hAnsiTheme="minorEastAsia"/>
          <w:sz w:val="21"/>
          <w:szCs w:val="21"/>
        </w:rPr>
        <w:t>的</w:t>
      </w:r>
      <w:r>
        <w:rPr>
          <w:rFonts w:asciiTheme="minorEastAsia" w:hAnsiTheme="minorEastAsia"/>
          <w:i/>
          <w:sz w:val="21"/>
          <w:szCs w:val="21"/>
          <w:u w:val="single"/>
        </w:rPr>
        <w:t>项目</w:t>
      </w:r>
      <w:r>
        <w:rPr>
          <w:rFonts w:hint="eastAsia" w:asciiTheme="minorEastAsia" w:hAnsiTheme="minorEastAsia"/>
          <w:i/>
          <w:sz w:val="21"/>
          <w:szCs w:val="21"/>
          <w:u w:val="single"/>
        </w:rPr>
        <w:t>名</w:t>
      </w:r>
      <w:r>
        <w:rPr>
          <w:rFonts w:asciiTheme="minorEastAsia" w:hAnsiTheme="minorEastAsia"/>
          <w:i/>
          <w:sz w:val="21"/>
          <w:szCs w:val="21"/>
          <w:u w:val="single"/>
        </w:rPr>
        <w:t>称</w:t>
      </w:r>
      <w:r>
        <w:rPr>
          <w:rFonts w:hint="eastAsia" w:asciiTheme="minorEastAsia" w:hAnsiTheme="minorEastAsia"/>
          <w:sz w:val="21"/>
          <w:szCs w:val="21"/>
        </w:rPr>
        <w:t>公</w:t>
      </w:r>
      <w:r>
        <w:rPr>
          <w:rFonts w:asciiTheme="minorEastAsia" w:hAnsiTheme="minorEastAsia"/>
          <w:sz w:val="21"/>
          <w:szCs w:val="21"/>
        </w:rPr>
        <w:t>开</w:t>
      </w:r>
      <w:r>
        <w:rPr>
          <w:rFonts w:hint="eastAsia" w:asciiTheme="minorEastAsia" w:hAnsiTheme="minorEastAsia"/>
          <w:sz w:val="21"/>
          <w:szCs w:val="21"/>
        </w:rPr>
        <w:t>招</w:t>
      </w:r>
      <w:r>
        <w:rPr>
          <w:rFonts w:asciiTheme="minorEastAsia" w:hAnsiTheme="minorEastAsia"/>
          <w:sz w:val="21"/>
          <w:szCs w:val="21"/>
        </w:rPr>
        <w:t>标项目</w:t>
      </w:r>
      <w:r>
        <w:rPr>
          <w:rFonts w:hint="eastAsia" w:asciiTheme="minorEastAsia" w:hAnsiTheme="minorEastAsia"/>
          <w:sz w:val="21"/>
          <w:szCs w:val="21"/>
        </w:rPr>
        <w:t>的投</w:t>
      </w:r>
      <w:r>
        <w:rPr>
          <w:rFonts w:asciiTheme="minorEastAsia" w:hAnsiTheme="minorEastAsia"/>
          <w:sz w:val="21"/>
          <w:szCs w:val="21"/>
        </w:rPr>
        <w:t>标报价</w:t>
      </w:r>
      <w:r>
        <w:rPr>
          <w:rFonts w:hint="eastAsia" w:asciiTheme="minorEastAsia" w:hAnsiTheme="minorEastAsia"/>
          <w:sz w:val="21"/>
          <w:szCs w:val="21"/>
        </w:rPr>
        <w:t>，</w:t>
      </w:r>
      <w:r>
        <w:rPr>
          <w:rFonts w:asciiTheme="minorEastAsia" w:hAnsiTheme="minorEastAsia"/>
          <w:sz w:val="21"/>
          <w:szCs w:val="21"/>
        </w:rPr>
        <w:t>签</w:t>
      </w:r>
      <w:r>
        <w:rPr>
          <w:rFonts w:hint="eastAsia" w:asciiTheme="minorEastAsia" w:hAnsiTheme="minorEastAsia"/>
          <w:sz w:val="21"/>
          <w:szCs w:val="21"/>
        </w:rPr>
        <w:t>署上</w:t>
      </w:r>
      <w:r>
        <w:rPr>
          <w:rFonts w:asciiTheme="minorEastAsia" w:hAnsiTheme="minorEastAsia"/>
          <w:sz w:val="21"/>
          <w:szCs w:val="21"/>
        </w:rPr>
        <w:t>述项目</w:t>
      </w:r>
      <w:r>
        <w:rPr>
          <w:rFonts w:hint="eastAsia" w:asciiTheme="minorEastAsia" w:hAnsiTheme="minorEastAsia"/>
          <w:sz w:val="21"/>
          <w:szCs w:val="21"/>
        </w:rPr>
        <w:t>的投</w:t>
      </w:r>
      <w:r>
        <w:rPr>
          <w:rFonts w:asciiTheme="minorEastAsia" w:hAnsiTheme="minorEastAsia"/>
          <w:sz w:val="21"/>
          <w:szCs w:val="21"/>
        </w:rPr>
        <w:t>标</w:t>
      </w:r>
      <w:r>
        <w:rPr>
          <w:rFonts w:hint="eastAsia" w:asciiTheme="minorEastAsia" w:hAnsiTheme="minorEastAsia"/>
          <w:sz w:val="21"/>
          <w:szCs w:val="21"/>
        </w:rPr>
        <w:t>文件及合同的</w:t>
      </w:r>
      <w:r>
        <w:rPr>
          <w:rFonts w:asciiTheme="minorEastAsia" w:hAnsiTheme="minorEastAsia"/>
          <w:sz w:val="21"/>
          <w:szCs w:val="21"/>
        </w:rPr>
        <w:t>执</w:t>
      </w:r>
      <w:r>
        <w:rPr>
          <w:rFonts w:hint="eastAsia" w:asciiTheme="minorEastAsia" w:hAnsiTheme="minorEastAsia"/>
          <w:sz w:val="21"/>
          <w:szCs w:val="21"/>
        </w:rPr>
        <w:t>行、完成、服</w:t>
      </w:r>
      <w:r>
        <w:rPr>
          <w:rFonts w:asciiTheme="minorEastAsia" w:hAnsiTheme="minorEastAsia"/>
          <w:sz w:val="21"/>
          <w:szCs w:val="21"/>
        </w:rPr>
        <w:t>务</w:t>
      </w:r>
      <w:r>
        <w:rPr>
          <w:rFonts w:hint="eastAsia" w:asciiTheme="minorEastAsia" w:hAnsiTheme="minorEastAsia"/>
          <w:sz w:val="21"/>
          <w:szCs w:val="21"/>
        </w:rPr>
        <w:t>和保修，</w:t>
      </w:r>
      <w:r>
        <w:rPr>
          <w:rFonts w:asciiTheme="minorEastAsia" w:hAnsiTheme="minorEastAsia"/>
          <w:sz w:val="21"/>
          <w:szCs w:val="21"/>
        </w:rPr>
        <w:t>签</w:t>
      </w:r>
      <w:r>
        <w:rPr>
          <w:rFonts w:hint="eastAsia" w:asciiTheme="minorEastAsia" w:hAnsiTheme="minorEastAsia"/>
          <w:sz w:val="21"/>
          <w:szCs w:val="21"/>
        </w:rPr>
        <w:t>署合同和</w:t>
      </w:r>
      <w:r>
        <w:rPr>
          <w:rFonts w:asciiTheme="minorEastAsia" w:hAnsiTheme="minorEastAsia"/>
          <w:sz w:val="21"/>
          <w:szCs w:val="21"/>
        </w:rPr>
        <w:t>处</w:t>
      </w:r>
      <w:r>
        <w:rPr>
          <w:rFonts w:hint="eastAsia" w:asciiTheme="minorEastAsia" w:hAnsiTheme="minorEastAsia"/>
          <w:sz w:val="21"/>
          <w:szCs w:val="21"/>
        </w:rPr>
        <w:t>理与之有</w:t>
      </w:r>
      <w:r>
        <w:rPr>
          <w:rFonts w:asciiTheme="minorEastAsia" w:hAnsiTheme="minorEastAsia"/>
          <w:sz w:val="21"/>
          <w:szCs w:val="21"/>
        </w:rPr>
        <w:t>关的</w:t>
      </w:r>
      <w:r>
        <w:rPr>
          <w:rFonts w:hint="eastAsia" w:asciiTheme="minorEastAsia" w:hAnsiTheme="minorEastAsia"/>
          <w:sz w:val="21"/>
          <w:szCs w:val="21"/>
        </w:rPr>
        <w:t>一切事</w:t>
      </w:r>
      <w:r>
        <w:rPr>
          <w:rFonts w:asciiTheme="minorEastAsia" w:hAnsiTheme="minorEastAsia"/>
          <w:sz w:val="21"/>
          <w:szCs w:val="21"/>
        </w:rPr>
        <w:t>务</w:t>
      </w:r>
      <w:r>
        <w:rPr>
          <w:rFonts w:hint="eastAsia" w:asciiTheme="minorEastAsia" w:hAnsiTheme="minorEastAsia"/>
          <w:sz w:val="21"/>
          <w:szCs w:val="21"/>
        </w:rPr>
        <w:t>。</w:t>
      </w:r>
    </w:p>
    <w:p w14:paraId="6E53E6B8">
      <w:pPr>
        <w:pStyle w:val="50"/>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特此</w:t>
      </w:r>
      <w:r>
        <w:rPr>
          <w:rFonts w:asciiTheme="minorEastAsia" w:hAnsiTheme="minorEastAsia"/>
          <w:sz w:val="21"/>
          <w:szCs w:val="21"/>
        </w:rPr>
        <w:t>证</w:t>
      </w:r>
      <w:r>
        <w:rPr>
          <w:rFonts w:hint="eastAsia" w:asciiTheme="minorEastAsia" w:hAnsiTheme="minorEastAsia"/>
          <w:sz w:val="21"/>
          <w:szCs w:val="21"/>
        </w:rPr>
        <w:t>明。</w:t>
      </w:r>
    </w:p>
    <w:p w14:paraId="26CD7EC4">
      <w:pPr>
        <w:pStyle w:val="50"/>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法定代表人（单位负责人）联系电话（手机）：</w:t>
      </w:r>
    </w:p>
    <w:p w14:paraId="7A8BBAAF">
      <w:pPr>
        <w:pStyle w:val="50"/>
        <w:spacing w:line="480" w:lineRule="auto"/>
        <w:ind w:firstLine="472" w:firstLineChars="225"/>
        <w:jc w:val="left"/>
        <w:rPr>
          <w:rFonts w:asciiTheme="minorEastAsia" w:hAnsiTheme="minorEastAsia"/>
          <w:sz w:val="21"/>
          <w:szCs w:val="21"/>
        </w:rPr>
      </w:pPr>
    </w:p>
    <w:p w14:paraId="4E91A52E">
      <w:pPr>
        <w:pStyle w:val="50"/>
        <w:spacing w:line="480" w:lineRule="auto"/>
        <w:ind w:left="-538" w:leftChars="-256" w:firstLine="539" w:firstLineChars="257"/>
        <w:jc w:val="center"/>
        <w:rPr>
          <w:rFonts w:asciiTheme="minorEastAsia" w:hAnsiTheme="minorEastAsia"/>
          <w:bCs/>
          <w:sz w:val="21"/>
          <w:szCs w:val="21"/>
        </w:rPr>
      </w:pPr>
      <w:r>
        <w:rPr>
          <w:rFonts w:hint="eastAsia" w:asciiTheme="minorEastAsia" w:hAnsiTheme="minorEastAsia"/>
          <w:bCs/>
          <w:sz w:val="21"/>
          <w:szCs w:val="21"/>
        </w:rPr>
        <w:t>【此</w:t>
      </w:r>
      <w:r>
        <w:rPr>
          <w:rFonts w:asciiTheme="minorEastAsia" w:hAnsiTheme="minorEastAsia"/>
          <w:bCs/>
          <w:sz w:val="21"/>
          <w:szCs w:val="21"/>
        </w:rPr>
        <w:t>处请</w:t>
      </w:r>
      <w:r>
        <w:rPr>
          <w:rFonts w:hint="eastAsia" w:asciiTheme="minorEastAsia" w:hAnsiTheme="minorEastAsia"/>
          <w:bCs/>
          <w:sz w:val="21"/>
          <w:szCs w:val="21"/>
        </w:rPr>
        <w:t>粘</w:t>
      </w:r>
      <w:r>
        <w:rPr>
          <w:rFonts w:asciiTheme="minorEastAsia" w:hAnsiTheme="minorEastAsia"/>
          <w:bCs/>
          <w:sz w:val="21"/>
          <w:szCs w:val="21"/>
        </w:rPr>
        <w:t>贴</w:t>
      </w:r>
      <w:r>
        <w:rPr>
          <w:rFonts w:hint="eastAsia" w:asciiTheme="minorEastAsia" w:hAnsiTheme="minorEastAsia"/>
          <w:bCs/>
          <w:sz w:val="21"/>
          <w:szCs w:val="21"/>
        </w:rPr>
        <w:t>法定代表人（单位负责人）身份</w:t>
      </w:r>
      <w:r>
        <w:rPr>
          <w:rFonts w:asciiTheme="minorEastAsia" w:hAnsiTheme="minorEastAsia"/>
          <w:bCs/>
          <w:sz w:val="21"/>
          <w:szCs w:val="21"/>
        </w:rPr>
        <w:t>证复</w:t>
      </w:r>
      <w:r>
        <w:rPr>
          <w:rFonts w:hint="eastAsia" w:asciiTheme="minorEastAsia" w:hAnsiTheme="minorEastAsia"/>
          <w:bCs/>
          <w:sz w:val="21"/>
          <w:szCs w:val="21"/>
        </w:rPr>
        <w:t>印件，需清晰反映身份证有效期限】</w:t>
      </w:r>
    </w:p>
    <w:p w14:paraId="02A4253D">
      <w:pPr>
        <w:pStyle w:val="50"/>
        <w:spacing w:line="480" w:lineRule="auto"/>
        <w:ind w:left="-538" w:leftChars="-256" w:firstLine="539" w:firstLineChars="257"/>
        <w:jc w:val="center"/>
        <w:rPr>
          <w:rFonts w:asciiTheme="minorEastAsia" w:hAnsiTheme="minorEastAsia"/>
          <w:bCs/>
          <w:sz w:val="21"/>
          <w:szCs w:val="21"/>
        </w:rPr>
      </w:pPr>
    </w:p>
    <w:p w14:paraId="28EF565C">
      <w:pPr>
        <w:autoSpaceDE w:val="0"/>
        <w:autoSpaceDN w:val="0"/>
        <w:adjustRightInd w:val="0"/>
        <w:spacing w:line="360" w:lineRule="auto"/>
        <w:ind w:right="-11"/>
        <w:rPr>
          <w:rFonts w:cs="宋体" w:asciiTheme="minorEastAsia" w:hAnsiTheme="minorEastAsia"/>
          <w:szCs w:val="21"/>
          <w:lang w:val="zh-CN"/>
        </w:rPr>
      </w:pPr>
    </w:p>
    <w:p w14:paraId="4BD43C29">
      <w:pPr>
        <w:spacing w:line="480" w:lineRule="auto"/>
        <w:ind w:firstLine="3937" w:firstLineChars="1875"/>
        <w:rPr>
          <w:rFonts w:cs="Arial" w:asciiTheme="minorEastAsia" w:hAnsiTheme="minorEastAsia"/>
          <w:szCs w:val="21"/>
          <w:u w:val="single"/>
        </w:rPr>
      </w:pPr>
      <w:r>
        <w:rPr>
          <w:rFonts w:hint="eastAsia" w:cs="Arial" w:asciiTheme="minorEastAsia" w:hAnsiTheme="minorEastAsia"/>
          <w:szCs w:val="21"/>
        </w:rPr>
        <w:t>投标人名称（并加盖公章）：</w:t>
      </w:r>
    </w:p>
    <w:p w14:paraId="4B8BAD37">
      <w:pPr>
        <w:pStyle w:val="53"/>
        <w:spacing w:before="60" w:line="480" w:lineRule="auto"/>
        <w:ind w:firstLine="3937" w:firstLineChars="1875"/>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签署日期：   年   月  日</w:t>
      </w:r>
    </w:p>
    <w:p w14:paraId="18AB4F92">
      <w:pPr>
        <w:pStyle w:val="52"/>
        <w:spacing w:line="480" w:lineRule="auto"/>
        <w:rPr>
          <w:rFonts w:cs="Arial" w:asciiTheme="minorEastAsia" w:hAnsiTheme="minorEastAsia"/>
          <w:sz w:val="21"/>
          <w:szCs w:val="21"/>
        </w:rPr>
      </w:pPr>
    </w:p>
    <w:p w14:paraId="646B15B6">
      <w:pPr>
        <w:rPr>
          <w:szCs w:val="21"/>
        </w:rPr>
      </w:pPr>
    </w:p>
    <w:p w14:paraId="72DA8A11">
      <w:pPr>
        <w:spacing w:line="320" w:lineRule="exact"/>
        <w:ind w:firstLine="420" w:firstLineChars="200"/>
        <w:rPr>
          <w:rFonts w:asciiTheme="minorEastAsia" w:hAnsiTheme="minorEastAsia"/>
          <w:bCs/>
          <w:kern w:val="12"/>
          <w:szCs w:val="21"/>
        </w:rPr>
      </w:pPr>
      <w:r>
        <w:rPr>
          <w:rFonts w:hint="eastAsia" w:asciiTheme="minorEastAsia" w:hAnsiTheme="minorEastAsia"/>
          <w:bCs/>
          <w:kern w:val="12"/>
          <w:szCs w:val="21"/>
        </w:rPr>
        <w:t>说明：法定代表人（单位负责人）</w:t>
      </w:r>
      <w:r>
        <w:rPr>
          <w:rFonts w:asciiTheme="minorEastAsia" w:hAnsiTheme="minorEastAsia"/>
          <w:bCs/>
          <w:kern w:val="12"/>
          <w:szCs w:val="21"/>
        </w:rPr>
        <w:t>参</w:t>
      </w:r>
      <w:r>
        <w:rPr>
          <w:rFonts w:hint="eastAsia" w:asciiTheme="minorEastAsia" w:hAnsiTheme="minorEastAsia"/>
          <w:bCs/>
          <w:kern w:val="12"/>
          <w:szCs w:val="21"/>
        </w:rPr>
        <w:t>加本招</w:t>
      </w:r>
      <w:r>
        <w:rPr>
          <w:rFonts w:asciiTheme="minorEastAsia" w:hAnsiTheme="minorEastAsia"/>
          <w:bCs/>
          <w:kern w:val="12"/>
          <w:szCs w:val="21"/>
        </w:rPr>
        <w:t>标项目</w:t>
      </w:r>
      <w:r>
        <w:rPr>
          <w:rFonts w:hint="eastAsia" w:asciiTheme="minorEastAsia" w:hAnsiTheme="minorEastAsia"/>
          <w:bCs/>
          <w:kern w:val="12"/>
          <w:szCs w:val="21"/>
        </w:rPr>
        <w:t>投</w:t>
      </w:r>
      <w:r>
        <w:rPr>
          <w:rFonts w:asciiTheme="minorEastAsia" w:hAnsiTheme="minorEastAsia"/>
          <w:bCs/>
          <w:kern w:val="12"/>
          <w:szCs w:val="21"/>
        </w:rPr>
        <w:t>标</w:t>
      </w:r>
      <w:r>
        <w:rPr>
          <w:rFonts w:hint="eastAsia" w:asciiTheme="minorEastAsia" w:hAnsiTheme="minorEastAsia"/>
          <w:bCs/>
          <w:kern w:val="12"/>
          <w:szCs w:val="21"/>
        </w:rPr>
        <w:t>的，</w:t>
      </w:r>
      <w:r>
        <w:rPr>
          <w:rFonts w:asciiTheme="minorEastAsia" w:hAnsiTheme="minorEastAsia"/>
          <w:bCs/>
          <w:kern w:val="12"/>
          <w:szCs w:val="21"/>
        </w:rPr>
        <w:t>仅须</w:t>
      </w:r>
      <w:r>
        <w:rPr>
          <w:rFonts w:hint="eastAsia" w:asciiTheme="minorEastAsia" w:hAnsiTheme="minorEastAsia"/>
          <w:bCs/>
          <w:kern w:val="12"/>
          <w:szCs w:val="21"/>
        </w:rPr>
        <w:t>出具此</w:t>
      </w:r>
      <w:r>
        <w:rPr>
          <w:rFonts w:asciiTheme="minorEastAsia" w:hAnsiTheme="minorEastAsia"/>
          <w:bCs/>
          <w:kern w:val="12"/>
          <w:szCs w:val="21"/>
        </w:rPr>
        <w:t>证</w:t>
      </w:r>
      <w:r>
        <w:rPr>
          <w:rFonts w:hint="eastAsia" w:asciiTheme="minorEastAsia" w:hAnsiTheme="minorEastAsia"/>
          <w:bCs/>
          <w:kern w:val="12"/>
          <w:szCs w:val="21"/>
        </w:rPr>
        <w:t>明</w:t>
      </w:r>
      <w:r>
        <w:rPr>
          <w:rFonts w:asciiTheme="minorEastAsia" w:hAnsiTheme="minorEastAsia"/>
          <w:bCs/>
          <w:kern w:val="12"/>
          <w:szCs w:val="21"/>
        </w:rPr>
        <w:t>书</w:t>
      </w:r>
      <w:r>
        <w:rPr>
          <w:rFonts w:hint="eastAsia" w:asciiTheme="minorEastAsia" w:hAnsiTheme="minorEastAsia"/>
          <w:bCs/>
          <w:kern w:val="12"/>
          <w:szCs w:val="21"/>
        </w:rPr>
        <w:t>。</w:t>
      </w:r>
    </w:p>
    <w:p w14:paraId="52CBC54E">
      <w:pPr>
        <w:spacing w:line="480" w:lineRule="exact"/>
        <w:jc w:val="center"/>
        <w:rPr>
          <w:rFonts w:ascii="宋体" w:hAnsi="宋体"/>
          <w:b/>
          <w:bCs/>
          <w:sz w:val="36"/>
          <w:szCs w:val="36"/>
        </w:rPr>
      </w:pPr>
    </w:p>
    <w:p w14:paraId="2B4EEE3A">
      <w:pPr>
        <w:widowControl/>
        <w:jc w:val="left"/>
        <w:rPr>
          <w:rFonts w:ascii="宋体" w:hAnsi="宋体"/>
          <w:b/>
          <w:bCs/>
          <w:sz w:val="24"/>
          <w:szCs w:val="24"/>
        </w:rPr>
      </w:pPr>
      <w:r>
        <w:rPr>
          <w:rFonts w:ascii="宋体" w:hAnsi="宋体"/>
          <w:b/>
          <w:bCs/>
          <w:sz w:val="24"/>
          <w:szCs w:val="24"/>
        </w:rPr>
        <w:br w:type="page"/>
      </w:r>
    </w:p>
    <w:p w14:paraId="379DE327">
      <w:pPr>
        <w:spacing w:line="480" w:lineRule="exact"/>
        <w:jc w:val="center"/>
        <w:rPr>
          <w:rFonts w:ascii="宋体" w:hAnsi="宋体"/>
          <w:b/>
          <w:bCs/>
          <w:sz w:val="24"/>
          <w:szCs w:val="24"/>
        </w:rPr>
      </w:pPr>
      <w:r>
        <w:rPr>
          <w:rFonts w:hint="eastAsia" w:ascii="宋体" w:hAnsi="宋体"/>
          <w:b/>
          <w:bCs/>
          <w:sz w:val="24"/>
          <w:szCs w:val="24"/>
        </w:rPr>
        <w:t>3.3 法定代表人（单位负责人）授权书</w:t>
      </w:r>
    </w:p>
    <w:p w14:paraId="2BAB721C">
      <w:pPr>
        <w:spacing w:line="480" w:lineRule="exact"/>
        <w:jc w:val="center"/>
        <w:rPr>
          <w:rFonts w:ascii="宋体" w:hAnsi="宋体"/>
          <w:b/>
          <w:bCs/>
          <w:sz w:val="36"/>
          <w:szCs w:val="36"/>
        </w:rPr>
      </w:pPr>
    </w:p>
    <w:p w14:paraId="6C607EC2">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本人</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法人姓名</w:t>
      </w:r>
      <w:r>
        <w:rPr>
          <w:rFonts w:hint="eastAsia" w:cs="Arial" w:asciiTheme="minorEastAsia" w:hAnsiTheme="minorEastAsia"/>
          <w:szCs w:val="21"/>
        </w:rPr>
        <w:t>系</w:t>
      </w:r>
      <w:r>
        <w:rPr>
          <w:rFonts w:hint="eastAsia" w:cs="Arial" w:asciiTheme="minorEastAsia" w:hAnsiTheme="minorEastAsia"/>
          <w:szCs w:val="21"/>
          <w:u w:val="single"/>
        </w:rPr>
        <w:t>　</w:t>
      </w:r>
      <w:r>
        <w:rPr>
          <w:rFonts w:hint="eastAsia" w:asciiTheme="minorEastAsia" w:hAnsiTheme="minorEastAsia"/>
          <w:i/>
          <w:snapToGrid w:val="0"/>
          <w:szCs w:val="21"/>
          <w:u w:val="single"/>
        </w:rPr>
        <w:t xml:space="preserve">投标人名称  </w:t>
      </w:r>
      <w:r>
        <w:rPr>
          <w:rFonts w:hint="eastAsia" w:cs="Arial" w:asciiTheme="minorEastAsia" w:hAnsiTheme="minorEastAsia"/>
          <w:szCs w:val="21"/>
        </w:rPr>
        <w:t>的法定代表人（单位负责人），现委托</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姓名，职务</w:t>
      </w:r>
      <w:r>
        <w:rPr>
          <w:rFonts w:hint="eastAsia" w:cs="Arial" w:asciiTheme="minorEastAsia" w:hAnsiTheme="minorEastAsia"/>
          <w:szCs w:val="21"/>
        </w:rPr>
        <w:t>以我方的名义参加贵方______________________项目的投标活动，并代表我方全权办理针对上述项目的投标、开标、投标文件澄清、签约等一切具体事务和签署相关文件。</w:t>
      </w:r>
    </w:p>
    <w:p w14:paraId="70FA8EC6">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我方对被授权人的签名事项负全部责任。</w:t>
      </w:r>
    </w:p>
    <w:p w14:paraId="2517631E">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39C8E71F">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被授权人无转委托权，特此委托。</w:t>
      </w:r>
    </w:p>
    <w:p w14:paraId="01C749D4">
      <w:pPr>
        <w:spacing w:line="480" w:lineRule="auto"/>
        <w:ind w:firstLine="420" w:firstLineChars="200"/>
        <w:rPr>
          <w:rFonts w:asciiTheme="minorEastAsia" w:hAnsiTheme="minorEastAsia"/>
          <w:szCs w:val="21"/>
        </w:rPr>
      </w:pPr>
      <w:r>
        <w:rPr>
          <w:rFonts w:hint="eastAsia" w:asciiTheme="minorEastAsia" w:hAnsiTheme="minorEastAsia"/>
          <w:szCs w:val="21"/>
        </w:rPr>
        <w:t xml:space="preserve">投标人名称： </w:t>
      </w:r>
      <w:r>
        <w:rPr>
          <w:rFonts w:hint="eastAsia" w:asciiTheme="minorEastAsia" w:hAnsiTheme="minorEastAsia"/>
          <w:szCs w:val="21"/>
          <w:u w:val="single"/>
        </w:rPr>
        <w:t xml:space="preserve">       （全称）       </w:t>
      </w:r>
      <w:r>
        <w:rPr>
          <w:rFonts w:hint="eastAsia" w:asciiTheme="minorEastAsia" w:hAnsiTheme="minorEastAsia"/>
          <w:szCs w:val="21"/>
        </w:rPr>
        <w:t xml:space="preserve"> （盖单位公章）</w:t>
      </w:r>
    </w:p>
    <w:p w14:paraId="28989A94">
      <w:pPr>
        <w:spacing w:line="480" w:lineRule="auto"/>
        <w:ind w:firstLine="420" w:firstLineChars="200"/>
        <w:rPr>
          <w:rFonts w:cs="Arial" w:asciiTheme="minorEastAsia" w:hAnsiTheme="minorEastAsia"/>
          <w:szCs w:val="21"/>
        </w:rPr>
      </w:pPr>
      <w:r>
        <w:rPr>
          <w:rFonts w:hint="eastAsia" w:cs="Arial" w:asciiTheme="minorEastAsia" w:hAnsiTheme="minorEastAsia"/>
          <w:szCs w:val="21"/>
        </w:rPr>
        <w:t>法定代表人（单位负责人）： （签字或加盖名章）</w:t>
      </w:r>
    </w:p>
    <w:p w14:paraId="1B3280E5">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授权代表：（签字或加盖名章）</w:t>
      </w:r>
    </w:p>
    <w:p w14:paraId="2BA9FA55">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授权代表联系电话（手机）：</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4E24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4BD2A7BB">
            <w:pPr>
              <w:jc w:val="center"/>
              <w:rPr>
                <w:rFonts w:asciiTheme="minorEastAsia" w:hAnsiTheme="minorEastAsia"/>
                <w:szCs w:val="21"/>
              </w:rPr>
            </w:pPr>
            <w:r>
              <w:rPr>
                <w:rFonts w:hint="eastAsia" w:asciiTheme="minorEastAsia" w:hAnsiTheme="minorEastAsia"/>
                <w:szCs w:val="21"/>
              </w:rPr>
              <w:t>法定代表人（单位负责人）身份证（正面）</w:t>
            </w:r>
          </w:p>
        </w:tc>
        <w:tc>
          <w:tcPr>
            <w:tcW w:w="4485" w:type="dxa"/>
            <w:gridSpan w:val="2"/>
            <w:vAlign w:val="center"/>
          </w:tcPr>
          <w:p w14:paraId="3FDF3465">
            <w:pPr>
              <w:jc w:val="center"/>
              <w:rPr>
                <w:rFonts w:asciiTheme="minorEastAsia" w:hAnsiTheme="minorEastAsia"/>
                <w:szCs w:val="21"/>
              </w:rPr>
            </w:pPr>
            <w:r>
              <w:rPr>
                <w:rFonts w:hint="eastAsia" w:asciiTheme="minorEastAsia" w:hAnsiTheme="minorEastAsia"/>
                <w:szCs w:val="21"/>
              </w:rPr>
              <w:t>法定代表人（单位负责人）身份证（反面）</w:t>
            </w:r>
          </w:p>
        </w:tc>
      </w:tr>
      <w:tr w14:paraId="60F4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4858A7A1">
            <w:pPr>
              <w:jc w:val="center"/>
              <w:rPr>
                <w:rFonts w:asciiTheme="minorEastAsia" w:hAnsiTheme="minorEastAsia"/>
                <w:szCs w:val="21"/>
              </w:rPr>
            </w:pPr>
            <w:bookmarkStart w:id="7" w:name="_资格证明文件"/>
            <w:bookmarkEnd w:id="7"/>
            <w:bookmarkStart w:id="8" w:name="_Toc364329026"/>
            <w:r>
              <w:rPr>
                <w:rFonts w:hint="eastAsia" w:asciiTheme="minorEastAsia" w:hAnsiTheme="minorEastAsia"/>
                <w:szCs w:val="21"/>
              </w:rPr>
              <w:t>法定代表人（单位负责人）授权代表身份证</w:t>
            </w:r>
          </w:p>
          <w:p w14:paraId="29095501">
            <w:pPr>
              <w:jc w:val="center"/>
              <w:rPr>
                <w:rFonts w:asciiTheme="minorEastAsia" w:hAnsiTheme="minorEastAsia"/>
                <w:szCs w:val="21"/>
              </w:rPr>
            </w:pPr>
            <w:r>
              <w:rPr>
                <w:rFonts w:hint="eastAsia" w:asciiTheme="minorEastAsia" w:hAnsiTheme="minorEastAsia"/>
                <w:szCs w:val="21"/>
              </w:rPr>
              <w:t>（正面）</w:t>
            </w:r>
            <w:bookmarkEnd w:id="8"/>
          </w:p>
        </w:tc>
        <w:tc>
          <w:tcPr>
            <w:tcW w:w="4492" w:type="dxa"/>
            <w:gridSpan w:val="2"/>
            <w:vAlign w:val="center"/>
          </w:tcPr>
          <w:p w14:paraId="4F0D39C1">
            <w:pPr>
              <w:jc w:val="center"/>
              <w:rPr>
                <w:rFonts w:asciiTheme="minorEastAsia" w:hAnsiTheme="minorEastAsia"/>
                <w:szCs w:val="21"/>
              </w:rPr>
            </w:pPr>
            <w:bookmarkStart w:id="9" w:name="_Toc364329027"/>
            <w:r>
              <w:rPr>
                <w:rFonts w:hint="eastAsia" w:asciiTheme="minorEastAsia" w:hAnsiTheme="minorEastAsia"/>
                <w:szCs w:val="21"/>
              </w:rPr>
              <w:t>法定代表人（单位负责人）授权代表身份证</w:t>
            </w:r>
          </w:p>
          <w:p w14:paraId="324FD17C">
            <w:pPr>
              <w:jc w:val="center"/>
              <w:rPr>
                <w:rFonts w:asciiTheme="minorEastAsia" w:hAnsiTheme="minorEastAsia"/>
                <w:szCs w:val="21"/>
              </w:rPr>
            </w:pPr>
            <w:r>
              <w:rPr>
                <w:rFonts w:hint="eastAsia" w:asciiTheme="minorEastAsia" w:hAnsiTheme="minorEastAsia"/>
                <w:szCs w:val="21"/>
              </w:rPr>
              <w:t>（反面）</w:t>
            </w:r>
            <w:bookmarkEnd w:id="9"/>
          </w:p>
        </w:tc>
      </w:tr>
    </w:tbl>
    <w:p w14:paraId="200222A3">
      <w:pPr>
        <w:widowControl/>
        <w:spacing w:before="100" w:beforeAutospacing="1" w:after="100" w:afterAutospacing="1" w:line="360" w:lineRule="auto"/>
        <w:jc w:val="center"/>
        <w:rPr>
          <w:rFonts w:ascii="宋体" w:hAnsi="宋体"/>
          <w:b/>
          <w:bCs/>
          <w:sz w:val="24"/>
          <w:szCs w:val="24"/>
        </w:rPr>
      </w:pPr>
      <w:r>
        <w:rPr>
          <w:rFonts w:hint="eastAsia" w:ascii="宋体" w:hAnsi="宋体"/>
          <w:b/>
          <w:bCs/>
          <w:sz w:val="24"/>
          <w:szCs w:val="24"/>
        </w:rPr>
        <w:t>3.4      投标承诺函</w:t>
      </w:r>
    </w:p>
    <w:p w14:paraId="69941DEB">
      <w:pPr>
        <w:autoSpaceDE w:val="0"/>
        <w:autoSpaceDN w:val="0"/>
        <w:snapToGrid w:val="0"/>
        <w:spacing w:line="360" w:lineRule="auto"/>
        <w:jc w:val="center"/>
        <w:rPr>
          <w:rFonts w:ascii="宋体" w:hAnsi="宋体"/>
          <w:b/>
          <w:bCs/>
          <w:sz w:val="24"/>
          <w:szCs w:val="24"/>
        </w:rPr>
      </w:pPr>
    </w:p>
    <w:p w14:paraId="6340296A">
      <w:pPr>
        <w:spacing w:before="156" w:beforeLines="50" w:after="156" w:afterLines="50" w:line="360" w:lineRule="auto"/>
        <w:contextualSpacing/>
        <w:rPr>
          <w:rFonts w:ascii="宋体" w:hAnsi="宋体" w:eastAsia="宋体" w:cs="宋体"/>
          <w:szCs w:val="21"/>
          <w:lang w:val="zh-CN"/>
        </w:rPr>
      </w:pPr>
      <w:r>
        <w:rPr>
          <w:rFonts w:hint="eastAsia" w:ascii="宋体" w:hAnsi="宋体" w:eastAsia="宋体" w:cs="宋体"/>
          <w:szCs w:val="21"/>
          <w:lang w:val="zh-CN"/>
        </w:rPr>
        <w:t>禹州市政府采购中心</w:t>
      </w:r>
      <w:r>
        <w:rPr>
          <w:rFonts w:ascii="宋体" w:hAnsi="宋体" w:eastAsia="宋体" w:cs="宋体"/>
          <w:szCs w:val="21"/>
          <w:lang w:val="zh-CN"/>
        </w:rPr>
        <w:t>：</w:t>
      </w:r>
    </w:p>
    <w:p w14:paraId="64145E0A">
      <w:pPr>
        <w:spacing w:before="156" w:beforeLines="50" w:after="156" w:afterLines="50" w:line="360" w:lineRule="auto"/>
        <w:ind w:firstLine="420" w:firstLineChars="200"/>
        <w:contextualSpacing/>
        <w:rPr>
          <w:rFonts w:cs="宋体" w:asciiTheme="minorEastAsia" w:hAnsiTheme="minorEastAsia"/>
          <w:szCs w:val="21"/>
          <w:lang w:val="zh-CN"/>
        </w:rPr>
      </w:pPr>
      <w:r>
        <w:rPr>
          <w:rFonts w:ascii="宋体" w:hAnsi="宋体" w:eastAsia="宋体" w:cs="宋体"/>
          <w:szCs w:val="21"/>
          <w:lang w:val="zh-CN"/>
        </w:rPr>
        <w:t>经研究，我</w:t>
      </w:r>
      <w:r>
        <w:rPr>
          <w:rFonts w:hint="eastAsia" w:cs="宋体" w:asciiTheme="minorEastAsia" w:hAnsiTheme="minorEastAsia"/>
          <w:szCs w:val="21"/>
          <w:lang w:val="zh-CN"/>
        </w:rPr>
        <w:t>方自愿参与贵方</w:t>
      </w:r>
      <w:r>
        <w:rPr>
          <w:rFonts w:ascii="宋体" w:hAnsi="宋体" w:eastAsia="宋体" w:cs="宋体"/>
          <w:szCs w:val="21"/>
          <w:lang w:val="zh-CN"/>
        </w:rPr>
        <w:t>____年____月____日________</w:t>
      </w:r>
      <w:r>
        <w:rPr>
          <w:rFonts w:hint="eastAsia" w:cs="宋体" w:asciiTheme="minorEastAsia" w:hAnsiTheme="minorEastAsia"/>
          <w:i/>
          <w:szCs w:val="21"/>
          <w:u w:val="single"/>
          <w:lang w:val="zh-CN"/>
        </w:rPr>
        <w:t>（招标编号、项目名称）</w:t>
      </w:r>
      <w:r>
        <w:rPr>
          <w:rFonts w:hint="eastAsia" w:cs="宋体" w:asciiTheme="minorEastAsia" w:hAnsiTheme="minorEastAsia"/>
          <w:szCs w:val="21"/>
          <w:lang w:val="zh-CN"/>
        </w:rPr>
        <w:t>的</w:t>
      </w:r>
      <w:r>
        <w:rPr>
          <w:rFonts w:ascii="宋体" w:hAnsi="宋体" w:eastAsia="宋体" w:cs="宋体"/>
          <w:szCs w:val="21"/>
          <w:lang w:val="zh-CN"/>
        </w:rPr>
        <w:t>投标，</w:t>
      </w:r>
      <w:r>
        <w:rPr>
          <w:rFonts w:hint="eastAsia" w:cs="宋体" w:asciiTheme="minorEastAsia" w:hAnsiTheme="minorEastAsia"/>
          <w:szCs w:val="21"/>
          <w:lang w:val="zh-CN"/>
        </w:rPr>
        <w:t>将</w:t>
      </w:r>
      <w:r>
        <w:rPr>
          <w:rFonts w:ascii="宋体" w:hAnsi="宋体" w:eastAsia="宋体" w:cs="宋体"/>
          <w:szCs w:val="21"/>
          <w:lang w:val="zh-CN"/>
        </w:rPr>
        <w:t>严格</w:t>
      </w:r>
      <w:r>
        <w:rPr>
          <w:rFonts w:hint="eastAsia" w:cs="宋体" w:asciiTheme="minorEastAsia" w:hAnsiTheme="minorEastAsia"/>
          <w:szCs w:val="21"/>
          <w:lang w:val="zh-CN"/>
        </w:rPr>
        <w:t>遵守</w:t>
      </w:r>
      <w:r>
        <w:rPr>
          <w:rFonts w:ascii="宋体" w:hAnsi="宋体" w:eastAsia="宋体" w:cs="宋体"/>
          <w:szCs w:val="21"/>
          <w:lang w:val="zh-CN"/>
        </w:rPr>
        <w:t>《</w:t>
      </w:r>
      <w:r>
        <w:rPr>
          <w:rFonts w:hint="eastAsia" w:cs="宋体" w:asciiTheme="minorEastAsia" w:hAnsiTheme="minorEastAsia"/>
          <w:szCs w:val="21"/>
          <w:lang w:val="zh-CN"/>
        </w:rPr>
        <w:t>中华人民共和国政府采购</w:t>
      </w:r>
      <w:r>
        <w:rPr>
          <w:rFonts w:ascii="宋体" w:hAnsi="宋体" w:eastAsia="宋体" w:cs="宋体"/>
          <w:szCs w:val="21"/>
          <w:lang w:val="zh-CN"/>
        </w:rPr>
        <w:t>法》等</w:t>
      </w:r>
      <w:r>
        <w:rPr>
          <w:rFonts w:hint="eastAsia" w:cs="宋体" w:asciiTheme="minorEastAsia" w:hAnsiTheme="minorEastAsia"/>
          <w:szCs w:val="21"/>
          <w:lang w:val="zh-CN"/>
        </w:rPr>
        <w:t>相关</w:t>
      </w:r>
      <w:r>
        <w:rPr>
          <w:rFonts w:ascii="宋体" w:hAnsi="宋体" w:eastAsia="宋体" w:cs="宋体"/>
          <w:szCs w:val="21"/>
          <w:lang w:val="zh-CN"/>
        </w:rPr>
        <w:t>法律法规</w:t>
      </w:r>
      <w:r>
        <w:rPr>
          <w:rFonts w:hint="eastAsia" w:cs="宋体" w:asciiTheme="minorEastAsia" w:hAnsiTheme="minorEastAsia"/>
          <w:szCs w:val="21"/>
          <w:lang w:val="zh-CN"/>
        </w:rPr>
        <w:t>规定</w:t>
      </w:r>
      <w:r>
        <w:rPr>
          <w:rFonts w:cs="宋体" w:asciiTheme="minorEastAsia" w:hAnsiTheme="minorEastAsia"/>
          <w:szCs w:val="21"/>
          <w:lang w:val="zh-CN"/>
        </w:rPr>
        <w:t>，并无条件地遵守本次采购活动各项规定。我们郑重承诺：</w:t>
      </w:r>
      <w:r>
        <w:rPr>
          <w:rFonts w:hint="eastAsia" w:cs="宋体" w:asciiTheme="minorEastAsia" w:hAnsiTheme="minorEastAsia"/>
          <w:szCs w:val="21"/>
          <w:lang w:val="zh-CN"/>
        </w:rPr>
        <w:t>我方</w:t>
      </w:r>
      <w:r>
        <w:rPr>
          <w:rFonts w:cs="宋体" w:asciiTheme="minorEastAsia" w:hAnsiTheme="minorEastAsia"/>
          <w:szCs w:val="21"/>
          <w:lang w:val="zh-CN"/>
        </w:rPr>
        <w:t>如果在本次</w:t>
      </w:r>
      <w:r>
        <w:rPr>
          <w:rFonts w:hint="eastAsia" w:cs="宋体" w:asciiTheme="minorEastAsia" w:hAnsiTheme="minorEastAsia"/>
          <w:szCs w:val="21"/>
          <w:lang w:val="zh-CN"/>
        </w:rPr>
        <w:t>投标</w:t>
      </w:r>
      <w:r>
        <w:rPr>
          <w:rFonts w:cs="宋体" w:asciiTheme="minorEastAsia" w:hAnsiTheme="minorEastAsia"/>
          <w:szCs w:val="21"/>
          <w:lang w:val="zh-CN"/>
        </w:rPr>
        <w:t>活动中有</w:t>
      </w:r>
      <w:r>
        <w:rPr>
          <w:rFonts w:hint="eastAsia" w:cs="宋体" w:asciiTheme="minorEastAsia" w:hAnsiTheme="minorEastAsia"/>
          <w:szCs w:val="21"/>
          <w:lang w:val="zh-CN"/>
        </w:rPr>
        <w:t>下列</w:t>
      </w:r>
      <w:r>
        <w:rPr>
          <w:rFonts w:cs="宋体" w:asciiTheme="minorEastAsia" w:hAnsiTheme="minorEastAsia"/>
          <w:szCs w:val="21"/>
          <w:lang w:val="zh-CN"/>
        </w:rPr>
        <w:t>情形</w:t>
      </w:r>
      <w:r>
        <w:rPr>
          <w:rFonts w:hint="eastAsia" w:cs="宋体" w:asciiTheme="minorEastAsia" w:hAnsiTheme="minorEastAsia"/>
          <w:szCs w:val="21"/>
          <w:lang w:val="zh-CN"/>
        </w:rPr>
        <w:t>之一</w:t>
      </w:r>
      <w:r>
        <w:rPr>
          <w:rFonts w:cs="宋体" w:asciiTheme="minorEastAsia" w:hAnsiTheme="minorEastAsia"/>
          <w:szCs w:val="21"/>
          <w:lang w:val="zh-CN"/>
        </w:rPr>
        <w:t>的，愿接受政府采购</w:t>
      </w:r>
      <w:r>
        <w:rPr>
          <w:rFonts w:hint="eastAsia" w:cs="宋体" w:asciiTheme="minorEastAsia" w:hAnsiTheme="minorEastAsia"/>
          <w:szCs w:val="21"/>
          <w:lang w:val="zh-CN"/>
        </w:rPr>
        <w:t>监督管理</w:t>
      </w:r>
      <w:r>
        <w:rPr>
          <w:rFonts w:cs="宋体" w:asciiTheme="minorEastAsia" w:hAnsiTheme="minorEastAsia"/>
          <w:szCs w:val="21"/>
          <w:lang w:val="zh-CN"/>
        </w:rPr>
        <w:t>部门给予相关处罚并</w:t>
      </w:r>
      <w:r>
        <w:rPr>
          <w:rFonts w:hint="eastAsia" w:cs="宋体" w:asciiTheme="minorEastAsia" w:hAnsiTheme="minorEastAsia"/>
          <w:szCs w:val="21"/>
          <w:lang w:val="zh-CN"/>
        </w:rPr>
        <w:t>承诺依法</w:t>
      </w:r>
      <w:r>
        <w:rPr>
          <w:rFonts w:cs="宋体" w:asciiTheme="minorEastAsia" w:hAnsiTheme="minorEastAsia"/>
          <w:szCs w:val="21"/>
          <w:lang w:val="zh-CN"/>
        </w:rPr>
        <w:t>承担</w:t>
      </w:r>
      <w:r>
        <w:rPr>
          <w:rFonts w:hint="eastAsia" w:cs="宋体" w:asciiTheme="minorEastAsia" w:hAnsiTheme="minorEastAsia"/>
          <w:szCs w:val="21"/>
          <w:lang w:val="zh-CN"/>
        </w:rPr>
        <w:t>相关的经济赔偿责任和</w:t>
      </w:r>
      <w:r>
        <w:rPr>
          <w:rFonts w:cs="宋体" w:asciiTheme="minorEastAsia" w:hAnsiTheme="minorEastAsia"/>
          <w:szCs w:val="21"/>
          <w:lang w:val="zh-CN"/>
        </w:rPr>
        <w:t>法律责任。</w:t>
      </w:r>
    </w:p>
    <w:p w14:paraId="3D04AF9A">
      <w:pPr>
        <w:spacing w:before="156" w:beforeLines="50" w:after="156"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一、在投标有效期内撤销投标文件；</w:t>
      </w:r>
    </w:p>
    <w:p w14:paraId="7056FFF7">
      <w:pPr>
        <w:spacing w:before="156" w:beforeLines="50" w:after="156"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二、在投标文件中提供虚假材料；</w:t>
      </w:r>
    </w:p>
    <w:p w14:paraId="481C47DE">
      <w:pPr>
        <w:spacing w:before="156" w:beforeLines="50" w:after="156"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三、除因不可抗力或招标文件认可的情形以外，中标后不与采购人签订合同；</w:t>
      </w:r>
    </w:p>
    <w:p w14:paraId="48C1CC0E">
      <w:pPr>
        <w:spacing w:before="156" w:beforeLines="50" w:after="156"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四、与采购人、其他投标人或者采购代理机构恶意串通；</w:t>
      </w:r>
    </w:p>
    <w:p w14:paraId="6AE23515">
      <w:pPr>
        <w:spacing w:before="156" w:beforeLines="50" w:after="156"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五、法律法规及本招标文件规定的其他严重违法行为。</w:t>
      </w:r>
    </w:p>
    <w:p w14:paraId="7EABBBE1">
      <w:pPr>
        <w:rPr>
          <w:sz w:val="28"/>
          <w:szCs w:val="28"/>
          <w:u w:val="single"/>
        </w:rPr>
      </w:pPr>
    </w:p>
    <w:p w14:paraId="7399CBA2">
      <w:pPr>
        <w:rPr>
          <w:sz w:val="28"/>
          <w:szCs w:val="28"/>
          <w:u w:val="single"/>
        </w:rPr>
      </w:pPr>
    </w:p>
    <w:p w14:paraId="0B6B4754">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投标人名称（并加盖公章）：　　　　　　　　　</w:t>
      </w:r>
    </w:p>
    <w:p w14:paraId="173C1B04">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日　  期：      年    月    日</w:t>
      </w:r>
    </w:p>
    <w:p w14:paraId="2D3C89BD">
      <w:pPr>
        <w:autoSpaceDE w:val="0"/>
        <w:autoSpaceDN w:val="0"/>
        <w:adjustRightInd w:val="0"/>
        <w:spacing w:line="360" w:lineRule="auto"/>
        <w:jc w:val="center"/>
        <w:outlineLvl w:val="0"/>
        <w:rPr>
          <w:rFonts w:hAnsi="宋体" w:eastAsia="宋体"/>
          <w:b/>
          <w:snapToGrid w:val="0"/>
          <w:kern w:val="0"/>
          <w:sz w:val="36"/>
          <w:szCs w:val="36"/>
        </w:rPr>
      </w:pPr>
    </w:p>
    <w:p w14:paraId="0B62CB40">
      <w:pPr>
        <w:autoSpaceDE w:val="0"/>
        <w:autoSpaceDN w:val="0"/>
        <w:adjustRightInd w:val="0"/>
        <w:spacing w:line="360" w:lineRule="auto"/>
        <w:jc w:val="center"/>
        <w:rPr>
          <w:rFonts w:ascii="宋体" w:cs="宋体"/>
          <w:szCs w:val="21"/>
          <w:lang w:val="zh-CN"/>
        </w:rPr>
      </w:pPr>
    </w:p>
    <w:p w14:paraId="3CBAD5B0">
      <w:pPr>
        <w:autoSpaceDE w:val="0"/>
        <w:autoSpaceDN w:val="0"/>
        <w:adjustRightInd w:val="0"/>
        <w:spacing w:line="360" w:lineRule="auto"/>
        <w:jc w:val="center"/>
        <w:rPr>
          <w:rFonts w:ascii="宋体" w:cs="宋体"/>
          <w:szCs w:val="21"/>
          <w:lang w:val="zh-CN"/>
        </w:rPr>
      </w:pPr>
    </w:p>
    <w:p w14:paraId="5EDC7123">
      <w:pPr>
        <w:autoSpaceDE w:val="0"/>
        <w:autoSpaceDN w:val="0"/>
        <w:adjustRightInd w:val="0"/>
        <w:spacing w:line="360" w:lineRule="auto"/>
        <w:jc w:val="center"/>
        <w:rPr>
          <w:rFonts w:ascii="宋体" w:cs="宋体"/>
          <w:szCs w:val="21"/>
          <w:lang w:val="zh-CN"/>
        </w:rPr>
      </w:pPr>
    </w:p>
    <w:p w14:paraId="55FDA604">
      <w:pPr>
        <w:autoSpaceDE w:val="0"/>
        <w:autoSpaceDN w:val="0"/>
        <w:adjustRightInd w:val="0"/>
        <w:spacing w:line="360" w:lineRule="auto"/>
        <w:jc w:val="center"/>
        <w:rPr>
          <w:rFonts w:ascii="宋体" w:cs="宋体"/>
          <w:szCs w:val="21"/>
          <w:lang w:val="zh-CN"/>
        </w:rPr>
      </w:pPr>
    </w:p>
    <w:p w14:paraId="12D6D86B">
      <w:pPr>
        <w:autoSpaceDE w:val="0"/>
        <w:autoSpaceDN w:val="0"/>
        <w:adjustRightInd w:val="0"/>
        <w:spacing w:line="360" w:lineRule="auto"/>
        <w:jc w:val="center"/>
        <w:rPr>
          <w:rFonts w:ascii="宋体" w:cs="宋体"/>
          <w:szCs w:val="21"/>
          <w:lang w:val="zh-CN"/>
        </w:rPr>
      </w:pPr>
    </w:p>
    <w:p w14:paraId="4C01190F">
      <w:pPr>
        <w:autoSpaceDE w:val="0"/>
        <w:autoSpaceDN w:val="0"/>
        <w:adjustRightInd w:val="0"/>
        <w:spacing w:line="360" w:lineRule="auto"/>
        <w:ind w:right="-11"/>
        <w:rPr>
          <w:rFonts w:ascii="宋体" w:cs="宋体"/>
          <w:szCs w:val="21"/>
          <w:lang w:val="zh-CN"/>
        </w:rPr>
      </w:pPr>
    </w:p>
    <w:p w14:paraId="0C72C591">
      <w:pPr>
        <w:autoSpaceDE w:val="0"/>
        <w:autoSpaceDN w:val="0"/>
        <w:adjustRightInd w:val="0"/>
        <w:spacing w:line="360" w:lineRule="auto"/>
        <w:jc w:val="center"/>
        <w:rPr>
          <w:rFonts w:cs="宋体" w:asciiTheme="minorEastAsia" w:hAnsiTheme="minorEastAsia"/>
          <w:sz w:val="24"/>
          <w:szCs w:val="24"/>
          <w:lang w:val="zh-CN"/>
        </w:rPr>
      </w:pPr>
    </w:p>
    <w:p w14:paraId="33C6B561">
      <w:pPr>
        <w:autoSpaceDE w:val="0"/>
        <w:autoSpaceDN w:val="0"/>
        <w:adjustRightInd w:val="0"/>
        <w:spacing w:line="360" w:lineRule="auto"/>
        <w:jc w:val="center"/>
        <w:rPr>
          <w:rFonts w:cs="宋体" w:asciiTheme="minorEastAsia" w:hAnsiTheme="minorEastAsia"/>
          <w:sz w:val="24"/>
          <w:szCs w:val="24"/>
          <w:lang w:val="zh-CN"/>
        </w:rPr>
      </w:pPr>
    </w:p>
    <w:p w14:paraId="4E97E6BE">
      <w:pPr>
        <w:spacing w:line="360" w:lineRule="auto"/>
        <w:jc w:val="center"/>
        <w:rPr>
          <w:rFonts w:ascii="宋体" w:hAnsi="宋体"/>
          <w:b/>
          <w:bCs/>
          <w:sz w:val="24"/>
          <w:szCs w:val="24"/>
        </w:rPr>
      </w:pPr>
      <w:r>
        <w:rPr>
          <w:rFonts w:hint="eastAsia" w:ascii="宋体" w:hAnsi="宋体"/>
          <w:b/>
          <w:bCs/>
          <w:sz w:val="24"/>
          <w:szCs w:val="24"/>
        </w:rPr>
        <w:t>3.5禹州市政府采购供应商信用承诺函</w:t>
      </w:r>
    </w:p>
    <w:p w14:paraId="28B87FCB">
      <w:pPr>
        <w:rPr>
          <w:rFonts w:cs="宋体" w:asciiTheme="minorEastAsia" w:hAnsiTheme="minorEastAsia"/>
          <w:szCs w:val="21"/>
          <w:lang w:val="zh-CN"/>
        </w:rPr>
      </w:pPr>
    </w:p>
    <w:p w14:paraId="2A97EF80">
      <w:pPr>
        <w:spacing w:line="600" w:lineRule="exact"/>
        <w:rPr>
          <w:rFonts w:cs="宋体" w:asciiTheme="minorEastAsia" w:hAnsiTheme="minorEastAsia"/>
          <w:szCs w:val="21"/>
          <w:lang w:val="zh-CN"/>
        </w:rPr>
      </w:pPr>
      <w:r>
        <w:rPr>
          <w:rFonts w:cs="宋体" w:asciiTheme="minorEastAsia" w:hAnsiTheme="minorEastAsia"/>
          <w:szCs w:val="21"/>
          <w:lang w:val="zh-CN"/>
        </w:rPr>
        <w:t>致（采购人或采购代理机构）：</w:t>
      </w:r>
    </w:p>
    <w:p w14:paraId="7AA1DAD1">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单位名称（自然人姓名）:</w:t>
      </w:r>
    </w:p>
    <w:p w14:paraId="5683122B">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统一社会信用代码（身份证号码）:</w:t>
      </w:r>
    </w:p>
    <w:p w14:paraId="2E592F45">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w:t>
      </w:r>
    </w:p>
    <w:p w14:paraId="64565115">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联系地址和电话：</w:t>
      </w:r>
    </w:p>
    <w:p w14:paraId="57BF8528">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为维护公平、公正、公开的政府采购市场秩序，树立诚实守信的政府采购供应商形象，我单位（本人）自愿作出以下承诺：</w:t>
      </w:r>
    </w:p>
    <w:p w14:paraId="1522FFF8">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685966F7">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（一）具有独立承担民事责任的能力；</w:t>
      </w:r>
    </w:p>
    <w:p w14:paraId="4BF4EBDC">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（二）具有良好的商业信誉和健全的财务会计制度；</w:t>
      </w:r>
    </w:p>
    <w:p w14:paraId="193094D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（三）具有履行合同所必需的设备和专业技术能力；</w:t>
      </w:r>
    </w:p>
    <w:p w14:paraId="603022C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（四）有依法缴纳税收和社会保障资金的良好记录；</w:t>
      </w:r>
    </w:p>
    <w:p w14:paraId="3B419695">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（五）参加政府采购活动前三年内，在经营活动中没有重大违法记录；</w:t>
      </w:r>
    </w:p>
    <w:p w14:paraId="69B8A407">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（六）未被列入经营异常名录或者严重违法失信名单、失信被执行人，重大税收违法案件当事人名单、政府采购严重违法失信行为记录名单；</w:t>
      </w:r>
    </w:p>
    <w:p w14:paraId="4C8B0B75">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（七）未被相关监管部门作出行政处罚且尚在处罚有效期的；</w:t>
      </w:r>
    </w:p>
    <w:p w14:paraId="2C45C127">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（八）未曾作出虚假采购承诺；</w:t>
      </w:r>
    </w:p>
    <w:p w14:paraId="361CBFC7">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（九）符合法律、行政法规规定的其他条件。</w:t>
      </w:r>
    </w:p>
    <w:p w14:paraId="032F8EC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25D31EF5">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供应商（电子章）:</w:t>
      </w:r>
    </w:p>
    <w:p w14:paraId="611E69CB">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法定代表人、负责人、本人、或授权代表（签字或电子印章）:</w:t>
      </w:r>
    </w:p>
    <w:p w14:paraId="2C83BED8">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日期：年月日</w:t>
      </w:r>
    </w:p>
    <w:p w14:paraId="37508410">
      <w:pPr>
        <w:rPr>
          <w:rFonts w:cs="宋体" w:asciiTheme="minorEastAsia" w:hAnsiTheme="minorEastAsia"/>
          <w:szCs w:val="21"/>
          <w:lang w:val="zh-CN"/>
        </w:rPr>
      </w:pPr>
    </w:p>
    <w:p w14:paraId="7FE0EA9D">
      <w:pPr>
        <w:rPr>
          <w:rFonts w:ascii="仿宋" w:hAnsi="仿宋" w:eastAsia="仿宋" w:cs="华文仿宋"/>
          <w:szCs w:val="21"/>
        </w:rPr>
      </w:pPr>
    </w:p>
    <w:p w14:paraId="7FF15D54">
      <w:pPr>
        <w:rPr>
          <w:rFonts w:ascii="仿宋" w:hAnsi="仿宋" w:eastAsia="仿宋"/>
        </w:rPr>
      </w:pPr>
      <w:r>
        <w:rPr>
          <w:rFonts w:ascii="仿宋" w:hAnsi="仿宋" w:eastAsia="仿宋" w:cs="华文仿宋"/>
          <w:szCs w:val="21"/>
        </w:rPr>
        <w:t>注：1.供应商须在</w:t>
      </w:r>
      <w:r>
        <w:rPr>
          <w:rFonts w:hint="eastAsia" w:ascii="仿宋" w:hAnsi="仿宋" w:eastAsia="仿宋" w:cs="华文仿宋"/>
          <w:szCs w:val="21"/>
        </w:rPr>
        <w:t>谈判</w:t>
      </w:r>
      <w:r>
        <w:rPr>
          <w:rFonts w:ascii="仿宋" w:hAnsi="仿宋" w:eastAsia="仿宋" w:cs="华文仿宋"/>
          <w:szCs w:val="21"/>
        </w:rPr>
        <w:t>文件中按此模板提供承诺函，未提供视为未实质性响应</w:t>
      </w:r>
      <w:r>
        <w:rPr>
          <w:rFonts w:hint="eastAsia" w:ascii="仿宋" w:hAnsi="仿宋" w:eastAsia="仿宋" w:cs="华文仿宋"/>
          <w:szCs w:val="21"/>
        </w:rPr>
        <w:t>谈判</w:t>
      </w:r>
      <w:r>
        <w:rPr>
          <w:rFonts w:ascii="仿宋" w:hAnsi="仿宋" w:eastAsia="仿宋" w:cs="华文仿宋"/>
          <w:szCs w:val="21"/>
        </w:rPr>
        <w:t>文件要求，按无效投标处理。</w:t>
      </w:r>
    </w:p>
    <w:p w14:paraId="43C9305A">
      <w:pPr>
        <w:rPr>
          <w:rFonts w:ascii="仿宋" w:hAnsi="仿宋" w:eastAsia="仿宋"/>
        </w:rPr>
      </w:pPr>
      <w:r>
        <w:rPr>
          <w:rFonts w:ascii="仿宋" w:hAnsi="仿宋" w:eastAsia="仿宋" w:cs="华文仿宋"/>
          <w:szCs w:val="21"/>
        </w:rPr>
        <w:t>2.供应商的法定代表人或者授权代表的签字或盖章应真实、有效，如由授权代表签字或盖章的，应提供“法定代表人授权书”。</w:t>
      </w:r>
    </w:p>
    <w:p w14:paraId="24692B14">
      <w:pPr>
        <w:rPr>
          <w:rFonts w:ascii="仿宋" w:hAnsi="仿宋" w:eastAsia="仿宋"/>
          <w:sz w:val="32"/>
          <w:szCs w:val="32"/>
        </w:rPr>
      </w:pPr>
    </w:p>
    <w:p w14:paraId="050757F3">
      <w:pPr>
        <w:rPr>
          <w:rFonts w:ascii="仿宋" w:hAnsi="仿宋" w:eastAsia="仿宋"/>
          <w:sz w:val="32"/>
          <w:szCs w:val="32"/>
        </w:rPr>
      </w:pPr>
    </w:p>
    <w:p w14:paraId="06EE554B">
      <w:pPr>
        <w:rPr>
          <w:rFonts w:ascii="仿宋" w:hAnsi="仿宋" w:eastAsia="仿宋"/>
          <w:sz w:val="32"/>
          <w:szCs w:val="32"/>
        </w:rPr>
      </w:pPr>
    </w:p>
    <w:p w14:paraId="3AD80372">
      <w:pPr>
        <w:rPr>
          <w:rFonts w:ascii="仿宋" w:hAnsi="仿宋" w:eastAsia="仿宋"/>
          <w:sz w:val="32"/>
          <w:szCs w:val="32"/>
        </w:rPr>
      </w:pPr>
    </w:p>
    <w:p w14:paraId="15E8E7D7">
      <w:pPr>
        <w:rPr>
          <w:rFonts w:ascii="仿宋" w:hAnsi="仿宋" w:eastAsia="仿宋"/>
          <w:sz w:val="32"/>
          <w:szCs w:val="32"/>
        </w:rPr>
      </w:pPr>
    </w:p>
    <w:p w14:paraId="0662B57C">
      <w:pPr>
        <w:pStyle w:val="10"/>
        <w:rPr>
          <w:rFonts w:ascii="宋体" w:cs="宋体"/>
          <w:sz w:val="24"/>
          <w:lang w:val="zh-CN"/>
        </w:rPr>
      </w:pPr>
    </w:p>
    <w:p w14:paraId="18F15434">
      <w:pPr>
        <w:pStyle w:val="10"/>
        <w:rPr>
          <w:rFonts w:ascii="宋体" w:cs="宋体"/>
          <w:sz w:val="24"/>
          <w:lang w:val="zh-CN"/>
        </w:rPr>
      </w:pPr>
    </w:p>
    <w:p w14:paraId="00593143">
      <w:pPr>
        <w:pStyle w:val="10"/>
        <w:rPr>
          <w:rFonts w:ascii="宋体" w:cs="宋体"/>
          <w:sz w:val="24"/>
          <w:lang w:val="zh-CN"/>
        </w:rPr>
      </w:pPr>
    </w:p>
    <w:p w14:paraId="23B36943">
      <w:pPr>
        <w:spacing w:line="360" w:lineRule="auto"/>
        <w:rPr>
          <w:rFonts w:ascii="宋体" w:hAnsi="宋体"/>
          <w:b/>
          <w:bCs/>
          <w:sz w:val="24"/>
          <w:szCs w:val="24"/>
        </w:rPr>
      </w:pPr>
    </w:p>
    <w:p w14:paraId="0BF5CD26">
      <w:pPr>
        <w:spacing w:line="360" w:lineRule="auto"/>
        <w:jc w:val="center"/>
        <w:rPr>
          <w:rFonts w:ascii="宋体" w:hAnsi="宋体"/>
          <w:b/>
          <w:bCs/>
          <w:sz w:val="24"/>
          <w:szCs w:val="24"/>
        </w:rPr>
      </w:pPr>
    </w:p>
    <w:p w14:paraId="35CEA7FA">
      <w:pPr>
        <w:spacing w:line="360" w:lineRule="auto"/>
        <w:jc w:val="center"/>
        <w:rPr>
          <w:rFonts w:ascii="宋体" w:hAnsi="宋体"/>
          <w:b/>
          <w:bCs/>
          <w:sz w:val="24"/>
          <w:szCs w:val="24"/>
        </w:rPr>
      </w:pPr>
      <w:r>
        <w:rPr>
          <w:rFonts w:hint="eastAsia" w:ascii="宋体" w:hAnsi="宋体"/>
          <w:b/>
          <w:bCs/>
          <w:sz w:val="24"/>
          <w:szCs w:val="24"/>
        </w:rPr>
        <w:t>3.6投标人提供与参加本项目投标的其他供应商之间，单位负责人不为同一人并且不存在直接控股、管理关系承诺函</w:t>
      </w:r>
    </w:p>
    <w:p w14:paraId="1E18E11D">
      <w:pPr>
        <w:spacing w:line="360" w:lineRule="auto"/>
        <w:jc w:val="center"/>
        <w:rPr>
          <w:rFonts w:ascii="宋体" w:hAnsi="宋体"/>
          <w:bCs/>
          <w:sz w:val="24"/>
          <w:szCs w:val="24"/>
        </w:rPr>
      </w:pPr>
      <w:r>
        <w:rPr>
          <w:rFonts w:hint="eastAsia" w:ascii="宋体" w:hAnsi="宋体"/>
          <w:bCs/>
          <w:sz w:val="24"/>
          <w:szCs w:val="24"/>
        </w:rPr>
        <w:t>（承诺函格式自拟）</w:t>
      </w:r>
    </w:p>
    <w:p w14:paraId="36AD6A20">
      <w:pPr>
        <w:autoSpaceDE w:val="0"/>
        <w:autoSpaceDN w:val="0"/>
        <w:adjustRightInd w:val="0"/>
        <w:spacing w:line="360" w:lineRule="auto"/>
        <w:jc w:val="center"/>
        <w:outlineLvl w:val="0"/>
        <w:rPr>
          <w:rFonts w:ascii="宋体" w:hAnsi="宋体"/>
          <w:b/>
          <w:bCs/>
          <w:sz w:val="24"/>
          <w:szCs w:val="24"/>
        </w:rPr>
      </w:pPr>
    </w:p>
    <w:p w14:paraId="60B90B69">
      <w:pPr>
        <w:widowControl/>
        <w:jc w:val="left"/>
        <w:rPr>
          <w:rFonts w:ascii="宋体" w:hAnsi="宋体"/>
          <w:b/>
          <w:bCs/>
          <w:sz w:val="24"/>
          <w:szCs w:val="24"/>
        </w:rPr>
      </w:pPr>
      <w:r>
        <w:rPr>
          <w:rFonts w:ascii="宋体" w:hAnsi="宋体"/>
          <w:b/>
          <w:bCs/>
          <w:sz w:val="24"/>
          <w:szCs w:val="24"/>
        </w:rPr>
        <w:br w:type="page"/>
      </w:r>
    </w:p>
    <w:p w14:paraId="02C49CEB">
      <w:pPr>
        <w:spacing w:line="360" w:lineRule="auto"/>
        <w:jc w:val="center"/>
        <w:rPr>
          <w:rFonts w:ascii="宋体" w:hAnsi="宋体"/>
          <w:b/>
          <w:bCs/>
          <w:sz w:val="24"/>
          <w:szCs w:val="24"/>
        </w:rPr>
      </w:pPr>
      <w:r>
        <w:rPr>
          <w:rFonts w:hint="eastAsia" w:ascii="宋体" w:hAnsi="宋体"/>
          <w:b/>
          <w:bCs/>
          <w:sz w:val="24"/>
          <w:szCs w:val="24"/>
        </w:rPr>
        <w:t>3.7投标人提供未为本项目提供整体设计、规范编制或者项目管理、监理、检测等服务承诺函</w:t>
      </w:r>
    </w:p>
    <w:p w14:paraId="2840690E">
      <w:pPr>
        <w:spacing w:line="360" w:lineRule="auto"/>
        <w:jc w:val="center"/>
        <w:rPr>
          <w:rFonts w:ascii="宋体" w:hAnsi="宋体"/>
          <w:bCs/>
          <w:sz w:val="24"/>
          <w:szCs w:val="24"/>
        </w:rPr>
      </w:pPr>
      <w:r>
        <w:rPr>
          <w:rFonts w:hint="eastAsia" w:ascii="宋体" w:hAnsi="宋体"/>
          <w:bCs/>
          <w:sz w:val="24"/>
          <w:szCs w:val="24"/>
        </w:rPr>
        <w:t>（承诺函格式自拟）</w:t>
      </w:r>
    </w:p>
    <w:p w14:paraId="24E4ACA6">
      <w:pPr>
        <w:spacing w:line="360" w:lineRule="auto"/>
        <w:jc w:val="center"/>
        <w:rPr>
          <w:rFonts w:ascii="宋体" w:hAnsi="宋体"/>
          <w:bCs/>
          <w:sz w:val="24"/>
          <w:szCs w:val="24"/>
        </w:rPr>
      </w:pPr>
    </w:p>
    <w:p w14:paraId="58BB5F0B">
      <w:pPr>
        <w:spacing w:line="360" w:lineRule="auto"/>
        <w:jc w:val="center"/>
        <w:rPr>
          <w:rFonts w:ascii="宋体" w:hAnsi="宋体"/>
          <w:bCs/>
          <w:sz w:val="24"/>
          <w:szCs w:val="24"/>
        </w:rPr>
      </w:pPr>
    </w:p>
    <w:p w14:paraId="0D034893">
      <w:pPr>
        <w:spacing w:line="360" w:lineRule="auto"/>
        <w:jc w:val="center"/>
        <w:rPr>
          <w:rFonts w:ascii="宋体" w:hAnsi="宋体"/>
          <w:bCs/>
          <w:sz w:val="24"/>
          <w:szCs w:val="24"/>
        </w:rPr>
      </w:pPr>
    </w:p>
    <w:p w14:paraId="2C66A82A">
      <w:pPr>
        <w:spacing w:line="360" w:lineRule="auto"/>
        <w:jc w:val="center"/>
        <w:rPr>
          <w:rFonts w:ascii="宋体" w:hAnsi="宋体"/>
          <w:bCs/>
          <w:sz w:val="24"/>
          <w:szCs w:val="24"/>
        </w:rPr>
      </w:pPr>
    </w:p>
    <w:p w14:paraId="4A337235">
      <w:pPr>
        <w:spacing w:line="360" w:lineRule="auto"/>
        <w:jc w:val="center"/>
        <w:rPr>
          <w:rFonts w:ascii="宋体" w:hAnsi="宋体"/>
          <w:bCs/>
          <w:sz w:val="24"/>
          <w:szCs w:val="24"/>
        </w:rPr>
      </w:pPr>
    </w:p>
    <w:p w14:paraId="3C7D2E74">
      <w:pPr>
        <w:spacing w:line="360" w:lineRule="auto"/>
        <w:jc w:val="center"/>
        <w:rPr>
          <w:rFonts w:ascii="宋体" w:hAnsi="宋体"/>
          <w:bCs/>
          <w:sz w:val="24"/>
          <w:szCs w:val="24"/>
        </w:rPr>
      </w:pPr>
    </w:p>
    <w:p w14:paraId="2B673167">
      <w:pPr>
        <w:spacing w:line="360" w:lineRule="auto"/>
        <w:jc w:val="center"/>
        <w:rPr>
          <w:rFonts w:ascii="宋体" w:hAnsi="宋体"/>
          <w:bCs/>
          <w:sz w:val="24"/>
          <w:szCs w:val="24"/>
        </w:rPr>
      </w:pPr>
    </w:p>
    <w:p w14:paraId="46DF54F0">
      <w:pPr>
        <w:spacing w:line="360" w:lineRule="auto"/>
        <w:jc w:val="center"/>
        <w:rPr>
          <w:rFonts w:ascii="宋体" w:hAnsi="宋体"/>
          <w:bCs/>
          <w:sz w:val="24"/>
          <w:szCs w:val="24"/>
        </w:rPr>
      </w:pPr>
    </w:p>
    <w:p w14:paraId="5BF1C203">
      <w:pPr>
        <w:spacing w:line="360" w:lineRule="auto"/>
        <w:jc w:val="center"/>
        <w:rPr>
          <w:rFonts w:ascii="宋体" w:hAnsi="宋体"/>
          <w:bCs/>
          <w:sz w:val="24"/>
          <w:szCs w:val="24"/>
        </w:rPr>
      </w:pPr>
    </w:p>
    <w:p w14:paraId="1B461221">
      <w:pPr>
        <w:spacing w:line="360" w:lineRule="auto"/>
        <w:jc w:val="center"/>
        <w:rPr>
          <w:rFonts w:ascii="宋体" w:hAnsi="宋体"/>
          <w:bCs/>
          <w:sz w:val="24"/>
          <w:szCs w:val="24"/>
        </w:rPr>
      </w:pPr>
    </w:p>
    <w:p w14:paraId="594444A7">
      <w:pPr>
        <w:spacing w:line="360" w:lineRule="auto"/>
        <w:jc w:val="center"/>
        <w:rPr>
          <w:rFonts w:ascii="宋体" w:hAnsi="宋体"/>
          <w:bCs/>
          <w:sz w:val="24"/>
          <w:szCs w:val="24"/>
        </w:rPr>
      </w:pPr>
    </w:p>
    <w:p w14:paraId="2EB86F84">
      <w:pPr>
        <w:spacing w:line="360" w:lineRule="auto"/>
        <w:jc w:val="center"/>
        <w:rPr>
          <w:rFonts w:ascii="宋体" w:hAnsi="宋体"/>
          <w:bCs/>
          <w:sz w:val="24"/>
          <w:szCs w:val="24"/>
        </w:rPr>
      </w:pPr>
    </w:p>
    <w:p w14:paraId="41F60743">
      <w:pPr>
        <w:spacing w:line="360" w:lineRule="auto"/>
        <w:jc w:val="center"/>
        <w:rPr>
          <w:rFonts w:ascii="宋体" w:hAnsi="宋体"/>
          <w:bCs/>
          <w:sz w:val="24"/>
          <w:szCs w:val="24"/>
        </w:rPr>
      </w:pPr>
    </w:p>
    <w:p w14:paraId="0F9A316A">
      <w:pPr>
        <w:spacing w:line="360" w:lineRule="auto"/>
        <w:jc w:val="center"/>
        <w:rPr>
          <w:rFonts w:ascii="宋体" w:hAnsi="宋体"/>
          <w:bCs/>
          <w:sz w:val="24"/>
          <w:szCs w:val="24"/>
        </w:rPr>
      </w:pPr>
    </w:p>
    <w:p w14:paraId="3A288DBF">
      <w:pPr>
        <w:spacing w:line="360" w:lineRule="auto"/>
        <w:jc w:val="center"/>
        <w:rPr>
          <w:rFonts w:ascii="宋体" w:hAnsi="宋体"/>
          <w:bCs/>
          <w:sz w:val="24"/>
          <w:szCs w:val="24"/>
        </w:rPr>
      </w:pPr>
    </w:p>
    <w:p w14:paraId="03D6729F">
      <w:pPr>
        <w:spacing w:line="360" w:lineRule="auto"/>
        <w:jc w:val="center"/>
        <w:rPr>
          <w:rFonts w:ascii="宋体" w:hAnsi="宋体"/>
          <w:bCs/>
          <w:sz w:val="24"/>
          <w:szCs w:val="24"/>
        </w:rPr>
      </w:pPr>
    </w:p>
    <w:p w14:paraId="2C71BA24">
      <w:pPr>
        <w:spacing w:line="360" w:lineRule="auto"/>
        <w:jc w:val="center"/>
        <w:rPr>
          <w:rFonts w:ascii="宋体" w:hAnsi="宋体"/>
          <w:bCs/>
          <w:sz w:val="24"/>
          <w:szCs w:val="24"/>
        </w:rPr>
      </w:pPr>
    </w:p>
    <w:p w14:paraId="74ADF476">
      <w:pPr>
        <w:spacing w:line="360" w:lineRule="auto"/>
        <w:jc w:val="center"/>
        <w:rPr>
          <w:rFonts w:ascii="宋体" w:hAnsi="宋体"/>
          <w:bCs/>
          <w:sz w:val="24"/>
          <w:szCs w:val="24"/>
        </w:rPr>
      </w:pPr>
    </w:p>
    <w:p w14:paraId="5AE19CE1">
      <w:pPr>
        <w:spacing w:line="360" w:lineRule="auto"/>
        <w:jc w:val="center"/>
        <w:rPr>
          <w:rFonts w:ascii="宋体" w:hAnsi="宋体"/>
          <w:bCs/>
          <w:sz w:val="24"/>
          <w:szCs w:val="24"/>
        </w:rPr>
      </w:pPr>
    </w:p>
    <w:p w14:paraId="1056B68B">
      <w:pPr>
        <w:autoSpaceDE w:val="0"/>
        <w:autoSpaceDN w:val="0"/>
        <w:adjustRightInd w:val="0"/>
        <w:spacing w:line="360" w:lineRule="auto"/>
        <w:ind w:firstLine="2409" w:firstLineChars="1000"/>
        <w:outlineLvl w:val="0"/>
        <w:rPr>
          <w:rFonts w:ascii="宋体" w:hAnsi="宋体"/>
          <w:b/>
          <w:bCs/>
          <w:sz w:val="24"/>
          <w:szCs w:val="24"/>
        </w:rPr>
      </w:pPr>
      <w:r>
        <w:rPr>
          <w:rFonts w:hint="eastAsia" w:ascii="宋体" w:hAnsi="宋体"/>
          <w:b/>
          <w:bCs/>
          <w:sz w:val="24"/>
          <w:szCs w:val="24"/>
        </w:rPr>
        <w:t xml:space="preserve">3.8 其他资格证书或材料 </w:t>
      </w:r>
    </w:p>
    <w:p w14:paraId="20E93F54">
      <w:pPr>
        <w:autoSpaceDE w:val="0"/>
        <w:autoSpaceDN w:val="0"/>
        <w:adjustRightInd w:val="0"/>
        <w:spacing w:line="360" w:lineRule="auto"/>
        <w:jc w:val="center"/>
        <w:rPr>
          <w:rFonts w:cs="黑体" w:asciiTheme="minorEastAsia" w:hAnsiTheme="minorEastAsia"/>
          <w:b/>
          <w:bCs/>
          <w:sz w:val="28"/>
          <w:szCs w:val="28"/>
          <w:lang w:val="zh-CN"/>
        </w:rPr>
      </w:pPr>
    </w:p>
    <w:p w14:paraId="698ADE0D">
      <w:pPr>
        <w:autoSpaceDE w:val="0"/>
        <w:autoSpaceDN w:val="0"/>
        <w:adjustRightInd w:val="0"/>
        <w:spacing w:line="360" w:lineRule="auto"/>
        <w:jc w:val="center"/>
        <w:rPr>
          <w:rFonts w:cs="黑体" w:asciiTheme="minorEastAsia" w:hAnsiTheme="minorEastAsia"/>
          <w:b/>
          <w:bCs/>
          <w:sz w:val="28"/>
          <w:szCs w:val="28"/>
          <w:lang w:val="zh-CN"/>
        </w:rPr>
      </w:pPr>
    </w:p>
    <w:p w14:paraId="62A1ACE5">
      <w:pPr>
        <w:autoSpaceDE w:val="0"/>
        <w:autoSpaceDN w:val="0"/>
        <w:adjustRightInd w:val="0"/>
        <w:spacing w:line="360" w:lineRule="auto"/>
        <w:jc w:val="center"/>
        <w:rPr>
          <w:rFonts w:cs="黑体" w:asciiTheme="minorEastAsia" w:hAnsiTheme="minorEastAsia"/>
          <w:b/>
          <w:bCs/>
          <w:sz w:val="28"/>
          <w:szCs w:val="28"/>
          <w:lang w:val="zh-CN"/>
        </w:rPr>
      </w:pPr>
    </w:p>
    <w:p w14:paraId="3D3ABF7D">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四、符合性审查证明材料</w:t>
      </w:r>
    </w:p>
    <w:p w14:paraId="3970211E">
      <w:pPr>
        <w:autoSpaceDE w:val="0"/>
        <w:autoSpaceDN w:val="0"/>
        <w:adjustRightInd w:val="0"/>
        <w:spacing w:line="360" w:lineRule="auto"/>
        <w:jc w:val="center"/>
        <w:outlineLvl w:val="0"/>
        <w:rPr>
          <w:rFonts w:hAnsi="宋体" w:eastAsia="宋体"/>
          <w:b/>
          <w:snapToGrid w:val="0"/>
          <w:kern w:val="0"/>
          <w:sz w:val="36"/>
          <w:szCs w:val="36"/>
        </w:rPr>
      </w:pPr>
    </w:p>
    <w:p w14:paraId="23534F7E">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4.1 投标分项报价表</w:t>
      </w:r>
    </w:p>
    <w:p w14:paraId="05F748A5">
      <w:pPr>
        <w:spacing w:before="50" w:after="156"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6C165F6">
      <w:pPr>
        <w:autoSpaceDE w:val="0"/>
        <w:autoSpaceDN w:val="0"/>
        <w:adjustRightInd w:val="0"/>
        <w:spacing w:line="360" w:lineRule="auto"/>
        <w:outlineLvl w:val="0"/>
        <w:rPr>
          <w:rFonts w:hAnsi="宋体" w:eastAsia="宋体"/>
          <w:b/>
          <w:snapToGrid w:val="0"/>
          <w:kern w:val="0"/>
          <w:szCs w:val="21"/>
        </w:rPr>
      </w:pPr>
      <w:r>
        <w:rPr>
          <w:rFonts w:hint="eastAsia" w:asciiTheme="minorEastAsia" w:hAnsiTheme="minorEastAsia"/>
          <w:szCs w:val="21"/>
        </w:rPr>
        <w:t xml:space="preserve">项目名称：   </w:t>
      </w:r>
    </w:p>
    <w:tbl>
      <w:tblPr>
        <w:tblStyle w:val="24"/>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14:paraId="6EBD6F0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2772D3">
            <w:pPr>
              <w:autoSpaceDE w:val="0"/>
              <w:autoSpaceDN w:val="0"/>
              <w:adjustRightInd w:val="0"/>
              <w:spacing w:line="280" w:lineRule="exact"/>
              <w:jc w:val="center"/>
              <w:rPr>
                <w:rFonts w:cs="宋体" w:asciiTheme="minorEastAsia" w:hAnsiTheme="minorEastAsia"/>
                <w:b/>
                <w:szCs w:val="21"/>
                <w:lang w:val="zh-CN"/>
              </w:rPr>
            </w:pPr>
            <w:r>
              <w:rPr>
                <w:rFonts w:hint="eastAsia" w:cs="宋体" w:asciiTheme="minorEastAsia" w:hAnsiTheme="minorEastAsia"/>
                <w:b/>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03E959C">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62C3348">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品牌</w:t>
            </w:r>
          </w:p>
          <w:p w14:paraId="7C3C4D9C">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98EA432">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技术</w:t>
            </w:r>
          </w:p>
          <w:p w14:paraId="2D987BE2">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B65B83A">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874B483">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7324A5">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485C741">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A4B036">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厂家</w:t>
            </w:r>
          </w:p>
        </w:tc>
      </w:tr>
      <w:tr w14:paraId="4C00197C">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17EEDA5F">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1</w:t>
            </w:r>
          </w:p>
        </w:tc>
        <w:tc>
          <w:tcPr>
            <w:tcW w:w="1134" w:type="dxa"/>
            <w:tcBorders>
              <w:top w:val="single" w:color="auto" w:sz="6" w:space="0"/>
              <w:left w:val="single" w:color="auto" w:sz="6" w:space="0"/>
              <w:bottom w:val="single" w:color="auto" w:sz="6" w:space="0"/>
              <w:right w:val="single" w:color="auto" w:sz="6" w:space="0"/>
            </w:tcBorders>
          </w:tcPr>
          <w:p w14:paraId="36C694A3">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63FEC6F8">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2D534D6C">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744F7064">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13F1BA76">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440EF786">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27455918">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0B798992">
            <w:pPr>
              <w:autoSpaceDE w:val="0"/>
              <w:autoSpaceDN w:val="0"/>
              <w:adjustRightInd w:val="0"/>
              <w:spacing w:line="360" w:lineRule="auto"/>
              <w:rPr>
                <w:rFonts w:asciiTheme="minorEastAsia" w:hAnsiTheme="minorEastAsia"/>
                <w:szCs w:val="21"/>
              </w:rPr>
            </w:pPr>
          </w:p>
        </w:tc>
      </w:tr>
      <w:tr w14:paraId="58F67E47">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4AF20827">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2</w:t>
            </w:r>
          </w:p>
        </w:tc>
        <w:tc>
          <w:tcPr>
            <w:tcW w:w="1134" w:type="dxa"/>
            <w:tcBorders>
              <w:top w:val="single" w:color="auto" w:sz="6" w:space="0"/>
              <w:left w:val="single" w:color="auto" w:sz="6" w:space="0"/>
              <w:bottom w:val="single" w:color="auto" w:sz="6" w:space="0"/>
              <w:right w:val="single" w:color="auto" w:sz="6" w:space="0"/>
            </w:tcBorders>
          </w:tcPr>
          <w:p w14:paraId="00EA399A">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470DA705">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4D821E38">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1A57EAA9">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7723EB26">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3E585E5C">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2EDF5462">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5EB81B30">
            <w:pPr>
              <w:autoSpaceDE w:val="0"/>
              <w:autoSpaceDN w:val="0"/>
              <w:adjustRightInd w:val="0"/>
              <w:spacing w:line="360" w:lineRule="auto"/>
              <w:rPr>
                <w:rFonts w:asciiTheme="minorEastAsia" w:hAnsiTheme="minorEastAsia"/>
                <w:szCs w:val="21"/>
              </w:rPr>
            </w:pPr>
          </w:p>
        </w:tc>
      </w:tr>
      <w:tr w14:paraId="30EAD0ED">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4CDAEEFC">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w:t>
            </w:r>
          </w:p>
        </w:tc>
        <w:tc>
          <w:tcPr>
            <w:tcW w:w="1134" w:type="dxa"/>
            <w:tcBorders>
              <w:top w:val="single" w:color="auto" w:sz="6" w:space="0"/>
              <w:left w:val="single" w:color="auto" w:sz="6" w:space="0"/>
              <w:bottom w:val="single" w:color="auto" w:sz="6" w:space="0"/>
              <w:right w:val="single" w:color="auto" w:sz="6" w:space="0"/>
            </w:tcBorders>
          </w:tcPr>
          <w:p w14:paraId="7A6EEA19">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191F2A91">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2E99A007">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5D12F448">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7C178315">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777763CC">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6A6668E8">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304A2DB9">
            <w:pPr>
              <w:autoSpaceDE w:val="0"/>
              <w:autoSpaceDN w:val="0"/>
              <w:adjustRightInd w:val="0"/>
              <w:spacing w:line="360" w:lineRule="auto"/>
              <w:rPr>
                <w:rFonts w:asciiTheme="minorEastAsia" w:hAnsiTheme="minorEastAsia"/>
                <w:szCs w:val="21"/>
              </w:rPr>
            </w:pPr>
          </w:p>
        </w:tc>
      </w:tr>
      <w:tr w14:paraId="755357A0">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1300853F">
            <w:pPr>
              <w:autoSpaceDE w:val="0"/>
              <w:autoSpaceDN w:val="0"/>
              <w:adjustRightInd w:val="0"/>
              <w:spacing w:line="360" w:lineRule="auto"/>
              <w:jc w:val="center"/>
              <w:rPr>
                <w:rFonts w:asciiTheme="minorEastAsia" w:hAnsiTheme="minorEastAsia"/>
                <w:szCs w:val="21"/>
              </w:rPr>
            </w:pPr>
            <w:r>
              <w:rPr>
                <w:rFonts w:hint="eastAsia" w:cs="宋体" w:asciiTheme="minorEastAsia" w:hAnsiTheme="minorEastAsia"/>
                <w:szCs w:val="21"/>
                <w:lang w:val="zh-CN"/>
              </w:rPr>
              <w:t>合计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14:paraId="7AE7D71F">
            <w:pPr>
              <w:autoSpaceDE w:val="0"/>
              <w:autoSpaceDN w:val="0"/>
              <w:adjustRightInd w:val="0"/>
              <w:spacing w:line="360" w:lineRule="auto"/>
              <w:ind w:firstLine="105" w:firstLineChars="50"/>
              <w:rPr>
                <w:rFonts w:cs="宋体" w:asciiTheme="minorEastAsia" w:hAnsiTheme="minorEastAsia"/>
                <w:szCs w:val="21"/>
                <w:lang w:val="zh-CN"/>
              </w:rPr>
            </w:pPr>
            <w:r>
              <w:rPr>
                <w:rFonts w:hint="eastAsia" w:cs="宋体" w:asciiTheme="minorEastAsia" w:hAnsiTheme="minorEastAsia"/>
                <w:szCs w:val="21"/>
                <w:lang w:val="zh-CN"/>
              </w:rPr>
              <w:t>大写：　　　　　　小写：</w:t>
            </w:r>
          </w:p>
        </w:tc>
      </w:tr>
    </w:tbl>
    <w:p w14:paraId="3626A9C6">
      <w:pPr>
        <w:autoSpaceDE w:val="0"/>
        <w:autoSpaceDN w:val="0"/>
        <w:adjustRightInd w:val="0"/>
        <w:spacing w:line="480" w:lineRule="auto"/>
        <w:rPr>
          <w:rFonts w:cs="宋体" w:asciiTheme="minorEastAsia" w:hAnsiTheme="minorEastAsia"/>
          <w:szCs w:val="21"/>
          <w:lang w:val="zh-CN"/>
        </w:rPr>
      </w:pPr>
    </w:p>
    <w:p w14:paraId="23661508">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79E1A851">
      <w:pPr>
        <w:autoSpaceDE w:val="0"/>
        <w:autoSpaceDN w:val="0"/>
        <w:adjustRightInd w:val="0"/>
        <w:spacing w:line="480" w:lineRule="auto"/>
        <w:rPr>
          <w:rFonts w:cs="宋体" w:asciiTheme="minorEastAsia" w:hAnsiTheme="minorEastAsia"/>
          <w:szCs w:val="21"/>
          <w:lang w:val="zh-CN"/>
        </w:rPr>
      </w:pPr>
    </w:p>
    <w:p w14:paraId="4A8A0178">
      <w:pPr>
        <w:autoSpaceDE w:val="0"/>
        <w:autoSpaceDN w:val="0"/>
        <w:adjustRightInd w:val="0"/>
        <w:spacing w:line="480" w:lineRule="auto"/>
        <w:rPr>
          <w:rFonts w:cs="宋体" w:asciiTheme="minorEastAsia" w:hAnsiTheme="minorEastAsia"/>
          <w:sz w:val="24"/>
          <w:szCs w:val="24"/>
          <w:lang w:val="zh-CN"/>
        </w:rPr>
      </w:pPr>
    </w:p>
    <w:p w14:paraId="23FD35D6">
      <w:pPr>
        <w:autoSpaceDE w:val="0"/>
        <w:autoSpaceDN w:val="0"/>
        <w:adjustRightInd w:val="0"/>
        <w:spacing w:line="480" w:lineRule="auto"/>
        <w:rPr>
          <w:rFonts w:cs="宋体" w:asciiTheme="minorEastAsia" w:hAnsiTheme="minorEastAsia"/>
          <w:sz w:val="24"/>
          <w:szCs w:val="24"/>
          <w:lang w:val="zh-CN"/>
        </w:rPr>
      </w:pPr>
    </w:p>
    <w:p w14:paraId="7E1A97F8">
      <w:pPr>
        <w:autoSpaceDE w:val="0"/>
        <w:autoSpaceDN w:val="0"/>
        <w:adjustRightInd w:val="0"/>
        <w:spacing w:line="480" w:lineRule="auto"/>
        <w:rPr>
          <w:rFonts w:cs="宋体" w:asciiTheme="minorEastAsia" w:hAnsiTheme="minorEastAsia"/>
          <w:sz w:val="24"/>
          <w:szCs w:val="24"/>
          <w:lang w:val="zh-CN"/>
        </w:rPr>
      </w:pPr>
    </w:p>
    <w:p w14:paraId="1EE71B44">
      <w:pPr>
        <w:autoSpaceDE w:val="0"/>
        <w:autoSpaceDN w:val="0"/>
        <w:adjustRightInd w:val="0"/>
        <w:spacing w:line="480" w:lineRule="auto"/>
        <w:rPr>
          <w:rFonts w:cs="宋体" w:asciiTheme="minorEastAsia" w:hAnsiTheme="minorEastAsia"/>
          <w:sz w:val="24"/>
          <w:szCs w:val="24"/>
          <w:lang w:val="zh-CN"/>
        </w:rPr>
      </w:pPr>
    </w:p>
    <w:p w14:paraId="67B824C9">
      <w:pPr>
        <w:autoSpaceDE w:val="0"/>
        <w:autoSpaceDN w:val="0"/>
        <w:adjustRightInd w:val="0"/>
        <w:spacing w:line="480" w:lineRule="auto"/>
        <w:rPr>
          <w:rFonts w:cs="宋体" w:asciiTheme="minorEastAsia" w:hAnsiTheme="minorEastAsia"/>
          <w:sz w:val="24"/>
          <w:szCs w:val="24"/>
          <w:lang w:val="zh-CN"/>
        </w:rPr>
      </w:pPr>
    </w:p>
    <w:p w14:paraId="7B16A269">
      <w:pPr>
        <w:autoSpaceDE w:val="0"/>
        <w:autoSpaceDN w:val="0"/>
        <w:adjustRightInd w:val="0"/>
        <w:spacing w:line="480" w:lineRule="auto"/>
        <w:rPr>
          <w:rFonts w:cs="宋体" w:asciiTheme="minorEastAsia" w:hAnsiTheme="minorEastAsia"/>
          <w:sz w:val="24"/>
          <w:szCs w:val="24"/>
          <w:lang w:val="zh-CN"/>
        </w:rPr>
      </w:pPr>
    </w:p>
    <w:p w14:paraId="4E8C7D2B">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4.2 技术规格偏离表</w:t>
      </w:r>
    </w:p>
    <w:p w14:paraId="0A64B009">
      <w:pPr>
        <w:spacing w:before="50" w:after="156"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0920C879">
      <w:pPr>
        <w:autoSpaceDE w:val="0"/>
        <w:autoSpaceDN w:val="0"/>
        <w:adjustRightInd w:val="0"/>
        <w:spacing w:line="360" w:lineRule="auto"/>
        <w:outlineLvl w:val="0"/>
        <w:rPr>
          <w:rFonts w:asciiTheme="minorEastAsia" w:hAnsiTheme="minorEastAsia"/>
          <w:szCs w:val="21"/>
        </w:rPr>
      </w:pPr>
      <w:r>
        <w:rPr>
          <w:rFonts w:hint="eastAsia" w:asciiTheme="minorEastAsia" w:hAnsiTheme="minorEastAsia"/>
          <w:szCs w:val="21"/>
        </w:rPr>
        <w:t xml:space="preserve">项目名称：   </w:t>
      </w:r>
    </w:p>
    <w:p w14:paraId="775F0E7F">
      <w:pPr>
        <w:autoSpaceDE w:val="0"/>
        <w:autoSpaceDN w:val="0"/>
        <w:adjustRightInd w:val="0"/>
        <w:spacing w:line="360" w:lineRule="auto"/>
        <w:outlineLvl w:val="0"/>
        <w:rPr>
          <w:rFonts w:hAnsi="宋体" w:eastAsia="宋体"/>
          <w:b/>
          <w:snapToGrid w:val="0"/>
          <w:kern w:val="0"/>
          <w:szCs w:val="21"/>
        </w:rPr>
      </w:pPr>
    </w:p>
    <w:tbl>
      <w:tblPr>
        <w:tblStyle w:val="24"/>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14:paraId="4D8E93A3">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449F46A">
            <w:pPr>
              <w:pStyle w:val="7"/>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269C11B">
            <w:pPr>
              <w:pStyle w:val="7"/>
              <w:jc w:val="center"/>
              <w:rPr>
                <w:rFonts w:ascii="宋体" w:hAnsi="宋体" w:eastAsia="宋体" w:cs="宋体"/>
                <w:b/>
                <w:bCs/>
                <w:sz w:val="21"/>
                <w:szCs w:val="21"/>
              </w:rPr>
            </w:pPr>
            <w:r>
              <w:rPr>
                <w:rFonts w:hint="eastAsia" w:ascii="宋体" w:hAnsi="宋体" w:eastAsia="宋体" w:cs="宋体"/>
                <w:b/>
                <w:bCs/>
                <w:sz w:val="21"/>
                <w:szCs w:val="21"/>
              </w:rPr>
              <w:t>货物服务</w:t>
            </w:r>
          </w:p>
          <w:p w14:paraId="4F7A4C11">
            <w:pPr>
              <w:pStyle w:val="7"/>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75C06CB">
            <w:pPr>
              <w:pStyle w:val="7"/>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5E08D35">
            <w:pPr>
              <w:pStyle w:val="7"/>
              <w:jc w:val="center"/>
              <w:rPr>
                <w:rFonts w:ascii="宋体" w:hAnsi="宋体" w:eastAsia="宋体" w:cs="宋体"/>
                <w:b/>
                <w:bCs/>
                <w:sz w:val="21"/>
                <w:szCs w:val="21"/>
              </w:rPr>
            </w:pPr>
            <w:r>
              <w:rPr>
                <w:rFonts w:hint="eastAsia" w:ascii="宋体" w:hAnsi="宋体" w:eastAsia="宋体" w:cs="宋体"/>
                <w:b/>
                <w:bCs/>
                <w:sz w:val="21"/>
                <w:szCs w:val="21"/>
              </w:rPr>
              <w:t>招标文件</w:t>
            </w:r>
          </w:p>
          <w:p w14:paraId="210A996E">
            <w:pPr>
              <w:pStyle w:val="7"/>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A4282E9">
            <w:pPr>
              <w:pStyle w:val="7"/>
              <w:jc w:val="center"/>
              <w:rPr>
                <w:rFonts w:ascii="宋体" w:hAnsi="宋体" w:eastAsia="宋体" w:cs="宋体"/>
                <w:b/>
                <w:bCs/>
                <w:sz w:val="21"/>
                <w:szCs w:val="21"/>
              </w:rPr>
            </w:pPr>
            <w:r>
              <w:rPr>
                <w:rFonts w:hint="eastAsia" w:ascii="宋体" w:hAnsi="宋体" w:eastAsia="宋体" w:cs="宋体"/>
                <w:b/>
                <w:bCs/>
                <w:sz w:val="21"/>
                <w:szCs w:val="21"/>
              </w:rPr>
              <w:t>投标技术</w:t>
            </w:r>
          </w:p>
          <w:p w14:paraId="6912DE60">
            <w:pPr>
              <w:pStyle w:val="7"/>
              <w:jc w:val="center"/>
              <w:rPr>
                <w:rFonts w:ascii="宋体" w:hAnsi="宋体" w:eastAsia="宋体" w:cs="宋体"/>
                <w:b/>
                <w:bCs/>
                <w:sz w:val="21"/>
                <w:szCs w:val="21"/>
              </w:rPr>
            </w:pPr>
            <w:r>
              <w:rPr>
                <w:rFonts w:hint="eastAsia" w:ascii="宋体" w:hAnsi="宋体" w:eastAsia="宋体" w:cs="宋体"/>
                <w:b/>
                <w:bCs/>
                <w:sz w:val="21"/>
                <w:szCs w:val="21"/>
              </w:rPr>
              <w:t>参数</w:t>
            </w:r>
          </w:p>
        </w:tc>
        <w:tc>
          <w:tcPr>
            <w:tcW w:w="15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B864943">
            <w:pPr>
              <w:pStyle w:val="7"/>
              <w:jc w:val="center"/>
              <w:rPr>
                <w:rFonts w:ascii="宋体" w:hAnsi="宋体" w:eastAsia="宋体" w:cs="宋体"/>
                <w:b/>
                <w:bCs/>
                <w:sz w:val="21"/>
                <w:szCs w:val="21"/>
              </w:rPr>
            </w:pPr>
            <w:r>
              <w:rPr>
                <w:rFonts w:hint="eastAsia" w:ascii="宋体" w:hAnsi="宋体" w:eastAsia="宋体" w:cs="宋体"/>
                <w:b/>
                <w:bCs/>
                <w:sz w:val="21"/>
                <w:szCs w:val="21"/>
              </w:rPr>
              <w:t>偏离</w:t>
            </w:r>
          </w:p>
          <w:p w14:paraId="27F81B71">
            <w:pPr>
              <w:jc w:val="center"/>
              <w:rPr>
                <w:rFonts w:ascii="宋体" w:hAnsi="宋体" w:eastAsia="宋体" w:cs="宋体"/>
                <w:b/>
                <w:bCs/>
                <w:szCs w:val="21"/>
              </w:rPr>
            </w:pPr>
            <w:r>
              <w:rPr>
                <w:rFonts w:hint="eastAsia" w:ascii="宋体" w:hAnsi="宋体" w:eastAsia="宋体" w:cs="宋体"/>
                <w:b/>
                <w:bCs/>
                <w:szCs w:val="21"/>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7401D64">
            <w:pPr>
              <w:pStyle w:val="7"/>
              <w:jc w:val="center"/>
              <w:rPr>
                <w:rFonts w:ascii="宋体" w:hAnsi="宋体" w:eastAsia="宋体" w:cs="宋体"/>
                <w:b/>
                <w:bCs/>
                <w:sz w:val="21"/>
                <w:szCs w:val="21"/>
              </w:rPr>
            </w:pPr>
            <w:r>
              <w:rPr>
                <w:rFonts w:hint="eastAsia" w:ascii="宋体" w:hAnsi="宋体" w:eastAsia="宋体" w:cs="宋体"/>
                <w:b/>
                <w:bCs/>
                <w:sz w:val="21"/>
                <w:szCs w:val="21"/>
              </w:rPr>
              <w:t>偏离内容</w:t>
            </w:r>
          </w:p>
          <w:p w14:paraId="29D2ADD6">
            <w:pPr>
              <w:pStyle w:val="7"/>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26D16C8F">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6A01B405">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43D765CC">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731EE212">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5A112BFA">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29C85249">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4BF6AD61">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1ECBBDFC">
            <w:pPr>
              <w:autoSpaceDE w:val="0"/>
              <w:autoSpaceDN w:val="0"/>
              <w:adjustRightInd w:val="0"/>
              <w:spacing w:line="480" w:lineRule="exact"/>
              <w:jc w:val="center"/>
              <w:rPr>
                <w:rFonts w:asciiTheme="minorEastAsia" w:hAnsiTheme="minorEastAsia"/>
                <w:b/>
                <w:bCs/>
                <w:szCs w:val="21"/>
              </w:rPr>
            </w:pPr>
          </w:p>
        </w:tc>
      </w:tr>
      <w:tr w14:paraId="0FCDF6F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438E3FAA">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2</w:t>
            </w:r>
          </w:p>
        </w:tc>
        <w:tc>
          <w:tcPr>
            <w:tcW w:w="1418" w:type="dxa"/>
            <w:tcBorders>
              <w:top w:val="single" w:color="auto" w:sz="6" w:space="0"/>
              <w:left w:val="single" w:color="auto" w:sz="6" w:space="0"/>
              <w:bottom w:val="single" w:color="auto" w:sz="6" w:space="0"/>
              <w:right w:val="single" w:color="auto" w:sz="6" w:space="0"/>
            </w:tcBorders>
          </w:tcPr>
          <w:p w14:paraId="0B347853">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702019E8">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2353EE43">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4A0F5BF3">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1BF6E54D">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31268FD0">
            <w:pPr>
              <w:autoSpaceDE w:val="0"/>
              <w:autoSpaceDN w:val="0"/>
              <w:adjustRightInd w:val="0"/>
              <w:spacing w:line="480" w:lineRule="exact"/>
              <w:jc w:val="center"/>
              <w:rPr>
                <w:rFonts w:asciiTheme="minorEastAsia" w:hAnsiTheme="minorEastAsia"/>
                <w:b/>
                <w:bCs/>
                <w:szCs w:val="21"/>
              </w:rPr>
            </w:pPr>
          </w:p>
        </w:tc>
      </w:tr>
      <w:tr w14:paraId="40381644">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19D9752B">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45E4B37A">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4E054ED7">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6BE9CA73">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18CBDC84">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0A2708C1">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439E4D87">
            <w:pPr>
              <w:autoSpaceDE w:val="0"/>
              <w:autoSpaceDN w:val="0"/>
              <w:adjustRightInd w:val="0"/>
              <w:spacing w:line="480" w:lineRule="exact"/>
              <w:jc w:val="center"/>
              <w:rPr>
                <w:rFonts w:asciiTheme="minorEastAsia" w:hAnsiTheme="minorEastAsia"/>
                <w:b/>
                <w:bCs/>
                <w:szCs w:val="21"/>
              </w:rPr>
            </w:pPr>
          </w:p>
        </w:tc>
      </w:tr>
    </w:tbl>
    <w:p w14:paraId="3387E001">
      <w:pPr>
        <w:autoSpaceDE w:val="0"/>
        <w:autoSpaceDN w:val="0"/>
        <w:adjustRightInd w:val="0"/>
        <w:spacing w:line="480" w:lineRule="auto"/>
        <w:rPr>
          <w:rFonts w:cs="宋体" w:asciiTheme="minorEastAsia" w:hAnsiTheme="minorEastAsia"/>
          <w:szCs w:val="21"/>
          <w:lang w:val="zh-CN"/>
        </w:rPr>
      </w:pPr>
    </w:p>
    <w:p w14:paraId="2539FD20">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79C3538C">
      <w:pPr>
        <w:autoSpaceDE w:val="0"/>
        <w:autoSpaceDN w:val="0"/>
        <w:adjustRightInd w:val="0"/>
        <w:spacing w:line="480" w:lineRule="auto"/>
        <w:rPr>
          <w:rFonts w:cs="宋体" w:asciiTheme="minorEastAsia" w:hAnsiTheme="minorEastAsia"/>
          <w:szCs w:val="21"/>
          <w:lang w:val="zh-CN"/>
        </w:rPr>
      </w:pPr>
    </w:p>
    <w:p w14:paraId="4CAF51E2">
      <w:pPr>
        <w:autoSpaceDE w:val="0"/>
        <w:autoSpaceDN w:val="0"/>
        <w:adjustRightInd w:val="0"/>
        <w:spacing w:line="480" w:lineRule="auto"/>
        <w:rPr>
          <w:rFonts w:cs="宋体" w:asciiTheme="minorEastAsia" w:hAnsiTheme="minorEastAsia"/>
          <w:szCs w:val="21"/>
          <w:lang w:val="zh-CN"/>
        </w:rPr>
      </w:pPr>
    </w:p>
    <w:p w14:paraId="0485CD79">
      <w:pPr>
        <w:autoSpaceDE w:val="0"/>
        <w:autoSpaceDN w:val="0"/>
        <w:adjustRightInd w:val="0"/>
        <w:spacing w:line="360" w:lineRule="auto"/>
        <w:jc w:val="center"/>
        <w:outlineLvl w:val="0"/>
        <w:rPr>
          <w:rFonts w:ascii="宋体" w:hAnsi="宋体"/>
          <w:b/>
          <w:bCs/>
          <w:sz w:val="24"/>
          <w:szCs w:val="24"/>
        </w:rPr>
      </w:pPr>
    </w:p>
    <w:p w14:paraId="33F975BD">
      <w:pPr>
        <w:autoSpaceDE w:val="0"/>
        <w:autoSpaceDN w:val="0"/>
        <w:adjustRightInd w:val="0"/>
        <w:spacing w:line="360" w:lineRule="auto"/>
        <w:jc w:val="center"/>
        <w:outlineLvl w:val="0"/>
        <w:rPr>
          <w:rFonts w:ascii="宋体" w:hAnsi="宋体"/>
          <w:b/>
          <w:bCs/>
          <w:sz w:val="24"/>
          <w:szCs w:val="24"/>
        </w:rPr>
      </w:pPr>
    </w:p>
    <w:p w14:paraId="56257EB7">
      <w:pPr>
        <w:autoSpaceDE w:val="0"/>
        <w:autoSpaceDN w:val="0"/>
        <w:adjustRightInd w:val="0"/>
        <w:spacing w:line="360" w:lineRule="auto"/>
        <w:jc w:val="center"/>
        <w:outlineLvl w:val="0"/>
        <w:rPr>
          <w:rFonts w:ascii="宋体" w:hAnsi="宋体"/>
          <w:b/>
          <w:bCs/>
          <w:sz w:val="24"/>
          <w:szCs w:val="24"/>
        </w:rPr>
      </w:pPr>
    </w:p>
    <w:p w14:paraId="37FA2EF4">
      <w:pPr>
        <w:autoSpaceDE w:val="0"/>
        <w:autoSpaceDN w:val="0"/>
        <w:adjustRightInd w:val="0"/>
        <w:spacing w:line="360" w:lineRule="auto"/>
        <w:jc w:val="center"/>
        <w:outlineLvl w:val="0"/>
        <w:rPr>
          <w:rFonts w:ascii="宋体" w:hAnsi="宋体"/>
          <w:b/>
          <w:bCs/>
          <w:sz w:val="24"/>
          <w:szCs w:val="24"/>
        </w:rPr>
      </w:pPr>
    </w:p>
    <w:p w14:paraId="36371B94">
      <w:pPr>
        <w:autoSpaceDE w:val="0"/>
        <w:autoSpaceDN w:val="0"/>
        <w:adjustRightInd w:val="0"/>
        <w:spacing w:line="360" w:lineRule="auto"/>
        <w:jc w:val="center"/>
        <w:outlineLvl w:val="0"/>
        <w:rPr>
          <w:rFonts w:ascii="宋体" w:hAnsi="宋体"/>
          <w:b/>
          <w:bCs/>
          <w:sz w:val="24"/>
          <w:szCs w:val="24"/>
        </w:rPr>
      </w:pPr>
    </w:p>
    <w:p w14:paraId="1F8A2023">
      <w:pPr>
        <w:autoSpaceDE w:val="0"/>
        <w:autoSpaceDN w:val="0"/>
        <w:adjustRightInd w:val="0"/>
        <w:spacing w:line="360" w:lineRule="auto"/>
        <w:jc w:val="center"/>
        <w:outlineLvl w:val="0"/>
        <w:rPr>
          <w:rFonts w:ascii="宋体" w:hAnsi="宋体"/>
          <w:b/>
          <w:bCs/>
          <w:sz w:val="24"/>
          <w:szCs w:val="24"/>
        </w:rPr>
      </w:pPr>
    </w:p>
    <w:p w14:paraId="6F008E49">
      <w:pPr>
        <w:autoSpaceDE w:val="0"/>
        <w:autoSpaceDN w:val="0"/>
        <w:adjustRightInd w:val="0"/>
        <w:spacing w:line="360" w:lineRule="auto"/>
        <w:jc w:val="center"/>
        <w:outlineLvl w:val="0"/>
        <w:rPr>
          <w:rFonts w:ascii="宋体" w:hAnsi="宋体"/>
          <w:b/>
          <w:bCs/>
          <w:sz w:val="24"/>
          <w:szCs w:val="24"/>
        </w:rPr>
      </w:pPr>
    </w:p>
    <w:p w14:paraId="5552EF6E">
      <w:pPr>
        <w:autoSpaceDE w:val="0"/>
        <w:autoSpaceDN w:val="0"/>
        <w:adjustRightInd w:val="0"/>
        <w:spacing w:line="360" w:lineRule="auto"/>
        <w:jc w:val="center"/>
        <w:outlineLvl w:val="0"/>
        <w:rPr>
          <w:rFonts w:ascii="宋体" w:hAnsi="宋体"/>
          <w:b/>
          <w:bCs/>
          <w:sz w:val="24"/>
          <w:szCs w:val="24"/>
        </w:rPr>
      </w:pPr>
    </w:p>
    <w:p w14:paraId="2C662B1D">
      <w:pPr>
        <w:autoSpaceDE w:val="0"/>
        <w:autoSpaceDN w:val="0"/>
        <w:adjustRightInd w:val="0"/>
        <w:spacing w:line="360" w:lineRule="auto"/>
        <w:jc w:val="center"/>
        <w:outlineLvl w:val="0"/>
        <w:rPr>
          <w:rFonts w:ascii="宋体" w:hAnsi="宋体"/>
          <w:b/>
          <w:bCs/>
          <w:sz w:val="24"/>
          <w:szCs w:val="24"/>
        </w:rPr>
      </w:pPr>
    </w:p>
    <w:p w14:paraId="04B872AF">
      <w:pPr>
        <w:autoSpaceDE w:val="0"/>
        <w:autoSpaceDN w:val="0"/>
        <w:adjustRightInd w:val="0"/>
        <w:spacing w:line="360" w:lineRule="auto"/>
        <w:jc w:val="center"/>
        <w:outlineLvl w:val="0"/>
        <w:rPr>
          <w:rFonts w:ascii="宋体" w:hAnsi="宋体"/>
          <w:b/>
          <w:bCs/>
          <w:sz w:val="24"/>
          <w:szCs w:val="24"/>
        </w:rPr>
      </w:pPr>
    </w:p>
    <w:p w14:paraId="0351F770">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4.3 技术方案（实施方案）</w:t>
      </w:r>
    </w:p>
    <w:p w14:paraId="1E4860CE">
      <w:pPr>
        <w:snapToGrid w:val="0"/>
        <w:spacing w:line="360" w:lineRule="auto"/>
        <w:jc w:val="center"/>
        <w:rPr>
          <w:rFonts w:hAnsi="宋体" w:eastAsia="宋体"/>
          <w:b/>
          <w:snapToGrid w:val="0"/>
          <w:kern w:val="0"/>
          <w:sz w:val="36"/>
          <w:szCs w:val="36"/>
        </w:rPr>
      </w:pPr>
    </w:p>
    <w:p w14:paraId="446692CF">
      <w:pPr>
        <w:snapToGrid w:val="0"/>
        <w:spacing w:line="360" w:lineRule="auto"/>
        <w:jc w:val="center"/>
        <w:rPr>
          <w:rFonts w:hAnsi="宋体" w:eastAsia="宋体"/>
          <w:b/>
          <w:snapToGrid w:val="0"/>
          <w:kern w:val="0"/>
          <w:sz w:val="36"/>
          <w:szCs w:val="36"/>
        </w:rPr>
      </w:pPr>
    </w:p>
    <w:p w14:paraId="4FE8B1CA">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1CCFF093">
      <w:pPr>
        <w:snapToGrid w:val="0"/>
        <w:spacing w:line="360" w:lineRule="auto"/>
        <w:jc w:val="center"/>
        <w:rPr>
          <w:rFonts w:hAnsi="宋体" w:eastAsia="宋体"/>
          <w:b/>
          <w:snapToGrid w:val="0"/>
          <w:kern w:val="0"/>
          <w:sz w:val="36"/>
          <w:szCs w:val="36"/>
        </w:rPr>
      </w:pPr>
    </w:p>
    <w:p w14:paraId="62C119E3">
      <w:pPr>
        <w:snapToGrid w:val="0"/>
        <w:spacing w:line="360" w:lineRule="auto"/>
        <w:jc w:val="center"/>
        <w:rPr>
          <w:rFonts w:hAnsi="宋体" w:eastAsia="宋体"/>
          <w:b/>
          <w:snapToGrid w:val="0"/>
          <w:kern w:val="0"/>
          <w:sz w:val="36"/>
          <w:szCs w:val="36"/>
        </w:rPr>
      </w:pPr>
    </w:p>
    <w:p w14:paraId="67AA4DB1">
      <w:pPr>
        <w:snapToGrid w:val="0"/>
        <w:spacing w:line="360" w:lineRule="auto"/>
        <w:jc w:val="center"/>
        <w:rPr>
          <w:rFonts w:hAnsi="宋体" w:eastAsia="宋体"/>
          <w:b/>
          <w:snapToGrid w:val="0"/>
          <w:kern w:val="0"/>
          <w:sz w:val="36"/>
          <w:szCs w:val="36"/>
        </w:rPr>
      </w:pPr>
    </w:p>
    <w:p w14:paraId="38757203">
      <w:pPr>
        <w:snapToGrid w:val="0"/>
        <w:spacing w:line="360" w:lineRule="auto"/>
        <w:jc w:val="center"/>
        <w:rPr>
          <w:rFonts w:hAnsi="宋体" w:eastAsia="宋体"/>
          <w:b/>
          <w:snapToGrid w:val="0"/>
          <w:kern w:val="0"/>
          <w:sz w:val="36"/>
          <w:szCs w:val="36"/>
        </w:rPr>
      </w:pPr>
    </w:p>
    <w:p w14:paraId="5158884F">
      <w:pPr>
        <w:snapToGrid w:val="0"/>
        <w:spacing w:line="360" w:lineRule="auto"/>
        <w:jc w:val="center"/>
        <w:rPr>
          <w:rFonts w:hAnsi="宋体" w:eastAsia="宋体"/>
          <w:b/>
          <w:snapToGrid w:val="0"/>
          <w:kern w:val="0"/>
          <w:sz w:val="36"/>
          <w:szCs w:val="36"/>
        </w:rPr>
      </w:pPr>
    </w:p>
    <w:p w14:paraId="3EC9C380">
      <w:pPr>
        <w:snapToGrid w:val="0"/>
        <w:spacing w:line="360" w:lineRule="auto"/>
        <w:jc w:val="center"/>
        <w:rPr>
          <w:rFonts w:hAnsi="宋体" w:eastAsia="宋体"/>
          <w:b/>
          <w:snapToGrid w:val="0"/>
          <w:kern w:val="0"/>
          <w:sz w:val="36"/>
          <w:szCs w:val="36"/>
        </w:rPr>
      </w:pPr>
    </w:p>
    <w:p w14:paraId="6F9BBC73">
      <w:pPr>
        <w:snapToGrid w:val="0"/>
        <w:spacing w:line="360" w:lineRule="auto"/>
        <w:jc w:val="center"/>
        <w:rPr>
          <w:rFonts w:hAnsi="宋体" w:eastAsia="宋体"/>
          <w:b/>
          <w:snapToGrid w:val="0"/>
          <w:kern w:val="0"/>
          <w:sz w:val="36"/>
          <w:szCs w:val="36"/>
        </w:rPr>
      </w:pPr>
    </w:p>
    <w:p w14:paraId="41E9D7C5">
      <w:pPr>
        <w:snapToGrid w:val="0"/>
        <w:spacing w:line="360" w:lineRule="auto"/>
        <w:jc w:val="center"/>
        <w:rPr>
          <w:rFonts w:hAnsi="宋体" w:eastAsia="宋体"/>
          <w:b/>
          <w:snapToGrid w:val="0"/>
          <w:kern w:val="0"/>
          <w:sz w:val="36"/>
          <w:szCs w:val="36"/>
        </w:rPr>
      </w:pPr>
    </w:p>
    <w:p w14:paraId="2FE8AB6E">
      <w:pPr>
        <w:snapToGrid w:val="0"/>
        <w:spacing w:line="360" w:lineRule="auto"/>
        <w:jc w:val="center"/>
        <w:rPr>
          <w:rFonts w:hAnsi="宋体" w:eastAsia="宋体"/>
          <w:b/>
          <w:snapToGrid w:val="0"/>
          <w:kern w:val="0"/>
          <w:sz w:val="36"/>
          <w:szCs w:val="36"/>
        </w:rPr>
      </w:pPr>
    </w:p>
    <w:p w14:paraId="3A3A2A3E">
      <w:pPr>
        <w:snapToGrid w:val="0"/>
        <w:spacing w:line="360" w:lineRule="auto"/>
        <w:jc w:val="center"/>
        <w:rPr>
          <w:rFonts w:hAnsi="宋体" w:eastAsia="宋体"/>
          <w:b/>
          <w:snapToGrid w:val="0"/>
          <w:kern w:val="0"/>
          <w:sz w:val="36"/>
          <w:szCs w:val="36"/>
        </w:rPr>
      </w:pPr>
    </w:p>
    <w:p w14:paraId="7D4DC338">
      <w:pPr>
        <w:snapToGrid w:val="0"/>
        <w:spacing w:line="360" w:lineRule="auto"/>
        <w:jc w:val="center"/>
        <w:rPr>
          <w:rFonts w:hAnsi="宋体" w:eastAsia="宋体"/>
          <w:b/>
          <w:snapToGrid w:val="0"/>
          <w:kern w:val="0"/>
          <w:sz w:val="36"/>
          <w:szCs w:val="36"/>
        </w:rPr>
      </w:pPr>
    </w:p>
    <w:p w14:paraId="072B9E41">
      <w:pPr>
        <w:snapToGrid w:val="0"/>
        <w:spacing w:line="360" w:lineRule="auto"/>
        <w:jc w:val="center"/>
        <w:rPr>
          <w:rFonts w:hAnsi="宋体" w:eastAsia="宋体"/>
          <w:b/>
          <w:snapToGrid w:val="0"/>
          <w:kern w:val="0"/>
          <w:sz w:val="36"/>
          <w:szCs w:val="36"/>
        </w:rPr>
      </w:pPr>
    </w:p>
    <w:p w14:paraId="2ACF0734">
      <w:pPr>
        <w:snapToGrid w:val="0"/>
        <w:spacing w:line="360" w:lineRule="auto"/>
        <w:jc w:val="center"/>
        <w:rPr>
          <w:rFonts w:hAnsi="宋体" w:eastAsia="宋体"/>
          <w:b/>
          <w:snapToGrid w:val="0"/>
          <w:kern w:val="0"/>
          <w:sz w:val="36"/>
          <w:szCs w:val="36"/>
        </w:rPr>
      </w:pPr>
    </w:p>
    <w:p w14:paraId="1740474F">
      <w:pPr>
        <w:snapToGrid w:val="0"/>
        <w:spacing w:line="360" w:lineRule="auto"/>
        <w:jc w:val="center"/>
        <w:rPr>
          <w:rFonts w:hAnsi="宋体" w:eastAsia="宋体"/>
          <w:b/>
          <w:snapToGrid w:val="0"/>
          <w:kern w:val="0"/>
          <w:sz w:val="36"/>
          <w:szCs w:val="36"/>
        </w:rPr>
      </w:pPr>
    </w:p>
    <w:p w14:paraId="62E5A5EA">
      <w:pPr>
        <w:snapToGrid w:val="0"/>
        <w:spacing w:line="360" w:lineRule="auto"/>
        <w:jc w:val="center"/>
        <w:rPr>
          <w:rFonts w:hAnsi="宋体" w:eastAsia="宋体"/>
          <w:b/>
          <w:snapToGrid w:val="0"/>
          <w:kern w:val="0"/>
          <w:sz w:val="36"/>
          <w:szCs w:val="36"/>
        </w:rPr>
      </w:pPr>
    </w:p>
    <w:p w14:paraId="5C147207">
      <w:pPr>
        <w:snapToGrid w:val="0"/>
        <w:spacing w:line="360" w:lineRule="auto"/>
        <w:jc w:val="center"/>
        <w:rPr>
          <w:rFonts w:hAnsi="宋体" w:eastAsia="宋体"/>
          <w:b/>
          <w:snapToGrid w:val="0"/>
          <w:kern w:val="0"/>
          <w:sz w:val="36"/>
          <w:szCs w:val="36"/>
        </w:rPr>
      </w:pPr>
    </w:p>
    <w:p w14:paraId="7A414069">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4.4 业绩情况表</w:t>
      </w:r>
    </w:p>
    <w:p w14:paraId="7CD31861">
      <w:pPr>
        <w:autoSpaceDE w:val="0"/>
        <w:autoSpaceDN w:val="0"/>
        <w:adjustRightInd w:val="0"/>
        <w:spacing w:line="360" w:lineRule="auto"/>
        <w:jc w:val="center"/>
        <w:outlineLvl w:val="0"/>
        <w:rPr>
          <w:rFonts w:ascii="宋体" w:hAnsi="宋体"/>
          <w:b/>
          <w:bCs/>
          <w:sz w:val="28"/>
          <w:szCs w:val="28"/>
        </w:rPr>
      </w:pPr>
    </w:p>
    <w:p w14:paraId="3C59DD9E">
      <w:pPr>
        <w:spacing w:before="50" w:after="156"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3A6F28ED">
      <w:pPr>
        <w:snapToGrid w:val="0"/>
        <w:spacing w:line="360" w:lineRule="auto"/>
        <w:rPr>
          <w:rFonts w:asciiTheme="minorEastAsia" w:hAnsiTheme="minorEastAsia"/>
          <w:szCs w:val="21"/>
        </w:rPr>
      </w:pPr>
      <w:r>
        <w:rPr>
          <w:rFonts w:hint="eastAsia" w:asciiTheme="minorEastAsia" w:hAnsiTheme="minorEastAsia"/>
          <w:szCs w:val="21"/>
        </w:rPr>
        <w:t xml:space="preserve">项目名称：   </w:t>
      </w:r>
    </w:p>
    <w:p w14:paraId="3C70590C">
      <w:pPr>
        <w:snapToGrid w:val="0"/>
        <w:spacing w:line="360" w:lineRule="auto"/>
        <w:rPr>
          <w:rFonts w:hAnsi="宋体" w:eastAsia="宋体"/>
          <w:b/>
          <w:snapToGrid w:val="0"/>
          <w:kern w:val="0"/>
          <w:szCs w:val="21"/>
        </w:rPr>
      </w:pPr>
    </w:p>
    <w:tbl>
      <w:tblPr>
        <w:tblStyle w:val="24"/>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5A69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33F27AB4">
            <w:pPr>
              <w:pStyle w:val="7"/>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5428002A">
            <w:pPr>
              <w:pStyle w:val="7"/>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24FF8585">
            <w:pPr>
              <w:pStyle w:val="7"/>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21386BA4">
            <w:pPr>
              <w:pStyle w:val="7"/>
              <w:jc w:val="center"/>
              <w:rPr>
                <w:rFonts w:ascii="宋体" w:hAnsi="宋体" w:eastAsia="宋体" w:cs="宋体"/>
                <w:b/>
                <w:bCs/>
                <w:sz w:val="21"/>
                <w:szCs w:val="21"/>
              </w:rPr>
            </w:pPr>
            <w:r>
              <w:rPr>
                <w:rFonts w:hint="eastAsia" w:ascii="宋体" w:hAnsi="宋体" w:eastAsia="宋体" w:cs="宋体"/>
                <w:b/>
                <w:bCs/>
                <w:sz w:val="21"/>
                <w:szCs w:val="21"/>
              </w:rPr>
              <w:t>合同金额</w:t>
            </w:r>
          </w:p>
          <w:p w14:paraId="2FA898B4">
            <w:pPr>
              <w:pStyle w:val="7"/>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5D31C727">
            <w:pPr>
              <w:pStyle w:val="7"/>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6078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DB81E5B">
            <w:pPr>
              <w:pStyle w:val="7"/>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0DA6C792">
            <w:pPr>
              <w:pStyle w:val="7"/>
              <w:spacing w:line="360" w:lineRule="auto"/>
              <w:rPr>
                <w:rFonts w:ascii="宋体" w:hAnsi="宋体" w:eastAsia="宋体" w:cs="Times New Roman"/>
                <w:sz w:val="21"/>
                <w:szCs w:val="21"/>
              </w:rPr>
            </w:pPr>
          </w:p>
        </w:tc>
        <w:tc>
          <w:tcPr>
            <w:tcW w:w="3579" w:type="dxa"/>
            <w:vAlign w:val="center"/>
          </w:tcPr>
          <w:p w14:paraId="68422234">
            <w:pPr>
              <w:pStyle w:val="7"/>
              <w:spacing w:line="360" w:lineRule="auto"/>
              <w:rPr>
                <w:rFonts w:ascii="宋体" w:hAnsi="宋体" w:eastAsia="宋体" w:cs="Times New Roman"/>
                <w:sz w:val="21"/>
                <w:szCs w:val="21"/>
              </w:rPr>
            </w:pPr>
          </w:p>
        </w:tc>
        <w:tc>
          <w:tcPr>
            <w:tcW w:w="1440" w:type="dxa"/>
            <w:vAlign w:val="center"/>
          </w:tcPr>
          <w:p w14:paraId="05ACB968">
            <w:pPr>
              <w:pStyle w:val="7"/>
              <w:spacing w:line="360" w:lineRule="auto"/>
              <w:rPr>
                <w:rFonts w:ascii="宋体" w:hAnsi="宋体" w:eastAsia="宋体" w:cs="Times New Roman"/>
                <w:sz w:val="21"/>
                <w:szCs w:val="21"/>
              </w:rPr>
            </w:pPr>
          </w:p>
        </w:tc>
        <w:tc>
          <w:tcPr>
            <w:tcW w:w="1706" w:type="dxa"/>
            <w:vAlign w:val="center"/>
          </w:tcPr>
          <w:p w14:paraId="11163719">
            <w:pPr>
              <w:pStyle w:val="7"/>
              <w:spacing w:line="360" w:lineRule="auto"/>
              <w:rPr>
                <w:rFonts w:ascii="宋体" w:hAnsi="宋体" w:eastAsia="宋体" w:cs="Times New Roman"/>
                <w:sz w:val="21"/>
                <w:szCs w:val="21"/>
              </w:rPr>
            </w:pPr>
          </w:p>
        </w:tc>
      </w:tr>
      <w:tr w14:paraId="020B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D3458B1">
            <w:pPr>
              <w:pStyle w:val="7"/>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7EE867C8">
            <w:pPr>
              <w:pStyle w:val="7"/>
              <w:spacing w:line="360" w:lineRule="auto"/>
              <w:rPr>
                <w:rFonts w:ascii="宋体" w:hAnsi="宋体" w:eastAsia="宋体" w:cs="Times New Roman"/>
                <w:sz w:val="21"/>
                <w:szCs w:val="21"/>
              </w:rPr>
            </w:pPr>
          </w:p>
        </w:tc>
        <w:tc>
          <w:tcPr>
            <w:tcW w:w="3579" w:type="dxa"/>
            <w:vAlign w:val="center"/>
          </w:tcPr>
          <w:p w14:paraId="0BA75723">
            <w:pPr>
              <w:pStyle w:val="7"/>
              <w:spacing w:line="360" w:lineRule="auto"/>
              <w:rPr>
                <w:rFonts w:ascii="宋体" w:hAnsi="宋体" w:eastAsia="宋体" w:cs="Times New Roman"/>
                <w:sz w:val="21"/>
                <w:szCs w:val="21"/>
              </w:rPr>
            </w:pPr>
          </w:p>
        </w:tc>
        <w:tc>
          <w:tcPr>
            <w:tcW w:w="1440" w:type="dxa"/>
            <w:vAlign w:val="center"/>
          </w:tcPr>
          <w:p w14:paraId="1E828FD0">
            <w:pPr>
              <w:pStyle w:val="7"/>
              <w:spacing w:line="360" w:lineRule="auto"/>
              <w:rPr>
                <w:rFonts w:ascii="宋体" w:hAnsi="宋体" w:eastAsia="宋体" w:cs="Times New Roman"/>
                <w:sz w:val="21"/>
                <w:szCs w:val="21"/>
              </w:rPr>
            </w:pPr>
          </w:p>
        </w:tc>
        <w:tc>
          <w:tcPr>
            <w:tcW w:w="1706" w:type="dxa"/>
            <w:vAlign w:val="center"/>
          </w:tcPr>
          <w:p w14:paraId="62405768">
            <w:pPr>
              <w:pStyle w:val="7"/>
              <w:spacing w:line="360" w:lineRule="auto"/>
              <w:rPr>
                <w:rFonts w:ascii="宋体" w:hAnsi="宋体" w:eastAsia="宋体" w:cs="Times New Roman"/>
                <w:sz w:val="21"/>
                <w:szCs w:val="21"/>
              </w:rPr>
            </w:pPr>
          </w:p>
        </w:tc>
      </w:tr>
      <w:tr w14:paraId="47D4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586B92E">
            <w:pPr>
              <w:pStyle w:val="7"/>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0BF2935D">
            <w:pPr>
              <w:pStyle w:val="7"/>
              <w:spacing w:line="360" w:lineRule="auto"/>
              <w:rPr>
                <w:rFonts w:ascii="宋体" w:hAnsi="宋体" w:eastAsia="宋体" w:cs="Times New Roman"/>
                <w:sz w:val="21"/>
                <w:szCs w:val="21"/>
              </w:rPr>
            </w:pPr>
          </w:p>
        </w:tc>
        <w:tc>
          <w:tcPr>
            <w:tcW w:w="3579" w:type="dxa"/>
            <w:vAlign w:val="center"/>
          </w:tcPr>
          <w:p w14:paraId="2ADCB3F0">
            <w:pPr>
              <w:pStyle w:val="7"/>
              <w:spacing w:line="360" w:lineRule="auto"/>
              <w:rPr>
                <w:rFonts w:ascii="宋体" w:hAnsi="宋体" w:eastAsia="宋体" w:cs="Times New Roman"/>
                <w:sz w:val="21"/>
                <w:szCs w:val="21"/>
              </w:rPr>
            </w:pPr>
          </w:p>
        </w:tc>
        <w:tc>
          <w:tcPr>
            <w:tcW w:w="1440" w:type="dxa"/>
            <w:vAlign w:val="center"/>
          </w:tcPr>
          <w:p w14:paraId="2F85F2A6">
            <w:pPr>
              <w:pStyle w:val="7"/>
              <w:spacing w:line="360" w:lineRule="auto"/>
              <w:rPr>
                <w:rFonts w:ascii="宋体" w:hAnsi="宋体" w:eastAsia="宋体" w:cs="Times New Roman"/>
                <w:sz w:val="21"/>
                <w:szCs w:val="21"/>
              </w:rPr>
            </w:pPr>
          </w:p>
        </w:tc>
        <w:tc>
          <w:tcPr>
            <w:tcW w:w="1706" w:type="dxa"/>
            <w:vAlign w:val="center"/>
          </w:tcPr>
          <w:p w14:paraId="23F8D379">
            <w:pPr>
              <w:pStyle w:val="7"/>
              <w:spacing w:line="360" w:lineRule="auto"/>
              <w:rPr>
                <w:rFonts w:ascii="宋体" w:hAnsi="宋体" w:eastAsia="宋体" w:cs="Times New Roman"/>
                <w:sz w:val="21"/>
                <w:szCs w:val="21"/>
              </w:rPr>
            </w:pPr>
          </w:p>
        </w:tc>
      </w:tr>
      <w:tr w14:paraId="47CD8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13968BB">
            <w:pPr>
              <w:pStyle w:val="7"/>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6C6D5B20">
            <w:pPr>
              <w:rPr>
                <w:rFonts w:ascii="宋体"/>
                <w:szCs w:val="21"/>
              </w:rPr>
            </w:pPr>
          </w:p>
        </w:tc>
        <w:tc>
          <w:tcPr>
            <w:tcW w:w="3579" w:type="dxa"/>
            <w:vAlign w:val="center"/>
          </w:tcPr>
          <w:p w14:paraId="16D73B68">
            <w:pPr>
              <w:rPr>
                <w:rFonts w:ascii="宋体"/>
                <w:szCs w:val="21"/>
              </w:rPr>
            </w:pPr>
          </w:p>
        </w:tc>
        <w:tc>
          <w:tcPr>
            <w:tcW w:w="1440" w:type="dxa"/>
            <w:vAlign w:val="center"/>
          </w:tcPr>
          <w:p w14:paraId="6163B035">
            <w:pPr>
              <w:rPr>
                <w:rFonts w:ascii="宋体"/>
                <w:szCs w:val="21"/>
              </w:rPr>
            </w:pPr>
          </w:p>
        </w:tc>
        <w:tc>
          <w:tcPr>
            <w:tcW w:w="1706" w:type="dxa"/>
            <w:vAlign w:val="center"/>
          </w:tcPr>
          <w:p w14:paraId="55351D18">
            <w:pPr>
              <w:rPr>
                <w:rFonts w:ascii="宋体"/>
                <w:szCs w:val="21"/>
              </w:rPr>
            </w:pPr>
          </w:p>
        </w:tc>
      </w:tr>
      <w:tr w14:paraId="0540A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69B0808">
            <w:pPr>
              <w:pStyle w:val="7"/>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0E9AF688">
            <w:pPr>
              <w:rPr>
                <w:rFonts w:ascii="宋体"/>
                <w:szCs w:val="21"/>
              </w:rPr>
            </w:pPr>
          </w:p>
        </w:tc>
        <w:tc>
          <w:tcPr>
            <w:tcW w:w="3579" w:type="dxa"/>
            <w:vAlign w:val="center"/>
          </w:tcPr>
          <w:p w14:paraId="11F4BE2F">
            <w:pPr>
              <w:rPr>
                <w:rFonts w:ascii="宋体"/>
                <w:szCs w:val="21"/>
              </w:rPr>
            </w:pPr>
          </w:p>
        </w:tc>
        <w:tc>
          <w:tcPr>
            <w:tcW w:w="1440" w:type="dxa"/>
            <w:vAlign w:val="center"/>
          </w:tcPr>
          <w:p w14:paraId="4AA0E59D">
            <w:pPr>
              <w:rPr>
                <w:rFonts w:ascii="宋体"/>
                <w:szCs w:val="21"/>
              </w:rPr>
            </w:pPr>
          </w:p>
        </w:tc>
        <w:tc>
          <w:tcPr>
            <w:tcW w:w="1706" w:type="dxa"/>
            <w:vAlign w:val="center"/>
          </w:tcPr>
          <w:p w14:paraId="6D4903D2">
            <w:pPr>
              <w:rPr>
                <w:rFonts w:ascii="宋体"/>
                <w:szCs w:val="21"/>
              </w:rPr>
            </w:pPr>
          </w:p>
        </w:tc>
      </w:tr>
    </w:tbl>
    <w:p w14:paraId="3938221F">
      <w:pPr>
        <w:autoSpaceDE w:val="0"/>
        <w:autoSpaceDN w:val="0"/>
        <w:adjustRightInd w:val="0"/>
        <w:spacing w:line="480" w:lineRule="auto"/>
        <w:rPr>
          <w:rFonts w:cs="宋体" w:asciiTheme="minorEastAsia" w:hAnsiTheme="minorEastAsia"/>
          <w:szCs w:val="21"/>
          <w:lang w:val="zh-CN"/>
        </w:rPr>
      </w:pPr>
    </w:p>
    <w:p w14:paraId="22D32B43">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7EF639D4">
      <w:pPr>
        <w:autoSpaceDE w:val="0"/>
        <w:autoSpaceDN w:val="0"/>
        <w:adjustRightInd w:val="0"/>
        <w:spacing w:line="480" w:lineRule="auto"/>
        <w:rPr>
          <w:rFonts w:cs="宋体" w:asciiTheme="minorEastAsia" w:hAnsiTheme="minorEastAsia"/>
          <w:szCs w:val="21"/>
          <w:lang w:val="zh-CN"/>
        </w:rPr>
      </w:pPr>
    </w:p>
    <w:p w14:paraId="2581922C">
      <w:pPr>
        <w:autoSpaceDE w:val="0"/>
        <w:autoSpaceDN w:val="0"/>
        <w:adjustRightInd w:val="0"/>
        <w:spacing w:line="480" w:lineRule="auto"/>
        <w:rPr>
          <w:rFonts w:cs="宋体" w:asciiTheme="minorEastAsia" w:hAnsiTheme="minorEastAsia"/>
          <w:sz w:val="24"/>
          <w:szCs w:val="24"/>
          <w:lang w:val="zh-CN"/>
        </w:rPr>
      </w:pPr>
    </w:p>
    <w:p w14:paraId="72853911">
      <w:pPr>
        <w:autoSpaceDE w:val="0"/>
        <w:autoSpaceDN w:val="0"/>
        <w:adjustRightInd w:val="0"/>
        <w:spacing w:line="360" w:lineRule="auto"/>
        <w:jc w:val="center"/>
        <w:outlineLvl w:val="0"/>
        <w:rPr>
          <w:rFonts w:ascii="宋体" w:hAnsi="宋体"/>
          <w:b/>
          <w:bCs/>
          <w:sz w:val="24"/>
          <w:szCs w:val="24"/>
        </w:rPr>
      </w:pPr>
    </w:p>
    <w:p w14:paraId="46CEFA72">
      <w:pPr>
        <w:autoSpaceDE w:val="0"/>
        <w:autoSpaceDN w:val="0"/>
        <w:adjustRightInd w:val="0"/>
        <w:spacing w:line="360" w:lineRule="auto"/>
        <w:jc w:val="center"/>
        <w:outlineLvl w:val="0"/>
        <w:rPr>
          <w:rFonts w:ascii="宋体" w:hAnsi="宋体"/>
          <w:b/>
          <w:bCs/>
          <w:sz w:val="24"/>
          <w:szCs w:val="24"/>
        </w:rPr>
      </w:pPr>
    </w:p>
    <w:p w14:paraId="3AAF6972">
      <w:pPr>
        <w:autoSpaceDE w:val="0"/>
        <w:autoSpaceDN w:val="0"/>
        <w:adjustRightInd w:val="0"/>
        <w:spacing w:line="360" w:lineRule="auto"/>
        <w:jc w:val="center"/>
        <w:outlineLvl w:val="0"/>
        <w:rPr>
          <w:rFonts w:ascii="宋体" w:hAnsi="宋体"/>
          <w:b/>
          <w:bCs/>
          <w:sz w:val="24"/>
          <w:szCs w:val="24"/>
        </w:rPr>
      </w:pPr>
    </w:p>
    <w:p w14:paraId="62FE5C08">
      <w:pPr>
        <w:autoSpaceDE w:val="0"/>
        <w:autoSpaceDN w:val="0"/>
        <w:adjustRightInd w:val="0"/>
        <w:spacing w:line="360" w:lineRule="auto"/>
        <w:jc w:val="center"/>
        <w:outlineLvl w:val="0"/>
        <w:rPr>
          <w:rFonts w:ascii="宋体" w:hAnsi="宋体"/>
          <w:b/>
          <w:bCs/>
          <w:sz w:val="24"/>
          <w:szCs w:val="24"/>
        </w:rPr>
      </w:pPr>
    </w:p>
    <w:p w14:paraId="45D0E372">
      <w:pPr>
        <w:autoSpaceDE w:val="0"/>
        <w:autoSpaceDN w:val="0"/>
        <w:adjustRightInd w:val="0"/>
        <w:spacing w:line="360" w:lineRule="auto"/>
        <w:jc w:val="center"/>
        <w:outlineLvl w:val="0"/>
        <w:rPr>
          <w:rFonts w:ascii="宋体" w:hAnsi="宋体"/>
          <w:b/>
          <w:bCs/>
          <w:sz w:val="24"/>
          <w:szCs w:val="24"/>
        </w:rPr>
      </w:pPr>
    </w:p>
    <w:p w14:paraId="5AB1C2F6">
      <w:pPr>
        <w:autoSpaceDE w:val="0"/>
        <w:autoSpaceDN w:val="0"/>
        <w:adjustRightInd w:val="0"/>
        <w:spacing w:line="360" w:lineRule="auto"/>
        <w:jc w:val="center"/>
        <w:outlineLvl w:val="0"/>
        <w:rPr>
          <w:rFonts w:ascii="宋体" w:hAnsi="宋体"/>
          <w:b/>
          <w:bCs/>
          <w:sz w:val="24"/>
          <w:szCs w:val="24"/>
        </w:rPr>
      </w:pPr>
    </w:p>
    <w:p w14:paraId="4EC94C80">
      <w:pPr>
        <w:autoSpaceDE w:val="0"/>
        <w:autoSpaceDN w:val="0"/>
        <w:adjustRightInd w:val="0"/>
        <w:spacing w:line="360" w:lineRule="auto"/>
        <w:jc w:val="center"/>
        <w:outlineLvl w:val="0"/>
        <w:rPr>
          <w:rFonts w:ascii="宋体" w:hAnsi="宋体"/>
          <w:b/>
          <w:bCs/>
          <w:sz w:val="24"/>
          <w:szCs w:val="24"/>
        </w:rPr>
      </w:pPr>
    </w:p>
    <w:p w14:paraId="21F8D08D">
      <w:pPr>
        <w:autoSpaceDE w:val="0"/>
        <w:autoSpaceDN w:val="0"/>
        <w:adjustRightInd w:val="0"/>
        <w:spacing w:line="360" w:lineRule="auto"/>
        <w:jc w:val="center"/>
        <w:outlineLvl w:val="0"/>
        <w:rPr>
          <w:rFonts w:ascii="宋体" w:hAnsi="宋体"/>
          <w:b/>
          <w:bCs/>
          <w:sz w:val="24"/>
          <w:szCs w:val="24"/>
        </w:rPr>
      </w:pPr>
    </w:p>
    <w:p w14:paraId="46A114D6">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4.5 售后服务方案</w:t>
      </w:r>
    </w:p>
    <w:p w14:paraId="40701294">
      <w:pPr>
        <w:autoSpaceDE w:val="0"/>
        <w:autoSpaceDN w:val="0"/>
        <w:adjustRightInd w:val="0"/>
        <w:spacing w:line="360" w:lineRule="auto"/>
        <w:jc w:val="center"/>
        <w:outlineLvl w:val="0"/>
        <w:rPr>
          <w:rFonts w:ascii="宋体" w:hAnsi="宋体"/>
          <w:b/>
          <w:bCs/>
          <w:sz w:val="36"/>
          <w:szCs w:val="36"/>
        </w:rPr>
      </w:pPr>
    </w:p>
    <w:p w14:paraId="25B4CA47">
      <w:pPr>
        <w:autoSpaceDE w:val="0"/>
        <w:autoSpaceDN w:val="0"/>
        <w:adjustRightInd w:val="0"/>
        <w:spacing w:line="360" w:lineRule="auto"/>
        <w:jc w:val="center"/>
        <w:outlineLvl w:val="0"/>
        <w:rPr>
          <w:rFonts w:ascii="宋体" w:hAnsi="宋体"/>
          <w:b/>
          <w:bCs/>
          <w:sz w:val="36"/>
          <w:szCs w:val="36"/>
        </w:rPr>
      </w:pPr>
    </w:p>
    <w:p w14:paraId="4691D043">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208A17C3">
      <w:pPr>
        <w:autoSpaceDE w:val="0"/>
        <w:autoSpaceDN w:val="0"/>
        <w:adjustRightInd w:val="0"/>
        <w:spacing w:line="360" w:lineRule="auto"/>
        <w:jc w:val="center"/>
        <w:outlineLvl w:val="0"/>
        <w:rPr>
          <w:rFonts w:ascii="宋体" w:hAnsi="宋体"/>
          <w:b/>
          <w:bCs/>
          <w:sz w:val="36"/>
          <w:szCs w:val="36"/>
        </w:rPr>
      </w:pPr>
    </w:p>
    <w:p w14:paraId="6B0A4444">
      <w:pPr>
        <w:autoSpaceDE w:val="0"/>
        <w:autoSpaceDN w:val="0"/>
        <w:adjustRightInd w:val="0"/>
        <w:spacing w:line="360" w:lineRule="auto"/>
        <w:jc w:val="center"/>
        <w:outlineLvl w:val="0"/>
        <w:rPr>
          <w:rFonts w:ascii="宋体" w:hAnsi="宋体"/>
          <w:b/>
          <w:bCs/>
          <w:sz w:val="36"/>
          <w:szCs w:val="36"/>
        </w:rPr>
      </w:pPr>
    </w:p>
    <w:p w14:paraId="08717C38">
      <w:pPr>
        <w:autoSpaceDE w:val="0"/>
        <w:autoSpaceDN w:val="0"/>
        <w:adjustRightInd w:val="0"/>
        <w:spacing w:line="360" w:lineRule="auto"/>
        <w:jc w:val="center"/>
        <w:outlineLvl w:val="0"/>
        <w:rPr>
          <w:rFonts w:ascii="宋体" w:hAnsi="宋体"/>
          <w:b/>
          <w:bCs/>
          <w:sz w:val="36"/>
          <w:szCs w:val="36"/>
        </w:rPr>
      </w:pPr>
    </w:p>
    <w:p w14:paraId="25C7603D">
      <w:pPr>
        <w:autoSpaceDE w:val="0"/>
        <w:autoSpaceDN w:val="0"/>
        <w:adjustRightInd w:val="0"/>
        <w:spacing w:line="360" w:lineRule="auto"/>
        <w:jc w:val="center"/>
        <w:outlineLvl w:val="0"/>
        <w:rPr>
          <w:rFonts w:ascii="宋体" w:hAnsi="宋体"/>
          <w:b/>
          <w:bCs/>
          <w:sz w:val="36"/>
          <w:szCs w:val="36"/>
        </w:rPr>
      </w:pPr>
    </w:p>
    <w:p w14:paraId="153E410B">
      <w:pPr>
        <w:autoSpaceDE w:val="0"/>
        <w:autoSpaceDN w:val="0"/>
        <w:adjustRightInd w:val="0"/>
        <w:spacing w:line="360" w:lineRule="auto"/>
        <w:jc w:val="center"/>
        <w:outlineLvl w:val="0"/>
        <w:rPr>
          <w:rFonts w:ascii="宋体" w:hAnsi="宋体"/>
          <w:b/>
          <w:bCs/>
          <w:sz w:val="36"/>
          <w:szCs w:val="36"/>
        </w:rPr>
      </w:pPr>
    </w:p>
    <w:p w14:paraId="3A2ABAE5">
      <w:pPr>
        <w:autoSpaceDE w:val="0"/>
        <w:autoSpaceDN w:val="0"/>
        <w:adjustRightInd w:val="0"/>
        <w:spacing w:line="360" w:lineRule="auto"/>
        <w:jc w:val="center"/>
        <w:outlineLvl w:val="0"/>
        <w:rPr>
          <w:rFonts w:ascii="宋体" w:hAnsi="宋体"/>
          <w:b/>
          <w:bCs/>
          <w:sz w:val="36"/>
          <w:szCs w:val="36"/>
        </w:rPr>
      </w:pPr>
    </w:p>
    <w:p w14:paraId="4ACD4C4B">
      <w:pPr>
        <w:autoSpaceDE w:val="0"/>
        <w:autoSpaceDN w:val="0"/>
        <w:adjustRightInd w:val="0"/>
        <w:spacing w:line="360" w:lineRule="auto"/>
        <w:jc w:val="center"/>
        <w:outlineLvl w:val="0"/>
        <w:rPr>
          <w:rFonts w:ascii="宋体" w:hAnsi="宋体"/>
          <w:b/>
          <w:bCs/>
          <w:sz w:val="36"/>
          <w:szCs w:val="36"/>
        </w:rPr>
      </w:pPr>
    </w:p>
    <w:p w14:paraId="4B10EFC9">
      <w:pPr>
        <w:autoSpaceDE w:val="0"/>
        <w:autoSpaceDN w:val="0"/>
        <w:adjustRightInd w:val="0"/>
        <w:spacing w:line="360" w:lineRule="auto"/>
        <w:jc w:val="center"/>
        <w:outlineLvl w:val="0"/>
        <w:rPr>
          <w:rFonts w:ascii="宋体" w:hAnsi="宋体"/>
          <w:b/>
          <w:bCs/>
          <w:sz w:val="36"/>
          <w:szCs w:val="36"/>
        </w:rPr>
      </w:pPr>
    </w:p>
    <w:p w14:paraId="62EFB289">
      <w:pPr>
        <w:autoSpaceDE w:val="0"/>
        <w:autoSpaceDN w:val="0"/>
        <w:adjustRightInd w:val="0"/>
        <w:spacing w:line="360" w:lineRule="auto"/>
        <w:jc w:val="center"/>
        <w:outlineLvl w:val="0"/>
        <w:rPr>
          <w:rFonts w:ascii="宋体" w:hAnsi="宋体"/>
          <w:b/>
          <w:bCs/>
          <w:sz w:val="36"/>
          <w:szCs w:val="36"/>
        </w:rPr>
      </w:pPr>
    </w:p>
    <w:p w14:paraId="0CA43BEE">
      <w:pPr>
        <w:autoSpaceDE w:val="0"/>
        <w:autoSpaceDN w:val="0"/>
        <w:adjustRightInd w:val="0"/>
        <w:spacing w:line="360" w:lineRule="auto"/>
        <w:jc w:val="center"/>
        <w:outlineLvl w:val="0"/>
        <w:rPr>
          <w:rFonts w:ascii="宋体" w:hAnsi="宋体"/>
          <w:b/>
          <w:bCs/>
          <w:sz w:val="36"/>
          <w:szCs w:val="36"/>
        </w:rPr>
      </w:pPr>
    </w:p>
    <w:p w14:paraId="760CB633">
      <w:pPr>
        <w:autoSpaceDE w:val="0"/>
        <w:autoSpaceDN w:val="0"/>
        <w:adjustRightInd w:val="0"/>
        <w:spacing w:line="360" w:lineRule="auto"/>
        <w:jc w:val="center"/>
        <w:outlineLvl w:val="0"/>
        <w:rPr>
          <w:rFonts w:ascii="宋体" w:hAnsi="宋体"/>
          <w:b/>
          <w:bCs/>
          <w:sz w:val="36"/>
          <w:szCs w:val="36"/>
        </w:rPr>
      </w:pPr>
    </w:p>
    <w:p w14:paraId="65021753">
      <w:pPr>
        <w:autoSpaceDE w:val="0"/>
        <w:autoSpaceDN w:val="0"/>
        <w:adjustRightInd w:val="0"/>
        <w:spacing w:line="360" w:lineRule="auto"/>
        <w:jc w:val="center"/>
        <w:outlineLvl w:val="0"/>
        <w:rPr>
          <w:rFonts w:ascii="宋体" w:hAnsi="宋体"/>
          <w:b/>
          <w:bCs/>
          <w:sz w:val="36"/>
          <w:szCs w:val="36"/>
        </w:rPr>
      </w:pPr>
    </w:p>
    <w:p w14:paraId="7FA1DD44">
      <w:pPr>
        <w:autoSpaceDE w:val="0"/>
        <w:autoSpaceDN w:val="0"/>
        <w:adjustRightInd w:val="0"/>
        <w:spacing w:line="360" w:lineRule="auto"/>
        <w:jc w:val="center"/>
        <w:outlineLvl w:val="0"/>
        <w:rPr>
          <w:rFonts w:ascii="宋体" w:hAnsi="宋体"/>
          <w:b/>
          <w:bCs/>
          <w:sz w:val="36"/>
          <w:szCs w:val="36"/>
        </w:rPr>
      </w:pPr>
    </w:p>
    <w:p w14:paraId="04DF8996">
      <w:pPr>
        <w:autoSpaceDE w:val="0"/>
        <w:autoSpaceDN w:val="0"/>
        <w:adjustRightInd w:val="0"/>
        <w:spacing w:line="360" w:lineRule="auto"/>
        <w:jc w:val="center"/>
        <w:outlineLvl w:val="0"/>
        <w:rPr>
          <w:rFonts w:ascii="宋体" w:hAnsi="宋体"/>
          <w:b/>
          <w:bCs/>
          <w:sz w:val="36"/>
          <w:szCs w:val="36"/>
        </w:rPr>
      </w:pPr>
    </w:p>
    <w:p w14:paraId="77DAD0BA">
      <w:pPr>
        <w:autoSpaceDE w:val="0"/>
        <w:autoSpaceDN w:val="0"/>
        <w:adjustRightInd w:val="0"/>
        <w:spacing w:line="360" w:lineRule="auto"/>
        <w:jc w:val="center"/>
        <w:outlineLvl w:val="0"/>
        <w:rPr>
          <w:rFonts w:ascii="宋体" w:hAnsi="宋体"/>
          <w:b/>
          <w:bCs/>
          <w:sz w:val="36"/>
          <w:szCs w:val="36"/>
        </w:rPr>
      </w:pPr>
    </w:p>
    <w:p w14:paraId="3A20CCD7">
      <w:pPr>
        <w:autoSpaceDE w:val="0"/>
        <w:autoSpaceDN w:val="0"/>
        <w:adjustRightInd w:val="0"/>
        <w:spacing w:line="360" w:lineRule="auto"/>
        <w:jc w:val="center"/>
        <w:outlineLvl w:val="0"/>
        <w:rPr>
          <w:rFonts w:ascii="宋体" w:hAnsi="宋体"/>
          <w:b/>
          <w:bCs/>
          <w:sz w:val="36"/>
          <w:szCs w:val="36"/>
        </w:rPr>
      </w:pPr>
    </w:p>
    <w:p w14:paraId="2E088551">
      <w:pPr>
        <w:autoSpaceDE w:val="0"/>
        <w:autoSpaceDN w:val="0"/>
        <w:adjustRightInd w:val="0"/>
        <w:spacing w:line="360" w:lineRule="auto"/>
        <w:jc w:val="center"/>
        <w:outlineLvl w:val="0"/>
        <w:rPr>
          <w:rFonts w:ascii="宋体" w:hAnsi="宋体"/>
          <w:b/>
          <w:bCs/>
          <w:sz w:val="36"/>
          <w:szCs w:val="36"/>
        </w:rPr>
      </w:pPr>
    </w:p>
    <w:p w14:paraId="7AD8DB27">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4.6“节能产品政府采购品目清单”强制节能产品情况</w:t>
      </w:r>
    </w:p>
    <w:p w14:paraId="43D90382">
      <w:pPr>
        <w:autoSpaceDE w:val="0"/>
        <w:autoSpaceDN w:val="0"/>
        <w:adjustRightInd w:val="0"/>
        <w:spacing w:line="360" w:lineRule="auto"/>
        <w:jc w:val="center"/>
        <w:outlineLvl w:val="0"/>
        <w:rPr>
          <w:rFonts w:ascii="宋体" w:hAnsi="宋体"/>
          <w:b/>
          <w:bCs/>
          <w:sz w:val="28"/>
          <w:szCs w:val="28"/>
        </w:rPr>
      </w:pPr>
    </w:p>
    <w:p w14:paraId="01238A9A">
      <w:pPr>
        <w:spacing w:before="50" w:after="156"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36BC4A28">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32D88744">
      <w:pPr>
        <w:tabs>
          <w:tab w:val="left" w:pos="1800"/>
          <w:tab w:val="left" w:pos="5580"/>
        </w:tabs>
        <w:spacing w:line="360" w:lineRule="auto"/>
        <w:rPr>
          <w:rFonts w:ascii="宋体" w:hAnsi="宋体"/>
          <w:szCs w:val="21"/>
        </w:rPr>
      </w:pPr>
    </w:p>
    <w:tbl>
      <w:tblPr>
        <w:tblStyle w:val="24"/>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7B35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47802754">
            <w:pPr>
              <w:pStyle w:val="7"/>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4F0BFE33">
            <w:pPr>
              <w:pStyle w:val="7"/>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58F53A84">
            <w:pPr>
              <w:pStyle w:val="7"/>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5A540E49">
            <w:pPr>
              <w:pStyle w:val="7"/>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33D100A9">
            <w:pPr>
              <w:pStyle w:val="7"/>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1BDA6CFF">
            <w:pPr>
              <w:pStyle w:val="7"/>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76AE1D60">
            <w:pPr>
              <w:pStyle w:val="7"/>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59CC4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2CFA4B85">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77E16228">
            <w:pPr>
              <w:pStyle w:val="7"/>
              <w:spacing w:line="360" w:lineRule="auto"/>
              <w:rPr>
                <w:rFonts w:ascii="宋体" w:hAnsi="宋体" w:eastAsia="宋体" w:cs="Times New Roman"/>
                <w:sz w:val="21"/>
                <w:szCs w:val="21"/>
              </w:rPr>
            </w:pPr>
          </w:p>
        </w:tc>
        <w:tc>
          <w:tcPr>
            <w:tcW w:w="814" w:type="pct"/>
            <w:vAlign w:val="center"/>
          </w:tcPr>
          <w:p w14:paraId="6B0D518E">
            <w:pPr>
              <w:pStyle w:val="7"/>
              <w:spacing w:line="360" w:lineRule="auto"/>
              <w:rPr>
                <w:rFonts w:ascii="宋体" w:hAnsi="宋体" w:eastAsia="宋体" w:cs="Times New Roman"/>
                <w:sz w:val="21"/>
                <w:szCs w:val="21"/>
              </w:rPr>
            </w:pPr>
          </w:p>
        </w:tc>
        <w:tc>
          <w:tcPr>
            <w:tcW w:w="665" w:type="pct"/>
          </w:tcPr>
          <w:p w14:paraId="451153C5">
            <w:pPr>
              <w:pStyle w:val="7"/>
              <w:spacing w:line="360" w:lineRule="auto"/>
              <w:rPr>
                <w:rFonts w:ascii="宋体" w:hAnsi="宋体" w:eastAsia="宋体" w:cs="Times New Roman"/>
                <w:sz w:val="21"/>
                <w:szCs w:val="21"/>
              </w:rPr>
            </w:pPr>
          </w:p>
        </w:tc>
        <w:tc>
          <w:tcPr>
            <w:tcW w:w="884" w:type="pct"/>
          </w:tcPr>
          <w:p w14:paraId="299775D0">
            <w:pPr>
              <w:pStyle w:val="7"/>
              <w:spacing w:line="360" w:lineRule="auto"/>
              <w:rPr>
                <w:rFonts w:ascii="宋体" w:hAnsi="宋体" w:eastAsia="宋体" w:cs="Times New Roman"/>
                <w:sz w:val="21"/>
                <w:szCs w:val="21"/>
              </w:rPr>
            </w:pPr>
          </w:p>
        </w:tc>
        <w:tc>
          <w:tcPr>
            <w:tcW w:w="858" w:type="pct"/>
          </w:tcPr>
          <w:p w14:paraId="3328E47E">
            <w:pPr>
              <w:pStyle w:val="7"/>
              <w:spacing w:line="360" w:lineRule="auto"/>
              <w:rPr>
                <w:rFonts w:ascii="宋体" w:hAnsi="宋体" w:eastAsia="宋体" w:cs="Times New Roman"/>
                <w:sz w:val="21"/>
                <w:szCs w:val="21"/>
              </w:rPr>
            </w:pPr>
          </w:p>
        </w:tc>
        <w:tc>
          <w:tcPr>
            <w:tcW w:w="760" w:type="pct"/>
          </w:tcPr>
          <w:p w14:paraId="0B8093F3">
            <w:pPr>
              <w:pStyle w:val="7"/>
              <w:spacing w:line="360" w:lineRule="auto"/>
              <w:rPr>
                <w:rFonts w:ascii="宋体" w:hAnsi="宋体" w:eastAsia="宋体" w:cs="Times New Roman"/>
                <w:sz w:val="21"/>
                <w:szCs w:val="21"/>
              </w:rPr>
            </w:pPr>
          </w:p>
        </w:tc>
      </w:tr>
      <w:tr w14:paraId="0C87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34F5FBE2">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74B0EF32">
            <w:pPr>
              <w:pStyle w:val="7"/>
              <w:spacing w:line="360" w:lineRule="auto"/>
              <w:rPr>
                <w:rFonts w:ascii="宋体" w:hAnsi="宋体" w:eastAsia="宋体" w:cs="Times New Roman"/>
                <w:sz w:val="21"/>
                <w:szCs w:val="21"/>
              </w:rPr>
            </w:pPr>
          </w:p>
        </w:tc>
        <w:tc>
          <w:tcPr>
            <w:tcW w:w="814" w:type="pct"/>
            <w:vAlign w:val="center"/>
          </w:tcPr>
          <w:p w14:paraId="2A9C7C71">
            <w:pPr>
              <w:pStyle w:val="7"/>
              <w:spacing w:line="360" w:lineRule="auto"/>
              <w:rPr>
                <w:rFonts w:ascii="宋体" w:hAnsi="宋体" w:eastAsia="宋体" w:cs="Times New Roman"/>
                <w:sz w:val="21"/>
                <w:szCs w:val="21"/>
              </w:rPr>
            </w:pPr>
          </w:p>
        </w:tc>
        <w:tc>
          <w:tcPr>
            <w:tcW w:w="665" w:type="pct"/>
          </w:tcPr>
          <w:p w14:paraId="53731A97">
            <w:pPr>
              <w:pStyle w:val="7"/>
              <w:spacing w:line="360" w:lineRule="auto"/>
              <w:rPr>
                <w:rFonts w:ascii="宋体" w:hAnsi="宋体" w:eastAsia="宋体" w:cs="Times New Roman"/>
                <w:sz w:val="21"/>
                <w:szCs w:val="21"/>
              </w:rPr>
            </w:pPr>
          </w:p>
        </w:tc>
        <w:tc>
          <w:tcPr>
            <w:tcW w:w="884" w:type="pct"/>
          </w:tcPr>
          <w:p w14:paraId="7E1EE484">
            <w:pPr>
              <w:pStyle w:val="7"/>
              <w:spacing w:line="360" w:lineRule="auto"/>
              <w:rPr>
                <w:rFonts w:ascii="宋体" w:hAnsi="宋体" w:eastAsia="宋体" w:cs="Times New Roman"/>
                <w:sz w:val="21"/>
                <w:szCs w:val="21"/>
              </w:rPr>
            </w:pPr>
          </w:p>
        </w:tc>
        <w:tc>
          <w:tcPr>
            <w:tcW w:w="858" w:type="pct"/>
          </w:tcPr>
          <w:p w14:paraId="0FA14666">
            <w:pPr>
              <w:pStyle w:val="7"/>
              <w:spacing w:line="360" w:lineRule="auto"/>
              <w:rPr>
                <w:rFonts w:ascii="宋体" w:hAnsi="宋体" w:eastAsia="宋体" w:cs="Times New Roman"/>
                <w:sz w:val="21"/>
                <w:szCs w:val="21"/>
              </w:rPr>
            </w:pPr>
          </w:p>
        </w:tc>
        <w:tc>
          <w:tcPr>
            <w:tcW w:w="760" w:type="pct"/>
          </w:tcPr>
          <w:p w14:paraId="37050E6C">
            <w:pPr>
              <w:pStyle w:val="7"/>
              <w:spacing w:line="360" w:lineRule="auto"/>
              <w:rPr>
                <w:rFonts w:ascii="宋体" w:hAnsi="宋体" w:eastAsia="宋体" w:cs="Times New Roman"/>
                <w:sz w:val="21"/>
                <w:szCs w:val="21"/>
              </w:rPr>
            </w:pPr>
          </w:p>
        </w:tc>
      </w:tr>
      <w:tr w14:paraId="2BD4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77AE2EB">
            <w:pPr>
              <w:pStyle w:val="7"/>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16BB4619">
            <w:pPr>
              <w:pStyle w:val="7"/>
              <w:spacing w:line="360" w:lineRule="auto"/>
              <w:rPr>
                <w:rFonts w:ascii="宋体" w:hAnsi="宋体" w:eastAsia="宋体" w:cs="Times New Roman"/>
                <w:sz w:val="21"/>
                <w:szCs w:val="21"/>
              </w:rPr>
            </w:pPr>
          </w:p>
        </w:tc>
        <w:tc>
          <w:tcPr>
            <w:tcW w:w="814" w:type="pct"/>
            <w:vAlign w:val="center"/>
          </w:tcPr>
          <w:p w14:paraId="1F930226">
            <w:pPr>
              <w:pStyle w:val="7"/>
              <w:spacing w:line="360" w:lineRule="auto"/>
              <w:rPr>
                <w:rFonts w:ascii="宋体" w:hAnsi="宋体" w:eastAsia="宋体" w:cs="Times New Roman"/>
                <w:sz w:val="21"/>
                <w:szCs w:val="21"/>
              </w:rPr>
            </w:pPr>
          </w:p>
        </w:tc>
        <w:tc>
          <w:tcPr>
            <w:tcW w:w="665" w:type="pct"/>
          </w:tcPr>
          <w:p w14:paraId="59DE2591">
            <w:pPr>
              <w:pStyle w:val="7"/>
              <w:spacing w:line="360" w:lineRule="auto"/>
              <w:rPr>
                <w:rFonts w:ascii="宋体" w:hAnsi="宋体" w:eastAsia="宋体" w:cs="Times New Roman"/>
                <w:sz w:val="21"/>
                <w:szCs w:val="21"/>
              </w:rPr>
            </w:pPr>
          </w:p>
        </w:tc>
        <w:tc>
          <w:tcPr>
            <w:tcW w:w="884" w:type="pct"/>
          </w:tcPr>
          <w:p w14:paraId="0BD09B20">
            <w:pPr>
              <w:pStyle w:val="7"/>
              <w:spacing w:line="360" w:lineRule="auto"/>
              <w:rPr>
                <w:rFonts w:ascii="宋体" w:hAnsi="宋体" w:eastAsia="宋体" w:cs="Times New Roman"/>
                <w:sz w:val="21"/>
                <w:szCs w:val="21"/>
              </w:rPr>
            </w:pPr>
          </w:p>
        </w:tc>
        <w:tc>
          <w:tcPr>
            <w:tcW w:w="858" w:type="pct"/>
          </w:tcPr>
          <w:p w14:paraId="72866100">
            <w:pPr>
              <w:pStyle w:val="7"/>
              <w:spacing w:line="360" w:lineRule="auto"/>
              <w:rPr>
                <w:rFonts w:ascii="宋体" w:hAnsi="宋体" w:eastAsia="宋体" w:cs="Times New Roman"/>
                <w:sz w:val="21"/>
                <w:szCs w:val="21"/>
              </w:rPr>
            </w:pPr>
          </w:p>
        </w:tc>
        <w:tc>
          <w:tcPr>
            <w:tcW w:w="760" w:type="pct"/>
          </w:tcPr>
          <w:p w14:paraId="2118DB26">
            <w:pPr>
              <w:pStyle w:val="7"/>
              <w:spacing w:line="360" w:lineRule="auto"/>
              <w:rPr>
                <w:rFonts w:ascii="宋体" w:hAnsi="宋体" w:eastAsia="宋体" w:cs="Times New Roman"/>
                <w:sz w:val="21"/>
                <w:szCs w:val="21"/>
              </w:rPr>
            </w:pPr>
          </w:p>
        </w:tc>
      </w:tr>
    </w:tbl>
    <w:p w14:paraId="6BADC676">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4082B00F">
      <w:pPr>
        <w:autoSpaceDE w:val="0"/>
        <w:autoSpaceDN w:val="0"/>
        <w:adjustRightInd w:val="0"/>
        <w:spacing w:line="480" w:lineRule="auto"/>
        <w:rPr>
          <w:rFonts w:cs="宋体" w:asciiTheme="minorEastAsia" w:hAnsiTheme="minorEastAsia"/>
          <w:szCs w:val="21"/>
          <w:lang w:val="zh-CN"/>
        </w:rPr>
      </w:pPr>
    </w:p>
    <w:p w14:paraId="62764DF1">
      <w:pPr>
        <w:snapToGrid w:val="0"/>
        <w:spacing w:line="500" w:lineRule="exact"/>
        <w:rPr>
          <w:rFonts w:cs="宋体" w:asciiTheme="minorEastAsia" w:hAnsiTheme="minorEastAsia"/>
          <w:szCs w:val="21"/>
          <w:lang w:val="zh-CN"/>
        </w:rPr>
      </w:pPr>
    </w:p>
    <w:p w14:paraId="5B2E4EF5">
      <w:pPr>
        <w:rPr>
          <w:rFonts w:cs="宋体" w:asciiTheme="minorEastAsia" w:hAnsiTheme="minorEastAsia"/>
          <w:szCs w:val="21"/>
          <w:lang w:val="zh-CN"/>
        </w:rPr>
      </w:pPr>
      <w:r>
        <w:rPr>
          <w:rFonts w:hint="eastAsia" w:cs="宋体" w:asciiTheme="minorEastAsia" w:hAnsiTheme="minorEastAsia"/>
          <w:szCs w:val="21"/>
          <w:lang w:val="zh-CN"/>
        </w:rPr>
        <w:t>说明：所投产品节能认证证书须附后。</w:t>
      </w:r>
    </w:p>
    <w:p w14:paraId="07FB4937">
      <w:pPr>
        <w:autoSpaceDE w:val="0"/>
        <w:autoSpaceDN w:val="0"/>
        <w:adjustRightInd w:val="0"/>
        <w:spacing w:line="360" w:lineRule="auto"/>
        <w:jc w:val="center"/>
        <w:outlineLvl w:val="0"/>
        <w:rPr>
          <w:rFonts w:ascii="宋体" w:hAnsi="宋体"/>
          <w:b/>
          <w:bCs/>
          <w:sz w:val="24"/>
          <w:szCs w:val="24"/>
        </w:rPr>
      </w:pPr>
    </w:p>
    <w:p w14:paraId="015210AE">
      <w:pPr>
        <w:autoSpaceDE w:val="0"/>
        <w:autoSpaceDN w:val="0"/>
        <w:adjustRightInd w:val="0"/>
        <w:spacing w:line="360" w:lineRule="auto"/>
        <w:jc w:val="center"/>
        <w:outlineLvl w:val="0"/>
        <w:rPr>
          <w:rFonts w:ascii="宋体" w:hAnsi="宋体"/>
          <w:b/>
          <w:bCs/>
          <w:sz w:val="24"/>
          <w:szCs w:val="24"/>
        </w:rPr>
      </w:pPr>
    </w:p>
    <w:p w14:paraId="76E51127">
      <w:pPr>
        <w:autoSpaceDE w:val="0"/>
        <w:autoSpaceDN w:val="0"/>
        <w:adjustRightInd w:val="0"/>
        <w:spacing w:line="360" w:lineRule="auto"/>
        <w:jc w:val="center"/>
        <w:outlineLvl w:val="0"/>
        <w:rPr>
          <w:rFonts w:ascii="宋体" w:hAnsi="宋体"/>
          <w:b/>
          <w:bCs/>
          <w:sz w:val="24"/>
          <w:szCs w:val="24"/>
        </w:rPr>
      </w:pPr>
    </w:p>
    <w:p w14:paraId="5CC00C07">
      <w:pPr>
        <w:autoSpaceDE w:val="0"/>
        <w:autoSpaceDN w:val="0"/>
        <w:adjustRightInd w:val="0"/>
        <w:spacing w:line="360" w:lineRule="auto"/>
        <w:jc w:val="center"/>
        <w:outlineLvl w:val="0"/>
        <w:rPr>
          <w:rFonts w:ascii="宋体" w:hAnsi="宋体"/>
          <w:b/>
          <w:bCs/>
          <w:sz w:val="24"/>
          <w:szCs w:val="24"/>
        </w:rPr>
      </w:pPr>
    </w:p>
    <w:p w14:paraId="13F611F4">
      <w:pPr>
        <w:autoSpaceDE w:val="0"/>
        <w:autoSpaceDN w:val="0"/>
        <w:adjustRightInd w:val="0"/>
        <w:spacing w:line="360" w:lineRule="auto"/>
        <w:jc w:val="center"/>
        <w:outlineLvl w:val="0"/>
        <w:rPr>
          <w:rFonts w:ascii="宋体" w:hAnsi="宋体"/>
          <w:b/>
          <w:bCs/>
          <w:sz w:val="24"/>
          <w:szCs w:val="24"/>
        </w:rPr>
      </w:pPr>
    </w:p>
    <w:p w14:paraId="0AA19904">
      <w:pPr>
        <w:autoSpaceDE w:val="0"/>
        <w:autoSpaceDN w:val="0"/>
        <w:adjustRightInd w:val="0"/>
        <w:spacing w:line="360" w:lineRule="auto"/>
        <w:jc w:val="center"/>
        <w:outlineLvl w:val="0"/>
        <w:rPr>
          <w:rFonts w:ascii="宋体" w:hAnsi="宋体"/>
          <w:b/>
          <w:bCs/>
          <w:sz w:val="24"/>
          <w:szCs w:val="24"/>
        </w:rPr>
      </w:pPr>
    </w:p>
    <w:p w14:paraId="424C70C8">
      <w:pPr>
        <w:autoSpaceDE w:val="0"/>
        <w:autoSpaceDN w:val="0"/>
        <w:adjustRightInd w:val="0"/>
        <w:spacing w:line="360" w:lineRule="auto"/>
        <w:jc w:val="center"/>
        <w:outlineLvl w:val="0"/>
        <w:rPr>
          <w:rFonts w:ascii="宋体" w:hAnsi="宋体"/>
          <w:b/>
          <w:bCs/>
          <w:sz w:val="24"/>
          <w:szCs w:val="24"/>
        </w:rPr>
      </w:pPr>
    </w:p>
    <w:p w14:paraId="408EF97B">
      <w:pPr>
        <w:autoSpaceDE w:val="0"/>
        <w:autoSpaceDN w:val="0"/>
        <w:adjustRightInd w:val="0"/>
        <w:spacing w:line="360" w:lineRule="auto"/>
        <w:jc w:val="center"/>
        <w:outlineLvl w:val="0"/>
        <w:rPr>
          <w:rFonts w:ascii="宋体" w:hAnsi="宋体"/>
          <w:b/>
          <w:bCs/>
          <w:sz w:val="24"/>
          <w:szCs w:val="24"/>
        </w:rPr>
      </w:pPr>
    </w:p>
    <w:p w14:paraId="6822952D">
      <w:pPr>
        <w:autoSpaceDE w:val="0"/>
        <w:autoSpaceDN w:val="0"/>
        <w:adjustRightInd w:val="0"/>
        <w:spacing w:line="360" w:lineRule="auto"/>
        <w:jc w:val="center"/>
        <w:outlineLvl w:val="0"/>
        <w:rPr>
          <w:rFonts w:ascii="宋体" w:hAnsi="宋体"/>
          <w:b/>
          <w:bCs/>
          <w:sz w:val="24"/>
          <w:szCs w:val="24"/>
        </w:rPr>
      </w:pPr>
    </w:p>
    <w:p w14:paraId="6E494DDE">
      <w:pPr>
        <w:autoSpaceDE w:val="0"/>
        <w:autoSpaceDN w:val="0"/>
        <w:adjustRightInd w:val="0"/>
        <w:spacing w:line="360" w:lineRule="auto"/>
        <w:jc w:val="center"/>
        <w:outlineLvl w:val="0"/>
        <w:rPr>
          <w:rFonts w:ascii="宋体" w:hAnsi="宋体"/>
          <w:b/>
          <w:bCs/>
          <w:sz w:val="24"/>
          <w:szCs w:val="24"/>
        </w:rPr>
      </w:pPr>
    </w:p>
    <w:p w14:paraId="18EEFF0A">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4.7“节能产品政府采购品目清单”优先采购节能产品情况</w:t>
      </w:r>
    </w:p>
    <w:p w14:paraId="58E9BA63">
      <w:pPr>
        <w:autoSpaceDE w:val="0"/>
        <w:autoSpaceDN w:val="0"/>
        <w:adjustRightInd w:val="0"/>
        <w:spacing w:line="360" w:lineRule="auto"/>
        <w:jc w:val="center"/>
        <w:outlineLvl w:val="0"/>
        <w:rPr>
          <w:rFonts w:ascii="宋体" w:hAnsi="宋体"/>
          <w:b/>
          <w:bCs/>
          <w:sz w:val="28"/>
          <w:szCs w:val="28"/>
        </w:rPr>
      </w:pPr>
    </w:p>
    <w:p w14:paraId="5F1C0013">
      <w:pPr>
        <w:spacing w:before="50" w:after="156"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7220A36B">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12853A1E">
      <w:pPr>
        <w:tabs>
          <w:tab w:val="left" w:pos="1800"/>
          <w:tab w:val="left" w:pos="5580"/>
        </w:tabs>
        <w:spacing w:line="360" w:lineRule="auto"/>
        <w:rPr>
          <w:rFonts w:ascii="宋体" w:hAnsi="宋体"/>
          <w:szCs w:val="21"/>
        </w:rPr>
      </w:pPr>
    </w:p>
    <w:tbl>
      <w:tblPr>
        <w:tblStyle w:val="24"/>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0C07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302E8914">
            <w:pPr>
              <w:pStyle w:val="7"/>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011CCCD1">
            <w:pPr>
              <w:pStyle w:val="7"/>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51B7629D">
            <w:pPr>
              <w:pStyle w:val="7"/>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0BC2FB1B">
            <w:pPr>
              <w:pStyle w:val="7"/>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69AF141C">
            <w:pPr>
              <w:pStyle w:val="7"/>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4916C7BC">
            <w:pPr>
              <w:pStyle w:val="7"/>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32015501">
            <w:pPr>
              <w:pStyle w:val="7"/>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11A1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BD66534">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6E8E5648">
            <w:pPr>
              <w:pStyle w:val="7"/>
              <w:spacing w:line="360" w:lineRule="auto"/>
              <w:rPr>
                <w:rFonts w:ascii="宋体" w:hAnsi="宋体" w:eastAsia="宋体" w:cs="Times New Roman"/>
                <w:sz w:val="21"/>
                <w:szCs w:val="21"/>
              </w:rPr>
            </w:pPr>
          </w:p>
        </w:tc>
        <w:tc>
          <w:tcPr>
            <w:tcW w:w="814" w:type="pct"/>
            <w:vAlign w:val="center"/>
          </w:tcPr>
          <w:p w14:paraId="21988A41">
            <w:pPr>
              <w:pStyle w:val="7"/>
              <w:spacing w:line="360" w:lineRule="auto"/>
              <w:rPr>
                <w:rFonts w:ascii="宋体" w:hAnsi="宋体" w:eastAsia="宋体" w:cs="Times New Roman"/>
                <w:sz w:val="21"/>
                <w:szCs w:val="21"/>
              </w:rPr>
            </w:pPr>
          </w:p>
        </w:tc>
        <w:tc>
          <w:tcPr>
            <w:tcW w:w="665" w:type="pct"/>
          </w:tcPr>
          <w:p w14:paraId="0E7C571D">
            <w:pPr>
              <w:pStyle w:val="7"/>
              <w:spacing w:line="360" w:lineRule="auto"/>
              <w:rPr>
                <w:rFonts w:ascii="宋体" w:hAnsi="宋体" w:eastAsia="宋体" w:cs="Times New Roman"/>
                <w:sz w:val="21"/>
                <w:szCs w:val="21"/>
              </w:rPr>
            </w:pPr>
          </w:p>
        </w:tc>
        <w:tc>
          <w:tcPr>
            <w:tcW w:w="884" w:type="pct"/>
          </w:tcPr>
          <w:p w14:paraId="5B656BDE">
            <w:pPr>
              <w:pStyle w:val="7"/>
              <w:spacing w:line="360" w:lineRule="auto"/>
              <w:rPr>
                <w:rFonts w:ascii="宋体" w:hAnsi="宋体" w:eastAsia="宋体" w:cs="Times New Roman"/>
                <w:sz w:val="21"/>
                <w:szCs w:val="21"/>
              </w:rPr>
            </w:pPr>
          </w:p>
        </w:tc>
        <w:tc>
          <w:tcPr>
            <w:tcW w:w="858" w:type="pct"/>
          </w:tcPr>
          <w:p w14:paraId="2F87DB1D">
            <w:pPr>
              <w:pStyle w:val="7"/>
              <w:spacing w:line="360" w:lineRule="auto"/>
              <w:rPr>
                <w:rFonts w:ascii="宋体" w:hAnsi="宋体" w:eastAsia="宋体" w:cs="Times New Roman"/>
                <w:sz w:val="21"/>
                <w:szCs w:val="21"/>
              </w:rPr>
            </w:pPr>
          </w:p>
        </w:tc>
        <w:tc>
          <w:tcPr>
            <w:tcW w:w="760" w:type="pct"/>
          </w:tcPr>
          <w:p w14:paraId="73EC555E">
            <w:pPr>
              <w:pStyle w:val="7"/>
              <w:spacing w:line="360" w:lineRule="auto"/>
              <w:rPr>
                <w:rFonts w:ascii="宋体" w:hAnsi="宋体" w:eastAsia="宋体" w:cs="Times New Roman"/>
                <w:sz w:val="21"/>
                <w:szCs w:val="21"/>
              </w:rPr>
            </w:pPr>
          </w:p>
        </w:tc>
      </w:tr>
      <w:tr w14:paraId="3DDC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DD0DF17">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67499BC2">
            <w:pPr>
              <w:pStyle w:val="7"/>
              <w:spacing w:line="360" w:lineRule="auto"/>
              <w:rPr>
                <w:rFonts w:ascii="宋体" w:hAnsi="宋体" w:eastAsia="宋体" w:cs="Times New Roman"/>
                <w:sz w:val="21"/>
                <w:szCs w:val="21"/>
              </w:rPr>
            </w:pPr>
          </w:p>
        </w:tc>
        <w:tc>
          <w:tcPr>
            <w:tcW w:w="814" w:type="pct"/>
            <w:vAlign w:val="center"/>
          </w:tcPr>
          <w:p w14:paraId="2F779FB4">
            <w:pPr>
              <w:pStyle w:val="7"/>
              <w:spacing w:line="360" w:lineRule="auto"/>
              <w:rPr>
                <w:rFonts w:ascii="宋体" w:hAnsi="宋体" w:eastAsia="宋体" w:cs="Times New Roman"/>
                <w:sz w:val="21"/>
                <w:szCs w:val="21"/>
              </w:rPr>
            </w:pPr>
          </w:p>
        </w:tc>
        <w:tc>
          <w:tcPr>
            <w:tcW w:w="665" w:type="pct"/>
          </w:tcPr>
          <w:p w14:paraId="46B5C7F9">
            <w:pPr>
              <w:pStyle w:val="7"/>
              <w:spacing w:line="360" w:lineRule="auto"/>
              <w:rPr>
                <w:rFonts w:ascii="宋体" w:hAnsi="宋体" w:eastAsia="宋体" w:cs="Times New Roman"/>
                <w:sz w:val="21"/>
                <w:szCs w:val="21"/>
              </w:rPr>
            </w:pPr>
          </w:p>
        </w:tc>
        <w:tc>
          <w:tcPr>
            <w:tcW w:w="884" w:type="pct"/>
          </w:tcPr>
          <w:p w14:paraId="26C0A68B">
            <w:pPr>
              <w:pStyle w:val="7"/>
              <w:spacing w:line="360" w:lineRule="auto"/>
              <w:rPr>
                <w:rFonts w:ascii="宋体" w:hAnsi="宋体" w:eastAsia="宋体" w:cs="Times New Roman"/>
                <w:sz w:val="21"/>
                <w:szCs w:val="21"/>
              </w:rPr>
            </w:pPr>
          </w:p>
        </w:tc>
        <w:tc>
          <w:tcPr>
            <w:tcW w:w="858" w:type="pct"/>
          </w:tcPr>
          <w:p w14:paraId="3184A76E">
            <w:pPr>
              <w:pStyle w:val="7"/>
              <w:spacing w:line="360" w:lineRule="auto"/>
              <w:rPr>
                <w:rFonts w:ascii="宋体" w:hAnsi="宋体" w:eastAsia="宋体" w:cs="Times New Roman"/>
                <w:sz w:val="21"/>
                <w:szCs w:val="21"/>
              </w:rPr>
            </w:pPr>
          </w:p>
        </w:tc>
        <w:tc>
          <w:tcPr>
            <w:tcW w:w="760" w:type="pct"/>
          </w:tcPr>
          <w:p w14:paraId="75427119">
            <w:pPr>
              <w:pStyle w:val="7"/>
              <w:spacing w:line="360" w:lineRule="auto"/>
              <w:rPr>
                <w:rFonts w:ascii="宋体" w:hAnsi="宋体" w:eastAsia="宋体" w:cs="Times New Roman"/>
                <w:sz w:val="21"/>
                <w:szCs w:val="21"/>
              </w:rPr>
            </w:pPr>
          </w:p>
        </w:tc>
      </w:tr>
      <w:tr w14:paraId="1BBD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299C43D1">
            <w:pPr>
              <w:pStyle w:val="7"/>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3319CEC9">
            <w:pPr>
              <w:pStyle w:val="7"/>
              <w:spacing w:line="360" w:lineRule="auto"/>
              <w:rPr>
                <w:rFonts w:ascii="宋体" w:hAnsi="宋体" w:eastAsia="宋体" w:cs="Times New Roman"/>
                <w:sz w:val="21"/>
                <w:szCs w:val="21"/>
              </w:rPr>
            </w:pPr>
          </w:p>
        </w:tc>
        <w:tc>
          <w:tcPr>
            <w:tcW w:w="814" w:type="pct"/>
            <w:vAlign w:val="center"/>
          </w:tcPr>
          <w:p w14:paraId="5273482C">
            <w:pPr>
              <w:pStyle w:val="7"/>
              <w:spacing w:line="360" w:lineRule="auto"/>
              <w:rPr>
                <w:rFonts w:ascii="宋体" w:hAnsi="宋体" w:eastAsia="宋体" w:cs="Times New Roman"/>
                <w:sz w:val="21"/>
                <w:szCs w:val="21"/>
              </w:rPr>
            </w:pPr>
          </w:p>
        </w:tc>
        <w:tc>
          <w:tcPr>
            <w:tcW w:w="665" w:type="pct"/>
          </w:tcPr>
          <w:p w14:paraId="45036CFA">
            <w:pPr>
              <w:pStyle w:val="7"/>
              <w:spacing w:line="360" w:lineRule="auto"/>
              <w:rPr>
                <w:rFonts w:ascii="宋体" w:hAnsi="宋体" w:eastAsia="宋体" w:cs="Times New Roman"/>
                <w:sz w:val="21"/>
                <w:szCs w:val="21"/>
              </w:rPr>
            </w:pPr>
          </w:p>
        </w:tc>
        <w:tc>
          <w:tcPr>
            <w:tcW w:w="884" w:type="pct"/>
          </w:tcPr>
          <w:p w14:paraId="2C621B02">
            <w:pPr>
              <w:pStyle w:val="7"/>
              <w:spacing w:line="360" w:lineRule="auto"/>
              <w:rPr>
                <w:rFonts w:ascii="宋体" w:hAnsi="宋体" w:eastAsia="宋体" w:cs="Times New Roman"/>
                <w:sz w:val="21"/>
                <w:szCs w:val="21"/>
              </w:rPr>
            </w:pPr>
          </w:p>
        </w:tc>
        <w:tc>
          <w:tcPr>
            <w:tcW w:w="858" w:type="pct"/>
          </w:tcPr>
          <w:p w14:paraId="6577B896">
            <w:pPr>
              <w:pStyle w:val="7"/>
              <w:spacing w:line="360" w:lineRule="auto"/>
              <w:rPr>
                <w:rFonts w:ascii="宋体" w:hAnsi="宋体" w:eastAsia="宋体" w:cs="Times New Roman"/>
                <w:sz w:val="21"/>
                <w:szCs w:val="21"/>
              </w:rPr>
            </w:pPr>
          </w:p>
        </w:tc>
        <w:tc>
          <w:tcPr>
            <w:tcW w:w="760" w:type="pct"/>
          </w:tcPr>
          <w:p w14:paraId="2A3CC60F">
            <w:pPr>
              <w:pStyle w:val="7"/>
              <w:spacing w:line="360" w:lineRule="auto"/>
              <w:rPr>
                <w:rFonts w:ascii="宋体" w:hAnsi="宋体" w:eastAsia="宋体" w:cs="Times New Roman"/>
                <w:sz w:val="21"/>
                <w:szCs w:val="21"/>
              </w:rPr>
            </w:pPr>
          </w:p>
        </w:tc>
      </w:tr>
    </w:tbl>
    <w:p w14:paraId="3411509A">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148A40AC">
      <w:pPr>
        <w:autoSpaceDE w:val="0"/>
        <w:autoSpaceDN w:val="0"/>
        <w:adjustRightInd w:val="0"/>
        <w:spacing w:line="480" w:lineRule="auto"/>
        <w:rPr>
          <w:rFonts w:cs="宋体" w:asciiTheme="minorEastAsia" w:hAnsiTheme="minorEastAsia"/>
          <w:szCs w:val="21"/>
          <w:lang w:val="zh-CN"/>
        </w:rPr>
      </w:pPr>
    </w:p>
    <w:p w14:paraId="50D99056">
      <w:pPr>
        <w:snapToGrid w:val="0"/>
        <w:spacing w:line="500" w:lineRule="exact"/>
        <w:rPr>
          <w:rFonts w:cs="宋体" w:asciiTheme="minorEastAsia" w:hAnsiTheme="minorEastAsia"/>
          <w:szCs w:val="21"/>
          <w:lang w:val="zh-CN"/>
        </w:rPr>
      </w:pPr>
    </w:p>
    <w:p w14:paraId="74FE88C4">
      <w:pPr>
        <w:rPr>
          <w:rFonts w:cs="宋体" w:asciiTheme="minorEastAsia" w:hAnsiTheme="minorEastAsia"/>
          <w:szCs w:val="21"/>
          <w:lang w:val="zh-CN"/>
        </w:rPr>
      </w:pPr>
      <w:r>
        <w:rPr>
          <w:rFonts w:hint="eastAsia" w:cs="宋体" w:asciiTheme="minorEastAsia" w:hAnsiTheme="minorEastAsia"/>
          <w:szCs w:val="21"/>
          <w:lang w:val="zh-CN"/>
        </w:rPr>
        <w:t>说明：所投产品节能认证证书须附后。</w:t>
      </w:r>
    </w:p>
    <w:p w14:paraId="2EBC6E62">
      <w:pPr>
        <w:rPr>
          <w:rFonts w:cs="宋体" w:asciiTheme="minorEastAsia" w:hAnsiTheme="minorEastAsia"/>
          <w:szCs w:val="21"/>
          <w:lang w:val="zh-CN"/>
        </w:rPr>
      </w:pPr>
    </w:p>
    <w:p w14:paraId="4B39E457">
      <w:pPr>
        <w:rPr>
          <w:rFonts w:cs="宋体" w:asciiTheme="minorEastAsia" w:hAnsiTheme="minorEastAsia"/>
          <w:szCs w:val="21"/>
          <w:lang w:val="zh-CN"/>
        </w:rPr>
      </w:pPr>
    </w:p>
    <w:p w14:paraId="2C51F4C3">
      <w:pPr>
        <w:rPr>
          <w:rFonts w:cs="宋体" w:asciiTheme="minorEastAsia" w:hAnsiTheme="minorEastAsia"/>
          <w:szCs w:val="21"/>
          <w:lang w:val="zh-CN"/>
        </w:rPr>
      </w:pPr>
    </w:p>
    <w:p w14:paraId="1E39C096">
      <w:pPr>
        <w:rPr>
          <w:rFonts w:cs="宋体" w:asciiTheme="minorEastAsia" w:hAnsiTheme="minorEastAsia"/>
          <w:szCs w:val="21"/>
          <w:lang w:val="zh-CN"/>
        </w:rPr>
      </w:pPr>
    </w:p>
    <w:p w14:paraId="18EC5486">
      <w:pPr>
        <w:rPr>
          <w:rFonts w:cs="宋体" w:asciiTheme="minorEastAsia" w:hAnsiTheme="minorEastAsia"/>
          <w:szCs w:val="21"/>
          <w:lang w:val="zh-CN"/>
        </w:rPr>
      </w:pPr>
    </w:p>
    <w:p w14:paraId="01A51BBA">
      <w:pPr>
        <w:rPr>
          <w:rFonts w:cs="宋体" w:asciiTheme="minorEastAsia" w:hAnsiTheme="minorEastAsia"/>
          <w:szCs w:val="21"/>
          <w:lang w:val="zh-CN"/>
        </w:rPr>
      </w:pPr>
    </w:p>
    <w:p w14:paraId="0E3FC62A">
      <w:pPr>
        <w:rPr>
          <w:rFonts w:cs="宋体" w:asciiTheme="minorEastAsia" w:hAnsiTheme="minorEastAsia"/>
          <w:szCs w:val="21"/>
          <w:lang w:val="zh-CN"/>
        </w:rPr>
      </w:pPr>
    </w:p>
    <w:p w14:paraId="05291CD8">
      <w:pPr>
        <w:rPr>
          <w:rFonts w:cs="宋体" w:asciiTheme="minorEastAsia" w:hAnsiTheme="minorEastAsia"/>
          <w:szCs w:val="21"/>
          <w:lang w:val="zh-CN"/>
        </w:rPr>
      </w:pPr>
    </w:p>
    <w:p w14:paraId="1ADBE9E3">
      <w:pPr>
        <w:rPr>
          <w:rFonts w:cs="宋体" w:asciiTheme="minorEastAsia" w:hAnsiTheme="minorEastAsia"/>
          <w:szCs w:val="21"/>
          <w:lang w:val="zh-CN"/>
        </w:rPr>
      </w:pPr>
    </w:p>
    <w:p w14:paraId="3AC3B22F">
      <w:pPr>
        <w:rPr>
          <w:rFonts w:cs="宋体" w:asciiTheme="minorEastAsia" w:hAnsiTheme="minorEastAsia"/>
          <w:szCs w:val="21"/>
          <w:lang w:val="zh-CN"/>
        </w:rPr>
      </w:pPr>
    </w:p>
    <w:p w14:paraId="35C59665">
      <w:pPr>
        <w:rPr>
          <w:rFonts w:cs="宋体" w:asciiTheme="minorEastAsia" w:hAnsiTheme="minorEastAsia"/>
          <w:szCs w:val="21"/>
          <w:lang w:val="zh-CN"/>
        </w:rPr>
      </w:pPr>
    </w:p>
    <w:p w14:paraId="489BE5BF">
      <w:pPr>
        <w:rPr>
          <w:rFonts w:cs="宋体" w:asciiTheme="minorEastAsia" w:hAnsiTheme="minorEastAsia"/>
          <w:szCs w:val="21"/>
          <w:lang w:val="zh-CN"/>
        </w:rPr>
      </w:pPr>
    </w:p>
    <w:p w14:paraId="21C3E9A0">
      <w:pPr>
        <w:rPr>
          <w:rFonts w:cs="宋体" w:asciiTheme="minorEastAsia" w:hAnsiTheme="minorEastAsia"/>
          <w:szCs w:val="21"/>
          <w:lang w:val="zh-CN"/>
        </w:rPr>
      </w:pPr>
    </w:p>
    <w:p w14:paraId="22B23A4D">
      <w:pPr>
        <w:rPr>
          <w:rFonts w:cs="宋体" w:asciiTheme="minorEastAsia" w:hAnsiTheme="minorEastAsia"/>
          <w:szCs w:val="21"/>
          <w:lang w:val="zh-CN"/>
        </w:rPr>
      </w:pPr>
    </w:p>
    <w:p w14:paraId="6015CBFB">
      <w:pPr>
        <w:rPr>
          <w:rFonts w:cs="宋体" w:asciiTheme="minorEastAsia" w:hAnsiTheme="minorEastAsia"/>
          <w:szCs w:val="21"/>
          <w:lang w:val="zh-CN"/>
        </w:rPr>
      </w:pPr>
    </w:p>
    <w:p w14:paraId="05CFCDC2">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4.8 “环境标志产品政府采购品目清单”优先采购产品情况</w:t>
      </w:r>
    </w:p>
    <w:p w14:paraId="2A913D39">
      <w:pPr>
        <w:autoSpaceDE w:val="0"/>
        <w:autoSpaceDN w:val="0"/>
        <w:adjustRightInd w:val="0"/>
        <w:spacing w:line="360" w:lineRule="auto"/>
        <w:jc w:val="center"/>
        <w:outlineLvl w:val="0"/>
        <w:rPr>
          <w:rFonts w:ascii="宋体" w:hAnsi="宋体"/>
          <w:b/>
          <w:bCs/>
          <w:sz w:val="28"/>
          <w:szCs w:val="28"/>
        </w:rPr>
      </w:pPr>
    </w:p>
    <w:p w14:paraId="188BF9C5">
      <w:pPr>
        <w:spacing w:before="50" w:after="156"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F441E3B">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2CA4493E">
      <w:pPr>
        <w:tabs>
          <w:tab w:val="left" w:pos="1800"/>
          <w:tab w:val="left" w:pos="5580"/>
        </w:tabs>
        <w:spacing w:line="360" w:lineRule="auto"/>
        <w:rPr>
          <w:rFonts w:asciiTheme="minorEastAsia" w:hAnsiTheme="minorEastAsia"/>
          <w:szCs w:val="21"/>
        </w:rPr>
      </w:pPr>
    </w:p>
    <w:tbl>
      <w:tblPr>
        <w:tblStyle w:val="24"/>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0487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060FD490">
            <w:pPr>
              <w:pStyle w:val="7"/>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08474EF3">
            <w:pPr>
              <w:pStyle w:val="7"/>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46DCC320">
            <w:pPr>
              <w:pStyle w:val="7"/>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2E5407F3">
            <w:pPr>
              <w:pStyle w:val="7"/>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531FE6E5">
            <w:pPr>
              <w:pStyle w:val="7"/>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0D1239BA">
            <w:pPr>
              <w:pStyle w:val="7"/>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441D879B">
            <w:pPr>
              <w:pStyle w:val="7"/>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0205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FE69356">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1B004623">
            <w:pPr>
              <w:pStyle w:val="7"/>
              <w:spacing w:line="360" w:lineRule="auto"/>
              <w:rPr>
                <w:rFonts w:ascii="宋体" w:hAnsi="宋体" w:eastAsia="宋体" w:cs="Times New Roman"/>
                <w:sz w:val="21"/>
                <w:szCs w:val="21"/>
              </w:rPr>
            </w:pPr>
          </w:p>
        </w:tc>
        <w:tc>
          <w:tcPr>
            <w:tcW w:w="814" w:type="pct"/>
            <w:vAlign w:val="center"/>
          </w:tcPr>
          <w:p w14:paraId="33E9836F">
            <w:pPr>
              <w:pStyle w:val="7"/>
              <w:spacing w:line="360" w:lineRule="auto"/>
              <w:rPr>
                <w:rFonts w:ascii="宋体" w:hAnsi="宋体" w:eastAsia="宋体" w:cs="Times New Roman"/>
                <w:sz w:val="21"/>
                <w:szCs w:val="21"/>
              </w:rPr>
            </w:pPr>
          </w:p>
        </w:tc>
        <w:tc>
          <w:tcPr>
            <w:tcW w:w="665" w:type="pct"/>
          </w:tcPr>
          <w:p w14:paraId="03930352">
            <w:pPr>
              <w:pStyle w:val="7"/>
              <w:spacing w:line="360" w:lineRule="auto"/>
              <w:rPr>
                <w:rFonts w:ascii="宋体" w:hAnsi="宋体" w:eastAsia="宋体" w:cs="Times New Roman"/>
                <w:sz w:val="21"/>
                <w:szCs w:val="21"/>
              </w:rPr>
            </w:pPr>
          </w:p>
        </w:tc>
        <w:tc>
          <w:tcPr>
            <w:tcW w:w="884" w:type="pct"/>
          </w:tcPr>
          <w:p w14:paraId="6E1A677A">
            <w:pPr>
              <w:pStyle w:val="7"/>
              <w:spacing w:line="360" w:lineRule="auto"/>
              <w:rPr>
                <w:rFonts w:ascii="宋体" w:hAnsi="宋体" w:eastAsia="宋体" w:cs="Times New Roman"/>
                <w:sz w:val="21"/>
                <w:szCs w:val="21"/>
              </w:rPr>
            </w:pPr>
          </w:p>
        </w:tc>
        <w:tc>
          <w:tcPr>
            <w:tcW w:w="858" w:type="pct"/>
          </w:tcPr>
          <w:p w14:paraId="27A26B8F">
            <w:pPr>
              <w:pStyle w:val="7"/>
              <w:spacing w:line="360" w:lineRule="auto"/>
              <w:rPr>
                <w:rFonts w:ascii="宋体" w:hAnsi="宋体" w:eastAsia="宋体" w:cs="Times New Roman"/>
                <w:sz w:val="21"/>
                <w:szCs w:val="21"/>
              </w:rPr>
            </w:pPr>
          </w:p>
        </w:tc>
        <w:tc>
          <w:tcPr>
            <w:tcW w:w="760" w:type="pct"/>
          </w:tcPr>
          <w:p w14:paraId="3A6212A4">
            <w:pPr>
              <w:pStyle w:val="7"/>
              <w:spacing w:line="360" w:lineRule="auto"/>
              <w:rPr>
                <w:rFonts w:ascii="宋体" w:hAnsi="宋体" w:eastAsia="宋体" w:cs="Times New Roman"/>
                <w:sz w:val="21"/>
                <w:szCs w:val="21"/>
              </w:rPr>
            </w:pPr>
          </w:p>
        </w:tc>
      </w:tr>
      <w:tr w14:paraId="2EE6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23D6439F">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42CCB733">
            <w:pPr>
              <w:pStyle w:val="7"/>
              <w:spacing w:line="360" w:lineRule="auto"/>
              <w:rPr>
                <w:rFonts w:ascii="宋体" w:hAnsi="宋体" w:eastAsia="宋体" w:cs="Times New Roman"/>
                <w:sz w:val="21"/>
                <w:szCs w:val="21"/>
              </w:rPr>
            </w:pPr>
          </w:p>
        </w:tc>
        <w:tc>
          <w:tcPr>
            <w:tcW w:w="814" w:type="pct"/>
            <w:vAlign w:val="center"/>
          </w:tcPr>
          <w:p w14:paraId="6019D2A4">
            <w:pPr>
              <w:pStyle w:val="7"/>
              <w:spacing w:line="360" w:lineRule="auto"/>
              <w:rPr>
                <w:rFonts w:ascii="宋体" w:hAnsi="宋体" w:eastAsia="宋体" w:cs="Times New Roman"/>
                <w:sz w:val="21"/>
                <w:szCs w:val="21"/>
              </w:rPr>
            </w:pPr>
          </w:p>
        </w:tc>
        <w:tc>
          <w:tcPr>
            <w:tcW w:w="665" w:type="pct"/>
          </w:tcPr>
          <w:p w14:paraId="29A6C8CA">
            <w:pPr>
              <w:pStyle w:val="7"/>
              <w:spacing w:line="360" w:lineRule="auto"/>
              <w:rPr>
                <w:rFonts w:ascii="宋体" w:hAnsi="宋体" w:eastAsia="宋体" w:cs="Times New Roman"/>
                <w:sz w:val="21"/>
                <w:szCs w:val="21"/>
              </w:rPr>
            </w:pPr>
          </w:p>
        </w:tc>
        <w:tc>
          <w:tcPr>
            <w:tcW w:w="884" w:type="pct"/>
          </w:tcPr>
          <w:p w14:paraId="171A5CA0">
            <w:pPr>
              <w:pStyle w:val="7"/>
              <w:spacing w:line="360" w:lineRule="auto"/>
              <w:rPr>
                <w:rFonts w:ascii="宋体" w:hAnsi="宋体" w:eastAsia="宋体" w:cs="Times New Roman"/>
                <w:sz w:val="21"/>
                <w:szCs w:val="21"/>
              </w:rPr>
            </w:pPr>
          </w:p>
        </w:tc>
        <w:tc>
          <w:tcPr>
            <w:tcW w:w="858" w:type="pct"/>
          </w:tcPr>
          <w:p w14:paraId="7D312EB9">
            <w:pPr>
              <w:pStyle w:val="7"/>
              <w:spacing w:line="360" w:lineRule="auto"/>
              <w:rPr>
                <w:rFonts w:ascii="宋体" w:hAnsi="宋体" w:eastAsia="宋体" w:cs="Times New Roman"/>
                <w:sz w:val="21"/>
                <w:szCs w:val="21"/>
              </w:rPr>
            </w:pPr>
          </w:p>
        </w:tc>
        <w:tc>
          <w:tcPr>
            <w:tcW w:w="760" w:type="pct"/>
          </w:tcPr>
          <w:p w14:paraId="186A8E13">
            <w:pPr>
              <w:pStyle w:val="7"/>
              <w:spacing w:line="360" w:lineRule="auto"/>
              <w:rPr>
                <w:rFonts w:ascii="宋体" w:hAnsi="宋体" w:eastAsia="宋体" w:cs="Times New Roman"/>
                <w:sz w:val="21"/>
                <w:szCs w:val="21"/>
              </w:rPr>
            </w:pPr>
          </w:p>
        </w:tc>
      </w:tr>
      <w:tr w14:paraId="0B13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75D92840">
            <w:pPr>
              <w:pStyle w:val="7"/>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788BDCAC">
            <w:pPr>
              <w:pStyle w:val="7"/>
              <w:spacing w:line="360" w:lineRule="auto"/>
              <w:rPr>
                <w:rFonts w:ascii="宋体" w:hAnsi="宋体" w:eastAsia="宋体" w:cs="Times New Roman"/>
                <w:sz w:val="21"/>
                <w:szCs w:val="21"/>
              </w:rPr>
            </w:pPr>
          </w:p>
        </w:tc>
        <w:tc>
          <w:tcPr>
            <w:tcW w:w="814" w:type="pct"/>
            <w:vAlign w:val="center"/>
          </w:tcPr>
          <w:p w14:paraId="4AEAC3CC">
            <w:pPr>
              <w:pStyle w:val="7"/>
              <w:spacing w:line="360" w:lineRule="auto"/>
              <w:rPr>
                <w:rFonts w:ascii="宋体" w:hAnsi="宋体" w:eastAsia="宋体" w:cs="Times New Roman"/>
                <w:sz w:val="21"/>
                <w:szCs w:val="21"/>
              </w:rPr>
            </w:pPr>
          </w:p>
        </w:tc>
        <w:tc>
          <w:tcPr>
            <w:tcW w:w="665" w:type="pct"/>
          </w:tcPr>
          <w:p w14:paraId="45B0AD24">
            <w:pPr>
              <w:pStyle w:val="7"/>
              <w:spacing w:line="360" w:lineRule="auto"/>
              <w:rPr>
                <w:rFonts w:ascii="宋体" w:hAnsi="宋体" w:eastAsia="宋体" w:cs="Times New Roman"/>
                <w:sz w:val="21"/>
                <w:szCs w:val="21"/>
              </w:rPr>
            </w:pPr>
          </w:p>
        </w:tc>
        <w:tc>
          <w:tcPr>
            <w:tcW w:w="884" w:type="pct"/>
          </w:tcPr>
          <w:p w14:paraId="25E5B67B">
            <w:pPr>
              <w:pStyle w:val="7"/>
              <w:spacing w:line="360" w:lineRule="auto"/>
              <w:rPr>
                <w:rFonts w:ascii="宋体" w:hAnsi="宋体" w:eastAsia="宋体" w:cs="Times New Roman"/>
                <w:sz w:val="21"/>
                <w:szCs w:val="21"/>
              </w:rPr>
            </w:pPr>
          </w:p>
        </w:tc>
        <w:tc>
          <w:tcPr>
            <w:tcW w:w="858" w:type="pct"/>
          </w:tcPr>
          <w:p w14:paraId="79501652">
            <w:pPr>
              <w:pStyle w:val="7"/>
              <w:spacing w:line="360" w:lineRule="auto"/>
              <w:rPr>
                <w:rFonts w:ascii="宋体" w:hAnsi="宋体" w:eastAsia="宋体" w:cs="Times New Roman"/>
                <w:sz w:val="21"/>
                <w:szCs w:val="21"/>
              </w:rPr>
            </w:pPr>
          </w:p>
        </w:tc>
        <w:tc>
          <w:tcPr>
            <w:tcW w:w="760" w:type="pct"/>
          </w:tcPr>
          <w:p w14:paraId="6264044D">
            <w:pPr>
              <w:pStyle w:val="7"/>
              <w:spacing w:line="360" w:lineRule="auto"/>
              <w:rPr>
                <w:rFonts w:ascii="宋体" w:hAnsi="宋体" w:eastAsia="宋体" w:cs="Times New Roman"/>
                <w:sz w:val="21"/>
                <w:szCs w:val="21"/>
              </w:rPr>
            </w:pPr>
          </w:p>
        </w:tc>
      </w:tr>
    </w:tbl>
    <w:p w14:paraId="19E5BD20">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5B495D4D">
      <w:pPr>
        <w:autoSpaceDE w:val="0"/>
        <w:autoSpaceDN w:val="0"/>
        <w:adjustRightInd w:val="0"/>
        <w:spacing w:line="480" w:lineRule="auto"/>
        <w:rPr>
          <w:rFonts w:cs="宋体" w:asciiTheme="minorEastAsia" w:hAnsiTheme="minorEastAsia"/>
          <w:szCs w:val="21"/>
          <w:lang w:val="zh-CN"/>
        </w:rPr>
      </w:pPr>
    </w:p>
    <w:p w14:paraId="67E6DBE4">
      <w:pPr>
        <w:snapToGrid w:val="0"/>
        <w:spacing w:line="500" w:lineRule="exact"/>
        <w:rPr>
          <w:rFonts w:cs="宋体" w:asciiTheme="minorEastAsia" w:hAnsiTheme="minorEastAsia"/>
          <w:szCs w:val="21"/>
          <w:lang w:val="zh-CN"/>
        </w:rPr>
      </w:pPr>
    </w:p>
    <w:p w14:paraId="1F0770A0">
      <w:pPr>
        <w:spacing w:line="360" w:lineRule="auto"/>
        <w:rPr>
          <w:rFonts w:ascii="宋体" w:hAnsi="宋体"/>
          <w:b/>
          <w:bCs/>
          <w:sz w:val="36"/>
          <w:szCs w:val="36"/>
        </w:rPr>
      </w:pPr>
      <w:r>
        <w:rPr>
          <w:rFonts w:hint="eastAsia" w:cs="宋体" w:asciiTheme="minorEastAsia" w:hAnsiTheme="minorEastAsia"/>
          <w:szCs w:val="21"/>
          <w:lang w:val="zh-CN"/>
        </w:rPr>
        <w:t>说明：所投产品环境标志产品认证证书须附后。</w:t>
      </w:r>
    </w:p>
    <w:p w14:paraId="43E80ECE">
      <w:pPr>
        <w:spacing w:line="360" w:lineRule="auto"/>
        <w:jc w:val="center"/>
        <w:rPr>
          <w:rFonts w:cs="宋体" w:asciiTheme="minorEastAsia" w:hAnsiTheme="minorEastAsia"/>
          <w:szCs w:val="21"/>
          <w:lang w:val="zh-CN"/>
        </w:rPr>
      </w:pPr>
    </w:p>
    <w:p w14:paraId="66FCA65B">
      <w:pPr>
        <w:spacing w:line="360" w:lineRule="auto"/>
        <w:jc w:val="center"/>
        <w:rPr>
          <w:rFonts w:cs="宋体" w:asciiTheme="minorEastAsia" w:hAnsiTheme="minorEastAsia"/>
          <w:szCs w:val="21"/>
          <w:lang w:val="zh-CN"/>
        </w:rPr>
      </w:pPr>
    </w:p>
    <w:p w14:paraId="2BD03FFF">
      <w:pPr>
        <w:spacing w:line="360" w:lineRule="auto"/>
        <w:jc w:val="center"/>
        <w:rPr>
          <w:rFonts w:cs="宋体" w:asciiTheme="minorEastAsia" w:hAnsiTheme="minorEastAsia"/>
          <w:szCs w:val="21"/>
          <w:lang w:val="zh-CN"/>
        </w:rPr>
      </w:pPr>
    </w:p>
    <w:p w14:paraId="590C56EB">
      <w:pPr>
        <w:spacing w:line="360" w:lineRule="auto"/>
        <w:jc w:val="center"/>
        <w:rPr>
          <w:rFonts w:cs="宋体" w:asciiTheme="minorEastAsia" w:hAnsiTheme="minorEastAsia"/>
          <w:szCs w:val="21"/>
          <w:lang w:val="zh-CN"/>
        </w:rPr>
      </w:pPr>
    </w:p>
    <w:p w14:paraId="44C1468C">
      <w:pPr>
        <w:spacing w:line="360" w:lineRule="auto"/>
        <w:jc w:val="center"/>
        <w:rPr>
          <w:rFonts w:cs="宋体" w:asciiTheme="minorEastAsia" w:hAnsiTheme="minorEastAsia"/>
          <w:szCs w:val="21"/>
          <w:lang w:val="zh-CN"/>
        </w:rPr>
      </w:pPr>
    </w:p>
    <w:p w14:paraId="354EC30B">
      <w:pPr>
        <w:spacing w:line="360" w:lineRule="auto"/>
        <w:jc w:val="center"/>
        <w:rPr>
          <w:rFonts w:cs="宋体" w:asciiTheme="minorEastAsia" w:hAnsiTheme="minorEastAsia"/>
          <w:szCs w:val="21"/>
          <w:lang w:val="zh-CN"/>
        </w:rPr>
      </w:pPr>
    </w:p>
    <w:p w14:paraId="0E50DA08">
      <w:pPr>
        <w:spacing w:line="360" w:lineRule="auto"/>
        <w:jc w:val="center"/>
        <w:rPr>
          <w:rFonts w:cs="宋体" w:asciiTheme="minorEastAsia" w:hAnsiTheme="minorEastAsia"/>
          <w:szCs w:val="21"/>
          <w:lang w:val="zh-CN"/>
        </w:rPr>
      </w:pPr>
    </w:p>
    <w:p w14:paraId="24E1AC2E">
      <w:pPr>
        <w:spacing w:line="360" w:lineRule="auto"/>
        <w:jc w:val="center"/>
        <w:rPr>
          <w:rFonts w:cs="宋体" w:asciiTheme="minorEastAsia" w:hAnsiTheme="minorEastAsia"/>
          <w:szCs w:val="21"/>
          <w:lang w:val="zh-CN"/>
        </w:rPr>
      </w:pPr>
    </w:p>
    <w:p w14:paraId="1A18C63B">
      <w:pPr>
        <w:spacing w:line="360" w:lineRule="auto"/>
        <w:jc w:val="center"/>
        <w:rPr>
          <w:rFonts w:cs="宋体" w:asciiTheme="minorEastAsia" w:hAnsiTheme="minorEastAsia"/>
          <w:szCs w:val="21"/>
          <w:lang w:val="zh-CN"/>
        </w:rPr>
      </w:pPr>
    </w:p>
    <w:p w14:paraId="71BDA82E">
      <w:pPr>
        <w:spacing w:line="360" w:lineRule="auto"/>
        <w:jc w:val="center"/>
        <w:rPr>
          <w:rFonts w:cs="宋体" w:asciiTheme="minorEastAsia" w:hAnsiTheme="minorEastAsia"/>
          <w:szCs w:val="21"/>
          <w:lang w:val="zh-CN"/>
        </w:rPr>
      </w:pPr>
    </w:p>
    <w:p w14:paraId="6B6F1CBE">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 xml:space="preserve">4.9 </w:t>
      </w:r>
      <w:r>
        <w:rPr>
          <w:rFonts w:ascii="宋体" w:hAnsi="宋体"/>
          <w:b/>
          <w:bCs/>
          <w:sz w:val="24"/>
          <w:szCs w:val="24"/>
        </w:rPr>
        <w:t>中小企业声明函（货物）</w:t>
      </w:r>
    </w:p>
    <w:p w14:paraId="637DE04E">
      <w:pPr>
        <w:spacing w:line="360" w:lineRule="auto"/>
        <w:jc w:val="center"/>
        <w:rPr>
          <w:rFonts w:ascii="宋体" w:hAnsi="宋体"/>
          <w:b/>
          <w:bCs/>
          <w:szCs w:val="21"/>
        </w:rPr>
      </w:pPr>
    </w:p>
    <w:p w14:paraId="175FA65E">
      <w:pPr>
        <w:spacing w:line="360" w:lineRule="auto"/>
        <w:ind w:firstLine="707" w:firstLineChars="337"/>
        <w:jc w:val="left"/>
      </w:pPr>
      <w:r>
        <w:t>本公司（联合体）郑重声明，根据《政府采购促进中小企业发展管理办法》（财库﹝2020﹞46 号）的规定，本公司（联合体）参加</w:t>
      </w:r>
      <w:r>
        <w:rPr>
          <w:i/>
          <w:u w:val="single"/>
        </w:rPr>
        <w:t>（单位名称）</w:t>
      </w:r>
      <w:r>
        <w:t>的</w:t>
      </w:r>
      <w:r>
        <w:rPr>
          <w:i/>
          <w:u w:val="single"/>
        </w:rPr>
        <w:t>（项目名称）</w:t>
      </w:r>
      <w:r>
        <w:t>采购活动，提供的货物全部由符合政策要求的中小企业制造。相关企业（含联合体中的中小企业、签订分包意向协议的中小企业）的具体情况如下：</w:t>
      </w:r>
    </w:p>
    <w:p w14:paraId="5D12914C">
      <w:pPr>
        <w:spacing w:line="360" w:lineRule="auto"/>
        <w:ind w:firstLine="707" w:firstLineChars="337"/>
        <w:jc w:val="left"/>
      </w:pPr>
      <w:r>
        <w:t xml:space="preserve">1. </w:t>
      </w:r>
      <w:r>
        <w:rPr>
          <w:i/>
          <w:u w:val="single"/>
        </w:rPr>
        <w:t>（标的名称）</w:t>
      </w:r>
      <w:r>
        <w:t>，属于</w:t>
      </w:r>
      <w:r>
        <w:rPr>
          <w:i/>
          <w:u w:val="single"/>
        </w:rPr>
        <w:t>（采购文件中明确的所属行业）</w:t>
      </w:r>
      <w:r>
        <w:t>行业；制造商为</w:t>
      </w:r>
      <w:r>
        <w:rPr>
          <w:i/>
          <w:u w:val="single"/>
        </w:rPr>
        <w:t>（企业名称）</w:t>
      </w:r>
      <w:r>
        <w:t>，从业人员</w:t>
      </w:r>
      <w:r>
        <w:rPr>
          <w:rFonts w:hint="eastAsia"/>
        </w:rPr>
        <w:t xml:space="preserve">  </w:t>
      </w:r>
      <w:r>
        <w:t>人，营业收入为</w:t>
      </w:r>
      <w:r>
        <w:rPr>
          <w:rFonts w:hint="eastAsia"/>
        </w:rPr>
        <w:t xml:space="preserve">   </w:t>
      </w:r>
      <w:r>
        <w:t>万元，资产总额为</w:t>
      </w:r>
      <w:r>
        <w:rPr>
          <w:rFonts w:hint="eastAsia"/>
        </w:rPr>
        <w:t xml:space="preserve">   </w:t>
      </w:r>
      <w:r>
        <w:t>万元，属于</w:t>
      </w:r>
      <w:r>
        <w:rPr>
          <w:i/>
          <w:u w:val="single"/>
        </w:rPr>
        <w:t>（中型企业、小型企业、微型企业）</w:t>
      </w:r>
      <w:r>
        <w:t>；</w:t>
      </w:r>
    </w:p>
    <w:p w14:paraId="6FC9F7BA">
      <w:pPr>
        <w:spacing w:line="360" w:lineRule="auto"/>
        <w:ind w:firstLine="707" w:firstLineChars="337"/>
        <w:jc w:val="left"/>
      </w:pPr>
      <w:r>
        <w:t xml:space="preserve">2.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14:paraId="1294B870">
      <w:pPr>
        <w:spacing w:line="360" w:lineRule="auto"/>
        <w:ind w:firstLine="707" w:firstLineChars="337"/>
        <w:jc w:val="left"/>
      </w:pPr>
      <w:r>
        <w:t xml:space="preserve">…… </w:t>
      </w:r>
    </w:p>
    <w:p w14:paraId="7BB0334A">
      <w:pPr>
        <w:spacing w:line="360" w:lineRule="auto"/>
        <w:ind w:firstLine="707" w:firstLineChars="337"/>
        <w:jc w:val="left"/>
      </w:pPr>
      <w:r>
        <w:t>以上企业，不属于大企业的分支机构，不存在控股股东为大企业的情形，也不存在与大企业的负责人为同一人的情形。</w:t>
      </w:r>
    </w:p>
    <w:p w14:paraId="0FA28E54">
      <w:pPr>
        <w:spacing w:line="360" w:lineRule="auto"/>
        <w:ind w:firstLine="707" w:firstLineChars="337"/>
        <w:jc w:val="left"/>
      </w:pPr>
      <w:r>
        <w:t>本企业对上述声明内容的真实性负责。如有虚假，将依法承担相应责任。</w:t>
      </w:r>
    </w:p>
    <w:p w14:paraId="3ABBED2A">
      <w:pPr>
        <w:spacing w:line="360" w:lineRule="auto"/>
        <w:ind w:firstLine="707" w:firstLineChars="337"/>
        <w:jc w:val="left"/>
      </w:pPr>
    </w:p>
    <w:p w14:paraId="2BFC075B">
      <w:pPr>
        <w:spacing w:line="360" w:lineRule="auto"/>
        <w:ind w:firstLine="707" w:firstLineChars="337"/>
        <w:jc w:val="left"/>
      </w:pPr>
    </w:p>
    <w:p w14:paraId="1F9585FC">
      <w:pPr>
        <w:spacing w:line="480" w:lineRule="auto"/>
        <w:ind w:firstLine="5957" w:firstLineChars="2837"/>
        <w:jc w:val="left"/>
      </w:pPr>
      <w:r>
        <w:t>企业名称（盖章）：</w:t>
      </w:r>
    </w:p>
    <w:p w14:paraId="31777FF8">
      <w:pPr>
        <w:spacing w:line="480" w:lineRule="auto"/>
        <w:ind w:firstLine="5957" w:firstLineChars="2837"/>
        <w:jc w:val="left"/>
        <w:rPr>
          <w:rFonts w:cs="Arial" w:asciiTheme="minorEastAsia" w:hAnsiTheme="minorEastAsia"/>
          <w:szCs w:val="21"/>
        </w:rPr>
      </w:pPr>
      <w:r>
        <w:t>日期：</w:t>
      </w:r>
    </w:p>
    <w:p w14:paraId="43BA3ABE">
      <w:pPr>
        <w:spacing w:line="480" w:lineRule="auto"/>
        <w:ind w:left="4358" w:leftChars="2075"/>
        <w:rPr>
          <w:rFonts w:cs="Arial" w:asciiTheme="minorEastAsia" w:hAnsiTheme="minorEastAsia"/>
          <w:szCs w:val="21"/>
        </w:rPr>
      </w:pPr>
    </w:p>
    <w:p w14:paraId="389453D1">
      <w:pPr>
        <w:widowControl/>
        <w:spacing w:before="100" w:beforeAutospacing="1" w:after="100" w:afterAutospacing="1" w:line="360" w:lineRule="auto"/>
        <w:contextualSpacing/>
        <w:jc w:val="left"/>
        <w:rPr>
          <w:rFonts w:ascii="宋体" w:hAnsi="宋体"/>
          <w:szCs w:val="21"/>
        </w:rPr>
      </w:pPr>
      <w:r>
        <w:rPr>
          <w:rFonts w:hint="eastAsia" w:ascii="宋体" w:hAnsi="宋体"/>
          <w:szCs w:val="21"/>
        </w:rPr>
        <w:t>说明：</w:t>
      </w:r>
    </w:p>
    <w:p w14:paraId="7CB05C4C">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1、</w:t>
      </w:r>
      <w:r>
        <w:t>从业人员、营业收入、资产总额填报上一年度数据，无上一年度数据的新成立企业可不填报。</w:t>
      </w:r>
    </w:p>
    <w:p w14:paraId="2190E001">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2、</w:t>
      </w:r>
      <w:r>
        <w:rPr>
          <w:rFonts w:ascii="宋体" w:hAnsi="宋体" w:cs="Arial"/>
          <w:kern w:val="0"/>
          <w:szCs w:val="21"/>
        </w:rPr>
        <w:t>中小企业参加政府采购活动，应当出具</w:t>
      </w:r>
      <w:r>
        <w:t>《中小企业声明函》，否则不得享受相关中小企业扶持政</w:t>
      </w:r>
      <w:r>
        <w:rPr>
          <w:rFonts w:ascii="宋体" w:hAnsi="宋体" w:cs="Arial"/>
          <w:kern w:val="0"/>
          <w:szCs w:val="21"/>
        </w:rPr>
        <w:t>策。</w:t>
      </w:r>
    </w:p>
    <w:p w14:paraId="32DFFF76">
      <w:pPr>
        <w:widowControl/>
        <w:spacing w:before="100" w:beforeAutospacing="1" w:after="100" w:afterAutospacing="1" w:line="360" w:lineRule="auto"/>
        <w:contextualSpacing/>
        <w:jc w:val="left"/>
        <w:rPr>
          <w:rFonts w:ascii="宋体" w:hAnsi="宋体" w:cs="Arial"/>
          <w:kern w:val="0"/>
          <w:szCs w:val="21"/>
        </w:rPr>
      </w:pPr>
    </w:p>
    <w:p w14:paraId="1AC228BE">
      <w:pPr>
        <w:widowControl/>
        <w:jc w:val="left"/>
        <w:rPr>
          <w:rFonts w:ascii="宋体" w:hAnsi="宋体"/>
          <w:b/>
          <w:bCs/>
          <w:sz w:val="24"/>
          <w:szCs w:val="24"/>
        </w:rPr>
      </w:pPr>
      <w:bookmarkStart w:id="10" w:name="OLE_LINK13"/>
      <w:bookmarkStart w:id="11" w:name="OLE_LINK14"/>
      <w:r>
        <w:rPr>
          <w:rFonts w:ascii="宋体" w:hAnsi="宋体"/>
          <w:b/>
          <w:bCs/>
          <w:sz w:val="24"/>
          <w:szCs w:val="24"/>
        </w:rPr>
        <w:br w:type="page"/>
      </w:r>
    </w:p>
    <w:p w14:paraId="52C0768D">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4.10 残疾人福利性单位声明函</w:t>
      </w:r>
    </w:p>
    <w:bookmarkEnd w:id="10"/>
    <w:bookmarkEnd w:id="11"/>
    <w:p w14:paraId="604106EA">
      <w:pPr>
        <w:spacing w:line="360" w:lineRule="auto"/>
        <w:rPr>
          <w:rFonts w:ascii="宋体" w:hAnsi="宋体"/>
          <w:szCs w:val="21"/>
        </w:rPr>
      </w:pPr>
    </w:p>
    <w:p w14:paraId="77D6E0E3">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D416CD5">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724E9EBA">
      <w:pPr>
        <w:spacing w:line="360" w:lineRule="auto"/>
        <w:rPr>
          <w:rFonts w:ascii="宋体" w:hAnsi="宋体"/>
          <w:szCs w:val="21"/>
        </w:rPr>
      </w:pPr>
    </w:p>
    <w:p w14:paraId="7234D017">
      <w:pPr>
        <w:spacing w:line="360" w:lineRule="auto"/>
        <w:rPr>
          <w:rFonts w:ascii="宋体" w:hAnsi="宋体"/>
          <w:szCs w:val="21"/>
        </w:rPr>
      </w:pPr>
    </w:p>
    <w:p w14:paraId="2BE84EF8">
      <w:pPr>
        <w:spacing w:line="360" w:lineRule="auto"/>
        <w:rPr>
          <w:rFonts w:ascii="宋体" w:hAnsi="宋体"/>
          <w:szCs w:val="21"/>
        </w:rPr>
      </w:pPr>
    </w:p>
    <w:p w14:paraId="31E00C63">
      <w:pPr>
        <w:adjustRightInd w:val="0"/>
        <w:snapToGrid w:val="0"/>
        <w:spacing w:line="360" w:lineRule="auto"/>
        <w:ind w:firstLine="3150" w:firstLineChars="1500"/>
        <w:rPr>
          <w:rFonts w:cs="宋体" w:asciiTheme="minorEastAsia" w:hAnsiTheme="minorEastAsia"/>
          <w:szCs w:val="21"/>
        </w:rPr>
      </w:pPr>
      <w:r>
        <w:rPr>
          <w:rFonts w:hint="eastAsia" w:ascii="宋体" w:hAnsi="宋体"/>
          <w:szCs w:val="21"/>
        </w:rPr>
        <w:t>单位名称（盖章）</w:t>
      </w:r>
      <w:r>
        <w:rPr>
          <w:rFonts w:hint="eastAsia" w:cs="宋体" w:asciiTheme="minorEastAsia" w:hAnsiTheme="minorEastAsia"/>
          <w:szCs w:val="21"/>
        </w:rPr>
        <w:t>：</w:t>
      </w:r>
    </w:p>
    <w:p w14:paraId="1AD1EC92">
      <w:pPr>
        <w:spacing w:line="480" w:lineRule="auto"/>
        <w:ind w:left="4358" w:leftChars="2075"/>
        <w:rPr>
          <w:rFonts w:cs="Arial" w:asciiTheme="minorEastAsia" w:hAnsiTheme="minorEastAsia"/>
          <w:szCs w:val="21"/>
        </w:rPr>
      </w:pPr>
      <w:r>
        <w:rPr>
          <w:rFonts w:hint="eastAsia" w:cs="Arial" w:asciiTheme="minorEastAsia" w:hAnsiTheme="minorEastAsia"/>
          <w:szCs w:val="21"/>
        </w:rPr>
        <w:t xml:space="preserve"> 日    期：      年    月    日</w:t>
      </w:r>
    </w:p>
    <w:p w14:paraId="7FA1CF3A">
      <w:pPr>
        <w:spacing w:line="480" w:lineRule="auto"/>
        <w:ind w:left="4358" w:leftChars="2075"/>
        <w:rPr>
          <w:rFonts w:cs="Arial" w:asciiTheme="minorEastAsia" w:hAnsiTheme="minorEastAsia"/>
          <w:szCs w:val="21"/>
        </w:rPr>
      </w:pPr>
    </w:p>
    <w:p w14:paraId="06641A2A"/>
    <w:p w14:paraId="1E4CD533"/>
    <w:p w14:paraId="4020FD4A"/>
    <w:p w14:paraId="50422B37"/>
    <w:p w14:paraId="77FB0CFA"/>
    <w:p w14:paraId="5134E421"/>
    <w:p w14:paraId="25B59A34"/>
    <w:p w14:paraId="7EA9930C"/>
    <w:p w14:paraId="7F92209F"/>
    <w:p w14:paraId="3BCF4283"/>
    <w:p w14:paraId="5BE07D74"/>
    <w:p w14:paraId="1B911863"/>
    <w:p w14:paraId="20A0E00D"/>
    <w:p w14:paraId="41F18EDF"/>
    <w:p w14:paraId="3DE5276F"/>
    <w:p w14:paraId="2C9344D9"/>
    <w:p w14:paraId="69B2A9AB"/>
    <w:p w14:paraId="61D295AC"/>
    <w:p w14:paraId="5EB646F9">
      <w:pPr>
        <w:autoSpaceDE w:val="0"/>
        <w:autoSpaceDN w:val="0"/>
        <w:adjustRightInd w:val="0"/>
        <w:spacing w:line="360" w:lineRule="auto"/>
        <w:jc w:val="center"/>
        <w:rPr>
          <w:rFonts w:cs="黑体" w:asciiTheme="minorEastAsia" w:hAnsiTheme="minorEastAsia"/>
          <w:b/>
          <w:bCs/>
          <w:sz w:val="15"/>
          <w:szCs w:val="15"/>
          <w:lang w:val="zh-CN"/>
        </w:rPr>
      </w:pPr>
    </w:p>
    <w:p w14:paraId="6B4FD1CC">
      <w:pPr>
        <w:autoSpaceDE w:val="0"/>
        <w:autoSpaceDN w:val="0"/>
        <w:adjustRightInd w:val="0"/>
        <w:spacing w:line="360" w:lineRule="auto"/>
        <w:jc w:val="center"/>
        <w:rPr>
          <w:rFonts w:cs="黑体" w:asciiTheme="minorEastAsia" w:hAnsiTheme="minorEastAsia"/>
          <w:b/>
          <w:bCs/>
          <w:sz w:val="15"/>
          <w:szCs w:val="15"/>
          <w:lang w:val="zh-CN"/>
        </w:rPr>
      </w:pPr>
    </w:p>
    <w:p w14:paraId="3598BCC1">
      <w:pPr>
        <w:autoSpaceDE w:val="0"/>
        <w:autoSpaceDN w:val="0"/>
        <w:adjustRightInd w:val="0"/>
        <w:spacing w:line="360" w:lineRule="auto"/>
        <w:jc w:val="center"/>
        <w:rPr>
          <w:rFonts w:cs="黑体" w:asciiTheme="minorEastAsia" w:hAnsiTheme="minorEastAsia"/>
          <w:b/>
          <w:bCs/>
          <w:sz w:val="15"/>
          <w:szCs w:val="15"/>
          <w:lang w:val="zh-CN"/>
        </w:rPr>
      </w:pPr>
    </w:p>
    <w:p w14:paraId="332ABA92">
      <w:pPr>
        <w:autoSpaceDE w:val="0"/>
        <w:autoSpaceDN w:val="0"/>
        <w:adjustRightInd w:val="0"/>
        <w:spacing w:line="360" w:lineRule="auto"/>
        <w:jc w:val="center"/>
        <w:rPr>
          <w:rFonts w:cs="黑体" w:asciiTheme="minorEastAsia" w:hAnsiTheme="minorEastAsia"/>
          <w:b/>
          <w:bCs/>
          <w:sz w:val="15"/>
          <w:szCs w:val="15"/>
          <w:lang w:val="zh-CN"/>
        </w:rPr>
      </w:pPr>
    </w:p>
    <w:p w14:paraId="6FF5E936">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五、</w:t>
      </w:r>
      <w:r>
        <w:rPr>
          <w:rFonts w:cs="黑体" w:asciiTheme="minorEastAsia" w:hAnsiTheme="minorEastAsia"/>
          <w:b/>
          <w:bCs/>
          <w:sz w:val="28"/>
          <w:szCs w:val="28"/>
          <w:lang w:val="zh-CN"/>
        </w:rPr>
        <w:t>其他资料（若有）</w:t>
      </w:r>
    </w:p>
    <w:p w14:paraId="1F498463"/>
    <w:p w14:paraId="58654FC7"/>
    <w:p w14:paraId="24564F15"/>
    <w:p w14:paraId="12EFE4D7">
      <w:pPr>
        <w:spacing w:line="360" w:lineRule="auto"/>
        <w:jc w:val="center"/>
        <w:rPr>
          <w:rFonts w:ascii="宋体" w:hAnsi="宋体"/>
          <w:b/>
          <w:bCs/>
          <w:sz w:val="28"/>
          <w:szCs w:val="28"/>
        </w:rPr>
      </w:pPr>
      <w:r>
        <w:rPr>
          <w:rFonts w:ascii="宋体" w:hAnsi="宋体"/>
          <w:b/>
          <w:bCs/>
          <w:sz w:val="28"/>
          <w:szCs w:val="28"/>
        </w:rPr>
        <w:t>除招标文件另有规定外，投标人认为需要提交的其他证明材料或资料加盖投标人单位公章后应在此项下提交。</w:t>
      </w:r>
    </w:p>
    <w:p w14:paraId="558AF8F1">
      <w:pPr>
        <w:spacing w:line="360" w:lineRule="auto"/>
        <w:jc w:val="center"/>
        <w:rPr>
          <w:rFonts w:ascii="宋体" w:hAnsi="宋体"/>
          <w:b/>
          <w:bCs/>
          <w:sz w:val="28"/>
          <w:szCs w:val="28"/>
        </w:rPr>
      </w:pPr>
      <w:r>
        <w:rPr>
          <w:rFonts w:ascii="宋体" w:hAnsi="宋体"/>
          <w:b/>
          <w:bCs/>
          <w:sz w:val="28"/>
          <w:szCs w:val="28"/>
        </w:rPr>
        <w:t> </w:t>
      </w:r>
    </w:p>
    <w:p w14:paraId="7C267D23"/>
    <w:p w14:paraId="2D9E8B7B"/>
    <w:p w14:paraId="0468DA75"/>
    <w:p w14:paraId="43188D66"/>
    <w:p w14:paraId="58B8D935"/>
    <w:p w14:paraId="2C7A6FFC"/>
    <w:p w14:paraId="356F89DC"/>
    <w:p w14:paraId="5A5AFF1D"/>
    <w:p w14:paraId="1C261F68"/>
    <w:p w14:paraId="5997860A"/>
    <w:p w14:paraId="283E394F"/>
    <w:p w14:paraId="65F9DDA5"/>
    <w:p w14:paraId="607989D4"/>
    <w:p w14:paraId="332F2F36"/>
    <w:p w14:paraId="70084482"/>
    <w:p w14:paraId="2B08B37A"/>
    <w:p w14:paraId="307F4517">
      <w:pPr>
        <w:autoSpaceDE w:val="0"/>
        <w:autoSpaceDN w:val="0"/>
        <w:adjustRightInd w:val="0"/>
        <w:spacing w:line="360" w:lineRule="auto"/>
        <w:jc w:val="center"/>
        <w:outlineLvl w:val="0"/>
        <w:rPr>
          <w:rFonts w:hAnsi="宋体" w:eastAsia="宋体"/>
          <w:b/>
          <w:snapToGrid w:val="0"/>
          <w:kern w:val="0"/>
          <w:sz w:val="36"/>
          <w:szCs w:val="36"/>
        </w:rPr>
      </w:pPr>
    </w:p>
    <w:p w14:paraId="162D0661">
      <w:pPr>
        <w:autoSpaceDE w:val="0"/>
        <w:autoSpaceDN w:val="0"/>
        <w:adjustRightInd w:val="0"/>
        <w:spacing w:line="360" w:lineRule="auto"/>
        <w:jc w:val="center"/>
        <w:outlineLvl w:val="0"/>
        <w:rPr>
          <w:rFonts w:hAnsi="宋体" w:eastAsia="宋体"/>
          <w:b/>
          <w:snapToGrid w:val="0"/>
          <w:kern w:val="0"/>
          <w:sz w:val="36"/>
          <w:szCs w:val="36"/>
        </w:rPr>
      </w:pPr>
    </w:p>
    <w:p w14:paraId="654F1C8C">
      <w:pPr>
        <w:autoSpaceDE w:val="0"/>
        <w:autoSpaceDN w:val="0"/>
        <w:adjustRightInd w:val="0"/>
        <w:spacing w:line="360" w:lineRule="auto"/>
        <w:jc w:val="center"/>
        <w:outlineLvl w:val="0"/>
        <w:rPr>
          <w:rFonts w:hAnsi="宋体" w:eastAsia="宋体"/>
          <w:b/>
          <w:snapToGrid w:val="0"/>
          <w:kern w:val="0"/>
          <w:sz w:val="36"/>
          <w:szCs w:val="36"/>
        </w:rPr>
      </w:pPr>
    </w:p>
    <w:p w14:paraId="76F7A87C">
      <w:pPr>
        <w:autoSpaceDE w:val="0"/>
        <w:autoSpaceDN w:val="0"/>
        <w:adjustRightInd w:val="0"/>
        <w:spacing w:line="360" w:lineRule="auto"/>
        <w:jc w:val="center"/>
        <w:outlineLvl w:val="0"/>
        <w:rPr>
          <w:rFonts w:hAnsi="宋体" w:eastAsia="宋体"/>
          <w:b/>
          <w:snapToGrid w:val="0"/>
          <w:kern w:val="0"/>
          <w:sz w:val="36"/>
          <w:szCs w:val="36"/>
        </w:rPr>
      </w:pPr>
    </w:p>
    <w:p w14:paraId="2E9881AC">
      <w:pPr>
        <w:spacing w:line="360" w:lineRule="auto"/>
        <w:rPr>
          <w:rFonts w:ascii="宋体" w:hAnsi="宋体"/>
          <w:b/>
          <w:bCs/>
          <w:sz w:val="28"/>
          <w:szCs w:val="28"/>
        </w:rPr>
      </w:pPr>
    </w:p>
    <w:sectPr>
      <w:footerReference r:id="rId3" w:type="default"/>
      <w:pgSz w:w="11906" w:h="16838"/>
      <w:pgMar w:top="2098"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roma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微软简隶书">
    <w:altName w:val="黑体"/>
    <w:panose1 w:val="00000000000000000000"/>
    <w:charset w:val="86"/>
    <w:family w:val="auto"/>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A00002BF" w:usb1="68C7FCFB" w:usb2="00000010" w:usb3="00000000" w:csb0="4002009F" w:csb1="DFD70000"/>
  </w:font>
  <w:font w:name="新宋体">
    <w:panose1 w:val="02010609030101010101"/>
    <w:charset w:val="86"/>
    <w:family w:val="modern"/>
    <w:pitch w:val="default"/>
    <w:sig w:usb0="00000203" w:usb1="288F0000" w:usb2="0000000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A8C72">
    <w:pPr>
      <w:pStyle w:val="18"/>
    </w:pPr>
    <w:r>
      <w:pict>
        <v:shape id="Text Box 1" o:spid="_x0000_s3073" o:spt="202" type="#_x0000_t202" style="position:absolute;left:0pt;margin-top:0pt;height:11pt;width:9.1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">
          <v:path/>
          <v:fill on="f" focussize="0,0"/>
          <v:stroke on="f" joinstyle="miter"/>
          <v:imagedata o:title=""/>
          <o:lock v:ext="edit"/>
          <v:textbox inset="0mm,0mm,0mm,0mm" style="mso-fit-shape-to-text:t;">
            <w:txbxContent>
              <w:p w14:paraId="0176B9F6">
                <w:pPr>
                  <w:pStyle w:val="18"/>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99552F"/>
    <w:multiLevelType w:val="singleLevel"/>
    <w:tmpl w:val="9499552F"/>
    <w:lvl w:ilvl="0" w:tentative="0">
      <w:start w:val="1"/>
      <w:numFmt w:val="decimal"/>
      <w:suff w:val="nothing"/>
      <w:lvlText w:val="%1、"/>
      <w:lvlJc w:val="left"/>
      <w:pPr>
        <w:ind w:left="420" w:firstLine="0"/>
      </w:pPr>
    </w:lvl>
  </w:abstractNum>
  <w:abstractNum w:abstractNumId="1">
    <w:nsid w:val="BE525062"/>
    <w:multiLevelType w:val="singleLevel"/>
    <w:tmpl w:val="BE525062"/>
    <w:lvl w:ilvl="0" w:tentative="0">
      <w:start w:val="5"/>
      <w:numFmt w:val="chineseCounting"/>
      <w:suff w:val="nothing"/>
      <w:lvlText w:val="（%1）"/>
      <w:lvlJc w:val="left"/>
      <w:rPr>
        <w:rFonts w:hint="eastAsia"/>
      </w:rPr>
    </w:lvl>
  </w:abstractNum>
  <w:abstractNum w:abstractNumId="2">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00000014"/>
    <w:multiLevelType w:val="multilevel"/>
    <w:tmpl w:val="00000014"/>
    <w:lvl w:ilvl="0" w:tentative="0">
      <w:start w:val="1"/>
      <w:numFmt w:val="decimal"/>
      <w:pStyle w:val="5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2B45501"/>
    <w:multiLevelType w:val="multilevel"/>
    <w:tmpl w:val="02B45501"/>
    <w:lvl w:ilvl="0" w:tentative="0">
      <w:start w:val="35"/>
      <w:numFmt w:val="decimal"/>
      <w:lvlText w:val="%1.2"/>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863000A"/>
    <w:multiLevelType w:val="multilevel"/>
    <w:tmpl w:val="0863000A"/>
    <w:lvl w:ilvl="0" w:tentative="0">
      <w:start w:val="1"/>
      <w:numFmt w:val="decimal"/>
      <w:lvlText w:val="34.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
    <w:nsid w:val="08734582"/>
    <w:multiLevelType w:val="multilevel"/>
    <w:tmpl w:val="08734582"/>
    <w:lvl w:ilvl="0" w:tentative="0">
      <w:start w:val="29"/>
      <w:numFmt w:val="decimal"/>
      <w:lvlText w:val="%1.3.5"/>
      <w:lvlJc w:val="left"/>
      <w:pPr>
        <w:ind w:left="1384" w:hanging="420"/>
      </w:pPr>
      <w:rPr>
        <w:rFonts w:hint="eastAsia"/>
      </w:rPr>
    </w:lvl>
    <w:lvl w:ilvl="1" w:tentative="0">
      <w:start w:val="1"/>
      <w:numFmt w:val="lowerLetter"/>
      <w:lvlText w:val="%2)"/>
      <w:lvlJc w:val="left"/>
      <w:pPr>
        <w:ind w:left="1804" w:hanging="420"/>
      </w:pPr>
      <w:rPr>
        <w:rFonts w:hint="eastAsia"/>
      </w:rPr>
    </w:lvl>
    <w:lvl w:ilvl="2" w:tentative="0">
      <w:start w:val="1"/>
      <w:numFmt w:val="lowerRoman"/>
      <w:lvlText w:val="%3."/>
      <w:lvlJc w:val="right"/>
      <w:pPr>
        <w:ind w:left="2224" w:hanging="420"/>
      </w:pPr>
      <w:rPr>
        <w:rFonts w:hint="eastAsia"/>
      </w:rPr>
    </w:lvl>
    <w:lvl w:ilvl="3" w:tentative="0">
      <w:start w:val="1"/>
      <w:numFmt w:val="decimal"/>
      <w:lvlText w:val="%4."/>
      <w:lvlJc w:val="left"/>
      <w:pPr>
        <w:ind w:left="2644" w:hanging="420"/>
      </w:pPr>
      <w:rPr>
        <w:rFonts w:hint="eastAsia"/>
      </w:rPr>
    </w:lvl>
    <w:lvl w:ilvl="4" w:tentative="0">
      <w:start w:val="1"/>
      <w:numFmt w:val="lowerLetter"/>
      <w:lvlText w:val="%5)"/>
      <w:lvlJc w:val="left"/>
      <w:pPr>
        <w:ind w:left="3064" w:hanging="420"/>
      </w:pPr>
      <w:rPr>
        <w:rFonts w:hint="eastAsia"/>
      </w:rPr>
    </w:lvl>
    <w:lvl w:ilvl="5" w:tentative="0">
      <w:start w:val="1"/>
      <w:numFmt w:val="lowerRoman"/>
      <w:lvlText w:val="%6."/>
      <w:lvlJc w:val="right"/>
      <w:pPr>
        <w:ind w:left="3484" w:hanging="420"/>
      </w:pPr>
      <w:rPr>
        <w:rFonts w:hint="eastAsia"/>
      </w:rPr>
    </w:lvl>
    <w:lvl w:ilvl="6" w:tentative="0">
      <w:start w:val="1"/>
      <w:numFmt w:val="decimal"/>
      <w:lvlText w:val="%7."/>
      <w:lvlJc w:val="left"/>
      <w:pPr>
        <w:ind w:left="3904" w:hanging="420"/>
      </w:pPr>
      <w:rPr>
        <w:rFonts w:hint="eastAsia"/>
      </w:rPr>
    </w:lvl>
    <w:lvl w:ilvl="7" w:tentative="0">
      <w:start w:val="1"/>
      <w:numFmt w:val="lowerLetter"/>
      <w:lvlText w:val="%8)"/>
      <w:lvlJc w:val="left"/>
      <w:pPr>
        <w:ind w:left="4324" w:hanging="420"/>
      </w:pPr>
      <w:rPr>
        <w:rFonts w:hint="eastAsia"/>
      </w:rPr>
    </w:lvl>
    <w:lvl w:ilvl="8" w:tentative="0">
      <w:start w:val="1"/>
      <w:numFmt w:val="lowerRoman"/>
      <w:lvlText w:val="%9."/>
      <w:lvlJc w:val="right"/>
      <w:pPr>
        <w:ind w:left="4744" w:hanging="420"/>
      </w:pPr>
      <w:rPr>
        <w:rFonts w:hint="eastAsia"/>
      </w:rPr>
    </w:lvl>
  </w:abstractNum>
  <w:abstractNum w:abstractNumId="7">
    <w:nsid w:val="09AC3193"/>
    <w:multiLevelType w:val="multilevel"/>
    <w:tmpl w:val="09AC3193"/>
    <w:lvl w:ilvl="0" w:tentative="0">
      <w:start w:val="1"/>
      <w:numFmt w:val="decimal"/>
      <w:lvlText w:val="25.2.%1"/>
      <w:lvlJc w:val="left"/>
      <w:pPr>
        <w:ind w:left="1413" w:hanging="420"/>
      </w:pPr>
      <w:rPr>
        <w:rFonts w:hint="eastAsia"/>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8">
    <w:nsid w:val="0B974D79"/>
    <w:multiLevelType w:val="multilevel"/>
    <w:tmpl w:val="0B974D79"/>
    <w:lvl w:ilvl="0" w:tentative="0">
      <w:start w:val="29"/>
      <w:numFmt w:val="decimal"/>
      <w:lvlText w:val="%1.5"/>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BB54322"/>
    <w:multiLevelType w:val="multilevel"/>
    <w:tmpl w:val="0BB54322"/>
    <w:lvl w:ilvl="0" w:tentative="0">
      <w:start w:val="38"/>
      <w:numFmt w:val="decimal"/>
      <w:lvlText w:val="%1.1"/>
      <w:lvlJc w:val="left"/>
      <w:pPr>
        <w:ind w:left="964" w:hanging="54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0">
    <w:nsid w:val="0DFE7980"/>
    <w:multiLevelType w:val="multilevel"/>
    <w:tmpl w:val="0DFE7980"/>
    <w:lvl w:ilvl="0" w:tentative="0">
      <w:start w:val="23"/>
      <w:numFmt w:val="decimal"/>
      <w:lvlText w:val="%1."/>
      <w:lvlJc w:val="left"/>
      <w:pPr>
        <w:ind w:left="420" w:hanging="420"/>
      </w:pPr>
      <w:rPr>
        <w:rFonts w:hint="eastAsia"/>
      </w:rPr>
    </w:lvl>
    <w:lvl w:ilvl="1" w:tentative="0">
      <w:start w:val="1"/>
      <w:numFmt w:val="decimal"/>
      <w:lvlText w:val="23.3.%2"/>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1">
    <w:nsid w:val="0EAC0559"/>
    <w:multiLevelType w:val="multilevel"/>
    <w:tmpl w:val="0EAC0559"/>
    <w:lvl w:ilvl="0" w:tentative="0">
      <w:start w:val="29"/>
      <w:numFmt w:val="decimal"/>
      <w:lvlText w:val="%1.3.2"/>
      <w:lvlJc w:val="left"/>
      <w:pPr>
        <w:ind w:left="1384" w:hanging="420"/>
      </w:pPr>
      <w:rPr>
        <w:rFonts w:hint="eastAsia"/>
      </w:rPr>
    </w:lvl>
    <w:lvl w:ilvl="1" w:tentative="0">
      <w:start w:val="1"/>
      <w:numFmt w:val="lowerLetter"/>
      <w:lvlText w:val="%2)"/>
      <w:lvlJc w:val="left"/>
      <w:pPr>
        <w:ind w:left="1804" w:hanging="420"/>
      </w:pPr>
      <w:rPr>
        <w:rFonts w:hint="eastAsia"/>
      </w:rPr>
    </w:lvl>
    <w:lvl w:ilvl="2" w:tentative="0">
      <w:start w:val="1"/>
      <w:numFmt w:val="lowerRoman"/>
      <w:lvlText w:val="%3."/>
      <w:lvlJc w:val="right"/>
      <w:pPr>
        <w:ind w:left="2224" w:hanging="420"/>
      </w:pPr>
      <w:rPr>
        <w:rFonts w:hint="eastAsia"/>
      </w:rPr>
    </w:lvl>
    <w:lvl w:ilvl="3" w:tentative="0">
      <w:start w:val="1"/>
      <w:numFmt w:val="decimal"/>
      <w:lvlText w:val="%4."/>
      <w:lvlJc w:val="left"/>
      <w:pPr>
        <w:ind w:left="2644" w:hanging="420"/>
      </w:pPr>
      <w:rPr>
        <w:rFonts w:hint="eastAsia"/>
      </w:rPr>
    </w:lvl>
    <w:lvl w:ilvl="4" w:tentative="0">
      <w:start w:val="1"/>
      <w:numFmt w:val="lowerLetter"/>
      <w:lvlText w:val="%5)"/>
      <w:lvlJc w:val="left"/>
      <w:pPr>
        <w:ind w:left="3064" w:hanging="420"/>
      </w:pPr>
      <w:rPr>
        <w:rFonts w:hint="eastAsia"/>
      </w:rPr>
    </w:lvl>
    <w:lvl w:ilvl="5" w:tentative="0">
      <w:start w:val="1"/>
      <w:numFmt w:val="lowerRoman"/>
      <w:lvlText w:val="%6."/>
      <w:lvlJc w:val="right"/>
      <w:pPr>
        <w:ind w:left="3484" w:hanging="420"/>
      </w:pPr>
      <w:rPr>
        <w:rFonts w:hint="eastAsia"/>
      </w:rPr>
    </w:lvl>
    <w:lvl w:ilvl="6" w:tentative="0">
      <w:start w:val="1"/>
      <w:numFmt w:val="decimal"/>
      <w:lvlText w:val="%7."/>
      <w:lvlJc w:val="left"/>
      <w:pPr>
        <w:ind w:left="3904" w:hanging="420"/>
      </w:pPr>
      <w:rPr>
        <w:rFonts w:hint="eastAsia"/>
      </w:rPr>
    </w:lvl>
    <w:lvl w:ilvl="7" w:tentative="0">
      <w:start w:val="1"/>
      <w:numFmt w:val="lowerLetter"/>
      <w:lvlText w:val="%8)"/>
      <w:lvlJc w:val="left"/>
      <w:pPr>
        <w:ind w:left="4324" w:hanging="420"/>
      </w:pPr>
      <w:rPr>
        <w:rFonts w:hint="eastAsia"/>
      </w:rPr>
    </w:lvl>
    <w:lvl w:ilvl="8" w:tentative="0">
      <w:start w:val="1"/>
      <w:numFmt w:val="lowerRoman"/>
      <w:lvlText w:val="%9."/>
      <w:lvlJc w:val="right"/>
      <w:pPr>
        <w:ind w:left="4744" w:hanging="420"/>
      </w:pPr>
      <w:rPr>
        <w:rFonts w:hint="eastAsia"/>
      </w:rPr>
    </w:lvl>
  </w:abstractNum>
  <w:abstractNum w:abstractNumId="12">
    <w:nsid w:val="10095A2B"/>
    <w:multiLevelType w:val="multilevel"/>
    <w:tmpl w:val="10095A2B"/>
    <w:lvl w:ilvl="0" w:tentative="0">
      <w:start w:val="23"/>
      <w:numFmt w:val="decimal"/>
      <w:lvlText w:val="%1."/>
      <w:lvlJc w:val="left"/>
      <w:pPr>
        <w:ind w:left="420" w:hanging="420"/>
      </w:pPr>
      <w:rPr>
        <w:rFonts w:hint="eastAsia"/>
      </w:rPr>
    </w:lvl>
    <w:lvl w:ilvl="1" w:tentative="0">
      <w:start w:val="1"/>
      <w:numFmt w:val="decimal"/>
      <w:lvlText w:val="23.3.1.%2"/>
      <w:lvlJc w:val="left"/>
      <w:pPr>
        <w:ind w:left="964" w:hanging="544"/>
      </w:pPr>
      <w:rPr>
        <w:rFonts w:hint="eastAsia"/>
      </w:rPr>
    </w:lvl>
    <w:lvl w:ilvl="2" w:tentative="0">
      <w:start w:val="21"/>
      <w:numFmt w:val="decimal"/>
      <w:lvlText w:val="%3.1 "/>
      <w:lvlJc w:val="left"/>
      <w:pPr>
        <w:ind w:left="1560" w:hanging="720"/>
      </w:pPr>
      <w:rPr>
        <w:rFonts w:hint="eastAsia"/>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3">
    <w:nsid w:val="11477569"/>
    <w:multiLevelType w:val="multilevel"/>
    <w:tmpl w:val="11477569"/>
    <w:lvl w:ilvl="0" w:tentative="0">
      <w:start w:val="29"/>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12CA029F"/>
    <w:multiLevelType w:val="multilevel"/>
    <w:tmpl w:val="12CA029F"/>
    <w:lvl w:ilvl="0" w:tentative="0">
      <w:start w:val="2"/>
      <w:numFmt w:val="decimal"/>
      <w:lvlText w:val="32. %1 "/>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139E5237"/>
    <w:multiLevelType w:val="multilevel"/>
    <w:tmpl w:val="139E5237"/>
    <w:lvl w:ilvl="0" w:tentative="0">
      <w:start w:val="37"/>
      <w:numFmt w:val="decimal"/>
      <w:lvlText w:val="%1.2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66961FB"/>
    <w:multiLevelType w:val="multilevel"/>
    <w:tmpl w:val="166961FB"/>
    <w:lvl w:ilvl="0" w:tentative="0">
      <w:start w:val="35"/>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18F52A52"/>
    <w:multiLevelType w:val="multilevel"/>
    <w:tmpl w:val="18F52A52"/>
    <w:lvl w:ilvl="0" w:tentative="0">
      <w:start w:val="9"/>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9DF2F37"/>
    <w:multiLevelType w:val="multilevel"/>
    <w:tmpl w:val="19DF2F37"/>
    <w:lvl w:ilvl="0" w:tentative="0">
      <w:start w:val="29"/>
      <w:numFmt w:val="decimal"/>
      <w:lvlText w:val="%1.6"/>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1C536185"/>
    <w:multiLevelType w:val="multilevel"/>
    <w:tmpl w:val="1C536185"/>
    <w:lvl w:ilvl="0" w:tentative="0">
      <w:start w:val="11"/>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1C74355F"/>
    <w:multiLevelType w:val="multilevel"/>
    <w:tmpl w:val="1C74355F"/>
    <w:lvl w:ilvl="0" w:tentative="0">
      <w:start w:val="1"/>
      <w:numFmt w:val="decimal"/>
      <w:lvlText w:val="32.1.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1E711E7A"/>
    <w:multiLevelType w:val="multilevel"/>
    <w:tmpl w:val="1E711E7A"/>
    <w:lvl w:ilvl="0" w:tentative="0">
      <w:start w:val="1"/>
      <w:numFmt w:val="decimal"/>
      <w:lvlText w:val="26.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1EB36E0D"/>
    <w:multiLevelType w:val="multilevel"/>
    <w:tmpl w:val="1EB36E0D"/>
    <w:lvl w:ilvl="0" w:tentative="0">
      <w:start w:val="25"/>
      <w:numFmt w:val="decimal"/>
      <w:lvlText w:val="%1."/>
      <w:lvlJc w:val="left"/>
      <w:pPr>
        <w:ind w:left="420" w:hanging="420"/>
      </w:pPr>
      <w:rPr>
        <w:rFonts w:hint="eastAsia"/>
      </w:rPr>
    </w:lvl>
    <w:lvl w:ilvl="1" w:tentative="0">
      <w:start w:val="3"/>
      <w:numFmt w:val="decimal"/>
      <w:lvlText w:val="25. %2 "/>
      <w:lvlJc w:val="left"/>
      <w:pPr>
        <w:ind w:left="964" w:hanging="544"/>
      </w:pPr>
      <w:rPr>
        <w:rFonts w:hint="eastAsia"/>
      </w:rPr>
    </w:lvl>
    <w:lvl w:ilvl="2" w:tentative="0">
      <w:start w:val="23"/>
      <w:numFmt w:val="decimal"/>
      <w:lvlText w:val="%3.4 "/>
      <w:lvlJc w:val="left"/>
      <w:pPr>
        <w:ind w:left="1560" w:hanging="720"/>
      </w:pPr>
      <w:rPr>
        <w:rFonts w:hint="eastAsia"/>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3">
    <w:nsid w:val="1FAE040E"/>
    <w:multiLevelType w:val="multilevel"/>
    <w:tmpl w:val="1FAE040E"/>
    <w:lvl w:ilvl="0" w:tentative="0">
      <w:start w:val="29"/>
      <w:numFmt w:val="decimal"/>
      <w:lvlText w:val="%1.3.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4">
    <w:nsid w:val="20F45686"/>
    <w:multiLevelType w:val="multilevel"/>
    <w:tmpl w:val="20F45686"/>
    <w:lvl w:ilvl="0" w:tentative="0">
      <w:start w:val="1"/>
      <w:numFmt w:val="decimal"/>
      <w:lvlText w:val="29.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5">
    <w:nsid w:val="214802C3"/>
    <w:multiLevelType w:val="multilevel"/>
    <w:tmpl w:val="214802C3"/>
    <w:lvl w:ilvl="0" w:tentative="0">
      <w:start w:val="1"/>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6">
    <w:nsid w:val="227C3AAF"/>
    <w:multiLevelType w:val="multilevel"/>
    <w:tmpl w:val="227C3AAF"/>
    <w:lvl w:ilvl="0" w:tentative="0">
      <w:start w:val="29"/>
      <w:numFmt w:val="decimal"/>
      <w:lvlText w:val="%1.2.6"/>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7">
    <w:nsid w:val="24A84D77"/>
    <w:multiLevelType w:val="singleLevel"/>
    <w:tmpl w:val="24A84D77"/>
    <w:lvl w:ilvl="0" w:tentative="0">
      <w:start w:val="1"/>
      <w:numFmt w:val="chineseCounting"/>
      <w:suff w:val="space"/>
      <w:lvlText w:val="第%1章"/>
      <w:lvlJc w:val="left"/>
      <w:rPr>
        <w:rFonts w:hint="eastAsia"/>
      </w:rPr>
    </w:lvl>
  </w:abstractNum>
  <w:abstractNum w:abstractNumId="28">
    <w:nsid w:val="25740A31"/>
    <w:multiLevelType w:val="multilevel"/>
    <w:tmpl w:val="25740A31"/>
    <w:lvl w:ilvl="0" w:tentative="0">
      <w:start w:val="29"/>
      <w:numFmt w:val="decimal"/>
      <w:lvlText w:val="%1.2.7"/>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9">
    <w:nsid w:val="260D7FDB"/>
    <w:multiLevelType w:val="multilevel"/>
    <w:tmpl w:val="260D7FDB"/>
    <w:lvl w:ilvl="0" w:tentative="0">
      <w:start w:val="29"/>
      <w:numFmt w:val="decimal"/>
      <w:lvlText w:val="%1.3"/>
      <w:lvlJc w:val="left"/>
      <w:pPr>
        <w:ind w:left="964" w:hanging="54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0">
    <w:nsid w:val="284F17D0"/>
    <w:multiLevelType w:val="multilevel"/>
    <w:tmpl w:val="284F17D0"/>
    <w:lvl w:ilvl="0" w:tentative="0">
      <w:start w:val="23"/>
      <w:numFmt w:val="decimal"/>
      <w:lvlText w:val="%1."/>
      <w:lvlJc w:val="left"/>
      <w:pPr>
        <w:ind w:left="420" w:hanging="420"/>
      </w:pPr>
      <w:rPr>
        <w:rFonts w:hint="eastAsia"/>
      </w:rPr>
    </w:lvl>
    <w:lvl w:ilvl="1" w:tentative="0">
      <w:start w:val="3"/>
      <w:numFmt w:val="decimal"/>
      <w:lvlText w:val="23.3.%2"/>
      <w:lvlJc w:val="left"/>
      <w:pPr>
        <w:ind w:left="964" w:hanging="544"/>
      </w:pPr>
      <w:rPr>
        <w:rFonts w:hint="eastAsia"/>
      </w:rPr>
    </w:lvl>
    <w:lvl w:ilvl="2" w:tentative="0">
      <w:start w:val="23"/>
      <w:numFmt w:val="decimal"/>
      <w:lvlText w:val="%3.4 "/>
      <w:lvlJc w:val="left"/>
      <w:pPr>
        <w:ind w:left="1560" w:hanging="720"/>
      </w:pPr>
      <w:rPr>
        <w:rFonts w:hint="eastAsia"/>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31">
    <w:nsid w:val="294D1DA8"/>
    <w:multiLevelType w:val="multilevel"/>
    <w:tmpl w:val="294D1DA8"/>
    <w:lvl w:ilvl="0" w:tentative="0">
      <w:start w:val="25"/>
      <w:numFmt w:val="decimal"/>
      <w:lvlText w:val="%1.2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2B096AB4"/>
    <w:multiLevelType w:val="singleLevel"/>
    <w:tmpl w:val="2B096AB4"/>
    <w:lvl w:ilvl="0" w:tentative="0">
      <w:start w:val="2"/>
      <w:numFmt w:val="decimal"/>
      <w:lvlText w:val="%1."/>
      <w:lvlJc w:val="left"/>
      <w:pPr>
        <w:tabs>
          <w:tab w:val="left" w:pos="312"/>
        </w:tabs>
      </w:pPr>
    </w:lvl>
  </w:abstractNum>
  <w:abstractNum w:abstractNumId="33">
    <w:nsid w:val="2BC85BF7"/>
    <w:multiLevelType w:val="multilevel"/>
    <w:tmpl w:val="2BC85BF7"/>
    <w:lvl w:ilvl="0" w:tentative="0">
      <w:start w:val="1"/>
      <w:numFmt w:val="decimal"/>
      <w:lvlText w:val="3.3.%1"/>
      <w:lvlJc w:val="left"/>
      <w:pPr>
        <w:ind w:left="422" w:hanging="420"/>
      </w:pPr>
      <w:rPr>
        <w:rFonts w:hint="eastAsia"/>
      </w:rPr>
    </w:lvl>
    <w:lvl w:ilvl="1" w:tentative="0">
      <w:start w:val="1"/>
      <w:numFmt w:val="lowerLetter"/>
      <w:lvlText w:val="%2)"/>
      <w:lvlJc w:val="left"/>
      <w:pPr>
        <w:ind w:left="842" w:hanging="420"/>
      </w:pPr>
    </w:lvl>
    <w:lvl w:ilvl="2" w:tentative="0">
      <w:start w:val="1"/>
      <w:numFmt w:val="lowerRoman"/>
      <w:lvlText w:val="%3."/>
      <w:lvlJc w:val="right"/>
      <w:pPr>
        <w:ind w:left="1262" w:hanging="420"/>
      </w:pPr>
    </w:lvl>
    <w:lvl w:ilvl="3" w:tentative="0">
      <w:start w:val="1"/>
      <w:numFmt w:val="decimal"/>
      <w:lvlText w:val="%4."/>
      <w:lvlJc w:val="left"/>
      <w:pPr>
        <w:ind w:left="1682" w:hanging="420"/>
      </w:pPr>
    </w:lvl>
    <w:lvl w:ilvl="4" w:tentative="0">
      <w:start w:val="1"/>
      <w:numFmt w:val="lowerLetter"/>
      <w:lvlText w:val="%5)"/>
      <w:lvlJc w:val="left"/>
      <w:pPr>
        <w:ind w:left="2102" w:hanging="420"/>
      </w:pPr>
    </w:lvl>
    <w:lvl w:ilvl="5" w:tentative="0">
      <w:start w:val="1"/>
      <w:numFmt w:val="lowerRoman"/>
      <w:lvlText w:val="%6."/>
      <w:lvlJc w:val="right"/>
      <w:pPr>
        <w:ind w:left="2522" w:hanging="420"/>
      </w:pPr>
    </w:lvl>
    <w:lvl w:ilvl="6" w:tentative="0">
      <w:start w:val="1"/>
      <w:numFmt w:val="decimal"/>
      <w:lvlText w:val="%7."/>
      <w:lvlJc w:val="left"/>
      <w:pPr>
        <w:ind w:left="2942" w:hanging="420"/>
      </w:pPr>
    </w:lvl>
    <w:lvl w:ilvl="7" w:tentative="0">
      <w:start w:val="1"/>
      <w:numFmt w:val="lowerLetter"/>
      <w:lvlText w:val="%8)"/>
      <w:lvlJc w:val="left"/>
      <w:pPr>
        <w:ind w:left="3362" w:hanging="420"/>
      </w:pPr>
    </w:lvl>
    <w:lvl w:ilvl="8" w:tentative="0">
      <w:start w:val="1"/>
      <w:numFmt w:val="lowerRoman"/>
      <w:lvlText w:val="%9."/>
      <w:lvlJc w:val="right"/>
      <w:pPr>
        <w:ind w:left="3782" w:hanging="420"/>
      </w:pPr>
    </w:lvl>
  </w:abstractNum>
  <w:abstractNum w:abstractNumId="34">
    <w:nsid w:val="2D8B66E1"/>
    <w:multiLevelType w:val="multilevel"/>
    <w:tmpl w:val="2D8B66E1"/>
    <w:lvl w:ilvl="0" w:tentative="0">
      <w:start w:val="1"/>
      <w:numFmt w:val="decimal"/>
      <w:lvlText w:val="38.2.%1"/>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31E5674F"/>
    <w:multiLevelType w:val="multilevel"/>
    <w:tmpl w:val="31E5674F"/>
    <w:lvl w:ilvl="0" w:tentative="0">
      <w:start w:val="1"/>
      <w:numFmt w:val="decimal"/>
      <w:lvlText w:val="3.6.%1"/>
      <w:lvlJc w:val="left"/>
      <w:pPr>
        <w:ind w:left="42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3376796D"/>
    <w:multiLevelType w:val="multilevel"/>
    <w:tmpl w:val="3376796D"/>
    <w:lvl w:ilvl="0" w:tentative="0">
      <w:start w:val="29"/>
      <w:numFmt w:val="decimal"/>
      <w:lvlText w:val="%1.2.1"/>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37">
    <w:nsid w:val="37057842"/>
    <w:multiLevelType w:val="multilevel"/>
    <w:tmpl w:val="37057842"/>
    <w:lvl w:ilvl="0" w:tentative="0">
      <w:start w:val="29"/>
      <w:numFmt w:val="decimal"/>
      <w:lvlText w:val="%1.2.5"/>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38">
    <w:nsid w:val="375A32AE"/>
    <w:multiLevelType w:val="multilevel"/>
    <w:tmpl w:val="375A32AE"/>
    <w:lvl w:ilvl="0" w:tentative="0">
      <w:start w:val="1"/>
      <w:numFmt w:val="decimal"/>
      <w:lvlText w:val="25.1.2.%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37A329CD"/>
    <w:multiLevelType w:val="multilevel"/>
    <w:tmpl w:val="37A329CD"/>
    <w:lvl w:ilvl="0" w:tentative="0">
      <w:start w:val="39"/>
      <w:numFmt w:val="decimal"/>
      <w:lvlText w:val="%1."/>
      <w:lvlJc w:val="left"/>
      <w:pPr>
        <w:ind w:left="420" w:hanging="420"/>
      </w:pPr>
      <w:rPr>
        <w:rFonts w:hint="eastAsia"/>
        <w:b/>
        <w:color w:val="auto"/>
        <w:sz w:val="21"/>
        <w:szCs w:val="21"/>
      </w:rPr>
    </w:lvl>
    <w:lvl w:ilvl="1" w:tentative="0">
      <w:start w:val="2"/>
      <w:numFmt w:val="decimal"/>
      <w:lvlText w:val="38. %2 "/>
      <w:lvlJc w:val="left"/>
      <w:pPr>
        <w:ind w:left="964" w:hanging="544"/>
      </w:pPr>
      <w:rPr>
        <w:rFonts w:hint="eastAsia"/>
      </w:rPr>
    </w:lvl>
    <w:lvl w:ilvl="2" w:tentative="0">
      <w:start w:val="23"/>
      <w:numFmt w:val="decimal"/>
      <w:lvlText w:val="%3.4 "/>
      <w:lvlJc w:val="left"/>
      <w:pPr>
        <w:ind w:left="1560" w:hanging="720"/>
      </w:pPr>
      <w:rPr>
        <w:rFonts w:hint="eastAsia"/>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40">
    <w:nsid w:val="3E97695A"/>
    <w:multiLevelType w:val="multilevel"/>
    <w:tmpl w:val="3E97695A"/>
    <w:lvl w:ilvl="0" w:tentative="0">
      <w:start w:val="30"/>
      <w:numFmt w:val="decimal"/>
      <w:lvlText w:val="%1.2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436E25C3"/>
    <w:multiLevelType w:val="multilevel"/>
    <w:tmpl w:val="436E25C3"/>
    <w:lvl w:ilvl="0" w:tentative="0">
      <w:start w:val="1"/>
      <w:numFmt w:val="japaneseCounting"/>
      <w:lvlText w:val="第%1条"/>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467D786A"/>
    <w:multiLevelType w:val="multilevel"/>
    <w:tmpl w:val="467D786A"/>
    <w:lvl w:ilvl="0" w:tentative="0">
      <w:start w:val="1"/>
      <w:numFmt w:val="decimal"/>
      <w:lvlText w:val="32.2.%1"/>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4B763F93"/>
    <w:multiLevelType w:val="multilevel"/>
    <w:tmpl w:val="4B763F93"/>
    <w:lvl w:ilvl="0" w:tentative="0">
      <w:start w:val="29"/>
      <w:numFmt w:val="decimal"/>
      <w:lvlText w:val="%1.3.4"/>
      <w:lvlJc w:val="left"/>
      <w:pPr>
        <w:ind w:left="1384" w:hanging="420"/>
      </w:pPr>
      <w:rPr>
        <w:rFonts w:hint="eastAsia"/>
      </w:rPr>
    </w:lvl>
    <w:lvl w:ilvl="1" w:tentative="0">
      <w:start w:val="1"/>
      <w:numFmt w:val="lowerLetter"/>
      <w:lvlText w:val="%2)"/>
      <w:lvlJc w:val="left"/>
      <w:pPr>
        <w:ind w:left="1804" w:hanging="420"/>
      </w:pPr>
      <w:rPr>
        <w:rFonts w:hint="eastAsia"/>
      </w:rPr>
    </w:lvl>
    <w:lvl w:ilvl="2" w:tentative="0">
      <w:start w:val="1"/>
      <w:numFmt w:val="lowerRoman"/>
      <w:lvlText w:val="%3."/>
      <w:lvlJc w:val="right"/>
      <w:pPr>
        <w:ind w:left="2224" w:hanging="420"/>
      </w:pPr>
      <w:rPr>
        <w:rFonts w:hint="eastAsia"/>
      </w:rPr>
    </w:lvl>
    <w:lvl w:ilvl="3" w:tentative="0">
      <w:start w:val="1"/>
      <w:numFmt w:val="decimal"/>
      <w:lvlText w:val="%4."/>
      <w:lvlJc w:val="left"/>
      <w:pPr>
        <w:ind w:left="2644" w:hanging="420"/>
      </w:pPr>
      <w:rPr>
        <w:rFonts w:hint="eastAsia"/>
      </w:rPr>
    </w:lvl>
    <w:lvl w:ilvl="4" w:tentative="0">
      <w:start w:val="1"/>
      <w:numFmt w:val="lowerLetter"/>
      <w:lvlText w:val="%5)"/>
      <w:lvlJc w:val="left"/>
      <w:pPr>
        <w:ind w:left="3064" w:hanging="420"/>
      </w:pPr>
      <w:rPr>
        <w:rFonts w:hint="eastAsia"/>
      </w:rPr>
    </w:lvl>
    <w:lvl w:ilvl="5" w:tentative="0">
      <w:start w:val="1"/>
      <w:numFmt w:val="lowerRoman"/>
      <w:lvlText w:val="%6."/>
      <w:lvlJc w:val="right"/>
      <w:pPr>
        <w:ind w:left="3484" w:hanging="420"/>
      </w:pPr>
      <w:rPr>
        <w:rFonts w:hint="eastAsia"/>
      </w:rPr>
    </w:lvl>
    <w:lvl w:ilvl="6" w:tentative="0">
      <w:start w:val="1"/>
      <w:numFmt w:val="decimal"/>
      <w:lvlText w:val="%7."/>
      <w:lvlJc w:val="left"/>
      <w:pPr>
        <w:ind w:left="3904" w:hanging="420"/>
      </w:pPr>
      <w:rPr>
        <w:rFonts w:hint="eastAsia"/>
      </w:rPr>
    </w:lvl>
    <w:lvl w:ilvl="7" w:tentative="0">
      <w:start w:val="1"/>
      <w:numFmt w:val="lowerLetter"/>
      <w:lvlText w:val="%8)"/>
      <w:lvlJc w:val="left"/>
      <w:pPr>
        <w:ind w:left="4324" w:hanging="420"/>
      </w:pPr>
      <w:rPr>
        <w:rFonts w:hint="eastAsia"/>
      </w:rPr>
    </w:lvl>
    <w:lvl w:ilvl="8" w:tentative="0">
      <w:start w:val="1"/>
      <w:numFmt w:val="lowerRoman"/>
      <w:lvlText w:val="%9."/>
      <w:lvlJc w:val="right"/>
      <w:pPr>
        <w:ind w:left="4744" w:hanging="420"/>
      </w:pPr>
      <w:rPr>
        <w:rFonts w:hint="eastAsia"/>
      </w:rPr>
    </w:lvl>
  </w:abstractNum>
  <w:abstractNum w:abstractNumId="44">
    <w:nsid w:val="50284345"/>
    <w:multiLevelType w:val="multilevel"/>
    <w:tmpl w:val="50284345"/>
    <w:lvl w:ilvl="0" w:tentative="0">
      <w:start w:val="29"/>
      <w:numFmt w:val="decimal"/>
      <w:lvlText w:val="%1.2.2"/>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45">
    <w:nsid w:val="54FF6F31"/>
    <w:multiLevelType w:val="multilevel"/>
    <w:tmpl w:val="54FF6F31"/>
    <w:lvl w:ilvl="0" w:tentative="0">
      <w:start w:val="1"/>
      <w:numFmt w:val="decimal"/>
      <w:lvlText w:val="28.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57022D07"/>
    <w:multiLevelType w:val="multilevel"/>
    <w:tmpl w:val="57022D07"/>
    <w:lvl w:ilvl="0" w:tentative="0">
      <w:start w:val="29"/>
      <w:numFmt w:val="decimal"/>
      <w:lvlText w:val="%1.7"/>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58C95C43"/>
    <w:multiLevelType w:val="multilevel"/>
    <w:tmpl w:val="58C95C43"/>
    <w:lvl w:ilvl="0" w:tentative="0">
      <w:start w:val="29"/>
      <w:numFmt w:val="decimal"/>
      <w:lvlText w:val="%1.3.3"/>
      <w:lvlJc w:val="left"/>
      <w:pPr>
        <w:ind w:left="1384" w:hanging="420"/>
      </w:pPr>
      <w:rPr>
        <w:rFonts w:hint="eastAsia"/>
      </w:rPr>
    </w:lvl>
    <w:lvl w:ilvl="1" w:tentative="0">
      <w:start w:val="1"/>
      <w:numFmt w:val="lowerLetter"/>
      <w:lvlText w:val="%2)"/>
      <w:lvlJc w:val="left"/>
      <w:pPr>
        <w:ind w:left="1804" w:hanging="420"/>
      </w:pPr>
      <w:rPr>
        <w:rFonts w:hint="eastAsia"/>
      </w:rPr>
    </w:lvl>
    <w:lvl w:ilvl="2" w:tentative="0">
      <w:start w:val="1"/>
      <w:numFmt w:val="lowerRoman"/>
      <w:lvlText w:val="%3."/>
      <w:lvlJc w:val="right"/>
      <w:pPr>
        <w:ind w:left="2224" w:hanging="420"/>
      </w:pPr>
      <w:rPr>
        <w:rFonts w:hint="eastAsia"/>
      </w:rPr>
    </w:lvl>
    <w:lvl w:ilvl="3" w:tentative="0">
      <w:start w:val="1"/>
      <w:numFmt w:val="decimal"/>
      <w:lvlText w:val="%4."/>
      <w:lvlJc w:val="left"/>
      <w:pPr>
        <w:ind w:left="2644" w:hanging="420"/>
      </w:pPr>
      <w:rPr>
        <w:rFonts w:hint="eastAsia"/>
      </w:rPr>
    </w:lvl>
    <w:lvl w:ilvl="4" w:tentative="0">
      <w:start w:val="1"/>
      <w:numFmt w:val="lowerLetter"/>
      <w:lvlText w:val="%5)"/>
      <w:lvlJc w:val="left"/>
      <w:pPr>
        <w:ind w:left="3064" w:hanging="420"/>
      </w:pPr>
      <w:rPr>
        <w:rFonts w:hint="eastAsia"/>
      </w:rPr>
    </w:lvl>
    <w:lvl w:ilvl="5" w:tentative="0">
      <w:start w:val="1"/>
      <w:numFmt w:val="lowerRoman"/>
      <w:lvlText w:val="%6."/>
      <w:lvlJc w:val="right"/>
      <w:pPr>
        <w:ind w:left="3484" w:hanging="420"/>
      </w:pPr>
      <w:rPr>
        <w:rFonts w:hint="eastAsia"/>
      </w:rPr>
    </w:lvl>
    <w:lvl w:ilvl="6" w:tentative="0">
      <w:start w:val="1"/>
      <w:numFmt w:val="decimal"/>
      <w:lvlText w:val="%7."/>
      <w:lvlJc w:val="left"/>
      <w:pPr>
        <w:ind w:left="3904" w:hanging="420"/>
      </w:pPr>
      <w:rPr>
        <w:rFonts w:hint="eastAsia"/>
      </w:rPr>
    </w:lvl>
    <w:lvl w:ilvl="7" w:tentative="0">
      <w:start w:val="1"/>
      <w:numFmt w:val="lowerLetter"/>
      <w:lvlText w:val="%8)"/>
      <w:lvlJc w:val="left"/>
      <w:pPr>
        <w:ind w:left="4324" w:hanging="420"/>
      </w:pPr>
      <w:rPr>
        <w:rFonts w:hint="eastAsia"/>
      </w:rPr>
    </w:lvl>
    <w:lvl w:ilvl="8" w:tentative="0">
      <w:start w:val="1"/>
      <w:numFmt w:val="lowerRoman"/>
      <w:lvlText w:val="%9."/>
      <w:lvlJc w:val="right"/>
      <w:pPr>
        <w:ind w:left="4744" w:hanging="420"/>
      </w:pPr>
      <w:rPr>
        <w:rFonts w:hint="eastAsia"/>
      </w:rPr>
    </w:lvl>
  </w:abstractNum>
  <w:abstractNum w:abstractNumId="48">
    <w:nsid w:val="59F817C2"/>
    <w:multiLevelType w:val="singleLevel"/>
    <w:tmpl w:val="59F817C2"/>
    <w:lvl w:ilvl="0" w:tentative="0">
      <w:start w:val="2"/>
      <w:numFmt w:val="chineseCounting"/>
      <w:suff w:val="space"/>
      <w:lvlText w:val="第%1章"/>
      <w:lvlJc w:val="left"/>
    </w:lvl>
  </w:abstractNum>
  <w:abstractNum w:abstractNumId="49">
    <w:nsid w:val="59F817E8"/>
    <w:multiLevelType w:val="singleLevel"/>
    <w:tmpl w:val="59F817E8"/>
    <w:lvl w:ilvl="0" w:tentative="0">
      <w:start w:val="1"/>
      <w:numFmt w:val="chineseCounting"/>
      <w:pStyle w:val="58"/>
      <w:suff w:val="nothing"/>
      <w:lvlText w:val="%1、"/>
      <w:lvlJc w:val="left"/>
    </w:lvl>
  </w:abstractNum>
  <w:abstractNum w:abstractNumId="50">
    <w:nsid w:val="5A051E9E"/>
    <w:multiLevelType w:val="singleLevel"/>
    <w:tmpl w:val="5A051E9E"/>
    <w:lvl w:ilvl="0" w:tentative="0">
      <w:start w:val="1"/>
      <w:numFmt w:val="chineseCounting"/>
      <w:suff w:val="nothing"/>
      <w:lvlText w:val="%1、"/>
      <w:lvlJc w:val="left"/>
    </w:lvl>
  </w:abstractNum>
  <w:abstractNum w:abstractNumId="51">
    <w:nsid w:val="5A1A6631"/>
    <w:multiLevelType w:val="multilevel"/>
    <w:tmpl w:val="5A1A6631"/>
    <w:lvl w:ilvl="0" w:tentative="0">
      <w:start w:val="25"/>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5A734122"/>
    <w:multiLevelType w:val="multilevel"/>
    <w:tmpl w:val="5A734122"/>
    <w:lvl w:ilvl="0" w:tentative="0">
      <w:start w:val="36"/>
      <w:numFmt w:val="decimal"/>
      <w:lvlText w:val="%1.2"/>
      <w:lvlJc w:val="left"/>
      <w:pPr>
        <w:ind w:left="964" w:hanging="54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3">
    <w:nsid w:val="5A92629E"/>
    <w:multiLevelType w:val="multilevel"/>
    <w:tmpl w:val="5A92629E"/>
    <w:lvl w:ilvl="0" w:tentative="0">
      <w:start w:val="29"/>
      <w:numFmt w:val="decimal"/>
      <w:lvlText w:val="%1.2.4"/>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54">
    <w:nsid w:val="5B7615A2"/>
    <w:multiLevelType w:val="multilevel"/>
    <w:tmpl w:val="5B7615A2"/>
    <w:lvl w:ilvl="0" w:tentative="0">
      <w:start w:val="23"/>
      <w:numFmt w:val="decimal"/>
      <w:lvlText w:val="%1."/>
      <w:lvlJc w:val="left"/>
      <w:pPr>
        <w:ind w:left="420" w:hanging="420"/>
      </w:pPr>
      <w:rPr>
        <w:rFonts w:hint="eastAsia"/>
      </w:rPr>
    </w:lvl>
    <w:lvl w:ilvl="1" w:tentative="0">
      <w:start w:val="3"/>
      <w:numFmt w:val="decimal"/>
      <w:lvlText w:val="23.3.1.%2"/>
      <w:lvlJc w:val="left"/>
      <w:pPr>
        <w:ind w:left="964" w:hanging="544"/>
      </w:pPr>
      <w:rPr>
        <w:rFonts w:hint="eastAsia"/>
      </w:rPr>
    </w:lvl>
    <w:lvl w:ilvl="2" w:tentative="0">
      <w:start w:val="21"/>
      <w:numFmt w:val="decimal"/>
      <w:lvlText w:val="%3.1 "/>
      <w:lvlJc w:val="left"/>
      <w:pPr>
        <w:ind w:left="1560" w:hanging="720"/>
      </w:pPr>
      <w:rPr>
        <w:rFonts w:hint="eastAsia"/>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5">
    <w:nsid w:val="5C3055E2"/>
    <w:multiLevelType w:val="multilevel"/>
    <w:tmpl w:val="5C3055E2"/>
    <w:lvl w:ilvl="0" w:tentative="0">
      <w:start w:val="34"/>
      <w:numFmt w:val="decimal"/>
      <w:lvlText w:val="%1."/>
      <w:lvlJc w:val="left"/>
      <w:pPr>
        <w:ind w:left="420" w:hanging="420"/>
      </w:pPr>
      <w:rPr>
        <w:rFonts w:hint="eastAsia"/>
      </w:rPr>
    </w:lvl>
    <w:lvl w:ilvl="1" w:tentative="0">
      <w:start w:val="1"/>
      <w:numFmt w:val="decimal"/>
      <w:lvlText w:val="34. %2 "/>
      <w:lvlJc w:val="left"/>
      <w:pPr>
        <w:ind w:left="964" w:hanging="544"/>
      </w:pPr>
      <w:rPr>
        <w:rFonts w:hint="eastAsia"/>
      </w:rPr>
    </w:lvl>
    <w:lvl w:ilvl="2" w:tentative="0">
      <w:start w:val="23"/>
      <w:numFmt w:val="decimal"/>
      <w:lvlText w:val="%3.4 "/>
      <w:lvlJc w:val="left"/>
      <w:pPr>
        <w:ind w:left="1560" w:hanging="720"/>
      </w:pPr>
      <w:rPr>
        <w:rFonts w:hint="eastAsia"/>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6">
    <w:nsid w:val="5C561646"/>
    <w:multiLevelType w:val="multilevel"/>
    <w:tmpl w:val="5C561646"/>
    <w:lvl w:ilvl="0" w:tentative="0">
      <w:start w:val="21"/>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7">
    <w:nsid w:val="5F9C3ECF"/>
    <w:multiLevelType w:val="multilevel"/>
    <w:tmpl w:val="5F9C3ECF"/>
    <w:lvl w:ilvl="0" w:tentative="0">
      <w:start w:val="29"/>
      <w:numFmt w:val="decimal"/>
      <w:lvlText w:val="%1.7"/>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8">
    <w:nsid w:val="5FAD39AB"/>
    <w:multiLevelType w:val="multilevel"/>
    <w:tmpl w:val="5FAD39AB"/>
    <w:lvl w:ilvl="0" w:tentative="0">
      <w:start w:val="27"/>
      <w:numFmt w:val="decimal"/>
      <w:lvlText w:val="%1.2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9">
    <w:nsid w:val="618035B4"/>
    <w:multiLevelType w:val="multilevel"/>
    <w:tmpl w:val="618035B4"/>
    <w:lvl w:ilvl="0" w:tentative="0">
      <w:start w:val="7"/>
      <w:numFmt w:val="decimal"/>
      <w:lvlText w:val="3. %1 "/>
      <w:lvlJc w:val="left"/>
      <w:pPr>
        <w:ind w:left="42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0">
    <w:nsid w:val="657B6CAE"/>
    <w:multiLevelType w:val="multilevel"/>
    <w:tmpl w:val="657B6CAE"/>
    <w:lvl w:ilvl="0" w:tentative="0">
      <w:start w:val="29"/>
      <w:numFmt w:val="decimal"/>
      <w:lvlText w:val="%1.2"/>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67A97E62"/>
    <w:multiLevelType w:val="multilevel"/>
    <w:tmpl w:val="67A97E62"/>
    <w:lvl w:ilvl="0" w:tentative="0">
      <w:start w:val="1"/>
      <w:numFmt w:val="decimal"/>
      <w:lvlText w:val="38.1.%1"/>
      <w:lvlJc w:val="left"/>
      <w:pPr>
        <w:ind w:left="1407" w:hanging="420"/>
      </w:pPr>
      <w:rPr>
        <w:rFonts w:hint="eastAsia"/>
      </w:rPr>
    </w:lvl>
    <w:lvl w:ilvl="1" w:tentative="0">
      <w:start w:val="1"/>
      <w:numFmt w:val="lowerLetter"/>
      <w:lvlText w:val="%2)"/>
      <w:lvlJc w:val="left"/>
      <w:pPr>
        <w:ind w:left="1827" w:hanging="420"/>
      </w:pPr>
    </w:lvl>
    <w:lvl w:ilvl="2" w:tentative="0">
      <w:start w:val="1"/>
      <w:numFmt w:val="lowerRoman"/>
      <w:lvlText w:val="%3."/>
      <w:lvlJc w:val="right"/>
      <w:pPr>
        <w:ind w:left="2247" w:hanging="420"/>
      </w:pPr>
    </w:lvl>
    <w:lvl w:ilvl="3" w:tentative="0">
      <w:start w:val="1"/>
      <w:numFmt w:val="decimal"/>
      <w:lvlText w:val="%4."/>
      <w:lvlJc w:val="left"/>
      <w:pPr>
        <w:ind w:left="2667" w:hanging="420"/>
      </w:pPr>
    </w:lvl>
    <w:lvl w:ilvl="4" w:tentative="0">
      <w:start w:val="1"/>
      <w:numFmt w:val="lowerLetter"/>
      <w:lvlText w:val="%5)"/>
      <w:lvlJc w:val="left"/>
      <w:pPr>
        <w:ind w:left="3087" w:hanging="420"/>
      </w:pPr>
    </w:lvl>
    <w:lvl w:ilvl="5" w:tentative="0">
      <w:start w:val="1"/>
      <w:numFmt w:val="lowerRoman"/>
      <w:lvlText w:val="%6."/>
      <w:lvlJc w:val="right"/>
      <w:pPr>
        <w:ind w:left="3507" w:hanging="420"/>
      </w:pPr>
    </w:lvl>
    <w:lvl w:ilvl="6" w:tentative="0">
      <w:start w:val="1"/>
      <w:numFmt w:val="decimal"/>
      <w:lvlText w:val="%7."/>
      <w:lvlJc w:val="left"/>
      <w:pPr>
        <w:ind w:left="3927" w:hanging="420"/>
      </w:pPr>
    </w:lvl>
    <w:lvl w:ilvl="7" w:tentative="0">
      <w:start w:val="1"/>
      <w:numFmt w:val="lowerLetter"/>
      <w:lvlText w:val="%8)"/>
      <w:lvlJc w:val="left"/>
      <w:pPr>
        <w:ind w:left="4347" w:hanging="420"/>
      </w:pPr>
    </w:lvl>
    <w:lvl w:ilvl="8" w:tentative="0">
      <w:start w:val="1"/>
      <w:numFmt w:val="lowerRoman"/>
      <w:lvlText w:val="%9."/>
      <w:lvlJc w:val="right"/>
      <w:pPr>
        <w:ind w:left="4767" w:hanging="420"/>
      </w:pPr>
    </w:lvl>
  </w:abstractNum>
  <w:abstractNum w:abstractNumId="62">
    <w:nsid w:val="67D51130"/>
    <w:multiLevelType w:val="multilevel"/>
    <w:tmpl w:val="67D51130"/>
    <w:lvl w:ilvl="0" w:tentative="0">
      <w:start w:val="37"/>
      <w:numFmt w:val="decimal"/>
      <w:lvlText w:val="%1.3"/>
      <w:lvlJc w:val="left"/>
      <w:pPr>
        <w:ind w:left="964" w:hanging="54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3">
    <w:nsid w:val="6A4E0B21"/>
    <w:multiLevelType w:val="multilevel"/>
    <w:tmpl w:val="6A4E0B21"/>
    <w:lvl w:ilvl="0" w:tentative="0">
      <w:start w:val="1"/>
      <w:numFmt w:val="decimal"/>
      <w:lvlText w:val="25.1.%1"/>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4">
    <w:nsid w:val="6A7B4455"/>
    <w:multiLevelType w:val="multilevel"/>
    <w:tmpl w:val="6A7B4455"/>
    <w:lvl w:ilvl="0" w:tentative="0">
      <w:start w:val="1"/>
      <w:numFmt w:val="decimal"/>
      <w:lvlText w:val="%1.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5">
    <w:nsid w:val="6CEB39E3"/>
    <w:multiLevelType w:val="multilevel"/>
    <w:tmpl w:val="6CEB39E3"/>
    <w:lvl w:ilvl="0" w:tentative="0">
      <w:start w:val="27"/>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6">
    <w:nsid w:val="6EFC15FB"/>
    <w:multiLevelType w:val="multilevel"/>
    <w:tmpl w:val="6EFC15FB"/>
    <w:lvl w:ilvl="0" w:tentative="0">
      <w:start w:val="29"/>
      <w:numFmt w:val="decimal"/>
      <w:lvlText w:val="%1.2.3"/>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67">
    <w:nsid w:val="6FFF468F"/>
    <w:multiLevelType w:val="multilevel"/>
    <w:tmpl w:val="6FFF468F"/>
    <w:lvl w:ilvl="0" w:tentative="0">
      <w:start w:val="33"/>
      <w:numFmt w:val="decimal"/>
      <w:lvlText w:val="%1.2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8">
    <w:nsid w:val="7107724E"/>
    <w:multiLevelType w:val="multilevel"/>
    <w:tmpl w:val="7107724E"/>
    <w:lvl w:ilvl="0" w:tentative="0">
      <w:start w:val="27"/>
      <w:numFmt w:val="decimal"/>
      <w:lvlText w:val="%1.3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9">
    <w:nsid w:val="738573E8"/>
    <w:multiLevelType w:val="multilevel"/>
    <w:tmpl w:val="738573E8"/>
    <w:lvl w:ilvl="0" w:tentative="0">
      <w:start w:val="33"/>
      <w:numFmt w:val="decimal"/>
      <w:lvlText w:val="%1."/>
      <w:lvlJc w:val="left"/>
      <w:pPr>
        <w:ind w:left="420" w:hanging="420"/>
      </w:pPr>
      <w:rPr>
        <w:rFonts w:hint="eastAsia"/>
      </w:rPr>
    </w:lvl>
    <w:lvl w:ilvl="1" w:tentative="0">
      <w:start w:val="3"/>
      <w:numFmt w:val="decimal"/>
      <w:lvlText w:val="32. %2 "/>
      <w:lvlJc w:val="left"/>
      <w:pPr>
        <w:ind w:left="964" w:hanging="544"/>
      </w:pPr>
      <w:rPr>
        <w:rFonts w:hint="eastAsia"/>
      </w:rPr>
    </w:lvl>
    <w:lvl w:ilvl="2" w:tentative="0">
      <w:start w:val="23"/>
      <w:numFmt w:val="decimal"/>
      <w:lvlText w:val="%3.4 "/>
      <w:lvlJc w:val="left"/>
      <w:pPr>
        <w:ind w:left="1560" w:hanging="720"/>
      </w:pPr>
      <w:rPr>
        <w:rFonts w:hint="eastAsia"/>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70">
    <w:nsid w:val="73973D22"/>
    <w:multiLevelType w:val="multilevel"/>
    <w:tmpl w:val="73973D22"/>
    <w:lvl w:ilvl="0" w:tentative="0">
      <w:start w:val="1"/>
      <w:numFmt w:val="decimal"/>
      <w:lvlText w:val="34.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71">
    <w:nsid w:val="740F3425"/>
    <w:multiLevelType w:val="multilevel"/>
    <w:tmpl w:val="740F3425"/>
    <w:lvl w:ilvl="0" w:tentative="0">
      <w:start w:val="30"/>
      <w:numFmt w:val="decimal"/>
      <w:lvlText w:val="%1.1 "/>
      <w:lvlJc w:val="left"/>
      <w:pPr>
        <w:ind w:left="964" w:hanging="544"/>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2">
    <w:nsid w:val="7476BAF0"/>
    <w:multiLevelType w:val="singleLevel"/>
    <w:tmpl w:val="7476BAF0"/>
    <w:lvl w:ilvl="0" w:tentative="0">
      <w:start w:val="6"/>
      <w:numFmt w:val="decimal"/>
      <w:suff w:val="nothing"/>
      <w:lvlText w:val="（%1）"/>
      <w:lvlJc w:val="left"/>
    </w:lvl>
  </w:abstractNum>
  <w:abstractNum w:abstractNumId="73">
    <w:nsid w:val="74EA7979"/>
    <w:multiLevelType w:val="multilevel"/>
    <w:tmpl w:val="74EA7979"/>
    <w:lvl w:ilvl="0" w:tentative="0">
      <w:start w:val="29"/>
      <w:numFmt w:val="decimal"/>
      <w:lvlText w:val="%1.2.8"/>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74">
    <w:nsid w:val="75517D03"/>
    <w:multiLevelType w:val="multilevel"/>
    <w:tmpl w:val="75517D03"/>
    <w:lvl w:ilvl="0" w:tentative="0">
      <w:start w:val="27"/>
      <w:numFmt w:val="decimal"/>
      <w:lvlText w:val="%1."/>
      <w:lvlJc w:val="left"/>
      <w:pPr>
        <w:ind w:left="420" w:hanging="420"/>
      </w:pPr>
      <w:rPr>
        <w:rFonts w:hint="eastAsia"/>
      </w:rPr>
    </w:lvl>
    <w:lvl w:ilvl="1" w:tentative="0">
      <w:start w:val="1"/>
      <w:numFmt w:val="decimal"/>
      <w:lvlText w:val="25. %2 "/>
      <w:lvlJc w:val="left"/>
      <w:pPr>
        <w:ind w:left="964" w:hanging="544"/>
      </w:pPr>
      <w:rPr>
        <w:rFonts w:hint="eastAsia"/>
      </w:rPr>
    </w:lvl>
    <w:lvl w:ilvl="2" w:tentative="0">
      <w:start w:val="23"/>
      <w:numFmt w:val="decimal"/>
      <w:lvlText w:val="%3.4 "/>
      <w:lvlJc w:val="left"/>
      <w:pPr>
        <w:ind w:left="1560" w:hanging="720"/>
      </w:pPr>
      <w:rPr>
        <w:rFonts w:hint="eastAsia"/>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75">
    <w:nsid w:val="770A1C09"/>
    <w:multiLevelType w:val="multilevel"/>
    <w:tmpl w:val="770A1C09"/>
    <w:lvl w:ilvl="0" w:tentative="0">
      <w:start w:val="23"/>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6">
    <w:nsid w:val="78EC45A8"/>
    <w:multiLevelType w:val="multilevel"/>
    <w:tmpl w:val="78EC45A8"/>
    <w:lvl w:ilvl="0" w:tentative="0">
      <w:start w:val="41"/>
      <w:numFmt w:val="decimal"/>
      <w:lvlText w:val="%1"/>
      <w:lvlJc w:val="left"/>
      <w:pPr>
        <w:ind w:left="636" w:hanging="636"/>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1080" w:hanging="108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2160" w:hanging="2160"/>
      </w:pPr>
      <w:rPr>
        <w:rFonts w:hint="default"/>
      </w:rPr>
    </w:lvl>
    <w:lvl w:ilvl="7" w:tentative="0">
      <w:start w:val="1"/>
      <w:numFmt w:val="decimal"/>
      <w:lvlText w:val="%1.%2.%3.%4.%5.%6.%7.%8"/>
      <w:lvlJc w:val="left"/>
      <w:pPr>
        <w:ind w:left="2520" w:hanging="2520"/>
      </w:pPr>
      <w:rPr>
        <w:rFonts w:hint="default"/>
      </w:rPr>
    </w:lvl>
    <w:lvl w:ilvl="8" w:tentative="0">
      <w:start w:val="1"/>
      <w:numFmt w:val="decimal"/>
      <w:lvlText w:val="%1.%2.%3.%4.%5.%6.%7.%8.%9"/>
      <w:lvlJc w:val="left"/>
      <w:pPr>
        <w:ind w:left="2880" w:hanging="2880"/>
      </w:pPr>
      <w:rPr>
        <w:rFonts w:hint="default"/>
      </w:rPr>
    </w:lvl>
  </w:abstractNum>
  <w:abstractNum w:abstractNumId="77">
    <w:nsid w:val="7A2D5B57"/>
    <w:multiLevelType w:val="multilevel"/>
    <w:tmpl w:val="7A2D5B57"/>
    <w:lvl w:ilvl="0" w:tentative="0">
      <w:start w:val="32"/>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8">
    <w:nsid w:val="7B3910BC"/>
    <w:multiLevelType w:val="multilevel"/>
    <w:tmpl w:val="7B3910BC"/>
    <w:lvl w:ilvl="0" w:tentative="0">
      <w:start w:val="12"/>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9">
    <w:nsid w:val="7E7C3341"/>
    <w:multiLevelType w:val="multilevel"/>
    <w:tmpl w:val="7E7C3341"/>
    <w:lvl w:ilvl="0" w:tentative="0">
      <w:start w:val="1"/>
      <w:numFmt w:val="decimal"/>
      <w:lvlText w:val="32.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num w:numId="1">
    <w:abstractNumId w:val="2"/>
  </w:num>
  <w:num w:numId="2">
    <w:abstractNumId w:val="3"/>
  </w:num>
  <w:num w:numId="3">
    <w:abstractNumId w:val="49"/>
  </w:num>
  <w:num w:numId="4">
    <w:abstractNumId w:val="27"/>
  </w:num>
  <w:num w:numId="5">
    <w:abstractNumId w:val="50"/>
  </w:num>
  <w:num w:numId="6">
    <w:abstractNumId w:val="0"/>
  </w:num>
  <w:num w:numId="7">
    <w:abstractNumId w:val="48"/>
  </w:num>
  <w:num w:numId="8">
    <w:abstractNumId w:val="1"/>
  </w:num>
  <w:num w:numId="9">
    <w:abstractNumId w:val="32"/>
  </w:num>
  <w:num w:numId="10">
    <w:abstractNumId w:val="25"/>
  </w:num>
  <w:num w:numId="11">
    <w:abstractNumId w:val="64"/>
  </w:num>
  <w:num w:numId="12">
    <w:abstractNumId w:val="33"/>
  </w:num>
  <w:num w:numId="13">
    <w:abstractNumId w:val="35"/>
  </w:num>
  <w:num w:numId="14">
    <w:abstractNumId w:val="59"/>
  </w:num>
  <w:num w:numId="15">
    <w:abstractNumId w:val="17"/>
  </w:num>
  <w:num w:numId="16">
    <w:abstractNumId w:val="19"/>
  </w:num>
  <w:num w:numId="17">
    <w:abstractNumId w:val="78"/>
  </w:num>
  <w:num w:numId="18">
    <w:abstractNumId w:val="56"/>
  </w:num>
  <w:num w:numId="19">
    <w:abstractNumId w:val="75"/>
  </w:num>
  <w:num w:numId="20">
    <w:abstractNumId w:val="10"/>
  </w:num>
  <w:num w:numId="21">
    <w:abstractNumId w:val="12"/>
  </w:num>
  <w:num w:numId="22">
    <w:abstractNumId w:val="54"/>
  </w:num>
  <w:num w:numId="23">
    <w:abstractNumId w:val="30"/>
  </w:num>
  <w:num w:numId="24">
    <w:abstractNumId w:val="51"/>
  </w:num>
  <w:num w:numId="25">
    <w:abstractNumId w:val="63"/>
  </w:num>
  <w:num w:numId="26">
    <w:abstractNumId w:val="38"/>
  </w:num>
  <w:num w:numId="27">
    <w:abstractNumId w:val="31"/>
  </w:num>
  <w:num w:numId="28">
    <w:abstractNumId w:val="7"/>
  </w:num>
  <w:num w:numId="29">
    <w:abstractNumId w:val="22"/>
  </w:num>
  <w:num w:numId="30">
    <w:abstractNumId w:val="21"/>
  </w:num>
  <w:num w:numId="31">
    <w:abstractNumId w:val="74"/>
  </w:num>
  <w:num w:numId="32">
    <w:abstractNumId w:val="65"/>
  </w:num>
  <w:num w:numId="33">
    <w:abstractNumId w:val="58"/>
  </w:num>
  <w:num w:numId="34">
    <w:abstractNumId w:val="68"/>
  </w:num>
  <w:num w:numId="35">
    <w:abstractNumId w:val="45"/>
  </w:num>
  <w:num w:numId="36">
    <w:abstractNumId w:val="13"/>
  </w:num>
  <w:num w:numId="37">
    <w:abstractNumId w:val="24"/>
  </w:num>
  <w:num w:numId="38">
    <w:abstractNumId w:val="60"/>
  </w:num>
  <w:num w:numId="39">
    <w:abstractNumId w:val="36"/>
  </w:num>
  <w:num w:numId="40">
    <w:abstractNumId w:val="44"/>
  </w:num>
  <w:num w:numId="41">
    <w:abstractNumId w:val="66"/>
  </w:num>
  <w:num w:numId="42">
    <w:abstractNumId w:val="53"/>
  </w:num>
  <w:num w:numId="43">
    <w:abstractNumId w:val="37"/>
  </w:num>
  <w:num w:numId="44">
    <w:abstractNumId w:val="26"/>
  </w:num>
  <w:num w:numId="45">
    <w:abstractNumId w:val="28"/>
  </w:num>
  <w:num w:numId="46">
    <w:abstractNumId w:val="73"/>
  </w:num>
  <w:num w:numId="47">
    <w:abstractNumId w:val="29"/>
  </w:num>
  <w:num w:numId="48">
    <w:abstractNumId w:val="23"/>
  </w:num>
  <w:num w:numId="49">
    <w:abstractNumId w:val="11"/>
  </w:num>
  <w:num w:numId="50">
    <w:abstractNumId w:val="47"/>
  </w:num>
  <w:num w:numId="51">
    <w:abstractNumId w:val="43"/>
  </w:num>
  <w:num w:numId="52">
    <w:abstractNumId w:val="6"/>
  </w:num>
  <w:num w:numId="53">
    <w:abstractNumId w:val="8"/>
  </w:num>
  <w:num w:numId="54">
    <w:abstractNumId w:val="18"/>
  </w:num>
  <w:num w:numId="55">
    <w:abstractNumId w:val="57"/>
  </w:num>
  <w:num w:numId="56">
    <w:abstractNumId w:val="46"/>
  </w:num>
  <w:num w:numId="57">
    <w:abstractNumId w:val="71"/>
  </w:num>
  <w:num w:numId="58">
    <w:abstractNumId w:val="40"/>
  </w:num>
  <w:num w:numId="59">
    <w:abstractNumId w:val="77"/>
  </w:num>
  <w:num w:numId="60">
    <w:abstractNumId w:val="79"/>
  </w:num>
  <w:num w:numId="61">
    <w:abstractNumId w:val="20"/>
  </w:num>
  <w:num w:numId="62">
    <w:abstractNumId w:val="14"/>
  </w:num>
  <w:num w:numId="63">
    <w:abstractNumId w:val="42"/>
  </w:num>
  <w:num w:numId="64">
    <w:abstractNumId w:val="69"/>
  </w:num>
  <w:num w:numId="65">
    <w:abstractNumId w:val="67"/>
  </w:num>
  <w:num w:numId="66">
    <w:abstractNumId w:val="55"/>
  </w:num>
  <w:num w:numId="67">
    <w:abstractNumId w:val="5"/>
  </w:num>
  <w:num w:numId="68">
    <w:abstractNumId w:val="70"/>
  </w:num>
  <w:num w:numId="69">
    <w:abstractNumId w:val="4"/>
  </w:num>
  <w:num w:numId="70">
    <w:abstractNumId w:val="16"/>
  </w:num>
  <w:num w:numId="71">
    <w:abstractNumId w:val="52"/>
  </w:num>
  <w:num w:numId="72">
    <w:abstractNumId w:val="15"/>
  </w:num>
  <w:num w:numId="73">
    <w:abstractNumId w:val="62"/>
  </w:num>
  <w:num w:numId="74">
    <w:abstractNumId w:val="9"/>
  </w:num>
  <w:num w:numId="75">
    <w:abstractNumId w:val="61"/>
  </w:num>
  <w:num w:numId="76">
    <w:abstractNumId w:val="34"/>
  </w:num>
  <w:num w:numId="77">
    <w:abstractNumId w:val="39"/>
  </w:num>
  <w:num w:numId="78">
    <w:abstractNumId w:val="76"/>
  </w:num>
  <w:num w:numId="79">
    <w:abstractNumId w:val="72"/>
  </w:num>
  <w:num w:numId="8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IzODExMWRmOTU4YTJkNDYyMTQwMDZkZjczZDgyYTIifQ=="/>
  </w:docVars>
  <w:rsids>
    <w:rsidRoot w:val="00A955C2"/>
    <w:rsid w:val="000019B0"/>
    <w:rsid w:val="00005193"/>
    <w:rsid w:val="00005E59"/>
    <w:rsid w:val="000067F7"/>
    <w:rsid w:val="0000688A"/>
    <w:rsid w:val="0000762E"/>
    <w:rsid w:val="0001005B"/>
    <w:rsid w:val="0001503A"/>
    <w:rsid w:val="00021B1B"/>
    <w:rsid w:val="0002390B"/>
    <w:rsid w:val="0002486A"/>
    <w:rsid w:val="00030573"/>
    <w:rsid w:val="00031724"/>
    <w:rsid w:val="0003316E"/>
    <w:rsid w:val="00041E92"/>
    <w:rsid w:val="00043C89"/>
    <w:rsid w:val="0004704B"/>
    <w:rsid w:val="00055F76"/>
    <w:rsid w:val="00062865"/>
    <w:rsid w:val="00066DB8"/>
    <w:rsid w:val="000719E0"/>
    <w:rsid w:val="00074CFC"/>
    <w:rsid w:val="00082355"/>
    <w:rsid w:val="00082BFE"/>
    <w:rsid w:val="000852C0"/>
    <w:rsid w:val="00085367"/>
    <w:rsid w:val="00085B7C"/>
    <w:rsid w:val="00091AA2"/>
    <w:rsid w:val="00093DD4"/>
    <w:rsid w:val="00097B58"/>
    <w:rsid w:val="000A0F2A"/>
    <w:rsid w:val="000A655B"/>
    <w:rsid w:val="000A7BA4"/>
    <w:rsid w:val="000B06C8"/>
    <w:rsid w:val="000B458E"/>
    <w:rsid w:val="000B5488"/>
    <w:rsid w:val="000C0B7C"/>
    <w:rsid w:val="000C0D09"/>
    <w:rsid w:val="000C4635"/>
    <w:rsid w:val="000C6642"/>
    <w:rsid w:val="000D5B97"/>
    <w:rsid w:val="000D701D"/>
    <w:rsid w:val="000E20C1"/>
    <w:rsid w:val="000E2BB7"/>
    <w:rsid w:val="000F5F2C"/>
    <w:rsid w:val="00101197"/>
    <w:rsid w:val="00110323"/>
    <w:rsid w:val="0011064D"/>
    <w:rsid w:val="00110776"/>
    <w:rsid w:val="001121A8"/>
    <w:rsid w:val="001210D8"/>
    <w:rsid w:val="001219A0"/>
    <w:rsid w:val="001223FF"/>
    <w:rsid w:val="001260AF"/>
    <w:rsid w:val="001261BA"/>
    <w:rsid w:val="0013339A"/>
    <w:rsid w:val="00135915"/>
    <w:rsid w:val="0013773C"/>
    <w:rsid w:val="00140D4A"/>
    <w:rsid w:val="00142362"/>
    <w:rsid w:val="0014473A"/>
    <w:rsid w:val="00145BEE"/>
    <w:rsid w:val="0014672D"/>
    <w:rsid w:val="00151967"/>
    <w:rsid w:val="001527C8"/>
    <w:rsid w:val="0015641F"/>
    <w:rsid w:val="00157527"/>
    <w:rsid w:val="00161B9E"/>
    <w:rsid w:val="001671D4"/>
    <w:rsid w:val="0017088D"/>
    <w:rsid w:val="00174765"/>
    <w:rsid w:val="00174D32"/>
    <w:rsid w:val="00181F92"/>
    <w:rsid w:val="00186162"/>
    <w:rsid w:val="001877B3"/>
    <w:rsid w:val="001A6450"/>
    <w:rsid w:val="001B0BC8"/>
    <w:rsid w:val="001B5936"/>
    <w:rsid w:val="001C04A6"/>
    <w:rsid w:val="001C5D9B"/>
    <w:rsid w:val="001D0D47"/>
    <w:rsid w:val="001D46C6"/>
    <w:rsid w:val="001D7FE9"/>
    <w:rsid w:val="001E1827"/>
    <w:rsid w:val="001E1D52"/>
    <w:rsid w:val="001E7FF7"/>
    <w:rsid w:val="001F5CCE"/>
    <w:rsid w:val="001F5EC9"/>
    <w:rsid w:val="001F6B5B"/>
    <w:rsid w:val="001F6E0E"/>
    <w:rsid w:val="00200EE5"/>
    <w:rsid w:val="002018B1"/>
    <w:rsid w:val="002077DC"/>
    <w:rsid w:val="00221033"/>
    <w:rsid w:val="00225A91"/>
    <w:rsid w:val="00237649"/>
    <w:rsid w:val="00237A6E"/>
    <w:rsid w:val="00245D09"/>
    <w:rsid w:val="00247A03"/>
    <w:rsid w:val="00250347"/>
    <w:rsid w:val="0026329F"/>
    <w:rsid w:val="00266FE0"/>
    <w:rsid w:val="00271421"/>
    <w:rsid w:val="00275783"/>
    <w:rsid w:val="00284E4F"/>
    <w:rsid w:val="00291601"/>
    <w:rsid w:val="002923A5"/>
    <w:rsid w:val="00296423"/>
    <w:rsid w:val="002A5022"/>
    <w:rsid w:val="002A57A5"/>
    <w:rsid w:val="002A69C8"/>
    <w:rsid w:val="002A7086"/>
    <w:rsid w:val="002A7B98"/>
    <w:rsid w:val="002A7DE8"/>
    <w:rsid w:val="002B2DC3"/>
    <w:rsid w:val="002B343D"/>
    <w:rsid w:val="002B4184"/>
    <w:rsid w:val="002B43F5"/>
    <w:rsid w:val="002B4562"/>
    <w:rsid w:val="002B4FE5"/>
    <w:rsid w:val="002B57DB"/>
    <w:rsid w:val="002B613D"/>
    <w:rsid w:val="002C1F51"/>
    <w:rsid w:val="002C3BA9"/>
    <w:rsid w:val="002D22A0"/>
    <w:rsid w:val="002D63DB"/>
    <w:rsid w:val="002F2477"/>
    <w:rsid w:val="002F37A8"/>
    <w:rsid w:val="002F6D86"/>
    <w:rsid w:val="002F7B53"/>
    <w:rsid w:val="0031334E"/>
    <w:rsid w:val="0031558C"/>
    <w:rsid w:val="00317E88"/>
    <w:rsid w:val="0032088E"/>
    <w:rsid w:val="0032262D"/>
    <w:rsid w:val="00322BFC"/>
    <w:rsid w:val="00325FC8"/>
    <w:rsid w:val="00331A67"/>
    <w:rsid w:val="00335F02"/>
    <w:rsid w:val="00341412"/>
    <w:rsid w:val="00343DC3"/>
    <w:rsid w:val="003450BD"/>
    <w:rsid w:val="0035062D"/>
    <w:rsid w:val="003515AF"/>
    <w:rsid w:val="00352FD2"/>
    <w:rsid w:val="00353E56"/>
    <w:rsid w:val="00354107"/>
    <w:rsid w:val="00360063"/>
    <w:rsid w:val="00360D45"/>
    <w:rsid w:val="003615F3"/>
    <w:rsid w:val="003740C8"/>
    <w:rsid w:val="0037479D"/>
    <w:rsid w:val="00374DEC"/>
    <w:rsid w:val="003762C5"/>
    <w:rsid w:val="003812E1"/>
    <w:rsid w:val="00384F93"/>
    <w:rsid w:val="00386ECD"/>
    <w:rsid w:val="00391455"/>
    <w:rsid w:val="00392509"/>
    <w:rsid w:val="00396B78"/>
    <w:rsid w:val="003A0781"/>
    <w:rsid w:val="003A2250"/>
    <w:rsid w:val="003B0849"/>
    <w:rsid w:val="003B0E5A"/>
    <w:rsid w:val="003B27D3"/>
    <w:rsid w:val="003C25D6"/>
    <w:rsid w:val="003C265B"/>
    <w:rsid w:val="003C2D4C"/>
    <w:rsid w:val="003C5E63"/>
    <w:rsid w:val="003D3029"/>
    <w:rsid w:val="003D5B97"/>
    <w:rsid w:val="003D5E5D"/>
    <w:rsid w:val="003D6558"/>
    <w:rsid w:val="003D7355"/>
    <w:rsid w:val="003E2203"/>
    <w:rsid w:val="003E25B5"/>
    <w:rsid w:val="003E2CF4"/>
    <w:rsid w:val="003E2F38"/>
    <w:rsid w:val="003F01D8"/>
    <w:rsid w:val="003F42FB"/>
    <w:rsid w:val="004008FC"/>
    <w:rsid w:val="00401D49"/>
    <w:rsid w:val="004125C6"/>
    <w:rsid w:val="004142BC"/>
    <w:rsid w:val="004173DF"/>
    <w:rsid w:val="00417AE4"/>
    <w:rsid w:val="00425C55"/>
    <w:rsid w:val="0042623D"/>
    <w:rsid w:val="0042623E"/>
    <w:rsid w:val="004355F3"/>
    <w:rsid w:val="00437178"/>
    <w:rsid w:val="00437274"/>
    <w:rsid w:val="0044631B"/>
    <w:rsid w:val="00450C3C"/>
    <w:rsid w:val="00452029"/>
    <w:rsid w:val="00454B3A"/>
    <w:rsid w:val="004562A8"/>
    <w:rsid w:val="00456522"/>
    <w:rsid w:val="00456809"/>
    <w:rsid w:val="00463817"/>
    <w:rsid w:val="0046559B"/>
    <w:rsid w:val="00470B31"/>
    <w:rsid w:val="00470F5A"/>
    <w:rsid w:val="00475CC1"/>
    <w:rsid w:val="004763F8"/>
    <w:rsid w:val="00476A53"/>
    <w:rsid w:val="0048657D"/>
    <w:rsid w:val="00490D74"/>
    <w:rsid w:val="00494638"/>
    <w:rsid w:val="00497576"/>
    <w:rsid w:val="004A1386"/>
    <w:rsid w:val="004A72BC"/>
    <w:rsid w:val="004B031B"/>
    <w:rsid w:val="004B1433"/>
    <w:rsid w:val="004B2614"/>
    <w:rsid w:val="004B2E5A"/>
    <w:rsid w:val="004B668E"/>
    <w:rsid w:val="004C07D4"/>
    <w:rsid w:val="004C47BF"/>
    <w:rsid w:val="004E016E"/>
    <w:rsid w:val="004E1676"/>
    <w:rsid w:val="004E4818"/>
    <w:rsid w:val="004F4B43"/>
    <w:rsid w:val="004F5402"/>
    <w:rsid w:val="004F6C06"/>
    <w:rsid w:val="004F742E"/>
    <w:rsid w:val="00507941"/>
    <w:rsid w:val="005102AE"/>
    <w:rsid w:val="00510F11"/>
    <w:rsid w:val="00511C69"/>
    <w:rsid w:val="00511ED2"/>
    <w:rsid w:val="005136C2"/>
    <w:rsid w:val="00515ACF"/>
    <w:rsid w:val="00515DCF"/>
    <w:rsid w:val="00521550"/>
    <w:rsid w:val="00523A81"/>
    <w:rsid w:val="00524C6D"/>
    <w:rsid w:val="00526728"/>
    <w:rsid w:val="00534A62"/>
    <w:rsid w:val="00537BC1"/>
    <w:rsid w:val="00541303"/>
    <w:rsid w:val="00541719"/>
    <w:rsid w:val="005456D2"/>
    <w:rsid w:val="00550C25"/>
    <w:rsid w:val="00550D34"/>
    <w:rsid w:val="005512A0"/>
    <w:rsid w:val="00554703"/>
    <w:rsid w:val="005573BE"/>
    <w:rsid w:val="00557D15"/>
    <w:rsid w:val="0056006B"/>
    <w:rsid w:val="00562851"/>
    <w:rsid w:val="00562D37"/>
    <w:rsid w:val="005645FA"/>
    <w:rsid w:val="00564C20"/>
    <w:rsid w:val="00566A68"/>
    <w:rsid w:val="0057154E"/>
    <w:rsid w:val="00574B52"/>
    <w:rsid w:val="00576EE5"/>
    <w:rsid w:val="00584191"/>
    <w:rsid w:val="005851B9"/>
    <w:rsid w:val="00585C77"/>
    <w:rsid w:val="00585F73"/>
    <w:rsid w:val="00591FE9"/>
    <w:rsid w:val="00594D22"/>
    <w:rsid w:val="00595024"/>
    <w:rsid w:val="005A3BD5"/>
    <w:rsid w:val="005A7DA9"/>
    <w:rsid w:val="005B0ECE"/>
    <w:rsid w:val="005B5AEE"/>
    <w:rsid w:val="005B5E55"/>
    <w:rsid w:val="005B70AD"/>
    <w:rsid w:val="005C36BF"/>
    <w:rsid w:val="005C5A33"/>
    <w:rsid w:val="005D02C8"/>
    <w:rsid w:val="005D51FF"/>
    <w:rsid w:val="005D63DE"/>
    <w:rsid w:val="005E140E"/>
    <w:rsid w:val="005E2EB4"/>
    <w:rsid w:val="005E59AA"/>
    <w:rsid w:val="005F00E9"/>
    <w:rsid w:val="005F20B0"/>
    <w:rsid w:val="00600B9B"/>
    <w:rsid w:val="00607496"/>
    <w:rsid w:val="00607DE3"/>
    <w:rsid w:val="006103BD"/>
    <w:rsid w:val="006135EE"/>
    <w:rsid w:val="0061419A"/>
    <w:rsid w:val="00616F06"/>
    <w:rsid w:val="006170AE"/>
    <w:rsid w:val="0062412C"/>
    <w:rsid w:val="00631508"/>
    <w:rsid w:val="006325E6"/>
    <w:rsid w:val="00636AAD"/>
    <w:rsid w:val="006377E5"/>
    <w:rsid w:val="0064000F"/>
    <w:rsid w:val="00644568"/>
    <w:rsid w:val="00644E64"/>
    <w:rsid w:val="0064732B"/>
    <w:rsid w:val="00660EF4"/>
    <w:rsid w:val="006705D1"/>
    <w:rsid w:val="00671B08"/>
    <w:rsid w:val="006720EC"/>
    <w:rsid w:val="00672146"/>
    <w:rsid w:val="00681D6E"/>
    <w:rsid w:val="0068257C"/>
    <w:rsid w:val="00683E55"/>
    <w:rsid w:val="00686DB4"/>
    <w:rsid w:val="00691AB0"/>
    <w:rsid w:val="00692008"/>
    <w:rsid w:val="006A0C82"/>
    <w:rsid w:val="006A79FB"/>
    <w:rsid w:val="006B42F0"/>
    <w:rsid w:val="006C247C"/>
    <w:rsid w:val="006C690F"/>
    <w:rsid w:val="006C79FF"/>
    <w:rsid w:val="006D0CB8"/>
    <w:rsid w:val="006D513D"/>
    <w:rsid w:val="006D7D4D"/>
    <w:rsid w:val="006E005D"/>
    <w:rsid w:val="006E2152"/>
    <w:rsid w:val="006E2316"/>
    <w:rsid w:val="006E2D88"/>
    <w:rsid w:val="006E31FA"/>
    <w:rsid w:val="006E7815"/>
    <w:rsid w:val="006F2CA9"/>
    <w:rsid w:val="006F63BF"/>
    <w:rsid w:val="006F6CD9"/>
    <w:rsid w:val="006F7BEE"/>
    <w:rsid w:val="00700D60"/>
    <w:rsid w:val="007020DA"/>
    <w:rsid w:val="0070414D"/>
    <w:rsid w:val="007060F2"/>
    <w:rsid w:val="00715FDF"/>
    <w:rsid w:val="00720A57"/>
    <w:rsid w:val="00721C78"/>
    <w:rsid w:val="00723357"/>
    <w:rsid w:val="007302C5"/>
    <w:rsid w:val="00737AFE"/>
    <w:rsid w:val="00737F38"/>
    <w:rsid w:val="0074067C"/>
    <w:rsid w:val="00746CEA"/>
    <w:rsid w:val="00747F48"/>
    <w:rsid w:val="00751E61"/>
    <w:rsid w:val="00752B8A"/>
    <w:rsid w:val="007553FB"/>
    <w:rsid w:val="007625F5"/>
    <w:rsid w:val="00765AF2"/>
    <w:rsid w:val="00771828"/>
    <w:rsid w:val="0077284D"/>
    <w:rsid w:val="0077324A"/>
    <w:rsid w:val="007819DB"/>
    <w:rsid w:val="00786062"/>
    <w:rsid w:val="0078628A"/>
    <w:rsid w:val="00791C13"/>
    <w:rsid w:val="007944B5"/>
    <w:rsid w:val="007A1004"/>
    <w:rsid w:val="007A14CC"/>
    <w:rsid w:val="007A4D71"/>
    <w:rsid w:val="007B1F5A"/>
    <w:rsid w:val="007C58F6"/>
    <w:rsid w:val="007C5BA1"/>
    <w:rsid w:val="007F2012"/>
    <w:rsid w:val="007F2A1A"/>
    <w:rsid w:val="007F7E58"/>
    <w:rsid w:val="008003B1"/>
    <w:rsid w:val="00800F3D"/>
    <w:rsid w:val="00803EFE"/>
    <w:rsid w:val="0080419B"/>
    <w:rsid w:val="0080744C"/>
    <w:rsid w:val="0081197D"/>
    <w:rsid w:val="0082078C"/>
    <w:rsid w:val="00821D24"/>
    <w:rsid w:val="00825076"/>
    <w:rsid w:val="00830B83"/>
    <w:rsid w:val="0084292F"/>
    <w:rsid w:val="008442F5"/>
    <w:rsid w:val="00844425"/>
    <w:rsid w:val="00844CFF"/>
    <w:rsid w:val="008479C6"/>
    <w:rsid w:val="00850406"/>
    <w:rsid w:val="00850B17"/>
    <w:rsid w:val="00852B8D"/>
    <w:rsid w:val="00853F01"/>
    <w:rsid w:val="00857EF3"/>
    <w:rsid w:val="00870428"/>
    <w:rsid w:val="00874F3C"/>
    <w:rsid w:val="00876267"/>
    <w:rsid w:val="00880A98"/>
    <w:rsid w:val="00886347"/>
    <w:rsid w:val="00891ADA"/>
    <w:rsid w:val="008954C1"/>
    <w:rsid w:val="00896781"/>
    <w:rsid w:val="008B2536"/>
    <w:rsid w:val="008B30ED"/>
    <w:rsid w:val="008B4873"/>
    <w:rsid w:val="008C1FC2"/>
    <w:rsid w:val="008C45D9"/>
    <w:rsid w:val="008C70F7"/>
    <w:rsid w:val="008D15FD"/>
    <w:rsid w:val="008D1B3F"/>
    <w:rsid w:val="008D6FD5"/>
    <w:rsid w:val="008E1B72"/>
    <w:rsid w:val="008E22B0"/>
    <w:rsid w:val="008E65D4"/>
    <w:rsid w:val="008F0514"/>
    <w:rsid w:val="009044FC"/>
    <w:rsid w:val="00905274"/>
    <w:rsid w:val="00911F61"/>
    <w:rsid w:val="009145B3"/>
    <w:rsid w:val="00914B9F"/>
    <w:rsid w:val="00921EED"/>
    <w:rsid w:val="0092422A"/>
    <w:rsid w:val="0092644B"/>
    <w:rsid w:val="009270C9"/>
    <w:rsid w:val="009336FD"/>
    <w:rsid w:val="00933ECF"/>
    <w:rsid w:val="00934E0C"/>
    <w:rsid w:val="00940491"/>
    <w:rsid w:val="009420E0"/>
    <w:rsid w:val="009444BC"/>
    <w:rsid w:val="009529DE"/>
    <w:rsid w:val="00952F7A"/>
    <w:rsid w:val="0095307E"/>
    <w:rsid w:val="00954850"/>
    <w:rsid w:val="00956E92"/>
    <w:rsid w:val="00960ED5"/>
    <w:rsid w:val="00971122"/>
    <w:rsid w:val="009754D6"/>
    <w:rsid w:val="00980981"/>
    <w:rsid w:val="00981F2E"/>
    <w:rsid w:val="00985DC8"/>
    <w:rsid w:val="00986F47"/>
    <w:rsid w:val="0098731E"/>
    <w:rsid w:val="009A0911"/>
    <w:rsid w:val="009A1993"/>
    <w:rsid w:val="009B1A9B"/>
    <w:rsid w:val="009B5542"/>
    <w:rsid w:val="009C12AB"/>
    <w:rsid w:val="009C4547"/>
    <w:rsid w:val="009C7334"/>
    <w:rsid w:val="009D52B9"/>
    <w:rsid w:val="009D5989"/>
    <w:rsid w:val="009D7E32"/>
    <w:rsid w:val="009E082E"/>
    <w:rsid w:val="009E5DAD"/>
    <w:rsid w:val="009E66B0"/>
    <w:rsid w:val="009E67EC"/>
    <w:rsid w:val="009F285D"/>
    <w:rsid w:val="009F384B"/>
    <w:rsid w:val="009F56D9"/>
    <w:rsid w:val="00A01093"/>
    <w:rsid w:val="00A02702"/>
    <w:rsid w:val="00A05F45"/>
    <w:rsid w:val="00A06138"/>
    <w:rsid w:val="00A1315B"/>
    <w:rsid w:val="00A158BB"/>
    <w:rsid w:val="00A15E63"/>
    <w:rsid w:val="00A313C6"/>
    <w:rsid w:val="00A3153E"/>
    <w:rsid w:val="00A32680"/>
    <w:rsid w:val="00A33115"/>
    <w:rsid w:val="00A36A7A"/>
    <w:rsid w:val="00A372D4"/>
    <w:rsid w:val="00A40BF0"/>
    <w:rsid w:val="00A46AAB"/>
    <w:rsid w:val="00A47CBC"/>
    <w:rsid w:val="00A5355D"/>
    <w:rsid w:val="00A571EA"/>
    <w:rsid w:val="00A57BCC"/>
    <w:rsid w:val="00A613AB"/>
    <w:rsid w:val="00A62E96"/>
    <w:rsid w:val="00A67370"/>
    <w:rsid w:val="00A7155C"/>
    <w:rsid w:val="00A75BE8"/>
    <w:rsid w:val="00A768D5"/>
    <w:rsid w:val="00A819A9"/>
    <w:rsid w:val="00A84AFE"/>
    <w:rsid w:val="00A9198F"/>
    <w:rsid w:val="00A955C2"/>
    <w:rsid w:val="00A95716"/>
    <w:rsid w:val="00A959A8"/>
    <w:rsid w:val="00AA18C8"/>
    <w:rsid w:val="00AA1DDA"/>
    <w:rsid w:val="00AA5D85"/>
    <w:rsid w:val="00AA6DE7"/>
    <w:rsid w:val="00AB1340"/>
    <w:rsid w:val="00AB1BE5"/>
    <w:rsid w:val="00AB284A"/>
    <w:rsid w:val="00AB64A7"/>
    <w:rsid w:val="00AC0EE8"/>
    <w:rsid w:val="00AC4291"/>
    <w:rsid w:val="00AC768D"/>
    <w:rsid w:val="00AD0F7D"/>
    <w:rsid w:val="00AD546E"/>
    <w:rsid w:val="00AF5E4C"/>
    <w:rsid w:val="00AF608C"/>
    <w:rsid w:val="00AF6D55"/>
    <w:rsid w:val="00B001C6"/>
    <w:rsid w:val="00B04987"/>
    <w:rsid w:val="00B1187E"/>
    <w:rsid w:val="00B1733D"/>
    <w:rsid w:val="00B20DF7"/>
    <w:rsid w:val="00B323D7"/>
    <w:rsid w:val="00B33085"/>
    <w:rsid w:val="00B37B6C"/>
    <w:rsid w:val="00B4349C"/>
    <w:rsid w:val="00B46D1A"/>
    <w:rsid w:val="00B50A76"/>
    <w:rsid w:val="00B537BD"/>
    <w:rsid w:val="00B54F8C"/>
    <w:rsid w:val="00B61B65"/>
    <w:rsid w:val="00B63AB7"/>
    <w:rsid w:val="00B6576E"/>
    <w:rsid w:val="00B6669E"/>
    <w:rsid w:val="00B75774"/>
    <w:rsid w:val="00B76A87"/>
    <w:rsid w:val="00B82013"/>
    <w:rsid w:val="00B85C40"/>
    <w:rsid w:val="00B9068C"/>
    <w:rsid w:val="00B91A5A"/>
    <w:rsid w:val="00BA1D6A"/>
    <w:rsid w:val="00BA3AD8"/>
    <w:rsid w:val="00BA3C25"/>
    <w:rsid w:val="00BB218F"/>
    <w:rsid w:val="00BC3757"/>
    <w:rsid w:val="00BD6B08"/>
    <w:rsid w:val="00BD7DDB"/>
    <w:rsid w:val="00BE0E94"/>
    <w:rsid w:val="00BE1238"/>
    <w:rsid w:val="00BE347F"/>
    <w:rsid w:val="00BE7BF7"/>
    <w:rsid w:val="00BF1EA5"/>
    <w:rsid w:val="00BF4170"/>
    <w:rsid w:val="00BF68B0"/>
    <w:rsid w:val="00C00A53"/>
    <w:rsid w:val="00C0331F"/>
    <w:rsid w:val="00C041E1"/>
    <w:rsid w:val="00C06F62"/>
    <w:rsid w:val="00C10587"/>
    <w:rsid w:val="00C118FD"/>
    <w:rsid w:val="00C248C6"/>
    <w:rsid w:val="00C327E0"/>
    <w:rsid w:val="00C3322C"/>
    <w:rsid w:val="00C355B6"/>
    <w:rsid w:val="00C36D8D"/>
    <w:rsid w:val="00C37638"/>
    <w:rsid w:val="00C40A71"/>
    <w:rsid w:val="00C47970"/>
    <w:rsid w:val="00C52377"/>
    <w:rsid w:val="00C53C98"/>
    <w:rsid w:val="00C64E51"/>
    <w:rsid w:val="00C656E1"/>
    <w:rsid w:val="00C67512"/>
    <w:rsid w:val="00C83E60"/>
    <w:rsid w:val="00C87C62"/>
    <w:rsid w:val="00C90864"/>
    <w:rsid w:val="00C90CE6"/>
    <w:rsid w:val="00C9179D"/>
    <w:rsid w:val="00C93FA4"/>
    <w:rsid w:val="00C95B81"/>
    <w:rsid w:val="00C9605A"/>
    <w:rsid w:val="00CA3092"/>
    <w:rsid w:val="00CA6C5D"/>
    <w:rsid w:val="00CB07CB"/>
    <w:rsid w:val="00CB09DD"/>
    <w:rsid w:val="00CB486E"/>
    <w:rsid w:val="00CC10CA"/>
    <w:rsid w:val="00CC65A1"/>
    <w:rsid w:val="00CD01AA"/>
    <w:rsid w:val="00CD5897"/>
    <w:rsid w:val="00CE268B"/>
    <w:rsid w:val="00CE3274"/>
    <w:rsid w:val="00CE4CAB"/>
    <w:rsid w:val="00CE6F0C"/>
    <w:rsid w:val="00CF186C"/>
    <w:rsid w:val="00D000F5"/>
    <w:rsid w:val="00D033EF"/>
    <w:rsid w:val="00D07DAD"/>
    <w:rsid w:val="00D07F6E"/>
    <w:rsid w:val="00D12130"/>
    <w:rsid w:val="00D24F6E"/>
    <w:rsid w:val="00D25406"/>
    <w:rsid w:val="00D2620D"/>
    <w:rsid w:val="00D27188"/>
    <w:rsid w:val="00D401AD"/>
    <w:rsid w:val="00D45EBD"/>
    <w:rsid w:val="00D60EA7"/>
    <w:rsid w:val="00D75F9C"/>
    <w:rsid w:val="00D77F59"/>
    <w:rsid w:val="00D82A24"/>
    <w:rsid w:val="00D837B0"/>
    <w:rsid w:val="00D849E9"/>
    <w:rsid w:val="00D85871"/>
    <w:rsid w:val="00D90E84"/>
    <w:rsid w:val="00DA1661"/>
    <w:rsid w:val="00DA44C0"/>
    <w:rsid w:val="00DA644E"/>
    <w:rsid w:val="00DA78EE"/>
    <w:rsid w:val="00DB4E0D"/>
    <w:rsid w:val="00DC3A48"/>
    <w:rsid w:val="00DC3AF4"/>
    <w:rsid w:val="00DC3D5A"/>
    <w:rsid w:val="00DC5952"/>
    <w:rsid w:val="00DC6E45"/>
    <w:rsid w:val="00DD16DD"/>
    <w:rsid w:val="00DD1C65"/>
    <w:rsid w:val="00DD25EC"/>
    <w:rsid w:val="00DD5DA3"/>
    <w:rsid w:val="00DD70B6"/>
    <w:rsid w:val="00DE1709"/>
    <w:rsid w:val="00DE3C44"/>
    <w:rsid w:val="00DE43B7"/>
    <w:rsid w:val="00DE65AF"/>
    <w:rsid w:val="00E03ABC"/>
    <w:rsid w:val="00E07B62"/>
    <w:rsid w:val="00E1037B"/>
    <w:rsid w:val="00E10B25"/>
    <w:rsid w:val="00E176CC"/>
    <w:rsid w:val="00E2064B"/>
    <w:rsid w:val="00E23886"/>
    <w:rsid w:val="00E27FD9"/>
    <w:rsid w:val="00E308FD"/>
    <w:rsid w:val="00E31971"/>
    <w:rsid w:val="00E367B5"/>
    <w:rsid w:val="00E40071"/>
    <w:rsid w:val="00E405CF"/>
    <w:rsid w:val="00E4251C"/>
    <w:rsid w:val="00E439B5"/>
    <w:rsid w:val="00E458EF"/>
    <w:rsid w:val="00E525DC"/>
    <w:rsid w:val="00E539D0"/>
    <w:rsid w:val="00E53F54"/>
    <w:rsid w:val="00E555C0"/>
    <w:rsid w:val="00E57AD9"/>
    <w:rsid w:val="00E6345A"/>
    <w:rsid w:val="00E654AD"/>
    <w:rsid w:val="00E6582A"/>
    <w:rsid w:val="00E6589D"/>
    <w:rsid w:val="00E73258"/>
    <w:rsid w:val="00E7574E"/>
    <w:rsid w:val="00E77BF1"/>
    <w:rsid w:val="00E77DAB"/>
    <w:rsid w:val="00E82130"/>
    <w:rsid w:val="00E832C1"/>
    <w:rsid w:val="00E84B16"/>
    <w:rsid w:val="00E9016F"/>
    <w:rsid w:val="00E92193"/>
    <w:rsid w:val="00E92F97"/>
    <w:rsid w:val="00E94269"/>
    <w:rsid w:val="00E96905"/>
    <w:rsid w:val="00EA0189"/>
    <w:rsid w:val="00EA2676"/>
    <w:rsid w:val="00EA37E1"/>
    <w:rsid w:val="00EA4DF9"/>
    <w:rsid w:val="00EB487B"/>
    <w:rsid w:val="00EC126D"/>
    <w:rsid w:val="00EC2705"/>
    <w:rsid w:val="00EC4A10"/>
    <w:rsid w:val="00EC57F2"/>
    <w:rsid w:val="00EC7BEB"/>
    <w:rsid w:val="00ED31D4"/>
    <w:rsid w:val="00ED5055"/>
    <w:rsid w:val="00ED7AA8"/>
    <w:rsid w:val="00EE05EB"/>
    <w:rsid w:val="00EE5544"/>
    <w:rsid w:val="00EE7AEA"/>
    <w:rsid w:val="00EE7FAE"/>
    <w:rsid w:val="00EF2F71"/>
    <w:rsid w:val="00EF4A1C"/>
    <w:rsid w:val="00F01A9F"/>
    <w:rsid w:val="00F05EA4"/>
    <w:rsid w:val="00F12510"/>
    <w:rsid w:val="00F148A0"/>
    <w:rsid w:val="00F14EC4"/>
    <w:rsid w:val="00F22ADA"/>
    <w:rsid w:val="00F321F5"/>
    <w:rsid w:val="00F334D5"/>
    <w:rsid w:val="00F35892"/>
    <w:rsid w:val="00F36540"/>
    <w:rsid w:val="00F50016"/>
    <w:rsid w:val="00F50C3A"/>
    <w:rsid w:val="00F5151B"/>
    <w:rsid w:val="00F57FD7"/>
    <w:rsid w:val="00F604C2"/>
    <w:rsid w:val="00F64FE5"/>
    <w:rsid w:val="00F66334"/>
    <w:rsid w:val="00F857E5"/>
    <w:rsid w:val="00F870B9"/>
    <w:rsid w:val="00F90838"/>
    <w:rsid w:val="00F9257E"/>
    <w:rsid w:val="00F96AEB"/>
    <w:rsid w:val="00FA01A6"/>
    <w:rsid w:val="00FA12D3"/>
    <w:rsid w:val="00FA3274"/>
    <w:rsid w:val="00FA3F32"/>
    <w:rsid w:val="00FB425F"/>
    <w:rsid w:val="00FC47DB"/>
    <w:rsid w:val="00FC75C3"/>
    <w:rsid w:val="00FC7D3C"/>
    <w:rsid w:val="00FD5735"/>
    <w:rsid w:val="00FE5508"/>
    <w:rsid w:val="00FF3801"/>
    <w:rsid w:val="00FF67E6"/>
    <w:rsid w:val="00FF761C"/>
    <w:rsid w:val="00FF7CF6"/>
    <w:rsid w:val="02B250DA"/>
    <w:rsid w:val="02EA3FE0"/>
    <w:rsid w:val="02FE20CD"/>
    <w:rsid w:val="031E62CB"/>
    <w:rsid w:val="040C6A6B"/>
    <w:rsid w:val="04207E21"/>
    <w:rsid w:val="050D65F7"/>
    <w:rsid w:val="056621AB"/>
    <w:rsid w:val="05A30C46"/>
    <w:rsid w:val="05A45D21"/>
    <w:rsid w:val="06023C82"/>
    <w:rsid w:val="06D7510F"/>
    <w:rsid w:val="084006DE"/>
    <w:rsid w:val="08400A92"/>
    <w:rsid w:val="08BA0844"/>
    <w:rsid w:val="09AA50C9"/>
    <w:rsid w:val="0B7C0033"/>
    <w:rsid w:val="0B8C1447"/>
    <w:rsid w:val="0BB2614A"/>
    <w:rsid w:val="0BBE064B"/>
    <w:rsid w:val="0BE1405B"/>
    <w:rsid w:val="0C155445"/>
    <w:rsid w:val="0D1C7D1F"/>
    <w:rsid w:val="0D65587A"/>
    <w:rsid w:val="0D68593C"/>
    <w:rsid w:val="0DBA3094"/>
    <w:rsid w:val="0F4D01AB"/>
    <w:rsid w:val="0FD3043D"/>
    <w:rsid w:val="0FE8038D"/>
    <w:rsid w:val="107C5A9B"/>
    <w:rsid w:val="11310CFD"/>
    <w:rsid w:val="13F86CB6"/>
    <w:rsid w:val="14117786"/>
    <w:rsid w:val="14795A57"/>
    <w:rsid w:val="14AB7BDB"/>
    <w:rsid w:val="15325C06"/>
    <w:rsid w:val="15C71A5C"/>
    <w:rsid w:val="176D73C9"/>
    <w:rsid w:val="1AE621B7"/>
    <w:rsid w:val="1B2C7A13"/>
    <w:rsid w:val="1B495CB6"/>
    <w:rsid w:val="1C7134B8"/>
    <w:rsid w:val="1D3C3AC6"/>
    <w:rsid w:val="1EB638B8"/>
    <w:rsid w:val="20823EE5"/>
    <w:rsid w:val="21703D3E"/>
    <w:rsid w:val="21764212"/>
    <w:rsid w:val="21BA23AD"/>
    <w:rsid w:val="21EA1D42"/>
    <w:rsid w:val="22484CBB"/>
    <w:rsid w:val="225418B2"/>
    <w:rsid w:val="22EC3898"/>
    <w:rsid w:val="231F7971"/>
    <w:rsid w:val="23602154"/>
    <w:rsid w:val="23611260"/>
    <w:rsid w:val="236812FD"/>
    <w:rsid w:val="23763CB4"/>
    <w:rsid w:val="237B69CA"/>
    <w:rsid w:val="24893393"/>
    <w:rsid w:val="254A2AF8"/>
    <w:rsid w:val="257B0F03"/>
    <w:rsid w:val="25B34B41"/>
    <w:rsid w:val="26395CB3"/>
    <w:rsid w:val="266F6CBA"/>
    <w:rsid w:val="26751DF6"/>
    <w:rsid w:val="26EB3E67"/>
    <w:rsid w:val="276D7AF2"/>
    <w:rsid w:val="27980351"/>
    <w:rsid w:val="27BB06D2"/>
    <w:rsid w:val="27D86AE1"/>
    <w:rsid w:val="28866FDD"/>
    <w:rsid w:val="28A01F9F"/>
    <w:rsid w:val="28A15125"/>
    <w:rsid w:val="2A663F30"/>
    <w:rsid w:val="2AEC6B2B"/>
    <w:rsid w:val="2B361B54"/>
    <w:rsid w:val="2B3C2EE3"/>
    <w:rsid w:val="2B7B7EAF"/>
    <w:rsid w:val="2E9251F8"/>
    <w:rsid w:val="2ECC4AEA"/>
    <w:rsid w:val="2EF02962"/>
    <w:rsid w:val="2F4B7B98"/>
    <w:rsid w:val="2F9C03F4"/>
    <w:rsid w:val="31DA54BA"/>
    <w:rsid w:val="321D3A6E"/>
    <w:rsid w:val="330D7B1F"/>
    <w:rsid w:val="33136C1F"/>
    <w:rsid w:val="3321133C"/>
    <w:rsid w:val="33501A9F"/>
    <w:rsid w:val="339C6C14"/>
    <w:rsid w:val="33B22CAA"/>
    <w:rsid w:val="33CB74FA"/>
    <w:rsid w:val="34670FD0"/>
    <w:rsid w:val="34AB0772"/>
    <w:rsid w:val="34E46AC5"/>
    <w:rsid w:val="35AB131E"/>
    <w:rsid w:val="35BF6BEA"/>
    <w:rsid w:val="35D54660"/>
    <w:rsid w:val="364D2448"/>
    <w:rsid w:val="36B87A7C"/>
    <w:rsid w:val="372E2279"/>
    <w:rsid w:val="38523D46"/>
    <w:rsid w:val="38B13162"/>
    <w:rsid w:val="3C2E6878"/>
    <w:rsid w:val="3C530D0D"/>
    <w:rsid w:val="3C690932"/>
    <w:rsid w:val="3D2E4D81"/>
    <w:rsid w:val="3DE7342C"/>
    <w:rsid w:val="3F0F346C"/>
    <w:rsid w:val="3F1735F3"/>
    <w:rsid w:val="3F3E6DD2"/>
    <w:rsid w:val="3F5B49B6"/>
    <w:rsid w:val="3FE77469"/>
    <w:rsid w:val="4127243F"/>
    <w:rsid w:val="424359F7"/>
    <w:rsid w:val="43420014"/>
    <w:rsid w:val="436F7EA2"/>
    <w:rsid w:val="44C166F5"/>
    <w:rsid w:val="458319E2"/>
    <w:rsid w:val="46623CEE"/>
    <w:rsid w:val="47723ABC"/>
    <w:rsid w:val="479363AF"/>
    <w:rsid w:val="47BD243B"/>
    <w:rsid w:val="483E6094"/>
    <w:rsid w:val="485E04E5"/>
    <w:rsid w:val="495D26A5"/>
    <w:rsid w:val="49DC7359"/>
    <w:rsid w:val="4A7A7858"/>
    <w:rsid w:val="4B8B2489"/>
    <w:rsid w:val="4B9423F1"/>
    <w:rsid w:val="4CE47674"/>
    <w:rsid w:val="4DB52955"/>
    <w:rsid w:val="4DE664BE"/>
    <w:rsid w:val="4DF73324"/>
    <w:rsid w:val="4E577EB0"/>
    <w:rsid w:val="4E8E2B40"/>
    <w:rsid w:val="4F381A8F"/>
    <w:rsid w:val="50C94F86"/>
    <w:rsid w:val="522B795A"/>
    <w:rsid w:val="530D6D8F"/>
    <w:rsid w:val="5367649F"/>
    <w:rsid w:val="53B84F4D"/>
    <w:rsid w:val="544E58B1"/>
    <w:rsid w:val="54601E8E"/>
    <w:rsid w:val="54C33BA9"/>
    <w:rsid w:val="554973B1"/>
    <w:rsid w:val="560A106E"/>
    <w:rsid w:val="566969D2"/>
    <w:rsid w:val="57737EC4"/>
    <w:rsid w:val="57D65CE9"/>
    <w:rsid w:val="5853793A"/>
    <w:rsid w:val="59CD070B"/>
    <w:rsid w:val="5A056A12"/>
    <w:rsid w:val="5A284604"/>
    <w:rsid w:val="5A955FE8"/>
    <w:rsid w:val="5BB46942"/>
    <w:rsid w:val="5C514191"/>
    <w:rsid w:val="5C5367C5"/>
    <w:rsid w:val="5D423AD9"/>
    <w:rsid w:val="5D8E7019"/>
    <w:rsid w:val="5E811478"/>
    <w:rsid w:val="5EAE39CA"/>
    <w:rsid w:val="5F3C1128"/>
    <w:rsid w:val="5F5E109E"/>
    <w:rsid w:val="6098238E"/>
    <w:rsid w:val="61312DFC"/>
    <w:rsid w:val="613A3445"/>
    <w:rsid w:val="626A7C37"/>
    <w:rsid w:val="62FA10DE"/>
    <w:rsid w:val="63367C3C"/>
    <w:rsid w:val="63520F1A"/>
    <w:rsid w:val="648F3AA8"/>
    <w:rsid w:val="64AF7CA6"/>
    <w:rsid w:val="6538167B"/>
    <w:rsid w:val="65CB657B"/>
    <w:rsid w:val="6611361E"/>
    <w:rsid w:val="663F541F"/>
    <w:rsid w:val="66F9345B"/>
    <w:rsid w:val="67342C6F"/>
    <w:rsid w:val="68EA5751"/>
    <w:rsid w:val="69317154"/>
    <w:rsid w:val="69821E2D"/>
    <w:rsid w:val="6A477040"/>
    <w:rsid w:val="6BD6020E"/>
    <w:rsid w:val="6C3867D3"/>
    <w:rsid w:val="6C507FC1"/>
    <w:rsid w:val="6CAB3449"/>
    <w:rsid w:val="6D806915"/>
    <w:rsid w:val="6D875C64"/>
    <w:rsid w:val="6DA06D26"/>
    <w:rsid w:val="6DC76061"/>
    <w:rsid w:val="6E024B4D"/>
    <w:rsid w:val="6E68642E"/>
    <w:rsid w:val="714D0F73"/>
    <w:rsid w:val="7213690A"/>
    <w:rsid w:val="723143F0"/>
    <w:rsid w:val="72703E94"/>
    <w:rsid w:val="727F03E4"/>
    <w:rsid w:val="735E0AEC"/>
    <w:rsid w:val="73841655"/>
    <w:rsid w:val="73852C46"/>
    <w:rsid w:val="73A66718"/>
    <w:rsid w:val="73EF4563"/>
    <w:rsid w:val="758F0DDB"/>
    <w:rsid w:val="764F1CD1"/>
    <w:rsid w:val="771502FE"/>
    <w:rsid w:val="788259A6"/>
    <w:rsid w:val="78B813C8"/>
    <w:rsid w:val="78C46812"/>
    <w:rsid w:val="78E211E3"/>
    <w:rsid w:val="794C5FB4"/>
    <w:rsid w:val="7A516062"/>
    <w:rsid w:val="7AB20098"/>
    <w:rsid w:val="7AE71DB9"/>
    <w:rsid w:val="7B4E1B6F"/>
    <w:rsid w:val="7BCB2527"/>
    <w:rsid w:val="7D0A5F6A"/>
    <w:rsid w:val="7D425704"/>
    <w:rsid w:val="7DFB58B2"/>
    <w:rsid w:val="7FDD34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0"/>
    <w:autoRedefine/>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31"/>
    <w:autoRedefine/>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32"/>
    <w:autoRedefine/>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33"/>
    <w:autoRedefine/>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5"/>
    </w:pPr>
    <w:rPr>
      <w:rFonts w:ascii="Times New Roman" w:hAnsi="Times New Roman" w:eastAsia="宋体" w:cs="Times New Roman"/>
      <w:szCs w:val="20"/>
    </w:rPr>
  </w:style>
  <w:style w:type="paragraph" w:styleId="7">
    <w:name w:val="caption"/>
    <w:basedOn w:val="1"/>
    <w:next w:val="1"/>
    <w:autoRedefine/>
    <w:qFormat/>
    <w:uiPriority w:val="0"/>
    <w:rPr>
      <w:rFonts w:ascii="Arial" w:hAnsi="Arial" w:eastAsia="黑体" w:cs="Arial"/>
      <w:sz w:val="20"/>
      <w:szCs w:val="20"/>
    </w:rPr>
  </w:style>
  <w:style w:type="paragraph" w:styleId="8">
    <w:name w:val="index 5"/>
    <w:basedOn w:val="1"/>
    <w:next w:val="1"/>
    <w:qFormat/>
    <w:uiPriority w:val="0"/>
    <w:pPr>
      <w:ind w:left="1680"/>
    </w:pPr>
  </w:style>
  <w:style w:type="paragraph" w:styleId="9">
    <w:name w:val="Body Text 3"/>
    <w:basedOn w:val="1"/>
    <w:link w:val="34"/>
    <w:autoRedefine/>
    <w:qFormat/>
    <w:uiPriority w:val="0"/>
    <w:rPr>
      <w:rFonts w:ascii="Times New Roman" w:hAnsi="Times New Roman" w:eastAsia="宋体" w:cs="Times New Roman"/>
      <w:color w:val="FF0000"/>
      <w:sz w:val="24"/>
      <w:szCs w:val="24"/>
    </w:rPr>
  </w:style>
  <w:style w:type="paragraph" w:styleId="10">
    <w:name w:val="Body Text"/>
    <w:basedOn w:val="1"/>
    <w:next w:val="11"/>
    <w:link w:val="35"/>
    <w:autoRedefine/>
    <w:unhideWhenUsed/>
    <w:qFormat/>
    <w:uiPriority w:val="99"/>
    <w:pPr>
      <w:spacing w:after="120"/>
    </w:pPr>
  </w:style>
  <w:style w:type="paragraph" w:styleId="11">
    <w:name w:val="Body Text 2"/>
    <w:basedOn w:val="1"/>
    <w:autoRedefine/>
    <w:qFormat/>
    <w:uiPriority w:val="0"/>
    <w:pPr>
      <w:widowControl/>
      <w:spacing w:before="100" w:beforeAutospacing="1" w:after="100" w:afterAutospacing="1"/>
      <w:jc w:val="left"/>
    </w:pPr>
    <w:rPr>
      <w:rFonts w:ascii="宋体" w:hAnsi="宋体"/>
      <w:kern w:val="0"/>
      <w:sz w:val="24"/>
    </w:rPr>
  </w:style>
  <w:style w:type="paragraph" w:styleId="12">
    <w:name w:val="Body Text Indent"/>
    <w:basedOn w:val="1"/>
    <w:link w:val="36"/>
    <w:autoRedefine/>
    <w:qFormat/>
    <w:uiPriority w:val="0"/>
    <w:pPr>
      <w:adjustRightInd w:val="0"/>
      <w:spacing w:after="120" w:line="360" w:lineRule="atLeast"/>
      <w:ind w:left="420" w:leftChars="200"/>
      <w:jc w:val="left"/>
      <w:textAlignment w:val="baseline"/>
    </w:pPr>
    <w:rPr>
      <w:sz w:val="24"/>
    </w:rPr>
  </w:style>
  <w:style w:type="paragraph" w:styleId="13">
    <w:name w:val="toc 5"/>
    <w:basedOn w:val="1"/>
    <w:next w:val="1"/>
    <w:autoRedefine/>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4">
    <w:name w:val="toc 3"/>
    <w:basedOn w:val="1"/>
    <w:next w:val="1"/>
    <w:autoRedefine/>
    <w:qFormat/>
    <w:uiPriority w:val="39"/>
    <w:pPr>
      <w:ind w:left="480"/>
      <w:jc w:val="left"/>
    </w:pPr>
    <w:rPr>
      <w:rFonts w:ascii="Times New Roman" w:hAnsi="Times New Roman" w:eastAsia="宋体" w:cs="Times New Roman"/>
      <w:i/>
      <w:iCs/>
      <w:color w:val="0000FF"/>
      <w:sz w:val="20"/>
      <w:szCs w:val="20"/>
    </w:rPr>
  </w:style>
  <w:style w:type="paragraph" w:styleId="15">
    <w:name w:val="Plain Text"/>
    <w:basedOn w:val="1"/>
    <w:next w:val="8"/>
    <w:link w:val="37"/>
    <w:autoRedefine/>
    <w:qFormat/>
    <w:uiPriority w:val="0"/>
    <w:rPr>
      <w:rFonts w:eastAsia="宋体"/>
      <w:sz w:val="24"/>
    </w:rPr>
  </w:style>
  <w:style w:type="paragraph" w:styleId="16">
    <w:name w:val="Date"/>
    <w:basedOn w:val="1"/>
    <w:next w:val="1"/>
    <w:link w:val="38"/>
    <w:autoRedefine/>
    <w:unhideWhenUsed/>
    <w:qFormat/>
    <w:uiPriority w:val="99"/>
    <w:pPr>
      <w:ind w:left="100" w:leftChars="2500"/>
    </w:pPr>
  </w:style>
  <w:style w:type="paragraph" w:styleId="17">
    <w:name w:val="Balloon Text"/>
    <w:basedOn w:val="1"/>
    <w:link w:val="39"/>
    <w:autoRedefine/>
    <w:semiHidden/>
    <w:unhideWhenUsed/>
    <w:qFormat/>
    <w:uiPriority w:val="0"/>
    <w:rPr>
      <w:sz w:val="18"/>
      <w:szCs w:val="18"/>
    </w:rPr>
  </w:style>
  <w:style w:type="paragraph" w:styleId="18">
    <w:name w:val="footer"/>
    <w:basedOn w:val="1"/>
    <w:link w:val="40"/>
    <w:autoRedefine/>
    <w:unhideWhenUsed/>
    <w:qFormat/>
    <w:uiPriority w:val="0"/>
    <w:pPr>
      <w:tabs>
        <w:tab w:val="center" w:pos="4153"/>
        <w:tab w:val="right" w:pos="8306"/>
      </w:tabs>
      <w:snapToGrid w:val="0"/>
      <w:jc w:val="left"/>
    </w:pPr>
    <w:rPr>
      <w:sz w:val="18"/>
      <w:szCs w:val="18"/>
    </w:rPr>
  </w:style>
  <w:style w:type="paragraph" w:styleId="19">
    <w:name w:val="header"/>
    <w:basedOn w:val="1"/>
    <w:link w:val="4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pPr>
      <w:spacing w:before="120" w:after="120"/>
      <w:jc w:val="left"/>
    </w:pPr>
    <w:rPr>
      <w:rFonts w:ascii="Times New Roman" w:hAnsi="Times New Roman" w:eastAsia="宋体" w:cs="Times New Roman"/>
      <w:b/>
      <w:bCs/>
      <w:caps/>
      <w:color w:val="0000FF"/>
      <w:sz w:val="20"/>
      <w:szCs w:val="20"/>
    </w:rPr>
  </w:style>
  <w:style w:type="paragraph" w:styleId="21">
    <w:name w:val="HTML Preformatted"/>
    <w:basedOn w:val="1"/>
    <w:link w:val="42"/>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2">
    <w:name w:val="Normal (Web)"/>
    <w:basedOn w:val="1"/>
    <w:autoRedefine/>
    <w:qFormat/>
    <w:uiPriority w:val="0"/>
    <w:rPr>
      <w:rFonts w:ascii="Calibri" w:hAnsi="Calibri" w:eastAsia="宋体" w:cs="Times New Roman"/>
      <w:sz w:val="24"/>
      <w:szCs w:val="24"/>
    </w:rPr>
  </w:style>
  <w:style w:type="paragraph" w:styleId="23">
    <w:name w:val="Body Text First Indent"/>
    <w:basedOn w:val="10"/>
    <w:link w:val="43"/>
    <w:autoRedefine/>
    <w:qFormat/>
    <w:uiPriority w:val="0"/>
    <w:pPr>
      <w:ind w:firstLine="420" w:firstLineChars="100"/>
    </w:pPr>
    <w:rPr>
      <w:rFonts w:ascii="宋体" w:hAnsi="Times New Roman" w:eastAsia="宋体" w:cs="Times New Roman"/>
      <w:kern w:val="0"/>
      <w:sz w:val="34"/>
      <w:szCs w:val="20"/>
    </w:rPr>
  </w:style>
  <w:style w:type="table" w:styleId="25">
    <w:name w:val="Table Grid"/>
    <w:basedOn w:val="24"/>
    <w:autoRedefine/>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7">
    <w:name w:val="Strong"/>
    <w:basedOn w:val="26"/>
    <w:autoRedefine/>
    <w:qFormat/>
    <w:uiPriority w:val="22"/>
    <w:rPr>
      <w:b/>
      <w:bCs/>
    </w:rPr>
  </w:style>
  <w:style w:type="character" w:styleId="28">
    <w:name w:val="FollowedHyperlink"/>
    <w:basedOn w:val="26"/>
    <w:autoRedefine/>
    <w:unhideWhenUsed/>
    <w:qFormat/>
    <w:uiPriority w:val="99"/>
    <w:rPr>
      <w:color w:val="800080" w:themeColor="followedHyperlink"/>
      <w:u w:val="single"/>
    </w:rPr>
  </w:style>
  <w:style w:type="character" w:styleId="29">
    <w:name w:val="Hyperlink"/>
    <w:basedOn w:val="26"/>
    <w:autoRedefine/>
    <w:unhideWhenUsed/>
    <w:qFormat/>
    <w:uiPriority w:val="99"/>
    <w:rPr>
      <w:color w:val="0000FF"/>
      <w:u w:val="single"/>
    </w:rPr>
  </w:style>
  <w:style w:type="character" w:customStyle="1" w:styleId="30">
    <w:name w:val="标题 1 字符"/>
    <w:basedOn w:val="26"/>
    <w:link w:val="2"/>
    <w:autoRedefine/>
    <w:qFormat/>
    <w:uiPriority w:val="0"/>
    <w:rPr>
      <w:rFonts w:ascii="Calibri" w:hAnsi="Calibri" w:eastAsia="宋体" w:cs="Times New Roman"/>
      <w:b/>
      <w:bCs/>
      <w:kern w:val="44"/>
      <w:sz w:val="44"/>
      <w:szCs w:val="44"/>
    </w:rPr>
  </w:style>
  <w:style w:type="character" w:customStyle="1" w:styleId="31">
    <w:name w:val="标题 2 字符"/>
    <w:basedOn w:val="26"/>
    <w:link w:val="3"/>
    <w:autoRedefine/>
    <w:qFormat/>
    <w:uiPriority w:val="0"/>
    <w:rPr>
      <w:rFonts w:ascii="Arial" w:hAnsi="Arial" w:eastAsia="黑体" w:cs="Times New Roman"/>
      <w:b/>
      <w:bCs/>
      <w:sz w:val="32"/>
      <w:szCs w:val="32"/>
    </w:rPr>
  </w:style>
  <w:style w:type="character" w:customStyle="1" w:styleId="32">
    <w:name w:val="标题 3 字符"/>
    <w:basedOn w:val="26"/>
    <w:link w:val="4"/>
    <w:autoRedefine/>
    <w:qFormat/>
    <w:uiPriority w:val="0"/>
    <w:rPr>
      <w:rFonts w:ascii="宋体" w:hAnsi="宋体" w:eastAsia="宋体" w:cs="Times New Roman"/>
      <w:b/>
      <w:color w:val="000000"/>
      <w:kern w:val="0"/>
      <w:sz w:val="24"/>
      <w:szCs w:val="20"/>
      <w:lang w:val="en-GB"/>
    </w:rPr>
  </w:style>
  <w:style w:type="character" w:customStyle="1" w:styleId="33">
    <w:name w:val="标题 4 字符"/>
    <w:basedOn w:val="26"/>
    <w:link w:val="5"/>
    <w:autoRedefine/>
    <w:qFormat/>
    <w:uiPriority w:val="0"/>
    <w:rPr>
      <w:rFonts w:ascii="Arial" w:hAnsi="Arial" w:eastAsia="黑体" w:cs="Times New Roman"/>
      <w:b/>
      <w:bCs/>
      <w:sz w:val="28"/>
      <w:szCs w:val="28"/>
    </w:rPr>
  </w:style>
  <w:style w:type="character" w:customStyle="1" w:styleId="34">
    <w:name w:val="正文文本 3 字符"/>
    <w:basedOn w:val="26"/>
    <w:link w:val="9"/>
    <w:autoRedefine/>
    <w:qFormat/>
    <w:uiPriority w:val="0"/>
    <w:rPr>
      <w:rFonts w:ascii="Times New Roman" w:hAnsi="Times New Roman" w:eastAsia="宋体" w:cs="Times New Roman"/>
      <w:color w:val="FF0000"/>
      <w:sz w:val="24"/>
      <w:szCs w:val="24"/>
    </w:rPr>
  </w:style>
  <w:style w:type="character" w:customStyle="1" w:styleId="35">
    <w:name w:val="正文文本 字符"/>
    <w:basedOn w:val="26"/>
    <w:link w:val="10"/>
    <w:autoRedefine/>
    <w:qFormat/>
    <w:uiPriority w:val="99"/>
  </w:style>
  <w:style w:type="character" w:customStyle="1" w:styleId="36">
    <w:name w:val="正文文本缩进 字符"/>
    <w:basedOn w:val="26"/>
    <w:link w:val="12"/>
    <w:autoRedefine/>
    <w:semiHidden/>
    <w:qFormat/>
    <w:uiPriority w:val="99"/>
  </w:style>
  <w:style w:type="character" w:customStyle="1" w:styleId="37">
    <w:name w:val="纯文本 字符"/>
    <w:basedOn w:val="26"/>
    <w:link w:val="15"/>
    <w:autoRedefine/>
    <w:qFormat/>
    <w:uiPriority w:val="0"/>
    <w:rPr>
      <w:rFonts w:eastAsia="宋体"/>
      <w:sz w:val="24"/>
    </w:rPr>
  </w:style>
  <w:style w:type="character" w:customStyle="1" w:styleId="38">
    <w:name w:val="日期 字符"/>
    <w:basedOn w:val="26"/>
    <w:link w:val="16"/>
    <w:autoRedefine/>
    <w:qFormat/>
    <w:uiPriority w:val="99"/>
  </w:style>
  <w:style w:type="character" w:customStyle="1" w:styleId="39">
    <w:name w:val="批注框文本 字符"/>
    <w:basedOn w:val="26"/>
    <w:link w:val="17"/>
    <w:autoRedefine/>
    <w:semiHidden/>
    <w:qFormat/>
    <w:uiPriority w:val="99"/>
    <w:rPr>
      <w:sz w:val="18"/>
      <w:szCs w:val="18"/>
    </w:rPr>
  </w:style>
  <w:style w:type="character" w:customStyle="1" w:styleId="40">
    <w:name w:val="页脚 字符"/>
    <w:basedOn w:val="26"/>
    <w:link w:val="18"/>
    <w:autoRedefine/>
    <w:qFormat/>
    <w:uiPriority w:val="99"/>
    <w:rPr>
      <w:sz w:val="18"/>
      <w:szCs w:val="18"/>
    </w:rPr>
  </w:style>
  <w:style w:type="character" w:customStyle="1" w:styleId="41">
    <w:name w:val="页眉 字符"/>
    <w:basedOn w:val="26"/>
    <w:link w:val="19"/>
    <w:autoRedefine/>
    <w:qFormat/>
    <w:uiPriority w:val="99"/>
    <w:rPr>
      <w:sz w:val="18"/>
      <w:szCs w:val="18"/>
    </w:rPr>
  </w:style>
  <w:style w:type="character" w:customStyle="1" w:styleId="42">
    <w:name w:val="HTML 预设格式 字符"/>
    <w:basedOn w:val="26"/>
    <w:link w:val="21"/>
    <w:autoRedefine/>
    <w:semiHidden/>
    <w:qFormat/>
    <w:uiPriority w:val="99"/>
    <w:rPr>
      <w:rFonts w:ascii="Courier New" w:hAnsi="Courier New" w:cs="Courier New"/>
      <w:sz w:val="20"/>
      <w:szCs w:val="20"/>
    </w:rPr>
  </w:style>
  <w:style w:type="character" w:customStyle="1" w:styleId="43">
    <w:name w:val="正文文本首行缩进 字符"/>
    <w:basedOn w:val="35"/>
    <w:link w:val="23"/>
    <w:autoRedefine/>
    <w:qFormat/>
    <w:uiPriority w:val="0"/>
    <w:rPr>
      <w:rFonts w:ascii="宋体" w:hAnsi="Times New Roman" w:eastAsia="宋体" w:cs="Times New Roman"/>
      <w:kern w:val="0"/>
      <w:sz w:val="34"/>
      <w:szCs w:val="20"/>
    </w:rPr>
  </w:style>
  <w:style w:type="paragraph" w:customStyle="1" w:styleId="44">
    <w:name w:val="*正文"/>
    <w:basedOn w:val="1"/>
    <w:autoRedefine/>
    <w:qFormat/>
    <w:uiPriority w:val="0"/>
    <w:pPr>
      <w:keepNext/>
      <w:keepLines/>
      <w:spacing w:line="360" w:lineRule="auto"/>
      <w:ind w:firstLine="200" w:firstLineChars="200"/>
    </w:pPr>
    <w:rPr>
      <w:rFonts w:ascii="宋体" w:hAnsi="宋体" w:eastAsia="宋体" w:cs="Times New Roman"/>
      <w:szCs w:val="24"/>
    </w:rPr>
  </w:style>
  <w:style w:type="character" w:customStyle="1" w:styleId="45">
    <w:name w:val="纯文本 Char1"/>
    <w:autoRedefine/>
    <w:qFormat/>
    <w:uiPriority w:val="0"/>
    <w:rPr>
      <w:rFonts w:eastAsia="宋体"/>
      <w:sz w:val="24"/>
    </w:rPr>
  </w:style>
  <w:style w:type="paragraph" w:customStyle="1" w:styleId="46">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7">
    <w:name w:val="列出段落1"/>
    <w:basedOn w:val="1"/>
    <w:autoRedefine/>
    <w:qFormat/>
    <w:uiPriority w:val="34"/>
    <w:pPr>
      <w:ind w:firstLine="420" w:firstLineChars="200"/>
    </w:pPr>
  </w:style>
  <w:style w:type="paragraph" w:styleId="48">
    <w:name w:val="List Paragraph"/>
    <w:basedOn w:val="1"/>
    <w:autoRedefine/>
    <w:unhideWhenUsed/>
    <w:qFormat/>
    <w:uiPriority w:val="99"/>
    <w:pPr>
      <w:ind w:firstLine="420" w:firstLineChars="200"/>
    </w:pPr>
  </w:style>
  <w:style w:type="character" w:customStyle="1" w:styleId="49">
    <w:name w:val="正文文本缩进 Char Char"/>
    <w:link w:val="50"/>
    <w:autoRedefine/>
    <w:qFormat/>
    <w:uiPriority w:val="0"/>
    <w:rPr>
      <w:rFonts w:ascii="宋体"/>
      <w:sz w:val="24"/>
    </w:rPr>
  </w:style>
  <w:style w:type="paragraph" w:customStyle="1" w:styleId="50">
    <w:name w:val="正文文本缩进1"/>
    <w:basedOn w:val="1"/>
    <w:link w:val="49"/>
    <w:autoRedefine/>
    <w:qFormat/>
    <w:uiPriority w:val="0"/>
    <w:pPr>
      <w:spacing w:line="360" w:lineRule="auto"/>
      <w:ind w:firstLine="480" w:firstLineChars="200"/>
    </w:pPr>
    <w:rPr>
      <w:rFonts w:ascii="宋体"/>
      <w:sz w:val="24"/>
    </w:rPr>
  </w:style>
  <w:style w:type="character" w:customStyle="1" w:styleId="51">
    <w:name w:val="日期 Char Char"/>
    <w:link w:val="52"/>
    <w:autoRedefine/>
    <w:qFormat/>
    <w:uiPriority w:val="0"/>
    <w:rPr>
      <w:sz w:val="24"/>
    </w:rPr>
  </w:style>
  <w:style w:type="paragraph" w:customStyle="1" w:styleId="52">
    <w:name w:val="日期1"/>
    <w:basedOn w:val="1"/>
    <w:next w:val="1"/>
    <w:link w:val="51"/>
    <w:autoRedefine/>
    <w:qFormat/>
    <w:uiPriority w:val="0"/>
    <w:rPr>
      <w:sz w:val="24"/>
    </w:rPr>
  </w:style>
  <w:style w:type="paragraph" w:customStyle="1" w:styleId="53">
    <w:name w:val="正文缩进1"/>
    <w:basedOn w:val="1"/>
    <w:autoRedefine/>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54">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55">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56">
    <w:name w:val="edittexttarea"/>
    <w:basedOn w:val="26"/>
    <w:autoRedefine/>
    <w:qFormat/>
    <w:uiPriority w:val="0"/>
  </w:style>
  <w:style w:type="paragraph" w:customStyle="1" w:styleId="57">
    <w:name w:val="样式 标题 1 + 四号 居中 段前: 12 磅 段后: 12 磅 行距: 单倍行距"/>
    <w:basedOn w:val="2"/>
    <w:autoRedefine/>
    <w:qFormat/>
    <w:uiPriority w:val="0"/>
    <w:pPr>
      <w:spacing w:before="240" w:after="240" w:line="240" w:lineRule="auto"/>
      <w:ind w:left="-288"/>
      <w:jc w:val="center"/>
    </w:pPr>
    <w:rPr>
      <w:rFonts w:cs="宋体"/>
      <w:sz w:val="28"/>
      <w:szCs w:val="20"/>
    </w:rPr>
  </w:style>
  <w:style w:type="paragraph" w:customStyle="1" w:styleId="58">
    <w:name w:val="样式 样式 样式 样式 标题 2 + 宋体 五号 非加粗 黑色 + 段前: 6 磅 段后: 0 磅 行距: 单倍行距 + 段前:..."/>
    <w:basedOn w:val="1"/>
    <w:autoRedefine/>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59">
    <w:name w:val="HTML 预设格式 Char"/>
    <w:basedOn w:val="26"/>
    <w:autoRedefine/>
    <w:semiHidden/>
    <w:qFormat/>
    <w:uiPriority w:val="99"/>
    <w:rPr>
      <w:rFonts w:ascii="宋体" w:hAnsi="宋体" w:eastAsia="宋体" w:cs="宋体"/>
      <w:kern w:val="0"/>
      <w:sz w:val="24"/>
      <w:szCs w:val="24"/>
    </w:rPr>
  </w:style>
  <w:style w:type="character" w:customStyle="1" w:styleId="60">
    <w:name w:val="正文文本缩进 Char"/>
    <w:autoRedefine/>
    <w:qFormat/>
    <w:uiPriority w:val="0"/>
    <w:rPr>
      <w:sz w:val="24"/>
    </w:rPr>
  </w:style>
  <w:style w:type="character" w:customStyle="1" w:styleId="61">
    <w:name w:val="批注框文本 Char"/>
    <w:basedOn w:val="26"/>
    <w:autoRedefine/>
    <w:semiHidden/>
    <w:qFormat/>
    <w:uiPriority w:val="99"/>
    <w:rPr>
      <w:sz w:val="18"/>
      <w:szCs w:val="18"/>
    </w:rPr>
  </w:style>
  <w:style w:type="paragraph" w:customStyle="1" w:styleId="62">
    <w:name w:val="Table Paragraph"/>
    <w:basedOn w:val="1"/>
    <w:autoRedefine/>
    <w:qFormat/>
    <w:uiPriority w:val="1"/>
    <w:rPr>
      <w:rFonts w:ascii="Arial Unicode MS" w:hAnsi="Arial Unicode MS" w:eastAsia="Arial Unicode MS" w:cs="Arial Unicode MS"/>
      <w:lang w:val="zh-CN" w:bidi="zh-CN"/>
    </w:rPr>
  </w:style>
  <w:style w:type="paragraph" w:customStyle="1" w:styleId="63">
    <w:name w:val="style4"/>
    <w:basedOn w:val="1"/>
    <w:next w:val="1"/>
    <w:autoRedefine/>
    <w:qFormat/>
    <w:uiPriority w:val="0"/>
    <w:pPr>
      <w:widowControl/>
      <w:spacing w:before="280" w:after="280"/>
    </w:pPr>
    <w:rPr>
      <w:rFonts w:ascii="宋体" w:hAnsi="Times New Roman" w:eastAsia="宋体" w:cs="Times New Roman"/>
      <w:sz w:val="18"/>
      <w:szCs w:val="24"/>
    </w:rPr>
  </w:style>
  <w:style w:type="paragraph" w:customStyle="1" w:styleId="64">
    <w:name w:val="表格文字"/>
    <w:basedOn w:val="1"/>
    <w:next w:val="10"/>
    <w:autoRedefine/>
    <w:qFormat/>
    <w:uiPriority w:val="0"/>
    <w:pPr>
      <w:widowControl/>
      <w:adjustRightInd w:val="0"/>
      <w:spacing w:line="420" w:lineRule="atLeast"/>
      <w:jc w:val="left"/>
      <w:textAlignment w:val="baseline"/>
    </w:pPr>
    <w:rPr>
      <w:rFonts w:ascii="Times New Roman" w:hAnsi="Times New Roman" w:eastAsia="仿宋_GB2312" w:cs="Times New Roman"/>
      <w:kern w:val="0"/>
      <w:sz w:val="32"/>
      <w:szCs w:val="20"/>
    </w:rPr>
  </w:style>
  <w:style w:type="character" w:customStyle="1" w:styleId="65">
    <w:name w:val="NormalCharacter"/>
    <w:autoRedefine/>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53773A-6931-47F9-B5E5-7E6E6B197CF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76</Pages>
  <Words>37591</Words>
  <Characters>39194</Characters>
  <Lines>446</Lines>
  <Paragraphs>125</Paragraphs>
  <TotalTime>0</TotalTime>
  <ScaleCrop>false</ScaleCrop>
  <LinksUpToDate>false</LinksUpToDate>
  <CharactersWithSpaces>39916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2022-07-07T01:18:00Z</dcterms:created>
  <dc:creator>许昌市公共资源交易中心:孟莉</dc:creator>
  <cp:lastModifiedBy>song</cp:lastModifiedBy>
  <cp:lastPrinted>2024-05-28T01:27:00Z</cp:lastPrinted>
  <dcterms:modified xsi:type="dcterms:W3CDTF">2024-08-02T03:18:28Z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05712401526A4232B8AD6757D31CE80F_12</vt:lpwstr>
  </property>
</Properties>
</file>