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109AD">
      <w:pPr>
        <w:pStyle w:val="40"/>
        <w:ind w:firstLine="0" w:firstLineChars="0"/>
        <w:jc w:val="center"/>
        <w:rPr>
          <w:rFonts w:hint="eastAsia" w:asciiTheme="majorEastAsia" w:hAnsiTheme="majorEastAsia" w:eastAsiaTheme="majorEastAsia" w:cstheme="majorEastAsia"/>
          <w:b/>
          <w:bCs/>
          <w:color w:val="auto"/>
          <w:sz w:val="44"/>
          <w:szCs w:val="44"/>
          <w:highlight w:val="none"/>
        </w:rPr>
      </w:pPr>
      <w:r>
        <w:rPr>
          <w:rFonts w:hint="eastAsia" w:asciiTheme="majorEastAsia" w:hAnsiTheme="majorEastAsia" w:eastAsiaTheme="majorEastAsia" w:cstheme="majorEastAsia"/>
          <w:b/>
          <w:bCs/>
          <w:color w:val="auto"/>
          <w:sz w:val="44"/>
          <w:szCs w:val="44"/>
          <w:highlight w:val="none"/>
        </w:rPr>
        <w:t>禹州市水利局污泥处置项目</w:t>
      </w:r>
    </w:p>
    <w:p w14:paraId="3F75117C">
      <w:pPr>
        <w:pStyle w:val="40"/>
        <w:ind w:firstLine="0" w:firstLineChars="0"/>
        <w:jc w:val="center"/>
        <w:rPr>
          <w:rFonts w:ascii="华文隶书" w:eastAsia="华文隶书"/>
          <w:bCs/>
          <w:color w:val="auto"/>
          <w:w w:val="90"/>
          <w:sz w:val="96"/>
          <w:highlight w:val="none"/>
        </w:rPr>
      </w:pPr>
      <w:r>
        <w:rPr>
          <w:rFonts w:hint="eastAsia" w:asciiTheme="majorEastAsia" w:hAnsiTheme="majorEastAsia" w:eastAsiaTheme="majorEastAsia" w:cstheme="majorEastAsia"/>
          <w:b/>
          <w:bCs/>
          <w:color w:val="auto"/>
          <w:sz w:val="44"/>
          <w:szCs w:val="44"/>
          <w:highlight w:val="none"/>
        </w:rPr>
        <w:t xml:space="preserve"> </w:t>
      </w:r>
    </w:p>
    <w:p w14:paraId="3AC4717F">
      <w:pPr>
        <w:pStyle w:val="40"/>
        <w:ind w:firstLine="0" w:firstLineChars="0"/>
        <w:rPr>
          <w:rFonts w:ascii="华文隶书" w:eastAsia="华文隶书"/>
          <w:bCs/>
          <w:color w:val="auto"/>
          <w:w w:val="90"/>
          <w:sz w:val="96"/>
          <w:highlight w:val="none"/>
        </w:rPr>
      </w:pPr>
    </w:p>
    <w:p w14:paraId="651D9119">
      <w:pPr>
        <w:pStyle w:val="40"/>
        <w:ind w:firstLine="0" w:firstLineChars="0"/>
        <w:rPr>
          <w:rFonts w:ascii="华文隶书" w:eastAsia="华文隶书"/>
          <w:bCs/>
          <w:color w:val="auto"/>
          <w:w w:val="90"/>
          <w:sz w:val="96"/>
          <w:highlight w:val="none"/>
        </w:rPr>
      </w:pPr>
    </w:p>
    <w:p w14:paraId="7AA8A22D">
      <w:pPr>
        <w:pStyle w:val="71"/>
        <w:ind w:firstLine="420"/>
        <w:rPr>
          <w:color w:val="auto"/>
          <w:highlight w:val="none"/>
        </w:rPr>
      </w:pPr>
    </w:p>
    <w:p w14:paraId="5B9C7BF1">
      <w:pPr>
        <w:jc w:val="center"/>
        <w:rPr>
          <w:rFonts w:ascii="黑体" w:hAnsi="黑体" w:eastAsia="黑体" w:cs="黑体"/>
          <w:bCs/>
          <w:color w:val="auto"/>
          <w:w w:val="90"/>
          <w:sz w:val="72"/>
          <w:szCs w:val="72"/>
          <w:highlight w:val="none"/>
        </w:rPr>
      </w:pPr>
      <w:r>
        <w:rPr>
          <w:rFonts w:hint="eastAsia" w:ascii="黑体" w:hAnsi="黑体" w:eastAsia="黑体" w:cs="黑体"/>
          <w:bCs/>
          <w:color w:val="auto"/>
          <w:w w:val="90"/>
          <w:sz w:val="72"/>
          <w:szCs w:val="72"/>
          <w:highlight w:val="none"/>
        </w:rPr>
        <w:t>招 标 文 件</w:t>
      </w:r>
    </w:p>
    <w:p w14:paraId="1131E80C">
      <w:pPr>
        <w:rPr>
          <w:rFonts w:ascii="微软简隶书" w:eastAsia="微软简隶书"/>
          <w:color w:val="auto"/>
          <w:highlight w:val="none"/>
        </w:rPr>
      </w:pPr>
    </w:p>
    <w:p w14:paraId="2CA3F53F">
      <w:pPr>
        <w:rPr>
          <w:rFonts w:ascii="微软简隶书" w:eastAsia="微软简隶书"/>
          <w:color w:val="auto"/>
          <w:highlight w:val="none"/>
        </w:rPr>
      </w:pPr>
    </w:p>
    <w:p w14:paraId="6B3FCAE7">
      <w:pPr>
        <w:pStyle w:val="14"/>
        <w:rPr>
          <w:rFonts w:hint="eastAsia"/>
          <w:color w:val="auto"/>
          <w:highlight w:val="none"/>
        </w:rPr>
      </w:pPr>
    </w:p>
    <w:p w14:paraId="0C190E50">
      <w:pPr>
        <w:rPr>
          <w:color w:val="auto"/>
          <w:highlight w:val="none"/>
        </w:rPr>
      </w:pPr>
    </w:p>
    <w:p w14:paraId="471CA31F">
      <w:pPr>
        <w:pStyle w:val="14"/>
        <w:rPr>
          <w:color w:val="auto"/>
          <w:highlight w:val="none"/>
        </w:rPr>
      </w:pPr>
    </w:p>
    <w:p w14:paraId="7A9E8928">
      <w:pPr>
        <w:pStyle w:val="14"/>
        <w:rPr>
          <w:color w:val="auto"/>
          <w:highlight w:val="none"/>
        </w:rPr>
      </w:pPr>
    </w:p>
    <w:p w14:paraId="4B93B85A">
      <w:pPr>
        <w:rPr>
          <w:rFonts w:ascii="微软简隶书" w:eastAsia="微软简隶书"/>
          <w:color w:val="auto"/>
          <w:highlight w:val="none"/>
        </w:rPr>
      </w:pPr>
    </w:p>
    <w:p w14:paraId="5DFE3CAD">
      <w:pPr>
        <w:rPr>
          <w:rFonts w:ascii="微软简隶书" w:eastAsia="微软简隶书"/>
          <w:color w:val="auto"/>
          <w:highlight w:val="none"/>
        </w:rPr>
      </w:pPr>
    </w:p>
    <w:p w14:paraId="7B1248D9">
      <w:pPr>
        <w:spacing w:line="600" w:lineRule="exact"/>
        <w:ind w:firstLine="1066" w:firstLineChars="295"/>
        <w:rPr>
          <w:rFonts w:hint="default"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采购编号：YZCG-</w:t>
      </w:r>
      <w:r>
        <w:rPr>
          <w:rFonts w:hint="eastAsia" w:asciiTheme="majorEastAsia" w:hAnsiTheme="majorEastAsia" w:eastAsiaTheme="majorEastAsia" w:cstheme="majorEastAsia"/>
          <w:b/>
          <w:bCs/>
          <w:color w:val="auto"/>
          <w:sz w:val="36"/>
          <w:szCs w:val="36"/>
          <w:highlight w:val="none"/>
          <w:lang w:eastAsia="zh-CN"/>
        </w:rPr>
        <w:t>DLG202</w:t>
      </w:r>
      <w:r>
        <w:rPr>
          <w:rFonts w:hint="eastAsia" w:asciiTheme="majorEastAsia" w:hAnsiTheme="majorEastAsia" w:eastAsiaTheme="majorEastAsia" w:cstheme="majorEastAsia"/>
          <w:b/>
          <w:bCs/>
          <w:color w:val="auto"/>
          <w:sz w:val="36"/>
          <w:szCs w:val="36"/>
          <w:highlight w:val="none"/>
          <w:lang w:val="en-US" w:eastAsia="zh-CN"/>
        </w:rPr>
        <w:t>5019</w:t>
      </w:r>
    </w:p>
    <w:p w14:paraId="08809EE6">
      <w:pPr>
        <w:ind w:firstLine="1066" w:firstLineChars="295"/>
        <w:rPr>
          <w:rFonts w:hint="eastAsia" w:asciiTheme="majorEastAsia" w:hAnsiTheme="majorEastAsia" w:eastAsiaTheme="majorEastAsia" w:cstheme="majorEastAsia"/>
          <w:b/>
          <w:bCs/>
          <w:color w:val="auto"/>
          <w:sz w:val="36"/>
          <w:szCs w:val="36"/>
          <w:highlight w:val="none"/>
          <w:lang w:eastAsia="zh-CN"/>
        </w:rPr>
      </w:pPr>
      <w:r>
        <w:rPr>
          <w:rFonts w:hint="eastAsia" w:asciiTheme="majorEastAsia" w:hAnsiTheme="majorEastAsia" w:eastAsiaTheme="majorEastAsia" w:cstheme="majorEastAsia"/>
          <w:b/>
          <w:bCs/>
          <w:color w:val="auto"/>
          <w:sz w:val="36"/>
          <w:szCs w:val="36"/>
          <w:highlight w:val="none"/>
        </w:rPr>
        <w:t>采购单位：禹州市</w:t>
      </w:r>
      <w:r>
        <w:rPr>
          <w:rFonts w:hint="eastAsia" w:asciiTheme="majorEastAsia" w:hAnsiTheme="majorEastAsia" w:eastAsiaTheme="majorEastAsia" w:cstheme="majorEastAsia"/>
          <w:b/>
          <w:bCs/>
          <w:color w:val="auto"/>
          <w:sz w:val="36"/>
          <w:szCs w:val="36"/>
          <w:highlight w:val="none"/>
          <w:lang w:eastAsia="zh-CN"/>
        </w:rPr>
        <w:t>水利局</w:t>
      </w:r>
    </w:p>
    <w:p w14:paraId="4AD790A8">
      <w:pPr>
        <w:ind w:firstLine="1066" w:firstLineChars="295"/>
        <w:rPr>
          <w:rFonts w:eastAsiaTheme="majorEastAsia"/>
          <w:color w:val="auto"/>
          <w:highlight w:val="none"/>
        </w:rPr>
      </w:pPr>
      <w:r>
        <w:rPr>
          <w:rFonts w:hint="eastAsia" w:asciiTheme="majorEastAsia" w:hAnsiTheme="majorEastAsia" w:eastAsiaTheme="majorEastAsia" w:cstheme="majorEastAsia"/>
          <w:b/>
          <w:bCs/>
          <w:color w:val="auto"/>
          <w:sz w:val="36"/>
          <w:szCs w:val="36"/>
          <w:highlight w:val="none"/>
        </w:rPr>
        <w:t>代理机构：许昌丰元咨询管理有限公司</w:t>
      </w:r>
    </w:p>
    <w:p w14:paraId="5515268B">
      <w:pPr>
        <w:jc w:val="center"/>
        <w:rPr>
          <w:rFonts w:cs="黑体" w:asciiTheme="minorEastAsia" w:hAnsiTheme="minorEastAsia"/>
          <w:b/>
          <w:bCs/>
          <w:color w:val="auto"/>
          <w:sz w:val="44"/>
          <w:szCs w:val="44"/>
          <w:highlight w:val="none"/>
          <w:lang w:val="zh-CN"/>
        </w:rPr>
      </w:pPr>
      <w:r>
        <w:rPr>
          <w:rFonts w:hint="eastAsia" w:asciiTheme="majorEastAsia" w:hAnsiTheme="majorEastAsia" w:eastAsiaTheme="majorEastAsia" w:cstheme="majorEastAsia"/>
          <w:b/>
          <w:bCs/>
          <w:color w:val="auto"/>
          <w:sz w:val="36"/>
          <w:szCs w:val="36"/>
          <w:highlight w:val="none"/>
        </w:rPr>
        <w:t>二〇二</w:t>
      </w:r>
      <w:r>
        <w:rPr>
          <w:rFonts w:hint="eastAsia" w:asciiTheme="majorEastAsia" w:hAnsiTheme="majorEastAsia" w:eastAsiaTheme="majorEastAsia" w:cstheme="majorEastAsia"/>
          <w:b/>
          <w:bCs/>
          <w:color w:val="auto"/>
          <w:sz w:val="36"/>
          <w:szCs w:val="36"/>
          <w:highlight w:val="none"/>
          <w:lang w:eastAsia="zh-CN"/>
        </w:rPr>
        <w:t>五</w:t>
      </w:r>
      <w:r>
        <w:rPr>
          <w:rFonts w:hint="eastAsia" w:asciiTheme="majorEastAsia" w:hAnsiTheme="majorEastAsia" w:eastAsiaTheme="majorEastAsia" w:cstheme="majorEastAsia"/>
          <w:b/>
          <w:bCs/>
          <w:color w:val="auto"/>
          <w:sz w:val="36"/>
          <w:szCs w:val="36"/>
          <w:highlight w:val="none"/>
        </w:rPr>
        <w:t>年</w:t>
      </w:r>
      <w:r>
        <w:rPr>
          <w:rFonts w:hint="eastAsia" w:asciiTheme="majorEastAsia" w:hAnsiTheme="majorEastAsia" w:eastAsiaTheme="majorEastAsia" w:cstheme="majorEastAsia"/>
          <w:b/>
          <w:bCs/>
          <w:color w:val="auto"/>
          <w:sz w:val="36"/>
          <w:szCs w:val="36"/>
          <w:highlight w:val="none"/>
          <w:lang w:val="en-US" w:eastAsia="zh-CN"/>
        </w:rPr>
        <w:t>四</w:t>
      </w:r>
      <w:r>
        <w:rPr>
          <w:rFonts w:hint="eastAsia" w:asciiTheme="majorEastAsia" w:hAnsiTheme="majorEastAsia" w:eastAsiaTheme="majorEastAsia" w:cstheme="majorEastAsia"/>
          <w:b/>
          <w:bCs/>
          <w:color w:val="auto"/>
          <w:sz w:val="36"/>
          <w:szCs w:val="36"/>
          <w:highlight w:val="none"/>
        </w:rPr>
        <w:t>月</w:t>
      </w:r>
    </w:p>
    <w:p w14:paraId="19483182">
      <w:pPr>
        <w:autoSpaceDE w:val="0"/>
        <w:autoSpaceDN w:val="0"/>
        <w:adjustRightInd w:val="0"/>
        <w:spacing w:line="700" w:lineRule="exact"/>
        <w:jc w:val="both"/>
        <w:rPr>
          <w:rFonts w:cs="黑体" w:asciiTheme="minorEastAsia" w:hAnsiTheme="minorEastAsia"/>
          <w:b/>
          <w:bCs/>
          <w:color w:val="auto"/>
          <w:sz w:val="44"/>
          <w:szCs w:val="44"/>
          <w:highlight w:val="none"/>
          <w:lang w:val="zh-CN"/>
        </w:rPr>
        <w:sectPr>
          <w:pgSz w:w="11906" w:h="16838"/>
          <w:pgMar w:top="2098" w:right="1474" w:bottom="1928" w:left="1588" w:header="851" w:footer="992" w:gutter="0"/>
          <w:pgNumType w:start="1"/>
          <w:cols w:space="425" w:num="1"/>
          <w:docGrid w:type="lines" w:linePitch="312" w:charSpace="0"/>
        </w:sectPr>
      </w:pPr>
    </w:p>
    <w:p w14:paraId="345FE22B">
      <w:pPr>
        <w:autoSpaceDE w:val="0"/>
        <w:autoSpaceDN w:val="0"/>
        <w:adjustRightInd w:val="0"/>
        <w:spacing w:line="700" w:lineRule="exact"/>
        <w:jc w:val="center"/>
        <w:rPr>
          <w:rFonts w:cs="黑体" w:asciiTheme="minorEastAsia" w:hAnsiTheme="minorEastAsia"/>
          <w:b/>
          <w:bCs/>
          <w:color w:val="auto"/>
          <w:sz w:val="44"/>
          <w:szCs w:val="44"/>
          <w:highlight w:val="none"/>
          <w:lang w:val="zh-CN"/>
        </w:rPr>
      </w:pPr>
      <w:r>
        <w:rPr>
          <w:rFonts w:hint="eastAsia" w:cs="黑体" w:asciiTheme="minorEastAsia" w:hAnsiTheme="minorEastAsia"/>
          <w:b/>
          <w:bCs/>
          <w:color w:val="auto"/>
          <w:sz w:val="44"/>
          <w:szCs w:val="44"/>
          <w:highlight w:val="none"/>
          <w:lang w:val="zh-CN"/>
        </w:rPr>
        <w:t>目    录</w:t>
      </w:r>
    </w:p>
    <w:p w14:paraId="11535741">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p>
    <w:p w14:paraId="519B89D5">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第一章 投标邀请</w:t>
      </w:r>
    </w:p>
    <w:p w14:paraId="2555E9E1">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第二章 项目需求</w:t>
      </w:r>
    </w:p>
    <w:p w14:paraId="1CD833A1">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highlight w:val="none"/>
        </w:rPr>
      </w:pPr>
      <w:r>
        <w:rPr>
          <w:rFonts w:hint="eastAsia" w:asciiTheme="majorEastAsia" w:hAnsiTheme="majorEastAsia" w:eastAsiaTheme="majorEastAsia" w:cstheme="majorEastAsia"/>
          <w:b/>
          <w:bCs/>
          <w:color w:val="auto"/>
          <w:sz w:val="30"/>
          <w:szCs w:val="30"/>
          <w:highlight w:val="none"/>
          <w:lang w:val="zh-CN"/>
        </w:rPr>
        <w:t xml:space="preserve">第三章 </w:t>
      </w:r>
      <w:r>
        <w:rPr>
          <w:rFonts w:hint="eastAsia" w:asciiTheme="majorEastAsia" w:hAnsiTheme="majorEastAsia" w:eastAsiaTheme="majorEastAsia" w:cstheme="majorEastAsia"/>
          <w:b/>
          <w:color w:val="auto"/>
          <w:kern w:val="0"/>
          <w:sz w:val="30"/>
          <w:szCs w:val="30"/>
          <w:highlight w:val="none"/>
        </w:rPr>
        <w:t>投标人须知前附表</w:t>
      </w:r>
    </w:p>
    <w:p w14:paraId="2A7495CA">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highlight w:val="none"/>
        </w:rPr>
      </w:pPr>
      <w:r>
        <w:rPr>
          <w:rFonts w:hint="eastAsia" w:asciiTheme="majorEastAsia" w:hAnsiTheme="majorEastAsia" w:eastAsiaTheme="majorEastAsia" w:cstheme="majorEastAsia"/>
          <w:b/>
          <w:bCs/>
          <w:color w:val="auto"/>
          <w:sz w:val="30"/>
          <w:szCs w:val="30"/>
          <w:highlight w:val="none"/>
          <w:lang w:val="zh-CN"/>
        </w:rPr>
        <w:t xml:space="preserve">第四章 </w:t>
      </w:r>
      <w:r>
        <w:rPr>
          <w:rFonts w:hint="eastAsia" w:asciiTheme="majorEastAsia" w:hAnsiTheme="majorEastAsia" w:eastAsiaTheme="majorEastAsia" w:cstheme="majorEastAsia"/>
          <w:b/>
          <w:color w:val="auto"/>
          <w:kern w:val="0"/>
          <w:sz w:val="30"/>
          <w:szCs w:val="30"/>
          <w:highlight w:val="none"/>
        </w:rPr>
        <w:t>投标人须知</w:t>
      </w:r>
    </w:p>
    <w:p w14:paraId="5DA9AC4B">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1071316B">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二、招标文件说明</w:t>
      </w:r>
    </w:p>
    <w:p w14:paraId="75A4FDF7">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三、投标文件的编制</w:t>
      </w:r>
    </w:p>
    <w:p w14:paraId="6799C607">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四、投标文件的递交</w:t>
      </w:r>
    </w:p>
    <w:p w14:paraId="3DE48F10">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五、开标和评标</w:t>
      </w:r>
    </w:p>
    <w:p w14:paraId="1E28CEE5">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六、定标和授予合同</w:t>
      </w:r>
    </w:p>
    <w:p w14:paraId="0315E007">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第五章 政府采购政策功能</w:t>
      </w:r>
    </w:p>
    <w:p w14:paraId="5C21FB9D">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第六章 资格审查与评标</w:t>
      </w:r>
    </w:p>
    <w:p w14:paraId="456A2A19">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第七章 拟签订的合同文本</w:t>
      </w:r>
    </w:p>
    <w:p w14:paraId="62549875">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第八章 投标文件有关格式</w:t>
      </w:r>
    </w:p>
    <w:p w14:paraId="333E6EBF">
      <w:pPr>
        <w:pStyle w:val="30"/>
        <w:ind w:firstLine="301"/>
        <w:rPr>
          <w:rFonts w:asciiTheme="majorEastAsia" w:hAnsiTheme="majorEastAsia" w:eastAsiaTheme="majorEastAsia" w:cstheme="majorEastAsia"/>
          <w:b/>
          <w:bCs/>
          <w:color w:val="auto"/>
          <w:sz w:val="30"/>
          <w:szCs w:val="30"/>
          <w:highlight w:val="none"/>
          <w:lang w:val="zh-CN"/>
        </w:rPr>
      </w:pPr>
    </w:p>
    <w:p w14:paraId="47D75410">
      <w:pPr>
        <w:pStyle w:val="2"/>
        <w:rPr>
          <w:rFonts w:asciiTheme="majorEastAsia" w:hAnsiTheme="majorEastAsia" w:eastAsiaTheme="majorEastAsia" w:cstheme="majorEastAsia"/>
          <w:b/>
          <w:bCs/>
          <w:color w:val="auto"/>
          <w:sz w:val="30"/>
          <w:szCs w:val="30"/>
          <w:highlight w:val="none"/>
          <w:lang w:val="zh-CN"/>
        </w:rPr>
      </w:pPr>
    </w:p>
    <w:p w14:paraId="16F4387E">
      <w:pPr>
        <w:rPr>
          <w:rFonts w:asciiTheme="majorEastAsia" w:hAnsiTheme="majorEastAsia" w:eastAsiaTheme="majorEastAsia" w:cstheme="majorEastAsia"/>
          <w:b/>
          <w:bCs/>
          <w:color w:val="auto"/>
          <w:sz w:val="30"/>
          <w:szCs w:val="30"/>
          <w:highlight w:val="none"/>
          <w:lang w:val="zh-CN"/>
        </w:rPr>
      </w:pPr>
    </w:p>
    <w:p w14:paraId="34F61D01">
      <w:pPr>
        <w:pStyle w:val="14"/>
        <w:rPr>
          <w:rFonts w:asciiTheme="majorEastAsia" w:hAnsiTheme="majorEastAsia" w:eastAsiaTheme="majorEastAsia" w:cstheme="majorEastAsia"/>
          <w:b/>
          <w:bCs/>
          <w:color w:val="auto"/>
          <w:sz w:val="30"/>
          <w:szCs w:val="30"/>
          <w:highlight w:val="none"/>
          <w:lang w:val="zh-CN"/>
        </w:rPr>
      </w:pPr>
    </w:p>
    <w:p w14:paraId="72935D6F">
      <w:pPr>
        <w:pStyle w:val="15"/>
        <w:rPr>
          <w:color w:val="auto"/>
          <w:highlight w:val="none"/>
          <w:lang w:val="zh-CN"/>
        </w:rPr>
      </w:pPr>
    </w:p>
    <w:p w14:paraId="0C7B4466">
      <w:pPr>
        <w:pStyle w:val="2"/>
        <w:ind w:firstLine="480"/>
        <w:rPr>
          <w:color w:val="auto"/>
          <w:highlight w:val="none"/>
        </w:rPr>
      </w:pPr>
    </w:p>
    <w:p w14:paraId="6E00AB6E">
      <w:pPr>
        <w:jc w:val="center"/>
        <w:rPr>
          <w:rFonts w:hint="eastAsia" w:cs="宋体" w:asciiTheme="majorEastAsia" w:hAnsiTheme="majorEastAsia" w:eastAsiaTheme="majorEastAsia"/>
          <w:b/>
          <w:color w:val="auto"/>
          <w:kern w:val="0"/>
          <w:sz w:val="32"/>
          <w:szCs w:val="32"/>
          <w:highlight w:val="none"/>
        </w:rPr>
        <w:sectPr>
          <w:footerReference r:id="rId3" w:type="default"/>
          <w:pgSz w:w="11907" w:h="16839"/>
          <w:pgMar w:top="1431" w:right="1094" w:bottom="1155" w:left="1476" w:header="0" w:footer="1038" w:gutter="0"/>
          <w:pgNumType w:start="1"/>
          <w:cols w:space="720" w:num="1"/>
          <w:docGrid w:linePitch="1" w:charSpace="0"/>
        </w:sectPr>
      </w:pPr>
    </w:p>
    <w:p w14:paraId="7BF825B4">
      <w:pPr>
        <w:jc w:val="center"/>
        <w:rPr>
          <w:color w:val="auto"/>
          <w:highlight w:val="none"/>
        </w:rPr>
      </w:pPr>
      <w:r>
        <w:rPr>
          <w:rFonts w:hint="eastAsia" w:cs="宋体" w:asciiTheme="majorEastAsia" w:hAnsiTheme="majorEastAsia" w:eastAsiaTheme="majorEastAsia"/>
          <w:b/>
          <w:color w:val="auto"/>
          <w:kern w:val="0"/>
          <w:sz w:val="32"/>
          <w:szCs w:val="32"/>
          <w:highlight w:val="none"/>
        </w:rPr>
        <w:t>第一章  投标邀请</w:t>
      </w:r>
    </w:p>
    <w:p w14:paraId="27A600D0">
      <w:pPr>
        <w:tabs>
          <w:tab w:val="left" w:pos="7095"/>
        </w:tabs>
        <w:spacing w:line="384" w:lineRule="auto"/>
        <w:contextualSpacing/>
        <w:rPr>
          <w:rFonts w:hAnsi="宋体"/>
          <w:b/>
          <w:bCs/>
          <w:color w:val="auto"/>
          <w:szCs w:val="21"/>
          <w:highlight w:val="none"/>
        </w:rPr>
      </w:pPr>
      <w:r>
        <w:rPr>
          <w:rFonts w:hint="eastAsia" w:ascii="宋体" w:hAnsi="宋体" w:eastAsia="宋体" w:cs="宋体"/>
          <w:color w:val="auto"/>
          <w:szCs w:val="21"/>
          <w:highlight w:val="none"/>
          <w:shd w:val="clear" w:color="auto" w:fill="FFFFFF"/>
        </w:rPr>
        <w:t>　</w:t>
      </w:r>
      <w:r>
        <w:rPr>
          <w:rFonts w:hint="eastAsia" w:hAnsi="宋体"/>
          <w:b/>
          <w:bCs/>
          <w:color w:val="auto"/>
          <w:szCs w:val="21"/>
          <w:highlight w:val="none"/>
        </w:rPr>
        <w:t>项目概况</w:t>
      </w:r>
    </w:p>
    <w:p w14:paraId="08BDA919">
      <w:pPr>
        <w:tabs>
          <w:tab w:val="left" w:pos="7095"/>
        </w:tabs>
        <w:spacing w:line="384" w:lineRule="auto"/>
        <w:ind w:firstLine="630" w:firstLineChars="300"/>
        <w:contextualSpacing/>
        <w:rPr>
          <w:rFonts w:hAnsi="宋体"/>
          <w:color w:val="auto"/>
          <w:szCs w:val="21"/>
          <w:highlight w:val="none"/>
        </w:rPr>
      </w:pPr>
      <w:r>
        <w:rPr>
          <w:rFonts w:hint="eastAsia" w:hAnsi="宋体"/>
          <w:color w:val="auto"/>
          <w:szCs w:val="21"/>
          <w:highlight w:val="none"/>
        </w:rPr>
        <w:t>禹州市水利局污泥处置项目的潜在投标人应在投标截止时间前登录《全国公共资源交易平台（河南省·许昌市）》“投标人/供应商登录”入口</w:t>
      </w:r>
      <w:r>
        <w:rPr>
          <w:rFonts w:hint="eastAsia" w:hAnsi="宋体"/>
          <w:color w:val="auto"/>
          <w:szCs w:val="21"/>
          <w:highlight w:val="none"/>
          <w:lang w:eastAsia="zh-CN"/>
        </w:rPr>
        <w:t>（</w:t>
      </w:r>
      <w:r>
        <w:rPr>
          <w:rFonts w:hint="eastAsia" w:ascii="宋体" w:hAnsi="宋体" w:cs="宋体"/>
          <w:color w:val="auto"/>
          <w:highlight w:val="none"/>
        </w:rPr>
        <w:t>http://117.159.53.11:60632/</w:t>
      </w:r>
      <w:r>
        <w:rPr>
          <w:rFonts w:hint="eastAsia" w:hAnsi="宋体"/>
          <w:color w:val="auto"/>
          <w:szCs w:val="21"/>
          <w:highlight w:val="none"/>
        </w:rPr>
        <w:t>）自行免费下载获取招标文件，并于20</w:t>
      </w:r>
      <w:r>
        <w:rPr>
          <w:rFonts w:hint="eastAsia" w:hAnsi="宋体"/>
          <w:color w:val="auto"/>
          <w:szCs w:val="21"/>
          <w:highlight w:val="none"/>
        </w:rPr>
        <w:t>2</w:t>
      </w:r>
      <w:r>
        <w:rPr>
          <w:rFonts w:hint="eastAsia" w:hAnsi="宋体"/>
          <w:color w:val="auto"/>
          <w:szCs w:val="21"/>
          <w:highlight w:val="none"/>
          <w:lang w:val="en-US" w:eastAsia="zh-CN"/>
        </w:rPr>
        <w:t>5</w:t>
      </w:r>
      <w:r>
        <w:rPr>
          <w:rFonts w:hint="eastAsia" w:hAnsi="宋体"/>
          <w:color w:val="auto"/>
          <w:szCs w:val="21"/>
          <w:highlight w:val="none"/>
        </w:rPr>
        <w:t>年</w:t>
      </w:r>
      <w:r>
        <w:rPr>
          <w:rFonts w:hint="eastAsia" w:hAnsi="宋体"/>
          <w:color w:val="auto"/>
          <w:szCs w:val="21"/>
          <w:highlight w:val="none"/>
          <w:lang w:val="en-US" w:eastAsia="zh-CN"/>
        </w:rPr>
        <w:t>5</w:t>
      </w:r>
      <w:r>
        <w:rPr>
          <w:rFonts w:hint="eastAsia" w:hAnsi="宋体"/>
          <w:color w:val="auto"/>
          <w:szCs w:val="21"/>
          <w:highlight w:val="none"/>
        </w:rPr>
        <w:t>月</w:t>
      </w:r>
      <w:r>
        <w:rPr>
          <w:rFonts w:hint="eastAsia" w:hAnsi="宋体"/>
          <w:color w:val="auto"/>
          <w:szCs w:val="21"/>
          <w:highlight w:val="none"/>
          <w:lang w:val="en-US" w:eastAsia="zh-CN"/>
        </w:rPr>
        <w:t>16</w:t>
      </w:r>
      <w:r>
        <w:rPr>
          <w:rFonts w:hint="eastAsia" w:hAnsi="宋体"/>
          <w:color w:val="auto"/>
          <w:szCs w:val="21"/>
          <w:highlight w:val="none"/>
        </w:rPr>
        <w:t>日</w:t>
      </w:r>
      <w:r>
        <w:rPr>
          <w:rFonts w:hint="eastAsia" w:hAnsi="宋体"/>
          <w:color w:val="auto"/>
          <w:szCs w:val="21"/>
          <w:highlight w:val="none"/>
          <w:lang w:val="en-US" w:eastAsia="zh-CN"/>
        </w:rPr>
        <w:t>0</w:t>
      </w:r>
      <w:r>
        <w:rPr>
          <w:rFonts w:hint="eastAsia" w:hAnsi="宋体"/>
          <w:color w:val="auto"/>
          <w:szCs w:val="21"/>
          <w:highlight w:val="none"/>
          <w:lang w:val="en-US" w:eastAsia="zh-CN"/>
        </w:rPr>
        <w:t>8时</w:t>
      </w:r>
      <w:r>
        <w:rPr>
          <w:rFonts w:hint="eastAsia" w:hAnsi="宋体"/>
          <w:color w:val="auto"/>
          <w:szCs w:val="21"/>
          <w:highlight w:val="none"/>
        </w:rPr>
        <w:t>30分（北京时间）前递交投标文件。</w:t>
      </w:r>
    </w:p>
    <w:p w14:paraId="7B88E4E8">
      <w:pPr>
        <w:tabs>
          <w:tab w:val="left" w:pos="7095"/>
        </w:tabs>
        <w:spacing w:line="384" w:lineRule="auto"/>
        <w:ind w:firstLine="422" w:firstLineChars="200"/>
        <w:contextualSpacing/>
        <w:rPr>
          <w:rFonts w:hAnsi="宋体"/>
          <w:b/>
          <w:bCs/>
          <w:color w:val="auto"/>
          <w:szCs w:val="21"/>
          <w:highlight w:val="none"/>
        </w:rPr>
      </w:pPr>
      <w:r>
        <w:rPr>
          <w:rFonts w:hint="eastAsia" w:hAnsi="宋体"/>
          <w:b/>
          <w:bCs/>
          <w:color w:val="auto"/>
          <w:szCs w:val="21"/>
          <w:highlight w:val="none"/>
        </w:rPr>
        <w:t>一、项目基本情况</w:t>
      </w:r>
    </w:p>
    <w:p w14:paraId="22E2C820">
      <w:pPr>
        <w:tabs>
          <w:tab w:val="left" w:pos="7095"/>
        </w:tabs>
        <w:spacing w:line="384" w:lineRule="auto"/>
        <w:ind w:firstLine="420" w:firstLineChars="200"/>
        <w:contextualSpacing/>
        <w:rPr>
          <w:rFonts w:hint="default" w:hAnsi="宋体" w:eastAsiaTheme="minorEastAsia"/>
          <w:color w:val="auto"/>
          <w:szCs w:val="21"/>
          <w:highlight w:val="none"/>
          <w:lang w:val="en-US" w:eastAsia="zh-CN"/>
        </w:rPr>
      </w:pPr>
      <w:r>
        <w:rPr>
          <w:rFonts w:hint="eastAsia" w:hAnsi="宋体"/>
          <w:color w:val="auto"/>
          <w:szCs w:val="21"/>
          <w:highlight w:val="none"/>
        </w:rPr>
        <w:t>1.项目编号：YZCG-</w:t>
      </w:r>
      <w:r>
        <w:rPr>
          <w:rFonts w:hint="eastAsia" w:hAnsi="宋体"/>
          <w:color w:val="auto"/>
          <w:szCs w:val="21"/>
          <w:highlight w:val="none"/>
          <w:lang w:eastAsia="zh-CN"/>
        </w:rPr>
        <w:t>DLG202</w:t>
      </w:r>
      <w:r>
        <w:rPr>
          <w:rFonts w:hint="eastAsia" w:hAnsi="宋体"/>
          <w:color w:val="auto"/>
          <w:szCs w:val="21"/>
          <w:highlight w:val="none"/>
          <w:lang w:val="en-US" w:eastAsia="zh-CN"/>
        </w:rPr>
        <w:t>5019</w:t>
      </w:r>
    </w:p>
    <w:p w14:paraId="4BC5C911">
      <w:pPr>
        <w:tabs>
          <w:tab w:val="left" w:pos="7095"/>
        </w:tabs>
        <w:spacing w:line="384" w:lineRule="auto"/>
        <w:ind w:firstLine="420" w:firstLineChars="200"/>
        <w:contextualSpacing/>
        <w:rPr>
          <w:rFonts w:hint="eastAsia" w:hAnsi="宋体"/>
          <w:color w:val="auto"/>
          <w:szCs w:val="21"/>
          <w:highlight w:val="none"/>
        </w:rPr>
      </w:pPr>
      <w:r>
        <w:rPr>
          <w:rFonts w:hint="eastAsia" w:hAnsi="宋体"/>
          <w:color w:val="auto"/>
          <w:szCs w:val="21"/>
          <w:highlight w:val="none"/>
        </w:rPr>
        <w:t>2.项目名称：禹州市水利局污泥处置项目</w:t>
      </w:r>
    </w:p>
    <w:p w14:paraId="59DBD69D">
      <w:pPr>
        <w:tabs>
          <w:tab w:val="left" w:pos="7095"/>
        </w:tabs>
        <w:spacing w:line="384" w:lineRule="auto"/>
        <w:ind w:firstLine="420" w:firstLineChars="200"/>
        <w:contextualSpacing/>
        <w:rPr>
          <w:rFonts w:hAnsi="宋体"/>
          <w:color w:val="auto"/>
          <w:szCs w:val="21"/>
          <w:highlight w:val="none"/>
        </w:rPr>
      </w:pPr>
      <w:r>
        <w:rPr>
          <w:rFonts w:hint="eastAsia" w:hAnsi="宋体"/>
          <w:color w:val="auto"/>
          <w:szCs w:val="21"/>
          <w:highlight w:val="none"/>
        </w:rPr>
        <w:t>3.采购方式：公开招标</w:t>
      </w:r>
    </w:p>
    <w:p w14:paraId="084D6BAA">
      <w:pPr>
        <w:tabs>
          <w:tab w:val="left" w:pos="7095"/>
        </w:tabs>
        <w:spacing w:line="384" w:lineRule="auto"/>
        <w:ind w:firstLine="420" w:firstLineChars="200"/>
        <w:contextualSpacing/>
        <w:rPr>
          <w:rFonts w:hAnsi="宋体"/>
          <w:color w:val="auto"/>
          <w:szCs w:val="21"/>
          <w:highlight w:val="none"/>
        </w:rPr>
      </w:pPr>
      <w:r>
        <w:rPr>
          <w:rFonts w:hint="eastAsia" w:hAnsi="宋体"/>
          <w:color w:val="auto"/>
          <w:szCs w:val="21"/>
          <w:highlight w:val="none"/>
          <w:lang w:val="en-US" w:eastAsia="zh-CN"/>
        </w:rPr>
        <w:t>4</w:t>
      </w:r>
      <w:r>
        <w:rPr>
          <w:rFonts w:hint="eastAsia" w:hAnsi="宋体"/>
          <w:color w:val="auto"/>
          <w:szCs w:val="21"/>
          <w:highlight w:val="none"/>
        </w:rPr>
        <w:t>.采购需求（包括但不限于标的的名称、数量、简要技术需求或服务要求等）</w:t>
      </w:r>
    </w:p>
    <w:p w14:paraId="78D72D2B">
      <w:pPr>
        <w:tabs>
          <w:tab w:val="left" w:pos="7095"/>
        </w:tabs>
        <w:spacing w:line="384" w:lineRule="auto"/>
        <w:ind w:firstLine="420" w:firstLineChars="200"/>
        <w:contextualSpacing/>
        <w:rPr>
          <w:rFonts w:hint="eastAsia" w:hAnsi="宋体" w:eastAsiaTheme="minorEastAsia"/>
          <w:color w:val="auto"/>
          <w:szCs w:val="21"/>
          <w:highlight w:val="none"/>
          <w:lang w:val="en-US" w:eastAsia="zh-CN"/>
        </w:rPr>
      </w:pPr>
      <w:r>
        <w:rPr>
          <w:rFonts w:hint="eastAsia" w:hAnsi="宋体"/>
          <w:color w:val="auto"/>
          <w:szCs w:val="21"/>
          <w:highlight w:val="none"/>
        </w:rPr>
        <w:t>禹州市水利局污泥处置项目</w:t>
      </w:r>
      <w:r>
        <w:rPr>
          <w:rFonts w:hint="eastAsia" w:hAnsi="宋体"/>
          <w:color w:val="auto"/>
          <w:szCs w:val="21"/>
          <w:highlight w:val="none"/>
          <w:lang w:eastAsia="zh-CN"/>
        </w:rPr>
        <w:t>划分</w:t>
      </w:r>
      <w:r>
        <w:rPr>
          <w:rFonts w:hint="eastAsia" w:hAnsi="宋体"/>
          <w:color w:val="auto"/>
          <w:szCs w:val="21"/>
          <w:highlight w:val="none"/>
          <w:lang w:val="en-US" w:eastAsia="zh-CN"/>
        </w:rPr>
        <w:t>1个标段，</w:t>
      </w:r>
      <w:r>
        <w:rPr>
          <w:rFonts w:hint="eastAsia" w:hAnsi="宋体"/>
          <w:color w:val="auto"/>
          <w:szCs w:val="21"/>
          <w:highlight w:val="none"/>
          <w:lang w:val="en-US" w:eastAsia="zh-CN"/>
        </w:rPr>
        <w:t>本项目按单价采购，单价最高限价为207元/吨，</w:t>
      </w:r>
      <w:r>
        <w:rPr>
          <w:rFonts w:hint="eastAsia" w:hAnsi="宋体" w:eastAsia="宋体" w:cs="Times New Roman"/>
          <w:color w:val="auto"/>
          <w:szCs w:val="21"/>
          <w:highlight w:val="none"/>
          <w:lang w:val="en-US" w:eastAsia="zh-CN"/>
        </w:rPr>
        <w:t>日处</w:t>
      </w:r>
      <w:r>
        <w:rPr>
          <w:rFonts w:hint="eastAsia" w:hAnsi="宋体"/>
          <w:color w:val="auto"/>
          <w:szCs w:val="21"/>
          <w:highlight w:val="none"/>
          <w:lang w:val="en-US" w:eastAsia="zh-CN"/>
        </w:rPr>
        <w:t>理能力不低于260T，污泥处置费用最终按实际产生的污泥处置量×单价据实结算。</w:t>
      </w:r>
    </w:p>
    <w:p w14:paraId="729A2572">
      <w:pPr>
        <w:tabs>
          <w:tab w:val="left" w:pos="7095"/>
        </w:tabs>
        <w:spacing w:line="384" w:lineRule="auto"/>
        <w:ind w:firstLine="420" w:firstLineChars="200"/>
        <w:contextualSpacing/>
        <w:rPr>
          <w:rFonts w:hint="eastAsia" w:hAnsi="宋体"/>
          <w:color w:val="auto"/>
          <w:szCs w:val="21"/>
          <w:highlight w:val="none"/>
          <w:lang w:val="en-US" w:eastAsia="zh-CN"/>
        </w:rPr>
      </w:pPr>
      <w:r>
        <w:rPr>
          <w:rFonts w:hint="eastAsia" w:hAnsi="宋体"/>
          <w:color w:val="auto"/>
          <w:szCs w:val="21"/>
          <w:highlight w:val="none"/>
          <w:lang w:val="en-US" w:eastAsia="zh-CN"/>
        </w:rPr>
        <w:t>5.最高限价：207元</w:t>
      </w:r>
      <w:r>
        <w:rPr>
          <w:rFonts w:hint="eastAsia" w:hAnsi="宋体"/>
          <w:color w:val="auto"/>
          <w:szCs w:val="21"/>
          <w:highlight w:val="none"/>
          <w:lang w:val="en-US" w:eastAsia="zh-CN"/>
        </w:rPr>
        <w:t>/吨</w:t>
      </w:r>
    </w:p>
    <w:p w14:paraId="3C000B8C">
      <w:pPr>
        <w:tabs>
          <w:tab w:val="left" w:pos="7095"/>
        </w:tabs>
        <w:spacing w:line="384" w:lineRule="auto"/>
        <w:ind w:firstLine="420" w:firstLineChars="200"/>
        <w:contextualSpacing/>
        <w:rPr>
          <w:rFonts w:hint="eastAsia" w:hAnsi="宋体"/>
          <w:color w:val="auto"/>
          <w:szCs w:val="21"/>
          <w:highlight w:val="none"/>
          <w:lang w:val="en-US" w:eastAsia="zh-CN"/>
        </w:rPr>
      </w:pPr>
      <w:r>
        <w:rPr>
          <w:rFonts w:hint="eastAsia" w:hAnsi="宋体"/>
          <w:color w:val="auto"/>
          <w:szCs w:val="21"/>
          <w:highlight w:val="none"/>
          <w:lang w:val="en-US" w:eastAsia="zh-CN"/>
        </w:rPr>
        <w:t>6</w:t>
      </w:r>
      <w:r>
        <w:rPr>
          <w:rFonts w:hint="eastAsia" w:hAnsi="宋体"/>
          <w:color w:val="auto"/>
          <w:szCs w:val="21"/>
          <w:highlight w:val="none"/>
        </w:rPr>
        <w:t>.合同履行期限：</w:t>
      </w:r>
      <w:r>
        <w:rPr>
          <w:rFonts w:hint="eastAsia" w:hAnsi="宋体"/>
          <w:color w:val="auto"/>
          <w:szCs w:val="21"/>
          <w:highlight w:val="none"/>
          <w:lang w:eastAsia="zh-CN"/>
        </w:rPr>
        <w:t>自合同签订之日起</w:t>
      </w:r>
      <w:r>
        <w:rPr>
          <w:rFonts w:hint="eastAsia" w:hAnsi="宋体"/>
          <w:color w:val="auto"/>
          <w:szCs w:val="21"/>
          <w:highlight w:val="none"/>
          <w:lang w:val="en-US" w:eastAsia="zh-CN"/>
        </w:rPr>
        <w:t>1年</w:t>
      </w:r>
      <w:r>
        <w:rPr>
          <w:rFonts w:hint="eastAsia" w:hAnsi="宋体"/>
          <w:color w:val="auto"/>
          <w:szCs w:val="21"/>
          <w:highlight w:val="none"/>
          <w:lang w:val="en-US" w:eastAsia="zh-CN"/>
        </w:rPr>
        <w:t>。</w:t>
      </w:r>
    </w:p>
    <w:p w14:paraId="3D456C94">
      <w:pPr>
        <w:tabs>
          <w:tab w:val="left" w:pos="7095"/>
        </w:tabs>
        <w:spacing w:line="384" w:lineRule="auto"/>
        <w:ind w:firstLine="420" w:firstLineChars="200"/>
        <w:contextualSpacing/>
        <w:rPr>
          <w:rFonts w:hint="eastAsia" w:hAnsi="宋体" w:eastAsiaTheme="minorEastAsia"/>
          <w:color w:val="auto"/>
          <w:szCs w:val="21"/>
          <w:highlight w:val="none"/>
          <w:lang w:eastAsia="zh-CN"/>
        </w:rPr>
      </w:pPr>
      <w:r>
        <w:rPr>
          <w:rFonts w:hint="eastAsia" w:hAnsi="宋体"/>
          <w:color w:val="auto"/>
          <w:szCs w:val="21"/>
          <w:highlight w:val="none"/>
          <w:lang w:val="en-US" w:eastAsia="zh-CN"/>
        </w:rPr>
        <w:t>7</w:t>
      </w:r>
      <w:r>
        <w:rPr>
          <w:rFonts w:hint="eastAsia" w:hAnsi="宋体"/>
          <w:color w:val="auto"/>
          <w:szCs w:val="21"/>
          <w:highlight w:val="none"/>
        </w:rPr>
        <w:t>本项目是否接受联合体投标：</w:t>
      </w:r>
      <w:r>
        <w:rPr>
          <w:rFonts w:hint="eastAsia" w:hAnsi="宋体"/>
          <w:color w:val="auto"/>
          <w:szCs w:val="21"/>
          <w:highlight w:val="none"/>
          <w:lang w:eastAsia="zh-CN"/>
        </w:rPr>
        <w:t>是</w:t>
      </w:r>
    </w:p>
    <w:p w14:paraId="225BA02E">
      <w:pPr>
        <w:tabs>
          <w:tab w:val="left" w:pos="7095"/>
        </w:tabs>
        <w:spacing w:line="384" w:lineRule="auto"/>
        <w:ind w:firstLine="420" w:firstLineChars="200"/>
        <w:contextualSpacing/>
        <w:rPr>
          <w:rFonts w:hAnsi="宋体"/>
          <w:color w:val="auto"/>
          <w:szCs w:val="21"/>
          <w:highlight w:val="none"/>
        </w:rPr>
      </w:pPr>
      <w:r>
        <w:rPr>
          <w:rFonts w:hint="eastAsia" w:hAnsi="宋体"/>
          <w:color w:val="auto"/>
          <w:szCs w:val="21"/>
          <w:highlight w:val="none"/>
          <w:lang w:val="en-US" w:eastAsia="zh-CN"/>
        </w:rPr>
        <w:t>8</w:t>
      </w:r>
      <w:r>
        <w:rPr>
          <w:rFonts w:hint="eastAsia" w:hAnsi="宋体"/>
          <w:color w:val="auto"/>
          <w:szCs w:val="21"/>
          <w:highlight w:val="none"/>
        </w:rPr>
        <w:t>.是否接受进口产品：否</w:t>
      </w:r>
    </w:p>
    <w:p w14:paraId="099004FD">
      <w:pPr>
        <w:tabs>
          <w:tab w:val="left" w:pos="7095"/>
        </w:tabs>
        <w:spacing w:line="384" w:lineRule="auto"/>
        <w:ind w:firstLine="420" w:firstLineChars="200"/>
        <w:contextualSpacing/>
        <w:rPr>
          <w:rFonts w:hint="default" w:hAnsi="宋体"/>
          <w:color w:val="auto"/>
          <w:szCs w:val="21"/>
          <w:highlight w:val="none"/>
          <w:lang w:val="en-US" w:eastAsia="zh-CN"/>
        </w:rPr>
      </w:pPr>
      <w:r>
        <w:rPr>
          <w:rFonts w:hint="eastAsia" w:hAnsi="宋体"/>
          <w:color w:val="auto"/>
          <w:szCs w:val="21"/>
          <w:highlight w:val="none"/>
          <w:lang w:val="en-US" w:eastAsia="zh-CN"/>
        </w:rPr>
        <w:t>9</w:t>
      </w:r>
      <w:r>
        <w:rPr>
          <w:rFonts w:hint="eastAsia" w:hAnsi="宋体"/>
          <w:color w:val="auto"/>
          <w:szCs w:val="21"/>
          <w:highlight w:val="none"/>
        </w:rPr>
        <w:t>.是否专</w:t>
      </w:r>
      <w:r>
        <w:rPr>
          <w:rFonts w:hint="eastAsia" w:hAnsi="宋体"/>
          <w:color w:val="auto"/>
          <w:szCs w:val="21"/>
          <w:highlight w:val="none"/>
        </w:rPr>
        <w:t>门面向中小企业：</w:t>
      </w:r>
      <w:r>
        <w:rPr>
          <w:rFonts w:hint="eastAsia" w:hAnsi="宋体"/>
          <w:color w:val="auto"/>
          <w:szCs w:val="21"/>
          <w:highlight w:val="none"/>
          <w:lang w:val="en-US" w:eastAsia="zh-CN"/>
        </w:rPr>
        <w:t>是</w:t>
      </w:r>
    </w:p>
    <w:p w14:paraId="4F0D2B13">
      <w:pPr>
        <w:tabs>
          <w:tab w:val="left" w:pos="7095"/>
        </w:tabs>
        <w:spacing w:line="384" w:lineRule="auto"/>
        <w:ind w:firstLine="422" w:firstLineChars="200"/>
        <w:contextualSpacing/>
        <w:rPr>
          <w:rFonts w:hAnsi="宋体"/>
          <w:b/>
          <w:bCs/>
          <w:color w:val="auto"/>
          <w:szCs w:val="21"/>
          <w:highlight w:val="none"/>
        </w:rPr>
      </w:pPr>
      <w:r>
        <w:rPr>
          <w:rFonts w:hint="eastAsia" w:hAnsi="宋体"/>
          <w:b/>
          <w:bCs/>
          <w:color w:val="auto"/>
          <w:szCs w:val="21"/>
          <w:highlight w:val="none"/>
        </w:rPr>
        <w:t>二、申请人资格要求：</w:t>
      </w:r>
    </w:p>
    <w:p w14:paraId="29E47123">
      <w:pPr>
        <w:tabs>
          <w:tab w:val="left" w:pos="7095"/>
        </w:tabs>
        <w:spacing w:line="384" w:lineRule="auto"/>
        <w:ind w:firstLine="420" w:firstLineChars="200"/>
        <w:contextualSpacing/>
        <w:rPr>
          <w:rFonts w:hAnsi="宋体"/>
          <w:color w:val="auto"/>
          <w:szCs w:val="21"/>
          <w:highlight w:val="none"/>
        </w:rPr>
      </w:pPr>
      <w:r>
        <w:rPr>
          <w:rFonts w:hint="eastAsia" w:hAnsi="宋体"/>
          <w:color w:val="auto"/>
          <w:szCs w:val="21"/>
          <w:highlight w:val="none"/>
        </w:rPr>
        <w:t>1.满足《中华人民共和国政府采购法》第二十二条规定；</w:t>
      </w:r>
    </w:p>
    <w:p w14:paraId="642E2BEC">
      <w:pPr>
        <w:tabs>
          <w:tab w:val="left" w:pos="7095"/>
        </w:tabs>
        <w:spacing w:line="384" w:lineRule="auto"/>
        <w:ind w:firstLine="420" w:firstLineChars="200"/>
        <w:contextualSpacing/>
        <w:rPr>
          <w:rFonts w:hAnsi="宋体"/>
          <w:color w:val="auto"/>
          <w:szCs w:val="21"/>
          <w:highlight w:val="none"/>
        </w:rPr>
      </w:pPr>
      <w:r>
        <w:rPr>
          <w:rFonts w:hint="eastAsia" w:hAnsi="宋体"/>
          <w:color w:val="auto"/>
          <w:szCs w:val="21"/>
          <w:highlight w:val="none"/>
        </w:rPr>
        <w:t>2.落实政府采购政策满足的资格要求：</w:t>
      </w:r>
    </w:p>
    <w:p w14:paraId="16BDDDB4">
      <w:pPr>
        <w:tabs>
          <w:tab w:val="left" w:pos="7095"/>
        </w:tabs>
        <w:spacing w:line="384" w:lineRule="auto"/>
        <w:ind w:firstLine="420" w:firstLineChars="200"/>
        <w:contextualSpacing/>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本项目专门面向中小企业采购</w:t>
      </w:r>
      <w:r>
        <w:rPr>
          <w:rFonts w:hint="eastAsia" w:asciiTheme="majorEastAsia" w:hAnsiTheme="majorEastAsia" w:eastAsiaTheme="majorEastAsia" w:cstheme="majorEastAsia"/>
          <w:color w:val="auto"/>
          <w:szCs w:val="21"/>
          <w:highlight w:val="none"/>
        </w:rPr>
        <w:t>。</w:t>
      </w:r>
    </w:p>
    <w:p w14:paraId="61565CD0">
      <w:pPr>
        <w:tabs>
          <w:tab w:val="left" w:pos="7095"/>
        </w:tabs>
        <w:spacing w:line="384" w:lineRule="auto"/>
        <w:ind w:firstLine="420" w:firstLineChars="200"/>
        <w:contextualSpacing/>
        <w:rPr>
          <w:rFonts w:hAnsi="宋体"/>
          <w:color w:val="auto"/>
          <w:szCs w:val="21"/>
          <w:highlight w:val="none"/>
        </w:rPr>
      </w:pPr>
      <w:r>
        <w:rPr>
          <w:rFonts w:hint="eastAsia" w:hAnsi="宋体"/>
          <w:color w:val="auto"/>
          <w:szCs w:val="21"/>
          <w:highlight w:val="none"/>
        </w:rPr>
        <w:t>3.本项目的特定资格要求</w:t>
      </w:r>
    </w:p>
    <w:p w14:paraId="4EE2063A">
      <w:pPr>
        <w:tabs>
          <w:tab w:val="left" w:pos="7095"/>
        </w:tabs>
        <w:spacing w:line="384" w:lineRule="auto"/>
        <w:ind w:firstLine="420" w:firstLineChars="200"/>
        <w:contextualSpacing/>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无</w:t>
      </w:r>
      <w:r>
        <w:rPr>
          <w:rFonts w:hint="eastAsia" w:ascii="宋体" w:hAnsi="宋体" w:eastAsia="宋体"/>
          <w:color w:val="auto"/>
          <w:szCs w:val="21"/>
          <w:highlight w:val="none"/>
        </w:rPr>
        <w:t>。</w:t>
      </w:r>
    </w:p>
    <w:p w14:paraId="680A6F30">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三、招标文件的获取</w:t>
      </w:r>
    </w:p>
    <w:p w14:paraId="2694C802">
      <w:pPr>
        <w:tabs>
          <w:tab w:val="left" w:pos="7095"/>
        </w:tabs>
        <w:spacing w:line="384" w:lineRule="auto"/>
        <w:ind w:firstLine="420" w:firstLineChars="200"/>
        <w:contextualSpacing/>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即日起至投标截止时间，</w:t>
      </w:r>
      <w:r>
        <w:rPr>
          <w:rStyle w:val="89"/>
          <w:rFonts w:hint="eastAsia"/>
          <w:color w:val="auto"/>
          <w:highlight w:val="none"/>
        </w:rPr>
        <w:t>《全国公共资源交易平台（河南省·许昌市）》（http://117.159.53.11:60632/）</w:t>
      </w:r>
      <w:r>
        <w:rPr>
          <w:rFonts w:hint="eastAsia" w:ascii="宋体" w:hAnsi="宋体" w:eastAsia="宋体" w:cs="宋体"/>
          <w:color w:val="auto"/>
          <w:szCs w:val="21"/>
          <w:highlight w:val="none"/>
          <w:shd w:val="clear" w:color="auto" w:fill="FFFFFF"/>
        </w:rPr>
        <w:t>自行免费下载招标文件。</w:t>
      </w:r>
    </w:p>
    <w:p w14:paraId="3606D432">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四、投标文件的提交方式及注意事项</w:t>
      </w:r>
    </w:p>
    <w:p w14:paraId="1D0645EE">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本项目为全流程电子化交易项目，</w:t>
      </w:r>
      <w:r>
        <w:rPr>
          <w:rFonts w:hint="eastAsia" w:ascii="宋体" w:hAnsi="宋体" w:cs="宋体"/>
          <w:color w:val="auto"/>
          <w:sz w:val="21"/>
          <w:szCs w:val="21"/>
          <w:highlight w:val="none"/>
        </w:rPr>
        <w:t>供应商登录“</w:t>
      </w:r>
      <w:r>
        <w:rPr>
          <w:rFonts w:hint="eastAsia" w:ascii="宋体" w:hAnsi="宋体" w:cs="宋体"/>
          <w:color w:val="auto"/>
          <w:sz w:val="21"/>
          <w:szCs w:val="21"/>
          <w:highlight w:val="none"/>
          <w:shd w:val="clear" w:color="auto" w:fill="FFFFFF"/>
        </w:rPr>
        <w:t>全国公共资源交易平台（河南省·许昌市）”</w:t>
      </w:r>
      <w:r>
        <w:rPr>
          <w:rFonts w:hint="eastAsia" w:ascii="宋体" w:hAnsi="宋体" w:cs="宋体"/>
          <w:color w:val="auto"/>
          <w:sz w:val="21"/>
          <w:szCs w:val="21"/>
          <w:highlight w:val="none"/>
        </w:rPr>
        <w:t>下载</w:t>
      </w:r>
      <w:r>
        <w:rPr>
          <w:rFonts w:hint="eastAsia" w:ascii="宋体" w:hAnsi="宋体" w:cs="宋体"/>
          <w:color w:val="auto"/>
          <w:sz w:val="21"/>
          <w:szCs w:val="21"/>
          <w:highlight w:val="none"/>
          <w:shd w:val="clear" w:color="auto" w:fill="FFFFFF"/>
        </w:rPr>
        <w:t>“新点投标文件制作软件（河南省版）”的最新版本制作电子响应文件</w:t>
      </w:r>
      <w:r>
        <w:rPr>
          <w:rFonts w:hint="eastAsia" w:ascii="宋体" w:hAnsi="宋体" w:eastAsia="宋体" w:cs="宋体"/>
          <w:color w:val="auto"/>
          <w:szCs w:val="21"/>
          <w:highlight w:val="none"/>
          <w:shd w:val="clear" w:color="auto" w:fill="FFFFFF"/>
        </w:rPr>
        <w:t>制作并上传加密电子投标文件。截至投标截止时间，交易系统投标通道将关闭，投标人未完成电子投标文件上传的，投标将被拒绝。</w:t>
      </w:r>
    </w:p>
    <w:p w14:paraId="04B8A3C9">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五、投标截止时间、开标时间及地点</w:t>
      </w:r>
    </w:p>
    <w:p w14:paraId="5E5D31BB">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 投标截止及开标时间：</w:t>
      </w:r>
      <w:r>
        <w:rPr>
          <w:rFonts w:hint="eastAsia" w:hAnsi="宋体"/>
          <w:color w:val="auto"/>
          <w:szCs w:val="21"/>
          <w:highlight w:val="none"/>
        </w:rPr>
        <w:t>20</w:t>
      </w:r>
      <w:r>
        <w:rPr>
          <w:rFonts w:hint="eastAsia" w:hAnsi="宋体"/>
          <w:color w:val="auto"/>
          <w:szCs w:val="21"/>
          <w:highlight w:val="none"/>
        </w:rPr>
        <w:t>2</w:t>
      </w:r>
      <w:r>
        <w:rPr>
          <w:rFonts w:hint="eastAsia" w:hAnsi="宋体"/>
          <w:color w:val="auto"/>
          <w:szCs w:val="21"/>
          <w:highlight w:val="none"/>
          <w:lang w:val="en-US" w:eastAsia="zh-CN"/>
        </w:rPr>
        <w:t>5</w:t>
      </w:r>
      <w:r>
        <w:rPr>
          <w:rFonts w:hint="eastAsia" w:hAnsi="宋体"/>
          <w:color w:val="auto"/>
          <w:szCs w:val="21"/>
          <w:highlight w:val="none"/>
        </w:rPr>
        <w:t>年</w:t>
      </w:r>
      <w:r>
        <w:rPr>
          <w:rFonts w:hint="eastAsia" w:hAnsi="宋体"/>
          <w:color w:val="auto"/>
          <w:szCs w:val="21"/>
          <w:highlight w:val="none"/>
          <w:lang w:val="en-US" w:eastAsia="zh-CN"/>
        </w:rPr>
        <w:t>5</w:t>
      </w:r>
      <w:r>
        <w:rPr>
          <w:rFonts w:hint="eastAsia" w:hAnsi="宋体"/>
          <w:color w:val="auto"/>
          <w:szCs w:val="21"/>
          <w:highlight w:val="none"/>
        </w:rPr>
        <w:t>月</w:t>
      </w:r>
      <w:r>
        <w:rPr>
          <w:rFonts w:hint="eastAsia" w:hAnsi="宋体"/>
          <w:color w:val="auto"/>
          <w:szCs w:val="21"/>
          <w:highlight w:val="none"/>
          <w:lang w:val="en-US" w:eastAsia="zh-CN"/>
        </w:rPr>
        <w:t>16</w:t>
      </w:r>
      <w:r>
        <w:rPr>
          <w:rFonts w:hint="eastAsia" w:hAnsi="宋体"/>
          <w:color w:val="auto"/>
          <w:szCs w:val="21"/>
          <w:highlight w:val="none"/>
        </w:rPr>
        <w:t>日</w:t>
      </w:r>
      <w:r>
        <w:rPr>
          <w:rFonts w:hint="eastAsia" w:hAnsi="宋体"/>
          <w:color w:val="auto"/>
          <w:szCs w:val="21"/>
          <w:highlight w:val="none"/>
          <w:lang w:val="en-US" w:eastAsia="zh-CN"/>
        </w:rPr>
        <w:t>08时</w:t>
      </w:r>
      <w:r>
        <w:rPr>
          <w:rFonts w:hint="eastAsia" w:ascii="宋体" w:hAnsi="宋体" w:eastAsia="宋体" w:cs="宋体"/>
          <w:color w:val="auto"/>
          <w:szCs w:val="21"/>
          <w:highlight w:val="none"/>
          <w:shd w:val="clear" w:color="auto" w:fill="FFFFFF"/>
        </w:rPr>
        <w:t>30分（</w:t>
      </w:r>
      <w:r>
        <w:rPr>
          <w:rFonts w:hint="eastAsia" w:ascii="宋体" w:hAnsi="宋体" w:eastAsia="宋体" w:cs="宋体"/>
          <w:color w:val="auto"/>
          <w:szCs w:val="21"/>
          <w:highlight w:val="none"/>
          <w:shd w:val="clear" w:color="auto" w:fill="FFFFFF"/>
        </w:rPr>
        <w:t>北京时间），逾期提交或不符合规定的投标文件不予接受。</w:t>
      </w:r>
    </w:p>
    <w:p w14:paraId="08AD80BF">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 开标地点：禹州市公共资源交易中心第</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开标室（禹州市行政服务中心楼9楼）（本项目采用远程不见面开标，供应商无须到达现场）。</w:t>
      </w:r>
    </w:p>
    <w:p w14:paraId="407E87A1">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六、开标注意事项</w:t>
      </w:r>
    </w:p>
    <w:p w14:paraId="6B4BEC5F">
      <w:pPr>
        <w:tabs>
          <w:tab w:val="left" w:pos="7095"/>
        </w:tabs>
        <w:spacing w:line="384" w:lineRule="auto"/>
        <w:ind w:firstLine="420" w:firstLineChars="200"/>
        <w:contextualSpacing/>
        <w:rPr>
          <w:rFonts w:hAnsi="宋体"/>
          <w:color w:val="auto"/>
          <w:szCs w:val="21"/>
          <w:highlight w:val="none"/>
        </w:rPr>
      </w:pPr>
      <w:r>
        <w:rPr>
          <w:rFonts w:hint="eastAsia" w:hAnsi="宋体"/>
          <w:color w:val="auto"/>
          <w:szCs w:val="21"/>
          <w:highlight w:val="none"/>
        </w:rPr>
        <w:t>本项目采用“不见面”网上开标方式，请投标供应商使用CA数字证书</w:t>
      </w:r>
      <w:r>
        <w:rPr>
          <w:rFonts w:hint="eastAsia" w:ascii="宋体" w:hAnsi="宋体" w:cs="宋体"/>
          <w:color w:val="auto"/>
          <w:sz w:val="21"/>
          <w:szCs w:val="21"/>
          <w:highlight w:val="none"/>
          <w:shd w:val="clear" w:color="auto" w:fill="FFFFFF"/>
        </w:rPr>
        <w:t>或移动数字证书</w:t>
      </w:r>
      <w:r>
        <w:rPr>
          <w:rFonts w:hint="eastAsia" w:hAnsi="宋体"/>
          <w:color w:val="auto"/>
          <w:szCs w:val="21"/>
          <w:highlight w:val="none"/>
        </w:rPr>
        <w:t>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672471C1">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七、本次招标公告同时在</w:t>
      </w:r>
      <w:r>
        <w:rPr>
          <w:rFonts w:hint="eastAsia" w:hAnsi="宋体"/>
          <w:color w:val="auto"/>
          <w:szCs w:val="21"/>
          <w:highlight w:val="none"/>
        </w:rPr>
        <w:t>《河南省政府采购网》《许昌市政府采购网》</w:t>
      </w:r>
      <w:r>
        <w:rPr>
          <w:rFonts w:hint="eastAsia" w:ascii="宋体" w:hAnsi="宋体" w:eastAsia="宋体" w:cs="宋体"/>
          <w:color w:val="auto"/>
          <w:szCs w:val="21"/>
          <w:highlight w:val="none"/>
          <w:shd w:val="clear" w:color="auto" w:fill="FFFFFF"/>
        </w:rPr>
        <w:t>《全国公共资源交易平台（河南省·许昌市）》发布。</w:t>
      </w:r>
    </w:p>
    <w:p w14:paraId="618BED68">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八、联系方式</w:t>
      </w:r>
    </w:p>
    <w:p w14:paraId="3EFDE7E6">
      <w:pPr>
        <w:spacing w:line="384" w:lineRule="auto"/>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1.采购人信息</w:t>
      </w:r>
    </w:p>
    <w:p w14:paraId="1A7B6AC4">
      <w:pPr>
        <w:spacing w:line="384" w:lineRule="auto"/>
        <w:ind w:firstLine="420" w:firstLineChars="200"/>
        <w:jc w:val="lef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名称：禹州市</w:t>
      </w:r>
      <w:r>
        <w:rPr>
          <w:rFonts w:hint="eastAsia" w:asciiTheme="majorEastAsia" w:hAnsiTheme="majorEastAsia" w:eastAsiaTheme="majorEastAsia" w:cstheme="majorEastAsia"/>
          <w:color w:val="auto"/>
          <w:szCs w:val="21"/>
          <w:highlight w:val="none"/>
          <w:lang w:eastAsia="zh-CN"/>
        </w:rPr>
        <w:t>水利局</w:t>
      </w:r>
    </w:p>
    <w:p w14:paraId="7327C081">
      <w:pPr>
        <w:spacing w:line="384"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地址：</w:t>
      </w:r>
      <w:r>
        <w:rPr>
          <w:rFonts w:hint="eastAsia" w:ascii="宋体" w:hAnsi="宋体" w:eastAsia="宋体" w:cs="宋体"/>
          <w:color w:val="auto"/>
          <w:sz w:val="21"/>
          <w:szCs w:val="21"/>
          <w:highlight w:val="none"/>
          <w:lang w:val="en-US" w:eastAsia="zh-CN"/>
        </w:rPr>
        <w:t>禹州市禹王大道东段</w:t>
      </w:r>
    </w:p>
    <w:p w14:paraId="3E0E21F2">
      <w:pPr>
        <w:spacing w:line="384" w:lineRule="auto"/>
        <w:ind w:firstLine="420" w:firstLineChars="200"/>
        <w:jc w:val="lef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联系人</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eastAsia="zh-CN"/>
        </w:rPr>
        <w:t>傅</w:t>
      </w:r>
      <w:r>
        <w:rPr>
          <w:rFonts w:hint="eastAsia" w:asciiTheme="majorEastAsia" w:hAnsiTheme="majorEastAsia" w:eastAsiaTheme="majorEastAsia" w:cstheme="majorEastAsia"/>
          <w:color w:val="auto"/>
          <w:szCs w:val="21"/>
          <w:highlight w:val="none"/>
        </w:rPr>
        <w:t>先生</w:t>
      </w:r>
    </w:p>
    <w:p w14:paraId="0D1814F2">
      <w:pPr>
        <w:spacing w:line="384" w:lineRule="auto"/>
        <w:ind w:firstLine="420" w:firstLineChars="200"/>
        <w:jc w:val="left"/>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联系电话：</w:t>
      </w:r>
      <w:r>
        <w:rPr>
          <w:rFonts w:hint="eastAsia" w:asciiTheme="majorEastAsia" w:hAnsiTheme="majorEastAsia" w:eastAsiaTheme="majorEastAsia" w:cstheme="majorEastAsia"/>
          <w:color w:val="auto"/>
          <w:szCs w:val="21"/>
          <w:highlight w:val="none"/>
          <w:lang w:val="en-US" w:eastAsia="zh-CN"/>
        </w:rPr>
        <w:t>0374-6068682</w:t>
      </w:r>
    </w:p>
    <w:p w14:paraId="5931F35D">
      <w:pPr>
        <w:spacing w:line="384" w:lineRule="auto"/>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2.采购代理机构信息</w:t>
      </w:r>
    </w:p>
    <w:p w14:paraId="64E6DB80">
      <w:pPr>
        <w:spacing w:line="384" w:lineRule="auto"/>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名称：许昌丰元咨询管理有限公司</w:t>
      </w:r>
    </w:p>
    <w:p w14:paraId="1E875AB8">
      <w:pPr>
        <w:spacing w:line="384" w:lineRule="auto"/>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地址：禹州市颍北大道6号</w:t>
      </w:r>
    </w:p>
    <w:p w14:paraId="0E70DC2D">
      <w:pPr>
        <w:spacing w:line="384" w:lineRule="auto"/>
        <w:ind w:firstLine="420" w:firstLineChars="200"/>
        <w:jc w:val="lef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联系人：连</w:t>
      </w:r>
      <w:r>
        <w:rPr>
          <w:rFonts w:hint="eastAsia" w:asciiTheme="majorEastAsia" w:hAnsiTheme="majorEastAsia" w:eastAsiaTheme="majorEastAsia" w:cstheme="majorEastAsia"/>
          <w:color w:val="auto"/>
          <w:szCs w:val="21"/>
          <w:highlight w:val="none"/>
          <w:lang w:eastAsia="zh-CN"/>
        </w:rPr>
        <w:t>女士</w:t>
      </w:r>
    </w:p>
    <w:p w14:paraId="76D12CE9">
      <w:pPr>
        <w:spacing w:line="384" w:lineRule="auto"/>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联系电话：0374-8281999</w:t>
      </w:r>
    </w:p>
    <w:p w14:paraId="52E97D58">
      <w:pPr>
        <w:tabs>
          <w:tab w:val="left" w:pos="7095"/>
        </w:tabs>
        <w:spacing w:line="360" w:lineRule="auto"/>
        <w:ind w:firstLine="420" w:firstLineChars="200"/>
        <w:contextualSpacing/>
        <w:jc w:val="left"/>
        <w:rPr>
          <w:color w:val="auto"/>
          <w:szCs w:val="21"/>
          <w:highlight w:val="none"/>
        </w:rPr>
      </w:pPr>
      <w:r>
        <w:rPr>
          <w:rFonts w:hint="eastAsia" w:ascii="宋体" w:hAnsi="宋体" w:eastAsia="宋体" w:cs="宋体"/>
          <w:color w:val="auto"/>
          <w:szCs w:val="21"/>
          <w:highlight w:val="none"/>
          <w:shd w:val="clear" w:color="auto" w:fill="FFFFFF"/>
        </w:rPr>
        <w:t>3.监督单位：</w:t>
      </w:r>
      <w:r>
        <w:rPr>
          <w:rFonts w:hint="eastAsia"/>
          <w:color w:val="auto"/>
          <w:szCs w:val="21"/>
          <w:highlight w:val="none"/>
        </w:rPr>
        <w:t>禹州市政府采购监督管理办公室</w:t>
      </w:r>
    </w:p>
    <w:p w14:paraId="0887C604">
      <w:pPr>
        <w:spacing w:line="360" w:lineRule="auto"/>
        <w:ind w:firstLine="42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联系电话：0374-8112523 </w:t>
      </w:r>
    </w:p>
    <w:p w14:paraId="257B158C">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p>
    <w:p w14:paraId="1E916ED5">
      <w:pPr>
        <w:snapToGrid w:val="0"/>
        <w:spacing w:line="360" w:lineRule="auto"/>
        <w:rPr>
          <w:color w:val="auto"/>
          <w:sz w:val="21"/>
          <w:szCs w:val="21"/>
          <w:highlight w:val="none"/>
        </w:rPr>
      </w:pPr>
      <w:r>
        <w:rPr>
          <w:rStyle w:val="89"/>
          <w:rFonts w:ascii="宋体" w:hAnsi="宋体"/>
          <w:b/>
          <w:color w:val="auto"/>
          <w:sz w:val="21"/>
          <w:szCs w:val="21"/>
          <w:highlight w:val="none"/>
        </w:rPr>
        <w:t>温馨提示：</w:t>
      </w:r>
    </w:p>
    <w:p w14:paraId="618B7C37">
      <w:pPr>
        <w:pStyle w:val="14"/>
        <w:spacing w:line="360" w:lineRule="auto"/>
        <w:ind w:firstLine="448"/>
        <w:rPr>
          <w:rFonts w:hint="eastAsia" w:ascii="宋体" w:hAnsi="宋体"/>
          <w:b/>
          <w:bCs/>
          <w:color w:val="auto"/>
          <w:sz w:val="21"/>
          <w:szCs w:val="21"/>
          <w:highlight w:val="none"/>
        </w:rPr>
      </w:pPr>
      <w:r>
        <w:rPr>
          <w:rFonts w:hint="eastAsia" w:ascii="宋体" w:hAnsi="宋体"/>
          <w:b/>
          <w:bCs/>
          <w:color w:val="auto"/>
          <w:sz w:val="21"/>
          <w:szCs w:val="21"/>
          <w:highlight w:val="none"/>
        </w:rPr>
        <w:t>本项目为全流程电子化交易项目，请认真阅读招标文件，并注意以下事项。</w:t>
      </w:r>
    </w:p>
    <w:p w14:paraId="6912A341">
      <w:pPr>
        <w:tabs>
          <w:tab w:val="left" w:pos="7095"/>
        </w:tabs>
        <w:snapToGrid w:val="0"/>
        <w:spacing w:line="360" w:lineRule="auto"/>
        <w:ind w:firstLine="420" w:firstLineChars="200"/>
        <w:rPr>
          <w:rStyle w:val="89"/>
          <w:rFonts w:hint="eastAsia" w:ascii="宋体" w:hAnsi="宋体" w:eastAsia="宋体" w:cs="Times New Roman"/>
          <w:color w:val="auto"/>
          <w:sz w:val="21"/>
          <w:szCs w:val="21"/>
          <w:highlight w:val="none"/>
        </w:rPr>
      </w:pPr>
      <w:r>
        <w:rPr>
          <w:rStyle w:val="89"/>
          <w:rFonts w:hint="eastAsia" w:ascii="宋体" w:hAnsi="宋体" w:eastAsia="宋体" w:cs="Times New Roman"/>
          <w:color w:val="auto"/>
          <w:sz w:val="21"/>
          <w:szCs w:val="21"/>
          <w:highlight w:val="none"/>
          <w:lang w:val="en-US" w:eastAsia="zh-CN"/>
        </w:rPr>
        <w:t>1、</w:t>
      </w:r>
      <w:r>
        <w:rPr>
          <w:rStyle w:val="89"/>
          <w:rFonts w:hint="eastAsia" w:ascii="宋体" w:hAnsi="宋体" w:eastAsia="宋体" w:cs="Times New Roman"/>
          <w:color w:val="auto"/>
          <w:sz w:val="21"/>
          <w:szCs w:val="21"/>
          <w:highlight w:val="none"/>
        </w:rPr>
        <w:t>本项目采用远程“不见面”开标方式，投标前请详细阅读“全国公共资源交易平台（河南省·许昌市）”的“服务指南”栏目下《新交易平台使用手册》中的相关内容。</w:t>
      </w:r>
    </w:p>
    <w:p w14:paraId="3E60D0A7">
      <w:pPr>
        <w:tabs>
          <w:tab w:val="left" w:pos="7095"/>
        </w:tabs>
        <w:snapToGrid w:val="0"/>
        <w:spacing w:line="360" w:lineRule="auto"/>
        <w:ind w:left="420" w:leftChars="200" w:firstLine="0" w:firstLineChars="0"/>
        <w:rPr>
          <w:rFonts w:hint="eastAsia" w:ascii="宋体" w:hAnsi="宋体" w:cs="宋体"/>
          <w:color w:val="auto"/>
          <w:sz w:val="21"/>
          <w:szCs w:val="21"/>
          <w:highlight w:val="none"/>
          <w:shd w:val="clear" w:color="auto" w:fill="FFFFFF"/>
        </w:rPr>
      </w:pPr>
      <w:r>
        <w:rPr>
          <w:rStyle w:val="89"/>
          <w:rFonts w:hint="eastAsia" w:ascii="宋体" w:hAnsi="宋体" w:eastAsia="宋体" w:cs="Times New Roman"/>
          <w:color w:val="auto"/>
          <w:sz w:val="21"/>
          <w:szCs w:val="21"/>
          <w:highlight w:val="none"/>
          <w:lang w:val="en-US" w:eastAsia="zh-CN"/>
        </w:rPr>
        <w:t>2、</w:t>
      </w:r>
      <w:r>
        <w:rPr>
          <w:rStyle w:val="89"/>
          <w:rFonts w:hint="eastAsia" w:ascii="宋体" w:hAnsi="宋体" w:eastAsia="宋体" w:cs="Times New Roman"/>
          <w:color w:val="auto"/>
          <w:sz w:val="21"/>
          <w:szCs w:val="21"/>
          <w:highlight w:val="none"/>
        </w:rPr>
        <w:t>投标供应商在电子系统使用过程中遇到涉及系统使用的问题，可致电0374-296</w:t>
      </w:r>
      <w:r>
        <w:rPr>
          <w:rStyle w:val="89"/>
          <w:rFonts w:hint="eastAsia" w:ascii="宋体" w:hAnsi="宋体" w:eastAsia="宋体" w:cs="Times New Roman"/>
          <w:color w:val="auto"/>
          <w:sz w:val="21"/>
          <w:szCs w:val="21"/>
          <w:highlight w:val="none"/>
          <w:lang w:val="en-US" w:eastAsia="zh-CN"/>
        </w:rPr>
        <w:t>1598</w:t>
      </w:r>
      <w:r>
        <w:rPr>
          <w:rStyle w:val="89"/>
          <w:rFonts w:hint="eastAsia" w:ascii="宋体" w:hAnsi="宋体" w:eastAsia="宋体" w:cs="Times New Roman"/>
          <w:color w:val="auto"/>
          <w:sz w:val="21"/>
          <w:szCs w:val="21"/>
          <w:highlight w:val="none"/>
        </w:rPr>
        <w:t>进行咨询。</w:t>
      </w:r>
      <w:r>
        <w:rPr>
          <w:rStyle w:val="89"/>
          <w:rFonts w:hint="eastAsia" w:ascii="宋体" w:hAnsi="宋体" w:eastAsia="宋体" w:cs="Times New Roman"/>
          <w:color w:val="auto"/>
          <w:sz w:val="21"/>
          <w:szCs w:val="21"/>
          <w:highlight w:val="none"/>
          <w:lang w:val="en-US" w:eastAsia="zh-CN"/>
        </w:rPr>
        <w:t xml:space="preserve"> </w:t>
      </w:r>
      <w:r>
        <w:rPr>
          <w:rStyle w:val="89"/>
          <w:rFonts w:hint="eastAsia"/>
          <w:color w:val="auto"/>
          <w:sz w:val="21"/>
          <w:szCs w:val="21"/>
          <w:highlight w:val="none"/>
          <w:lang w:val="en-US" w:eastAsia="zh-CN"/>
        </w:rPr>
        <w:t xml:space="preserve">  </w:t>
      </w:r>
      <w:r>
        <w:rPr>
          <w:rFonts w:hint="eastAsia" w:ascii="宋体" w:hAnsi="宋体" w:cs="宋体"/>
          <w:color w:val="auto"/>
          <w:sz w:val="21"/>
          <w:szCs w:val="21"/>
          <w:highlight w:val="none"/>
          <w:shd w:val="clear" w:color="auto" w:fill="FFFFFF"/>
          <w:lang w:val="en-US" w:eastAsia="zh-CN"/>
        </w:rPr>
        <w:t>3、</w:t>
      </w:r>
      <w:r>
        <w:rPr>
          <w:rFonts w:hint="eastAsia" w:ascii="宋体" w:hAnsi="宋体" w:cs="宋体"/>
          <w:color w:val="auto"/>
          <w:sz w:val="21"/>
          <w:szCs w:val="21"/>
          <w:highlight w:val="none"/>
          <w:shd w:val="clear" w:color="auto" w:fill="FFFFFF"/>
        </w:rPr>
        <w:t>供应商参加本项目投标，需提前自行联系CA数字证书或移动数字证书服务机构办理数字认证</w:t>
      </w:r>
    </w:p>
    <w:p w14:paraId="0073AC4F">
      <w:pPr>
        <w:tabs>
          <w:tab w:val="left" w:pos="7095"/>
        </w:tabs>
        <w:snapToGrid w:val="0"/>
        <w:spacing w:line="360" w:lineRule="auto"/>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证书并进行电子签章。</w:t>
      </w:r>
    </w:p>
    <w:p w14:paraId="53ECB5C6">
      <w:pPr>
        <w:pStyle w:val="90"/>
        <w:numPr>
          <w:ilvl w:val="0"/>
          <w:numId w:val="0"/>
        </w:numPr>
        <w:spacing w:line="490" w:lineRule="exact"/>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4、</w:t>
      </w:r>
      <w:r>
        <w:rPr>
          <w:rFonts w:hint="eastAsia" w:ascii="宋体" w:hAnsi="宋体" w:cs="宋体"/>
          <w:color w:val="auto"/>
          <w:sz w:val="21"/>
          <w:szCs w:val="21"/>
          <w:highlight w:val="none"/>
          <w:shd w:val="clear" w:color="auto" w:fill="FFFFFF"/>
        </w:rPr>
        <w:t>招标文件下载、响应文件制作、提交、远程不见面开标（电子投标文件的解密）环节，供应商须使用同一个CA数字证书或移动数字证书（证书须在有效期内并可正常使用）。</w:t>
      </w:r>
    </w:p>
    <w:p w14:paraId="2C18AD85">
      <w:pPr>
        <w:pStyle w:val="90"/>
        <w:numPr>
          <w:ilvl w:val="0"/>
          <w:numId w:val="0"/>
        </w:numPr>
        <w:spacing w:line="490" w:lineRule="exact"/>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5、</w:t>
      </w:r>
      <w:r>
        <w:rPr>
          <w:rFonts w:hint="eastAsia" w:ascii="宋体" w:hAnsi="宋体" w:cs="宋体"/>
          <w:color w:val="auto"/>
          <w:sz w:val="21"/>
          <w:szCs w:val="21"/>
          <w:highlight w:val="none"/>
          <w:shd w:val="clear" w:color="auto" w:fill="FFFFFF"/>
        </w:rPr>
        <w:t>电子响应文件的制作</w:t>
      </w:r>
    </w:p>
    <w:p w14:paraId="6A2995CE">
      <w:pPr>
        <w:pStyle w:val="90"/>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5.1</w:t>
      </w:r>
      <w:r>
        <w:rPr>
          <w:rFonts w:hint="eastAsia" w:ascii="宋体" w:hAnsi="宋体" w:cs="宋体"/>
          <w:color w:val="auto"/>
          <w:sz w:val="21"/>
          <w:szCs w:val="21"/>
          <w:highlight w:val="none"/>
        </w:rPr>
        <w:t xml:space="preserve"> 供应商登录“</w:t>
      </w:r>
      <w:r>
        <w:rPr>
          <w:rFonts w:hint="eastAsia" w:ascii="宋体" w:hAnsi="宋体" w:cs="宋体"/>
          <w:color w:val="auto"/>
          <w:sz w:val="21"/>
          <w:szCs w:val="21"/>
          <w:highlight w:val="none"/>
          <w:shd w:val="clear" w:color="auto" w:fill="FFFFFF"/>
        </w:rPr>
        <w:t>全国公共资源交易平台（河南省·许昌市）”</w:t>
      </w:r>
      <w:r>
        <w:rPr>
          <w:rFonts w:hint="eastAsia" w:ascii="宋体" w:hAnsi="宋体" w:cs="宋体"/>
          <w:color w:val="auto"/>
          <w:sz w:val="21"/>
          <w:szCs w:val="21"/>
          <w:highlight w:val="none"/>
        </w:rPr>
        <w:t>下载</w:t>
      </w:r>
      <w:r>
        <w:rPr>
          <w:rFonts w:hint="eastAsia" w:ascii="宋体" w:hAnsi="宋体" w:cs="宋体"/>
          <w:color w:val="auto"/>
          <w:sz w:val="21"/>
          <w:szCs w:val="21"/>
          <w:highlight w:val="none"/>
          <w:shd w:val="clear" w:color="auto" w:fill="FFFFFF"/>
        </w:rPr>
        <w:t>“新点投标文件制作软件（河南省版）”的最新版本制作电子响应文件</w:t>
      </w:r>
      <w:r>
        <w:rPr>
          <w:rFonts w:hint="eastAsia" w:ascii="宋体" w:hAnsi="宋体" w:cs="宋体"/>
          <w:color w:val="auto"/>
          <w:sz w:val="21"/>
          <w:szCs w:val="21"/>
          <w:highlight w:val="none"/>
        </w:rPr>
        <w:t>。</w:t>
      </w:r>
    </w:p>
    <w:p w14:paraId="1E5B4D48">
      <w:pPr>
        <w:pStyle w:val="90"/>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5.2</w:t>
      </w:r>
      <w:r>
        <w:rPr>
          <w:rFonts w:hint="eastAsia" w:ascii="宋体" w:hAnsi="宋体" w:cs="宋体"/>
          <w:color w:val="auto"/>
          <w:sz w:val="21"/>
          <w:szCs w:val="21"/>
          <w:highlight w:val="none"/>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430E6921">
      <w:pPr>
        <w:pStyle w:val="90"/>
        <w:numPr>
          <w:ilvl w:val="0"/>
          <w:numId w:val="4"/>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加密电子响应文件的提交</w:t>
      </w:r>
    </w:p>
    <w:p w14:paraId="06532248">
      <w:pPr>
        <w:pStyle w:val="90"/>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6.1</w:t>
      </w:r>
      <w:r>
        <w:rPr>
          <w:rFonts w:hint="eastAsia" w:ascii="宋体" w:hAnsi="宋体" w:cs="宋体"/>
          <w:color w:val="auto"/>
          <w:sz w:val="21"/>
          <w:szCs w:val="21"/>
          <w:highlight w:val="none"/>
        </w:rPr>
        <w:t>供应商对同一项目多个标段进行响应的，加密电子响应文件应按标段分别提交。</w:t>
      </w:r>
    </w:p>
    <w:p w14:paraId="6CBE0B00">
      <w:pPr>
        <w:pStyle w:val="90"/>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6.2</w:t>
      </w:r>
      <w:r>
        <w:rPr>
          <w:rFonts w:hint="eastAsia" w:ascii="宋体" w:hAnsi="宋体" w:cs="宋体"/>
          <w:color w:val="auto"/>
          <w:sz w:val="21"/>
          <w:szCs w:val="21"/>
          <w:highlight w:val="none"/>
        </w:rPr>
        <w:t>加密电子响应文件成功上传至“</w:t>
      </w:r>
      <w:r>
        <w:rPr>
          <w:rFonts w:hint="eastAsia" w:ascii="宋体" w:hAnsi="宋体" w:cs="宋体"/>
          <w:color w:val="auto"/>
          <w:sz w:val="21"/>
          <w:szCs w:val="21"/>
          <w:highlight w:val="none"/>
          <w:shd w:val="clear" w:color="auto" w:fill="FFFFFF"/>
        </w:rPr>
        <w:t>全国公共资源交易平台（河南省·许昌市）”</w:t>
      </w:r>
      <w:r>
        <w:rPr>
          <w:rFonts w:hint="eastAsia" w:ascii="宋体" w:hAnsi="宋体" w:cs="宋体"/>
          <w:color w:val="auto"/>
          <w:sz w:val="21"/>
          <w:szCs w:val="21"/>
          <w:highlight w:val="none"/>
        </w:rPr>
        <w:t>后，应在上传页面进行模拟解密，以验证是否能够成功解密。</w:t>
      </w:r>
    </w:p>
    <w:p w14:paraId="5F3F4ED2">
      <w:pPr>
        <w:pStyle w:val="90"/>
        <w:numPr>
          <w:ilvl w:val="0"/>
          <w:numId w:val="4"/>
        </w:numPr>
        <w:spacing w:line="490" w:lineRule="exact"/>
        <w:ind w:left="0"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远程不见面开标（电子响应文件的解密）</w:t>
      </w:r>
    </w:p>
    <w:p w14:paraId="413CB2E7">
      <w:pPr>
        <w:pStyle w:val="90"/>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7.1</w:t>
      </w:r>
      <w:r>
        <w:rPr>
          <w:rFonts w:hint="eastAsia" w:ascii="宋体" w:hAnsi="宋体" w:cs="宋体"/>
          <w:color w:val="auto"/>
          <w:sz w:val="21"/>
          <w:szCs w:val="21"/>
          <w:highlight w:val="none"/>
        </w:rPr>
        <w:t>本项目采用远程“不见面”开标方式，投标前请详细阅读“</w:t>
      </w:r>
      <w:r>
        <w:rPr>
          <w:rFonts w:hint="eastAsia" w:ascii="宋体" w:hAnsi="宋体" w:cs="宋体"/>
          <w:color w:val="auto"/>
          <w:sz w:val="21"/>
          <w:szCs w:val="21"/>
          <w:highlight w:val="none"/>
          <w:shd w:val="clear" w:color="auto" w:fill="FFFFFF"/>
        </w:rPr>
        <w:t>全国公共资源交易平台（河南省·许昌市）”的</w:t>
      </w:r>
      <w:r>
        <w:rPr>
          <w:rFonts w:hint="eastAsia" w:ascii="宋体" w:hAnsi="宋体" w:cs="宋体"/>
          <w:color w:val="auto"/>
          <w:sz w:val="21"/>
          <w:szCs w:val="21"/>
          <w:highlight w:val="none"/>
        </w:rPr>
        <w:t>“服务指南”栏目下《必看！新交易平台使用手册》中的相关内容。</w:t>
      </w:r>
    </w:p>
    <w:p w14:paraId="2CF988B4">
      <w:pPr>
        <w:pStyle w:val="90"/>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7.2</w:t>
      </w:r>
      <w:r>
        <w:rPr>
          <w:rFonts w:hint="eastAsia" w:ascii="宋体" w:hAnsi="宋体" w:cs="宋体"/>
          <w:color w:val="auto"/>
          <w:sz w:val="21"/>
          <w:szCs w:val="21"/>
          <w:highlight w:val="none"/>
        </w:rPr>
        <w:t xml:space="preserve"> 供应商应按新交易平台使用手册提前设置好浏览器，并于开标时间前登录本项目网上开标大厅，按照规定的开标时间准时参加网上开标。</w:t>
      </w:r>
    </w:p>
    <w:p w14:paraId="58A16485">
      <w:pPr>
        <w:pStyle w:val="90"/>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7.3</w:t>
      </w:r>
      <w:r>
        <w:rPr>
          <w:rFonts w:hint="eastAsia" w:ascii="宋体" w:hAnsi="宋体" w:cs="宋体"/>
          <w:color w:val="auto"/>
          <w:sz w:val="21"/>
          <w:szCs w:val="21"/>
          <w:highlight w:val="none"/>
        </w:rPr>
        <w:t>根据开标大厅界面右侧“公告栏”中的系统提示，供应商应在“标书解密”环节完成解密操作。供应商未解密或因供应商原因解密失败的，其响应文件将被退回。</w:t>
      </w:r>
    </w:p>
    <w:p w14:paraId="16F3C681">
      <w:pPr>
        <w:pStyle w:val="90"/>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7.4</w:t>
      </w:r>
      <w:r>
        <w:rPr>
          <w:rFonts w:hint="eastAsia" w:ascii="宋体" w:hAnsi="宋体" w:cs="宋体"/>
          <w:color w:val="auto"/>
          <w:sz w:val="21"/>
          <w:szCs w:val="21"/>
          <w:highlight w:val="none"/>
        </w:rPr>
        <w:t>在“唱标”环节，供应商应对唱标信息进行确认，供应商未进行唱标确认操作的，视同认可唱标结果。</w:t>
      </w:r>
    </w:p>
    <w:p w14:paraId="20176AAE">
      <w:pPr>
        <w:pStyle w:val="90"/>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7.5</w:t>
      </w:r>
      <w:r>
        <w:rPr>
          <w:rFonts w:hint="eastAsia" w:ascii="宋体" w:hAnsi="宋体" w:cs="宋体"/>
          <w:color w:val="auto"/>
          <w:sz w:val="21"/>
          <w:szCs w:val="21"/>
          <w:highlight w:val="none"/>
        </w:rPr>
        <w:t>在“开标结束”环节，供应商应在《开标情况记录表》上进行电子签章。供应商未签章的，视同认可开标结果。</w:t>
      </w:r>
    </w:p>
    <w:p w14:paraId="4C1A26A0">
      <w:pPr>
        <w:pStyle w:val="90"/>
        <w:numPr>
          <w:ilvl w:val="0"/>
          <w:numId w:val="0"/>
        </w:numPr>
        <w:spacing w:line="490" w:lineRule="exact"/>
        <w:ind w:firstLine="420" w:firstLineChars="200"/>
        <w:rPr>
          <w:rStyle w:val="89"/>
          <w:rFonts w:ascii="宋体" w:hAnsi="宋体"/>
          <w:color w:val="auto"/>
          <w:sz w:val="21"/>
          <w:szCs w:val="21"/>
          <w:highlight w:val="none"/>
        </w:rPr>
      </w:pPr>
      <w:r>
        <w:rPr>
          <w:rFonts w:hint="eastAsia" w:ascii="宋体" w:hAnsi="宋体" w:cs="宋体"/>
          <w:color w:val="auto"/>
          <w:sz w:val="21"/>
          <w:szCs w:val="21"/>
          <w:highlight w:val="none"/>
          <w:lang w:val="en-US" w:eastAsia="zh-CN"/>
        </w:rPr>
        <w:t>7.6</w:t>
      </w:r>
      <w:r>
        <w:rPr>
          <w:rFonts w:hint="eastAsia" w:ascii="宋体" w:hAnsi="宋体" w:cs="宋体"/>
          <w:color w:val="auto"/>
          <w:sz w:val="21"/>
          <w:szCs w:val="21"/>
          <w:highlight w:val="none"/>
        </w:rPr>
        <w:t>供应商对开标过程和开标记录如有异议，可在本项目开标大厅界面右下方“发起异议”中提出异议</w:t>
      </w:r>
      <w:r>
        <w:rPr>
          <w:rStyle w:val="89"/>
          <w:rFonts w:ascii="宋体" w:hAnsi="宋体"/>
          <w:color w:val="auto"/>
          <w:sz w:val="21"/>
          <w:szCs w:val="21"/>
          <w:highlight w:val="none"/>
        </w:rPr>
        <w:t>。</w:t>
      </w:r>
    </w:p>
    <w:p w14:paraId="59DAF1C1">
      <w:pPr>
        <w:pStyle w:val="90"/>
        <w:numPr>
          <w:ilvl w:val="0"/>
          <w:numId w:val="0"/>
        </w:numPr>
        <w:spacing w:line="490" w:lineRule="exact"/>
        <w:ind w:firstLine="420" w:firstLineChars="200"/>
        <w:rPr>
          <w:rStyle w:val="89"/>
          <w:rFonts w:ascii="宋体" w:hAnsi="宋体"/>
          <w:b/>
          <w:color w:val="auto"/>
          <w:sz w:val="21"/>
          <w:szCs w:val="21"/>
          <w:highlight w:val="none"/>
        </w:rPr>
      </w:pPr>
      <w:r>
        <w:rPr>
          <w:rStyle w:val="89"/>
          <w:rFonts w:hint="eastAsia" w:ascii="宋体" w:hAnsi="宋体"/>
          <w:color w:val="auto"/>
          <w:sz w:val="21"/>
          <w:szCs w:val="21"/>
          <w:highlight w:val="none"/>
          <w:lang w:val="en-US" w:eastAsia="zh-CN"/>
        </w:rPr>
        <w:t>8、</w:t>
      </w:r>
      <w:r>
        <w:rPr>
          <w:rStyle w:val="89"/>
          <w:rFonts w:ascii="宋体" w:hAnsi="宋体"/>
          <w:b/>
          <w:color w:val="auto"/>
          <w:sz w:val="21"/>
          <w:szCs w:val="21"/>
          <w:highlight w:val="none"/>
        </w:rPr>
        <w:t>评标依据</w:t>
      </w:r>
    </w:p>
    <w:p w14:paraId="6793A2C0">
      <w:pPr>
        <w:tabs>
          <w:tab w:val="left" w:pos="7095"/>
        </w:tabs>
        <w:snapToGrid w:val="0"/>
        <w:spacing w:line="360" w:lineRule="auto"/>
        <w:ind w:firstLine="420" w:firstLineChars="200"/>
        <w:rPr>
          <w:rStyle w:val="89"/>
          <w:rFonts w:ascii="宋体" w:hAnsi="宋体"/>
          <w:color w:val="auto"/>
          <w:sz w:val="21"/>
          <w:szCs w:val="21"/>
          <w:highlight w:val="none"/>
        </w:rPr>
      </w:pPr>
      <w:r>
        <w:rPr>
          <w:rStyle w:val="89"/>
          <w:rFonts w:hint="eastAsia" w:ascii="宋体" w:hAnsi="宋体"/>
          <w:color w:val="auto"/>
          <w:sz w:val="21"/>
          <w:szCs w:val="21"/>
          <w:highlight w:val="none"/>
          <w:lang w:val="en-US" w:eastAsia="zh-CN"/>
        </w:rPr>
        <w:t>8</w:t>
      </w:r>
      <w:r>
        <w:rPr>
          <w:rStyle w:val="89"/>
          <w:rFonts w:ascii="宋体" w:hAnsi="宋体"/>
          <w:color w:val="auto"/>
          <w:sz w:val="21"/>
          <w:szCs w:val="21"/>
          <w:highlight w:val="none"/>
        </w:rPr>
        <w:t>.1全流程电子化交易（远程不见面开标）项目，评标委员会以成功上传、解密的电子投标文件为评标依据。</w:t>
      </w:r>
    </w:p>
    <w:p w14:paraId="3E761E42">
      <w:pPr>
        <w:tabs>
          <w:tab w:val="left" w:pos="7095"/>
        </w:tabs>
        <w:snapToGrid w:val="0"/>
        <w:spacing w:line="360" w:lineRule="auto"/>
        <w:ind w:firstLine="420" w:firstLineChars="200"/>
        <w:rPr>
          <w:rStyle w:val="89"/>
          <w:rFonts w:ascii="宋体" w:hAnsi="宋体"/>
          <w:color w:val="auto"/>
          <w:sz w:val="21"/>
          <w:szCs w:val="21"/>
          <w:highlight w:val="none"/>
        </w:rPr>
      </w:pPr>
      <w:r>
        <w:rPr>
          <w:rStyle w:val="89"/>
          <w:rFonts w:hint="eastAsia" w:ascii="宋体" w:hAnsi="宋体"/>
          <w:color w:val="auto"/>
          <w:sz w:val="21"/>
          <w:szCs w:val="21"/>
          <w:highlight w:val="none"/>
          <w:lang w:val="en-US" w:eastAsia="zh-CN"/>
        </w:rPr>
        <w:t>8</w:t>
      </w:r>
      <w:r>
        <w:rPr>
          <w:rStyle w:val="89"/>
          <w:rFonts w:ascii="宋体" w:hAnsi="宋体"/>
          <w:color w:val="auto"/>
          <w:sz w:val="21"/>
          <w:szCs w:val="21"/>
          <w:highlight w:val="none"/>
        </w:rPr>
        <w:t>.2 评标期间评标委员会如要求投标人作出澄清、说明或者补正等，投标人应在评标委员会要求的评标期间合理的时间内通过电子邮件形式提供。</w:t>
      </w:r>
    </w:p>
    <w:p w14:paraId="3E022602">
      <w:pPr>
        <w:snapToGrid w:val="0"/>
        <w:spacing w:line="360" w:lineRule="auto"/>
        <w:ind w:firstLine="420" w:firstLineChars="200"/>
        <w:rPr>
          <w:rStyle w:val="89"/>
          <w:rFonts w:ascii="宋体" w:hAnsi="宋体"/>
          <w:color w:val="auto"/>
          <w:sz w:val="21"/>
          <w:szCs w:val="21"/>
          <w:highlight w:val="none"/>
        </w:rPr>
      </w:pPr>
      <w:r>
        <w:rPr>
          <w:rStyle w:val="89"/>
          <w:rFonts w:ascii="宋体" w:hAnsi="宋体"/>
          <w:color w:val="auto"/>
          <w:sz w:val="21"/>
          <w:szCs w:val="21"/>
          <w:highlight w:val="none"/>
        </w:rPr>
        <w:t>投标人通过电子邮件提供的书面说明或相关证明材料应加盖公章，或者由法定代表人或其授权的代表签字。</w:t>
      </w:r>
    </w:p>
    <w:p w14:paraId="0E0E481F">
      <w:pPr>
        <w:numPr>
          <w:ilvl w:val="0"/>
          <w:numId w:val="0"/>
        </w:numPr>
        <w:tabs>
          <w:tab w:val="left" w:pos="7095"/>
        </w:tabs>
        <w:spacing w:line="360" w:lineRule="auto"/>
        <w:ind w:left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相关事项</w:t>
      </w:r>
    </w:p>
    <w:p w14:paraId="657E5F01">
      <w:pPr>
        <w:numPr>
          <w:ilvl w:val="0"/>
          <w:numId w:val="0"/>
        </w:numPr>
        <w:tabs>
          <w:tab w:val="left" w:pos="7095"/>
        </w:tabs>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9.1</w:t>
      </w:r>
      <w:r>
        <w:rPr>
          <w:rFonts w:hint="eastAsia" w:ascii="宋体" w:hAnsi="宋体" w:cs="宋体"/>
          <w:color w:val="auto"/>
          <w:sz w:val="21"/>
          <w:szCs w:val="21"/>
          <w:highlight w:val="none"/>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0699561A">
      <w:pPr>
        <w:numPr>
          <w:ilvl w:val="0"/>
          <w:numId w:val="0"/>
        </w:numPr>
        <w:tabs>
          <w:tab w:val="left" w:pos="7095"/>
        </w:tabs>
        <w:spacing w:line="360" w:lineRule="auto"/>
        <w:ind w:firstLine="420" w:firstLineChars="200"/>
        <w:contextualSpacing/>
        <w:rPr>
          <w:rStyle w:val="89"/>
          <w:rFonts w:hint="eastAsia" w:ascii="宋体" w:hAnsi="宋体" w:eastAsiaTheme="minorEastAsia"/>
          <w:color w:val="auto"/>
          <w:sz w:val="21"/>
          <w:szCs w:val="21"/>
          <w:highlight w:val="none"/>
          <w:lang w:val="en-US" w:eastAsia="zh-CN"/>
        </w:rPr>
        <w:sectPr>
          <w:footerReference r:id="rId4" w:type="default"/>
          <w:pgSz w:w="11907" w:h="16839"/>
          <w:pgMar w:top="1431" w:right="1094" w:bottom="1155" w:left="1476" w:header="0" w:footer="1038" w:gutter="0"/>
          <w:pgNumType w:start="1"/>
          <w:cols w:space="720" w:num="1"/>
          <w:docGrid w:linePitch="1" w:charSpace="0"/>
        </w:sectPr>
      </w:pPr>
      <w:r>
        <w:rPr>
          <w:rFonts w:hint="eastAsia" w:ascii="宋体" w:hAnsi="宋体" w:cs="宋体"/>
          <w:color w:val="auto"/>
          <w:sz w:val="21"/>
          <w:szCs w:val="21"/>
          <w:highlight w:val="none"/>
          <w:lang w:val="en-US" w:eastAsia="zh-CN"/>
        </w:rPr>
        <w:t>9.2</w:t>
      </w:r>
      <w:r>
        <w:rPr>
          <w:rFonts w:hint="eastAsia" w:ascii="宋体" w:hAnsi="宋体" w:cs="宋体"/>
          <w:color w:val="auto"/>
          <w:sz w:val="21"/>
          <w:szCs w:val="21"/>
          <w:highlight w:val="none"/>
        </w:rPr>
        <w:t>“全国公共资源交易平台（河南省·许昌市）”采购公告栏提供的招标文件仅供浏览。供应商下载招标文件应使用 CA 数字证书或移动数字证书从“全国公共资源交易平台（河南省·许昌市）”的“投标人”登录入口获取本项目招标文件</w:t>
      </w:r>
      <w:r>
        <w:rPr>
          <w:rFonts w:hint="eastAsia" w:ascii="宋体" w:hAnsi="宋体" w:cs="宋体"/>
          <w:color w:val="auto"/>
          <w:sz w:val="21"/>
          <w:szCs w:val="21"/>
          <w:highlight w:val="none"/>
          <w:lang w:eastAsia="zh-CN"/>
        </w:rPr>
        <w:t>。</w:t>
      </w:r>
    </w:p>
    <w:p w14:paraId="2F8CAA32">
      <w:pPr>
        <w:numPr>
          <w:ilvl w:val="0"/>
          <w:numId w:val="5"/>
        </w:numPr>
        <w:tabs>
          <w:tab w:val="left" w:pos="7095"/>
        </w:tabs>
        <w:spacing w:line="360" w:lineRule="auto"/>
        <w:ind w:firstLine="3213" w:firstLineChars="1000"/>
        <w:contextualSpacing/>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 xml:space="preserve"> 采购需求</w:t>
      </w:r>
    </w:p>
    <w:p w14:paraId="4F3132F7">
      <w:pPr>
        <w:pStyle w:val="30"/>
        <w:numPr>
          <w:ilvl w:val="0"/>
          <w:numId w:val="6"/>
        </w:numPr>
        <w:ind w:firstLine="0" w:firstLineChars="0"/>
        <w:rPr>
          <w:rFonts w:hint="eastAsia" w:hAnsi="宋体" w:cs="宋体"/>
          <w:b w:val="0"/>
          <w:bCs/>
          <w:color w:val="auto"/>
          <w:kern w:val="2"/>
          <w:sz w:val="21"/>
          <w:szCs w:val="21"/>
          <w:highlight w:val="none"/>
        </w:rPr>
      </w:pPr>
      <w:r>
        <w:rPr>
          <w:rFonts w:hint="eastAsia" w:hAnsi="宋体" w:cs="宋体"/>
          <w:b w:val="0"/>
          <w:bCs/>
          <w:color w:val="auto"/>
          <w:kern w:val="2"/>
          <w:sz w:val="21"/>
          <w:szCs w:val="21"/>
          <w:highlight w:val="none"/>
        </w:rPr>
        <w:t>本项目需实现的功能或者目标</w:t>
      </w:r>
    </w:p>
    <w:p w14:paraId="61B69E7E">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leftChars="200"/>
        <w:jc w:val="left"/>
        <w:textAlignment w:val="auto"/>
        <w:rPr>
          <w:rFonts w:hint="eastAsia" w:ascii="宋体" w:hAnsi="宋体" w:eastAsia="宋体"/>
          <w:b w:val="0"/>
          <w:bCs/>
          <w:color w:val="auto"/>
          <w:kern w:val="0"/>
          <w:sz w:val="21"/>
          <w:szCs w:val="21"/>
          <w:highlight w:val="none"/>
        </w:rPr>
      </w:pPr>
      <w:r>
        <w:rPr>
          <w:rFonts w:hint="eastAsia" w:ascii="宋体" w:hAnsi="宋体" w:eastAsia="宋体"/>
          <w:b w:val="0"/>
          <w:bCs/>
          <w:color w:val="auto"/>
          <w:kern w:val="0"/>
          <w:sz w:val="21"/>
          <w:szCs w:val="21"/>
          <w:highlight w:val="none"/>
        </w:rPr>
        <w:t>禹州市水利局污泥处置项目</w:t>
      </w:r>
    </w:p>
    <w:p w14:paraId="00234A3E">
      <w:pPr>
        <w:keepNext w:val="0"/>
        <w:keepLines w:val="0"/>
        <w:pageBreakBefore w:val="0"/>
        <w:widowControl/>
        <w:numPr>
          <w:ilvl w:val="0"/>
          <w:numId w:val="0"/>
        </w:numPr>
        <w:kinsoku/>
        <w:wordWrap/>
        <w:overflowPunct/>
        <w:topLinePunct w:val="0"/>
        <w:autoSpaceDE/>
        <w:autoSpaceDN/>
        <w:bidi w:val="0"/>
        <w:adjustRightInd w:val="0"/>
        <w:snapToGrid/>
        <w:spacing w:line="440" w:lineRule="exact"/>
        <w:jc w:val="left"/>
        <w:textAlignment w:val="auto"/>
        <w:rPr>
          <w:rFonts w:hint="eastAsia" w:ascii="宋体" w:hAnsi="宋体" w:eastAsia="宋体"/>
          <w:b w:val="0"/>
          <w:bCs/>
          <w:color w:val="auto"/>
          <w:kern w:val="0"/>
          <w:sz w:val="21"/>
          <w:szCs w:val="21"/>
          <w:highlight w:val="none"/>
        </w:rPr>
      </w:pPr>
      <w:r>
        <w:rPr>
          <w:rFonts w:hint="eastAsia" w:ascii="宋体" w:hAnsi="宋体" w:eastAsia="宋体"/>
          <w:b w:val="0"/>
          <w:bCs/>
          <w:color w:val="auto"/>
          <w:kern w:val="0"/>
          <w:sz w:val="21"/>
          <w:szCs w:val="21"/>
          <w:highlight w:val="none"/>
        </w:rPr>
        <w:t>二、商务要求</w:t>
      </w:r>
    </w:p>
    <w:p w14:paraId="0704962E">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leftChars="200"/>
        <w:jc w:val="left"/>
        <w:textAlignment w:val="auto"/>
        <w:rPr>
          <w:rFonts w:hint="eastAsia" w:ascii="宋体" w:hAnsi="宋体" w:eastAsia="宋体"/>
          <w:b w:val="0"/>
          <w:bCs/>
          <w:color w:val="auto"/>
          <w:kern w:val="0"/>
          <w:sz w:val="21"/>
          <w:szCs w:val="21"/>
          <w:highlight w:val="none"/>
          <w:lang w:val="en-US" w:eastAsia="zh-CN"/>
        </w:rPr>
      </w:pPr>
      <w:r>
        <w:rPr>
          <w:rFonts w:hint="eastAsia" w:ascii="宋体" w:hAnsi="宋体" w:eastAsia="宋体"/>
          <w:b w:val="0"/>
          <w:bCs/>
          <w:color w:val="auto"/>
          <w:kern w:val="0"/>
          <w:sz w:val="21"/>
          <w:szCs w:val="21"/>
          <w:highlight w:val="none"/>
          <w:lang w:val="en-US" w:eastAsia="zh-CN"/>
        </w:rPr>
        <w:t>1、</w:t>
      </w:r>
      <w:r>
        <w:rPr>
          <w:rFonts w:hint="eastAsia" w:ascii="宋体" w:hAnsi="宋体" w:eastAsia="宋体"/>
          <w:b w:val="0"/>
          <w:bCs/>
          <w:color w:val="auto"/>
          <w:kern w:val="0"/>
          <w:sz w:val="21"/>
          <w:szCs w:val="21"/>
          <w:highlight w:val="none"/>
        </w:rPr>
        <w:t>合同履行期限：</w:t>
      </w:r>
      <w:r>
        <w:rPr>
          <w:rFonts w:hint="eastAsia" w:hAnsi="宋体"/>
          <w:color w:val="auto"/>
          <w:szCs w:val="21"/>
          <w:highlight w:val="none"/>
          <w:lang w:eastAsia="zh-CN"/>
        </w:rPr>
        <w:t>自合同签订之日起</w:t>
      </w:r>
      <w:r>
        <w:rPr>
          <w:rFonts w:hint="eastAsia" w:hAnsi="宋体"/>
          <w:color w:val="auto"/>
          <w:szCs w:val="21"/>
          <w:highlight w:val="none"/>
          <w:lang w:val="en-US" w:eastAsia="zh-CN"/>
        </w:rPr>
        <w:t>1年</w:t>
      </w:r>
      <w:r>
        <w:rPr>
          <w:rFonts w:hint="eastAsia" w:hAnsi="宋体"/>
          <w:color w:val="auto"/>
          <w:szCs w:val="21"/>
          <w:highlight w:val="none"/>
          <w:lang w:val="en-US" w:eastAsia="zh-CN"/>
        </w:rPr>
        <w:t>。</w:t>
      </w:r>
    </w:p>
    <w:p w14:paraId="44BEF57A">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leftChars="200"/>
        <w:jc w:val="left"/>
        <w:textAlignment w:val="auto"/>
        <w:rPr>
          <w:rFonts w:hint="eastAsia" w:ascii="宋体" w:hAnsi="宋体" w:eastAsia="宋体"/>
          <w:b w:val="0"/>
          <w:bCs/>
          <w:color w:val="auto"/>
          <w:kern w:val="0"/>
          <w:sz w:val="21"/>
          <w:szCs w:val="21"/>
          <w:highlight w:val="none"/>
        </w:rPr>
      </w:pPr>
      <w:r>
        <w:rPr>
          <w:rFonts w:hint="default" w:ascii="宋体" w:hAnsi="宋体" w:eastAsia="宋体"/>
          <w:b w:val="0"/>
          <w:bCs/>
          <w:color w:val="auto"/>
          <w:kern w:val="0"/>
          <w:sz w:val="21"/>
          <w:szCs w:val="21"/>
          <w:highlight w:val="none"/>
          <w:lang w:val="en-US" w:eastAsia="zh-CN"/>
        </w:rPr>
        <w:t>2</w:t>
      </w:r>
      <w:r>
        <w:rPr>
          <w:rFonts w:hint="eastAsia" w:ascii="宋体" w:hAnsi="宋体" w:eastAsia="宋体"/>
          <w:b w:val="0"/>
          <w:bCs/>
          <w:color w:val="auto"/>
          <w:kern w:val="0"/>
          <w:sz w:val="21"/>
          <w:szCs w:val="21"/>
          <w:highlight w:val="none"/>
          <w:lang w:val="en-US" w:eastAsia="zh-CN"/>
        </w:rPr>
        <w:t>、</w:t>
      </w:r>
      <w:r>
        <w:rPr>
          <w:rFonts w:hint="eastAsia" w:ascii="宋体" w:hAnsi="宋体" w:eastAsia="宋体"/>
          <w:b w:val="0"/>
          <w:bCs/>
          <w:color w:val="auto"/>
          <w:kern w:val="0"/>
          <w:sz w:val="21"/>
          <w:szCs w:val="21"/>
          <w:highlight w:val="none"/>
          <w:lang w:eastAsia="zh-CN"/>
        </w:rPr>
        <w:t>服务</w:t>
      </w:r>
      <w:r>
        <w:rPr>
          <w:rFonts w:hint="eastAsia" w:ascii="宋体" w:hAnsi="宋体" w:eastAsia="宋体"/>
          <w:b w:val="0"/>
          <w:bCs/>
          <w:color w:val="auto"/>
          <w:kern w:val="0"/>
          <w:sz w:val="21"/>
          <w:szCs w:val="21"/>
          <w:highlight w:val="none"/>
        </w:rPr>
        <w:t>地点：</w:t>
      </w:r>
      <w:r>
        <w:rPr>
          <w:rFonts w:hint="eastAsia" w:ascii="宋体" w:hAnsi="宋体" w:eastAsia="宋体"/>
          <w:b w:val="0"/>
          <w:bCs/>
          <w:color w:val="auto"/>
          <w:kern w:val="0"/>
          <w:sz w:val="21"/>
          <w:szCs w:val="21"/>
          <w:highlight w:val="none"/>
          <w:lang w:eastAsia="zh-CN"/>
        </w:rPr>
        <w:t>禹州市</w:t>
      </w:r>
      <w:r>
        <w:rPr>
          <w:rFonts w:hint="eastAsia" w:ascii="宋体" w:hAnsi="宋体" w:eastAsia="宋体"/>
          <w:b w:val="0"/>
          <w:bCs/>
          <w:color w:val="auto"/>
          <w:kern w:val="0"/>
          <w:sz w:val="21"/>
          <w:szCs w:val="21"/>
          <w:highlight w:val="none"/>
        </w:rPr>
        <w:t>境内</w:t>
      </w:r>
    </w:p>
    <w:p w14:paraId="0AA13FA7">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leftChars="200"/>
        <w:jc w:val="left"/>
        <w:textAlignment w:val="auto"/>
        <w:rPr>
          <w:rFonts w:hint="default" w:ascii="宋体" w:hAnsi="宋体" w:eastAsia="宋体"/>
          <w:b w:val="0"/>
          <w:bCs/>
          <w:color w:val="auto"/>
          <w:kern w:val="0"/>
          <w:sz w:val="21"/>
          <w:szCs w:val="21"/>
          <w:highlight w:val="none"/>
          <w:lang w:val="en-US" w:eastAsia="zh-CN"/>
        </w:rPr>
      </w:pPr>
      <w:r>
        <w:rPr>
          <w:rFonts w:hint="eastAsia" w:ascii="宋体" w:hAnsi="宋体" w:eastAsia="宋体"/>
          <w:b w:val="0"/>
          <w:bCs/>
          <w:color w:val="auto"/>
          <w:kern w:val="0"/>
          <w:sz w:val="21"/>
          <w:szCs w:val="21"/>
          <w:highlight w:val="none"/>
          <w:lang w:val="en-US" w:eastAsia="zh-CN"/>
        </w:rPr>
        <w:t>3、</w:t>
      </w:r>
      <w:r>
        <w:rPr>
          <w:rFonts w:hint="eastAsia" w:ascii="宋体" w:hAnsi="宋体" w:eastAsia="宋体"/>
          <w:b w:val="0"/>
          <w:bCs/>
          <w:color w:val="auto"/>
          <w:kern w:val="0"/>
          <w:sz w:val="21"/>
          <w:szCs w:val="21"/>
          <w:highlight w:val="none"/>
          <w:lang w:val="en-US" w:eastAsia="zh-CN"/>
        </w:rPr>
        <w:t>本项目按单价采购，污泥处置费用最终按实际产生的污泥处置量×单价据实结算。</w:t>
      </w:r>
    </w:p>
    <w:p w14:paraId="3C4E021A">
      <w:pPr>
        <w:keepNext w:val="0"/>
        <w:keepLines w:val="0"/>
        <w:pageBreakBefore w:val="0"/>
        <w:widowControl/>
        <w:numPr>
          <w:ilvl w:val="0"/>
          <w:numId w:val="0"/>
        </w:numPr>
        <w:kinsoku/>
        <w:wordWrap/>
        <w:overflowPunct/>
        <w:topLinePunct w:val="0"/>
        <w:autoSpaceDE/>
        <w:autoSpaceDN/>
        <w:bidi w:val="0"/>
        <w:adjustRightInd w:val="0"/>
        <w:snapToGrid/>
        <w:spacing w:line="440" w:lineRule="exact"/>
        <w:jc w:val="left"/>
        <w:textAlignment w:val="auto"/>
        <w:rPr>
          <w:rFonts w:hint="eastAsia" w:ascii="宋体" w:hAnsi="宋体" w:eastAsia="宋体"/>
          <w:b w:val="0"/>
          <w:bCs/>
          <w:color w:val="auto"/>
          <w:kern w:val="0"/>
          <w:sz w:val="21"/>
          <w:szCs w:val="21"/>
          <w:highlight w:val="none"/>
        </w:rPr>
      </w:pPr>
      <w:r>
        <w:rPr>
          <w:rFonts w:hint="eastAsia" w:ascii="宋体" w:hAnsi="宋体" w:eastAsia="宋体"/>
          <w:b w:val="0"/>
          <w:bCs/>
          <w:color w:val="auto"/>
          <w:kern w:val="0"/>
          <w:sz w:val="21"/>
          <w:szCs w:val="21"/>
          <w:highlight w:val="none"/>
        </w:rPr>
        <w:t>三、其他要求</w:t>
      </w:r>
    </w:p>
    <w:p w14:paraId="7F918FF8">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eastAsia="宋体"/>
          <w:b w:val="0"/>
          <w:bCs/>
          <w:color w:val="auto"/>
          <w:kern w:val="0"/>
          <w:sz w:val="21"/>
          <w:szCs w:val="21"/>
          <w:highlight w:val="none"/>
        </w:rPr>
      </w:pPr>
      <w:r>
        <w:rPr>
          <w:rFonts w:hint="eastAsia" w:ascii="宋体" w:hAnsi="宋体" w:eastAsia="宋体"/>
          <w:b w:val="0"/>
          <w:bCs/>
          <w:color w:val="auto"/>
          <w:kern w:val="0"/>
          <w:sz w:val="21"/>
          <w:szCs w:val="21"/>
          <w:highlight w:val="none"/>
        </w:rPr>
        <w:t>包括但不限于：</w:t>
      </w:r>
    </w:p>
    <w:p w14:paraId="225890E4">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eastAsia="宋体"/>
          <w:b w:val="0"/>
          <w:bCs/>
          <w:color w:val="auto"/>
          <w:kern w:val="0"/>
          <w:sz w:val="21"/>
          <w:szCs w:val="21"/>
          <w:highlight w:val="none"/>
          <w:lang w:val="en-US" w:eastAsia="zh-CN"/>
        </w:rPr>
      </w:pPr>
      <w:r>
        <w:rPr>
          <w:rFonts w:hint="eastAsia" w:ascii="宋体" w:hAnsi="宋体" w:eastAsia="宋体"/>
          <w:b w:val="0"/>
          <w:bCs/>
          <w:color w:val="auto"/>
          <w:kern w:val="0"/>
          <w:sz w:val="21"/>
          <w:szCs w:val="21"/>
          <w:highlight w:val="none"/>
          <w:lang w:val="en-US" w:eastAsia="zh-CN"/>
        </w:rPr>
        <w:t>1、乙方需保证对甲方产生的污泥做到日产日清，</w:t>
      </w:r>
      <w:r>
        <w:rPr>
          <w:rFonts w:hint="eastAsia"/>
          <w:b w:val="0"/>
          <w:bCs/>
          <w:color w:val="auto"/>
          <w:sz w:val="21"/>
          <w:szCs w:val="21"/>
          <w:highlight w:val="none"/>
          <w:lang w:val="en-US" w:eastAsia="zh-CN"/>
        </w:rPr>
        <w:t>不得以任何理由停运污泥</w:t>
      </w:r>
      <w:r>
        <w:rPr>
          <w:rFonts w:hint="eastAsia" w:ascii="宋体" w:hAnsi="宋体" w:eastAsia="宋体"/>
          <w:b w:val="0"/>
          <w:bCs/>
          <w:color w:val="auto"/>
          <w:kern w:val="0"/>
          <w:sz w:val="21"/>
          <w:szCs w:val="21"/>
          <w:highlight w:val="none"/>
          <w:lang w:val="en-US" w:eastAsia="zh-CN"/>
        </w:rPr>
        <w:t>。需提供相关书面承诺。</w:t>
      </w:r>
    </w:p>
    <w:p w14:paraId="1C161EE4">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20" w:firstLineChars="200"/>
        <w:jc w:val="left"/>
        <w:textAlignment w:val="auto"/>
        <w:rPr>
          <w:rFonts w:hint="default" w:ascii="宋体" w:hAnsi="宋体" w:eastAsia="宋体"/>
          <w:b w:val="0"/>
          <w:bCs/>
          <w:color w:val="auto"/>
          <w:kern w:val="0"/>
          <w:sz w:val="21"/>
          <w:szCs w:val="21"/>
          <w:highlight w:val="none"/>
          <w:lang w:val="en-US" w:eastAsia="zh-CN"/>
        </w:rPr>
      </w:pPr>
      <w:r>
        <w:rPr>
          <w:rFonts w:hint="eastAsia" w:ascii="宋体" w:hAnsi="宋体" w:eastAsia="宋体"/>
          <w:b w:val="0"/>
          <w:bCs/>
          <w:color w:val="auto"/>
          <w:kern w:val="0"/>
          <w:sz w:val="21"/>
          <w:szCs w:val="21"/>
          <w:highlight w:val="none"/>
          <w:lang w:val="en-US" w:eastAsia="zh-CN"/>
        </w:rPr>
        <w:t>2、乙方在项目实施前需提前安装计量装置，提供相关书面承诺。</w:t>
      </w:r>
    </w:p>
    <w:p w14:paraId="6B646EE0">
      <w:pPr>
        <w:keepNext w:val="0"/>
        <w:keepLines w:val="0"/>
        <w:pageBreakBefore w:val="0"/>
        <w:widowControl/>
        <w:numPr>
          <w:ilvl w:val="0"/>
          <w:numId w:val="0"/>
        </w:numPr>
        <w:kinsoku/>
        <w:wordWrap/>
        <w:overflowPunct/>
        <w:topLinePunct w:val="0"/>
        <w:autoSpaceDE/>
        <w:autoSpaceDN/>
        <w:bidi w:val="0"/>
        <w:adjustRightInd w:val="0"/>
        <w:snapToGrid/>
        <w:spacing w:line="440" w:lineRule="exact"/>
        <w:jc w:val="left"/>
        <w:textAlignment w:val="auto"/>
        <w:rPr>
          <w:rFonts w:hint="eastAsia" w:ascii="宋体" w:hAnsi="宋体" w:eastAsia="宋体"/>
          <w:b w:val="0"/>
          <w:bCs/>
          <w:color w:val="auto"/>
          <w:kern w:val="0"/>
          <w:sz w:val="21"/>
          <w:szCs w:val="21"/>
          <w:highlight w:val="none"/>
        </w:rPr>
      </w:pPr>
      <w:r>
        <w:rPr>
          <w:rFonts w:hint="eastAsia" w:ascii="宋体" w:hAnsi="宋体" w:eastAsia="宋体"/>
          <w:b w:val="0"/>
          <w:bCs/>
          <w:color w:val="auto"/>
          <w:kern w:val="0"/>
          <w:sz w:val="21"/>
          <w:szCs w:val="21"/>
          <w:highlight w:val="none"/>
        </w:rPr>
        <w:t>四、采购内容及</w:t>
      </w:r>
      <w:r>
        <w:rPr>
          <w:rFonts w:hint="eastAsia" w:ascii="宋体" w:hAnsi="宋体"/>
          <w:b w:val="0"/>
          <w:bCs/>
          <w:color w:val="auto"/>
          <w:kern w:val="0"/>
          <w:sz w:val="21"/>
          <w:szCs w:val="21"/>
          <w:highlight w:val="none"/>
          <w:lang w:val="en-US" w:eastAsia="zh-CN"/>
        </w:rPr>
        <w:t>服务</w:t>
      </w:r>
      <w:r>
        <w:rPr>
          <w:rFonts w:hint="eastAsia" w:ascii="宋体" w:hAnsi="宋体" w:eastAsia="宋体"/>
          <w:b w:val="0"/>
          <w:bCs/>
          <w:color w:val="auto"/>
          <w:kern w:val="0"/>
          <w:sz w:val="21"/>
          <w:szCs w:val="21"/>
          <w:highlight w:val="none"/>
        </w:rPr>
        <w:t>要求</w:t>
      </w:r>
    </w:p>
    <w:p w14:paraId="426E67F2">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eastAsia="宋体"/>
          <w:b w:val="0"/>
          <w:bCs/>
          <w:color w:val="auto"/>
          <w:kern w:val="0"/>
          <w:sz w:val="21"/>
          <w:szCs w:val="21"/>
          <w:highlight w:val="none"/>
        </w:rPr>
      </w:pPr>
      <w:r>
        <w:rPr>
          <w:rFonts w:hint="eastAsia" w:ascii="宋体" w:hAnsi="宋体" w:eastAsia="宋体"/>
          <w:b w:val="0"/>
          <w:bCs/>
          <w:color w:val="auto"/>
          <w:kern w:val="0"/>
          <w:sz w:val="21"/>
          <w:szCs w:val="21"/>
          <w:highlight w:val="none"/>
        </w:rPr>
        <w:t>1</w:t>
      </w:r>
      <w:r>
        <w:rPr>
          <w:rFonts w:hint="eastAsia" w:ascii="宋体" w:hAnsi="宋体" w:eastAsia="宋体"/>
          <w:b w:val="0"/>
          <w:bCs/>
          <w:color w:val="auto"/>
          <w:kern w:val="0"/>
          <w:sz w:val="21"/>
          <w:szCs w:val="21"/>
          <w:highlight w:val="none"/>
          <w:lang w:eastAsia="zh-CN"/>
        </w:rPr>
        <w:t>、</w:t>
      </w:r>
      <w:r>
        <w:rPr>
          <w:rFonts w:hint="eastAsia" w:ascii="宋体" w:hAnsi="宋体" w:eastAsia="宋体"/>
          <w:b w:val="0"/>
          <w:bCs/>
          <w:color w:val="auto"/>
          <w:kern w:val="0"/>
          <w:sz w:val="21"/>
          <w:szCs w:val="21"/>
          <w:highlight w:val="none"/>
        </w:rPr>
        <w:t xml:space="preserve"> 服务范围：</w:t>
      </w:r>
      <w:r>
        <w:rPr>
          <w:rFonts w:hint="eastAsia" w:ascii="宋体" w:hAnsi="宋体" w:eastAsia="宋体"/>
          <w:b w:val="0"/>
          <w:bCs/>
          <w:color w:val="auto"/>
          <w:kern w:val="0"/>
          <w:sz w:val="21"/>
          <w:szCs w:val="21"/>
          <w:highlight w:val="none"/>
          <w:lang w:eastAsia="zh-CN"/>
        </w:rPr>
        <w:t>禹州市污水处理厂</w:t>
      </w:r>
      <w:r>
        <w:rPr>
          <w:rFonts w:hint="eastAsia" w:ascii="宋体" w:hAnsi="宋体" w:eastAsia="宋体"/>
          <w:b w:val="0"/>
          <w:bCs/>
          <w:color w:val="auto"/>
          <w:kern w:val="0"/>
          <w:sz w:val="21"/>
          <w:szCs w:val="21"/>
          <w:highlight w:val="none"/>
        </w:rPr>
        <w:t>产生的全部污泥</w:t>
      </w:r>
      <w:r>
        <w:rPr>
          <w:rFonts w:hint="eastAsia" w:ascii="宋体" w:hAnsi="宋体" w:eastAsia="宋体"/>
          <w:b w:val="0"/>
          <w:bCs/>
          <w:color w:val="auto"/>
          <w:kern w:val="0"/>
          <w:sz w:val="21"/>
          <w:szCs w:val="21"/>
          <w:highlight w:val="none"/>
          <w:lang w:val="en-US" w:eastAsia="zh-CN"/>
        </w:rPr>
        <w:t>及城区市政管网清通污泥</w:t>
      </w:r>
      <w:r>
        <w:rPr>
          <w:rFonts w:hint="eastAsia" w:ascii="宋体" w:hAnsi="宋体" w:eastAsia="宋体"/>
          <w:b w:val="0"/>
          <w:bCs/>
          <w:color w:val="auto"/>
          <w:kern w:val="0"/>
          <w:sz w:val="21"/>
          <w:szCs w:val="21"/>
          <w:highlight w:val="none"/>
        </w:rPr>
        <w:t>，运营处理能力不少于</w:t>
      </w:r>
      <w:r>
        <w:rPr>
          <w:rFonts w:hint="eastAsia" w:ascii="宋体" w:hAnsi="宋体" w:eastAsia="宋体"/>
          <w:b w:val="0"/>
          <w:bCs/>
          <w:color w:val="auto"/>
          <w:kern w:val="0"/>
          <w:sz w:val="21"/>
          <w:szCs w:val="21"/>
          <w:highlight w:val="none"/>
          <w:lang w:val="en-US" w:eastAsia="zh-CN"/>
        </w:rPr>
        <w:t>260</w:t>
      </w:r>
      <w:r>
        <w:rPr>
          <w:rFonts w:hint="eastAsia" w:ascii="宋体" w:hAnsi="宋体" w:eastAsia="宋体"/>
          <w:b w:val="0"/>
          <w:bCs/>
          <w:color w:val="auto"/>
          <w:kern w:val="0"/>
          <w:sz w:val="21"/>
          <w:szCs w:val="21"/>
          <w:highlight w:val="none"/>
        </w:rPr>
        <w:t>T/日。</w:t>
      </w:r>
    </w:p>
    <w:p w14:paraId="31448950">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eastAsia="宋体"/>
          <w:b w:val="0"/>
          <w:bCs/>
          <w:color w:val="auto"/>
          <w:kern w:val="0"/>
          <w:sz w:val="21"/>
          <w:szCs w:val="21"/>
          <w:highlight w:val="none"/>
        </w:rPr>
      </w:pPr>
      <w:r>
        <w:rPr>
          <w:rFonts w:hint="eastAsia" w:ascii="宋体" w:hAnsi="宋体" w:eastAsia="宋体"/>
          <w:b w:val="0"/>
          <w:bCs/>
          <w:color w:val="auto"/>
          <w:kern w:val="0"/>
          <w:sz w:val="21"/>
          <w:szCs w:val="21"/>
          <w:highlight w:val="none"/>
        </w:rPr>
        <w:t>2</w:t>
      </w:r>
      <w:r>
        <w:rPr>
          <w:rFonts w:hint="eastAsia" w:ascii="宋体" w:hAnsi="宋体" w:eastAsia="宋体"/>
          <w:b w:val="0"/>
          <w:bCs/>
          <w:color w:val="auto"/>
          <w:kern w:val="0"/>
          <w:sz w:val="21"/>
          <w:szCs w:val="21"/>
          <w:highlight w:val="none"/>
          <w:lang w:eastAsia="zh-CN"/>
        </w:rPr>
        <w:t>、</w:t>
      </w:r>
      <w:r>
        <w:rPr>
          <w:rFonts w:hint="eastAsia" w:ascii="宋体" w:hAnsi="宋体" w:eastAsia="宋体"/>
          <w:b w:val="0"/>
          <w:bCs/>
          <w:color w:val="auto"/>
          <w:kern w:val="0"/>
          <w:sz w:val="21"/>
          <w:szCs w:val="21"/>
          <w:highlight w:val="none"/>
        </w:rPr>
        <w:t xml:space="preserve"> 服务内容：</w:t>
      </w:r>
    </w:p>
    <w:p w14:paraId="3ACB24B3">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eastAsia="宋体"/>
          <w:b w:val="0"/>
          <w:bCs/>
          <w:color w:val="auto"/>
          <w:kern w:val="0"/>
          <w:sz w:val="21"/>
          <w:szCs w:val="21"/>
          <w:highlight w:val="none"/>
        </w:rPr>
      </w:pPr>
      <w:r>
        <w:rPr>
          <w:rFonts w:hint="eastAsia" w:ascii="宋体" w:hAnsi="宋体" w:eastAsia="宋体"/>
          <w:b w:val="0"/>
          <w:bCs/>
          <w:color w:val="auto"/>
          <w:kern w:val="0"/>
          <w:sz w:val="21"/>
          <w:szCs w:val="21"/>
          <w:highlight w:val="none"/>
          <w:lang w:val="en-US" w:eastAsia="zh-CN"/>
        </w:rPr>
        <w:t>2.1、</w:t>
      </w:r>
      <w:r>
        <w:rPr>
          <w:rFonts w:hint="eastAsia" w:ascii="宋体" w:hAnsi="宋体" w:eastAsia="宋体"/>
          <w:b w:val="0"/>
          <w:bCs/>
          <w:color w:val="auto"/>
          <w:kern w:val="0"/>
          <w:sz w:val="21"/>
          <w:szCs w:val="21"/>
          <w:highlight w:val="none"/>
        </w:rPr>
        <w:t>对</w:t>
      </w:r>
      <w:r>
        <w:rPr>
          <w:rFonts w:hint="eastAsia" w:ascii="宋体" w:hAnsi="宋体" w:eastAsia="宋体"/>
          <w:b w:val="0"/>
          <w:bCs/>
          <w:color w:val="auto"/>
          <w:kern w:val="0"/>
          <w:sz w:val="21"/>
          <w:szCs w:val="21"/>
          <w:highlight w:val="none"/>
          <w:lang w:eastAsia="zh-CN"/>
        </w:rPr>
        <w:t>禹州市污水处理厂</w:t>
      </w:r>
      <w:r>
        <w:rPr>
          <w:rFonts w:hint="eastAsia" w:ascii="宋体" w:hAnsi="宋体" w:eastAsia="宋体"/>
          <w:b w:val="0"/>
          <w:bCs/>
          <w:color w:val="auto"/>
          <w:kern w:val="0"/>
          <w:sz w:val="21"/>
          <w:szCs w:val="21"/>
          <w:highlight w:val="none"/>
          <w:lang w:val="en-US" w:eastAsia="zh-CN"/>
        </w:rPr>
        <w:t>从合同签订之日起1年内</w:t>
      </w:r>
      <w:r>
        <w:rPr>
          <w:rFonts w:hint="eastAsia" w:ascii="宋体" w:hAnsi="宋体" w:eastAsia="宋体"/>
          <w:b w:val="0"/>
          <w:bCs/>
          <w:color w:val="auto"/>
          <w:kern w:val="0"/>
          <w:sz w:val="21"/>
          <w:szCs w:val="21"/>
          <w:highlight w:val="none"/>
        </w:rPr>
        <w:t>所产生的污泥进行处理。</w:t>
      </w:r>
    </w:p>
    <w:p w14:paraId="18F5429C">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eastAsia="宋体"/>
          <w:b w:val="0"/>
          <w:bCs/>
          <w:color w:val="auto"/>
          <w:kern w:val="0"/>
          <w:sz w:val="21"/>
          <w:szCs w:val="21"/>
          <w:highlight w:val="none"/>
        </w:rPr>
      </w:pPr>
      <w:r>
        <w:rPr>
          <w:rFonts w:hint="eastAsia" w:ascii="宋体" w:hAnsi="宋体" w:eastAsia="宋体"/>
          <w:b w:val="0"/>
          <w:bCs/>
          <w:color w:val="auto"/>
          <w:kern w:val="0"/>
          <w:sz w:val="21"/>
          <w:szCs w:val="21"/>
          <w:highlight w:val="none"/>
          <w:lang w:val="en-US" w:eastAsia="zh-CN"/>
        </w:rPr>
        <w:t>2.2、投标人应具备与受托事项匹配的经营规模和技术能力，</w:t>
      </w:r>
      <w:r>
        <w:rPr>
          <w:rFonts w:hint="eastAsia" w:ascii="宋体" w:hAnsi="宋体" w:eastAsia="宋体"/>
          <w:b w:val="0"/>
          <w:bCs/>
          <w:color w:val="auto"/>
          <w:kern w:val="0"/>
          <w:sz w:val="21"/>
          <w:szCs w:val="21"/>
          <w:highlight w:val="none"/>
        </w:rPr>
        <w:t>必须对</w:t>
      </w:r>
      <w:r>
        <w:rPr>
          <w:rFonts w:hint="eastAsia" w:ascii="宋体" w:hAnsi="宋体" w:eastAsia="宋体"/>
          <w:b w:val="0"/>
          <w:bCs/>
          <w:color w:val="auto"/>
          <w:kern w:val="0"/>
          <w:sz w:val="21"/>
          <w:szCs w:val="21"/>
          <w:highlight w:val="none"/>
          <w:lang w:eastAsia="zh-CN"/>
        </w:rPr>
        <w:t>禹州市</w:t>
      </w:r>
      <w:r>
        <w:rPr>
          <w:rFonts w:hint="eastAsia" w:ascii="宋体" w:hAnsi="宋体" w:eastAsia="宋体"/>
          <w:b w:val="0"/>
          <w:bCs/>
          <w:color w:val="auto"/>
          <w:kern w:val="0"/>
          <w:sz w:val="21"/>
          <w:szCs w:val="21"/>
          <w:highlight w:val="none"/>
        </w:rPr>
        <w:t>污水处理</w:t>
      </w:r>
      <w:r>
        <w:rPr>
          <w:rFonts w:hint="eastAsia" w:ascii="宋体" w:hAnsi="宋体" w:eastAsia="宋体"/>
          <w:b w:val="0"/>
          <w:bCs/>
          <w:color w:val="auto"/>
          <w:kern w:val="0"/>
          <w:sz w:val="21"/>
          <w:szCs w:val="21"/>
          <w:highlight w:val="none"/>
          <w:lang w:eastAsia="zh-CN"/>
        </w:rPr>
        <w:t>厂</w:t>
      </w:r>
      <w:r>
        <w:rPr>
          <w:rFonts w:hint="eastAsia" w:ascii="宋体" w:hAnsi="宋体" w:eastAsia="宋体"/>
          <w:b w:val="0"/>
          <w:bCs/>
          <w:color w:val="auto"/>
          <w:kern w:val="0"/>
          <w:sz w:val="21"/>
          <w:szCs w:val="21"/>
          <w:highlight w:val="none"/>
        </w:rPr>
        <w:t>产生的全部污泥</w:t>
      </w:r>
      <w:r>
        <w:rPr>
          <w:rFonts w:hint="eastAsia" w:ascii="宋体" w:hAnsi="宋体" w:eastAsia="宋体"/>
          <w:b w:val="0"/>
          <w:bCs/>
          <w:color w:val="auto"/>
          <w:kern w:val="0"/>
          <w:sz w:val="21"/>
          <w:szCs w:val="21"/>
          <w:highlight w:val="none"/>
          <w:lang w:eastAsia="zh-CN"/>
        </w:rPr>
        <w:t>及时清运</w:t>
      </w:r>
      <w:r>
        <w:rPr>
          <w:rFonts w:hint="eastAsia" w:ascii="宋体" w:hAnsi="宋体" w:eastAsia="宋体"/>
          <w:b w:val="0"/>
          <w:bCs/>
          <w:color w:val="auto"/>
          <w:kern w:val="0"/>
          <w:sz w:val="21"/>
          <w:szCs w:val="21"/>
          <w:highlight w:val="none"/>
        </w:rPr>
        <w:t>进行无害化、</w:t>
      </w:r>
      <w:r>
        <w:rPr>
          <w:rFonts w:hint="eastAsia" w:ascii="宋体" w:hAnsi="宋体" w:eastAsia="宋体"/>
          <w:b w:val="0"/>
          <w:bCs/>
          <w:color w:val="auto"/>
          <w:kern w:val="0"/>
          <w:sz w:val="21"/>
          <w:szCs w:val="21"/>
          <w:highlight w:val="none"/>
          <w:lang w:val="en-US" w:eastAsia="zh-CN"/>
        </w:rPr>
        <w:t>资源化处置</w:t>
      </w:r>
      <w:r>
        <w:rPr>
          <w:rFonts w:hint="eastAsia" w:ascii="宋体" w:hAnsi="宋体" w:eastAsia="宋体"/>
          <w:b w:val="0"/>
          <w:bCs/>
          <w:color w:val="auto"/>
          <w:kern w:val="0"/>
          <w:sz w:val="21"/>
          <w:szCs w:val="21"/>
          <w:highlight w:val="none"/>
        </w:rPr>
        <w:t>。</w:t>
      </w:r>
    </w:p>
    <w:p w14:paraId="391F5A32">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leftChars="200"/>
        <w:jc w:val="left"/>
        <w:textAlignment w:val="auto"/>
        <w:rPr>
          <w:rFonts w:hint="eastAsia" w:ascii="宋体" w:hAnsi="宋体" w:eastAsia="宋体"/>
          <w:b w:val="0"/>
          <w:bCs/>
          <w:color w:val="auto"/>
          <w:kern w:val="0"/>
          <w:sz w:val="21"/>
          <w:szCs w:val="21"/>
          <w:highlight w:val="none"/>
        </w:rPr>
      </w:pPr>
      <w:r>
        <w:rPr>
          <w:rFonts w:hint="eastAsia" w:ascii="宋体" w:hAnsi="宋体" w:eastAsia="宋体"/>
          <w:b w:val="0"/>
          <w:bCs/>
          <w:color w:val="auto"/>
          <w:kern w:val="0"/>
          <w:sz w:val="21"/>
          <w:szCs w:val="21"/>
          <w:highlight w:val="none"/>
          <w:lang w:val="en-US" w:eastAsia="zh-CN"/>
        </w:rPr>
        <w:t>3、</w:t>
      </w:r>
      <w:r>
        <w:rPr>
          <w:rFonts w:hint="eastAsia" w:ascii="宋体" w:hAnsi="宋体" w:eastAsia="宋体"/>
          <w:b w:val="0"/>
          <w:bCs/>
          <w:color w:val="auto"/>
          <w:kern w:val="0"/>
          <w:sz w:val="21"/>
          <w:szCs w:val="21"/>
          <w:highlight w:val="none"/>
        </w:rPr>
        <w:t>服务要求</w:t>
      </w:r>
    </w:p>
    <w:p w14:paraId="58B52C32">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eastAsia="宋体"/>
          <w:b w:val="0"/>
          <w:bCs/>
          <w:color w:val="auto"/>
          <w:kern w:val="0"/>
          <w:sz w:val="21"/>
          <w:szCs w:val="21"/>
          <w:highlight w:val="none"/>
          <w:lang w:val="en-US" w:eastAsia="zh-CN"/>
        </w:rPr>
      </w:pPr>
      <w:r>
        <w:rPr>
          <w:rFonts w:hint="eastAsia" w:ascii="宋体" w:hAnsi="宋体" w:eastAsia="宋体"/>
          <w:b w:val="0"/>
          <w:bCs/>
          <w:color w:val="auto"/>
          <w:kern w:val="0"/>
          <w:sz w:val="21"/>
          <w:szCs w:val="21"/>
          <w:highlight w:val="none"/>
          <w:lang w:val="en-US" w:eastAsia="zh-CN"/>
        </w:rPr>
        <w:t>3.1、</w:t>
      </w:r>
      <w:r>
        <w:rPr>
          <w:rFonts w:hint="eastAsia" w:ascii="宋体" w:hAnsi="宋体" w:eastAsia="宋体"/>
          <w:b w:val="0"/>
          <w:bCs/>
          <w:color w:val="auto"/>
          <w:kern w:val="0"/>
          <w:sz w:val="21"/>
          <w:szCs w:val="21"/>
          <w:highlight w:val="none"/>
        </w:rPr>
        <w:t>污泥处理处置单位进行污泥处置必须符合《城镇污水处理厂污泥处理处置及污染防</w:t>
      </w:r>
      <w:r>
        <w:rPr>
          <w:rFonts w:hint="eastAsia" w:ascii="宋体" w:hAnsi="宋体" w:eastAsia="宋体"/>
          <w:b w:val="0"/>
          <w:bCs/>
          <w:color w:val="auto"/>
          <w:kern w:val="0"/>
          <w:sz w:val="21"/>
          <w:szCs w:val="21"/>
          <w:highlight w:val="none"/>
          <w:lang w:val="en-US" w:eastAsia="zh-CN"/>
        </w:rPr>
        <w:t>治技术政策(试行》(建城〔2009〕23号)和《城镇污水处理厂污泥处理技术规范》(DBJ41/T178-2017)的规定和有关标准要求，污泥运送、贮存、处理、处置等过程严格管理,防止因污泥引发二次环境污染。</w:t>
      </w:r>
    </w:p>
    <w:p w14:paraId="134A3C28">
      <w:pPr>
        <w:keepNext w:val="0"/>
        <w:keepLines w:val="0"/>
        <w:pageBreakBefore w:val="0"/>
        <w:widowControl/>
        <w:numPr>
          <w:ilvl w:val="0"/>
          <w:numId w:val="0"/>
        </w:numPr>
        <w:kinsoku/>
        <w:wordWrap/>
        <w:overflowPunct/>
        <w:topLinePunct w:val="0"/>
        <w:autoSpaceDE/>
        <w:autoSpaceDN/>
        <w:bidi w:val="0"/>
        <w:adjustRightInd w:val="0"/>
        <w:snapToGrid/>
        <w:spacing w:line="440" w:lineRule="exact"/>
        <w:jc w:val="left"/>
        <w:textAlignment w:val="auto"/>
        <w:rPr>
          <w:rFonts w:hint="eastAsia" w:ascii="宋体" w:hAnsi="宋体" w:eastAsia="宋体"/>
          <w:b w:val="0"/>
          <w:bCs/>
          <w:color w:val="auto"/>
          <w:kern w:val="0"/>
          <w:sz w:val="21"/>
          <w:szCs w:val="21"/>
          <w:highlight w:val="none"/>
          <w:lang w:val="en-US" w:eastAsia="zh-CN"/>
        </w:rPr>
      </w:pPr>
      <w:r>
        <w:rPr>
          <w:rFonts w:hint="eastAsia" w:ascii="宋体" w:hAnsi="宋体" w:eastAsia="宋体"/>
          <w:b w:val="0"/>
          <w:bCs/>
          <w:color w:val="auto"/>
          <w:kern w:val="0"/>
          <w:sz w:val="21"/>
          <w:szCs w:val="21"/>
          <w:highlight w:val="none"/>
          <w:lang w:val="en-US" w:eastAsia="zh-CN"/>
        </w:rPr>
        <w:t>五、付款方式</w:t>
      </w:r>
    </w:p>
    <w:p w14:paraId="2909334D">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eastAsia="宋体"/>
          <w:b w:val="0"/>
          <w:bCs/>
          <w:color w:val="auto"/>
          <w:kern w:val="0"/>
          <w:sz w:val="21"/>
          <w:szCs w:val="21"/>
          <w:highlight w:val="none"/>
          <w:lang w:val="en-US" w:eastAsia="zh-CN"/>
        </w:rPr>
      </w:pPr>
      <w:r>
        <w:rPr>
          <w:rFonts w:hint="eastAsia" w:ascii="宋体" w:hAnsi="宋体" w:eastAsia="宋体"/>
          <w:b w:val="0"/>
          <w:bCs/>
          <w:color w:val="auto"/>
          <w:kern w:val="0"/>
          <w:sz w:val="21"/>
          <w:szCs w:val="21"/>
          <w:highlight w:val="none"/>
          <w:lang w:val="en-US" w:eastAsia="zh-CN"/>
        </w:rPr>
        <w:t>在每次接收甲方污泥后，乙方根据实际接收甲方的污泥数量（以甲乙双方确认过的纸质版转移联单数量为准）与签订的处置单价（元/吨）开具发票，最终以双方确认的实际处置重量乘以处置费单价进行每季度付款。</w:t>
      </w:r>
    </w:p>
    <w:p w14:paraId="3AE0B508">
      <w:pPr>
        <w:keepNext w:val="0"/>
        <w:keepLines w:val="0"/>
        <w:pageBreakBefore w:val="0"/>
        <w:widowControl/>
        <w:numPr>
          <w:ilvl w:val="0"/>
          <w:numId w:val="0"/>
        </w:numPr>
        <w:kinsoku/>
        <w:wordWrap/>
        <w:overflowPunct/>
        <w:topLinePunct w:val="0"/>
        <w:autoSpaceDE/>
        <w:autoSpaceDN/>
        <w:bidi w:val="0"/>
        <w:adjustRightInd w:val="0"/>
        <w:snapToGrid/>
        <w:spacing w:line="440" w:lineRule="exact"/>
        <w:jc w:val="left"/>
        <w:textAlignment w:val="auto"/>
        <w:rPr>
          <w:rFonts w:hint="eastAsia" w:ascii="宋体" w:hAnsi="宋体" w:eastAsia="宋体"/>
          <w:b w:val="0"/>
          <w:bCs/>
          <w:color w:val="auto"/>
          <w:kern w:val="0"/>
          <w:sz w:val="21"/>
          <w:szCs w:val="21"/>
          <w:highlight w:val="none"/>
          <w:lang w:val="en-US" w:eastAsia="zh-CN"/>
        </w:rPr>
      </w:pPr>
      <w:r>
        <w:rPr>
          <w:rFonts w:hint="eastAsia" w:ascii="宋体" w:hAnsi="宋体" w:eastAsia="宋体"/>
          <w:b w:val="0"/>
          <w:bCs/>
          <w:color w:val="auto"/>
          <w:kern w:val="0"/>
          <w:sz w:val="21"/>
          <w:szCs w:val="21"/>
          <w:highlight w:val="none"/>
          <w:lang w:val="en-US" w:eastAsia="zh-CN"/>
        </w:rPr>
        <w:t>六、其他相关要求</w:t>
      </w:r>
    </w:p>
    <w:p w14:paraId="7A02124A">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eastAsia="宋体"/>
          <w:b w:val="0"/>
          <w:bCs/>
          <w:color w:val="auto"/>
          <w:kern w:val="0"/>
          <w:sz w:val="21"/>
          <w:szCs w:val="21"/>
          <w:highlight w:val="none"/>
          <w:lang w:val="zh-CN" w:eastAsia="zh-CN"/>
        </w:rPr>
      </w:pPr>
      <w:r>
        <w:rPr>
          <w:rFonts w:hint="eastAsia" w:ascii="宋体" w:hAnsi="宋体" w:eastAsia="宋体"/>
          <w:b w:val="0"/>
          <w:bCs/>
          <w:color w:val="auto"/>
          <w:kern w:val="0"/>
          <w:sz w:val="21"/>
          <w:szCs w:val="21"/>
          <w:highlight w:val="none"/>
          <w:lang w:val="zh-CN" w:eastAsia="zh-CN"/>
        </w:rPr>
        <w:t xml:space="preserve">1、投标人应就本项目完整投标，否则为无效投标。 </w:t>
      </w:r>
    </w:p>
    <w:p w14:paraId="4B99323A">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eastAsia="宋体"/>
          <w:b w:val="0"/>
          <w:bCs/>
          <w:color w:val="auto"/>
          <w:kern w:val="0"/>
          <w:sz w:val="21"/>
          <w:szCs w:val="21"/>
          <w:highlight w:val="none"/>
          <w:lang w:val="zh-CN" w:eastAsia="zh-CN"/>
        </w:rPr>
      </w:pPr>
      <w:r>
        <w:rPr>
          <w:rFonts w:hint="eastAsia" w:ascii="宋体" w:hAnsi="宋体" w:eastAsia="宋体"/>
          <w:b w:val="0"/>
          <w:bCs/>
          <w:color w:val="auto"/>
          <w:kern w:val="0"/>
          <w:sz w:val="21"/>
          <w:szCs w:val="21"/>
          <w:highlight w:val="none"/>
          <w:lang w:val="zh-CN" w:eastAsia="zh-CN"/>
        </w:rPr>
        <w:t xml:space="preserve">2、本项目为交钥匙工程。 </w:t>
      </w:r>
    </w:p>
    <w:p w14:paraId="2F168C8E">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cs="宋体" w:asciiTheme="minorEastAsia" w:hAnsiTheme="minorEastAsia"/>
          <w:color w:val="auto"/>
          <w:kern w:val="0"/>
          <w:szCs w:val="21"/>
          <w:highlight w:val="none"/>
          <w:lang w:val="zh-CN" w:eastAsia="zh-CN"/>
        </w:rPr>
      </w:pPr>
      <w:r>
        <w:rPr>
          <w:rFonts w:hint="eastAsia" w:cs="宋体" w:asciiTheme="minorEastAsia" w:hAnsiTheme="minorEastAsia"/>
          <w:color w:val="auto"/>
          <w:kern w:val="0"/>
          <w:szCs w:val="21"/>
          <w:highlight w:val="none"/>
          <w:lang w:val="zh-CN" w:eastAsia="zh-CN"/>
        </w:rPr>
        <w:t xml:space="preserve">3、投标文件中须有实施（技术）方案，否则为无效投标。 </w:t>
      </w:r>
    </w:p>
    <w:p w14:paraId="621C5B5A">
      <w:pPr>
        <w:pStyle w:val="14"/>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eastAsia="zh-CN"/>
        </w:rPr>
        <w:t>七、</w:t>
      </w:r>
      <w:r>
        <w:rPr>
          <w:rFonts w:hint="eastAsia" w:ascii="宋体" w:hAnsi="宋体" w:eastAsia="宋体" w:cs="宋体"/>
          <w:b/>
          <w:color w:val="auto"/>
          <w:szCs w:val="21"/>
          <w:highlight w:val="none"/>
        </w:rPr>
        <w:t>采购标的执行标准、其他技术服务等要求</w:t>
      </w:r>
    </w:p>
    <w:p w14:paraId="4F42850A">
      <w:pPr>
        <w:keepNext w:val="0"/>
        <w:keepLines w:val="0"/>
        <w:pageBreakBefore w:val="0"/>
        <w:widowControl w:val="0"/>
        <w:kinsoku/>
        <w:overflowPunct/>
        <w:topLinePunct w:val="0"/>
        <w:autoSpaceDE/>
        <w:autoSpaceDN/>
        <w:bidi w:val="0"/>
        <w:spacing w:line="356"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1、本次招标某些技术标准与国家所要求的标准不统一或有不兼容的地方，均以国家强制性标准或最新出台的标准为准。</w:t>
      </w:r>
    </w:p>
    <w:p w14:paraId="150FC13C">
      <w:pPr>
        <w:keepNext w:val="0"/>
        <w:keepLines w:val="0"/>
        <w:pageBreakBefore w:val="0"/>
        <w:widowControl w:val="0"/>
        <w:kinsoku/>
        <w:overflowPunct/>
        <w:topLinePunct w:val="0"/>
        <w:autoSpaceDE/>
        <w:autoSpaceDN/>
        <w:bidi w:val="0"/>
        <w:spacing w:line="356"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2、如果未在招标文件中要求提供其相关行业标准或国家强制性标准的，则投标人有责任给予补充说明。</w:t>
      </w:r>
    </w:p>
    <w:p w14:paraId="3192E2F3">
      <w:pPr>
        <w:keepNext w:val="0"/>
        <w:keepLines w:val="0"/>
        <w:pageBreakBefore w:val="0"/>
        <w:widowControl w:val="0"/>
        <w:kinsoku/>
        <w:overflowPunct/>
        <w:topLinePunct w:val="0"/>
        <w:autoSpaceDE/>
        <w:autoSpaceDN/>
        <w:bidi w:val="0"/>
        <w:spacing w:line="356"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3、中标方未达到作业计划标准及工作违规或引起纠纷、被上级部门处罚等不良后果，造成重大经济损失或服务严重失误，招标方有权终止本合同，并追究中标方的经济责任。</w:t>
      </w:r>
    </w:p>
    <w:p w14:paraId="27A0C627">
      <w:pPr>
        <w:pStyle w:val="14"/>
        <w:rPr>
          <w:rFonts w:ascii="宋体" w:hAnsi="宋体" w:eastAsia="宋体" w:cs="宋体"/>
          <w:b/>
          <w:color w:val="auto"/>
          <w:szCs w:val="21"/>
          <w:highlight w:val="none"/>
        </w:rPr>
      </w:pPr>
      <w:r>
        <w:rPr>
          <w:rFonts w:hint="eastAsia" w:ascii="宋体" w:hAnsi="宋体" w:eastAsia="宋体" w:cs="宋体"/>
          <w:b/>
          <w:color w:val="auto"/>
          <w:szCs w:val="21"/>
          <w:highlight w:val="none"/>
          <w:lang w:eastAsia="zh-CN"/>
        </w:rPr>
        <w:t>八</w:t>
      </w:r>
      <w:r>
        <w:rPr>
          <w:rFonts w:hint="eastAsia" w:ascii="宋体" w:hAnsi="宋体" w:eastAsia="宋体" w:cs="宋体"/>
          <w:b/>
          <w:color w:val="auto"/>
          <w:szCs w:val="21"/>
          <w:highlight w:val="none"/>
        </w:rPr>
        <w:t>、验收标准</w:t>
      </w:r>
    </w:p>
    <w:p w14:paraId="5A878B6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1、采购人在收到供应商项目验收建议之日起 7 个工作日内，由采购人成立验收小组,按照采购合同的约定对中标人履约情况进行实质性验收。验收时，按照采购合同的约定对每一项技术、服务、安全标准的履约情况进行确认。验收结束后，出具验收书，列明各项标准的验收情况及项目总体评价，由验收双方共同签署。 </w:t>
      </w:r>
    </w:p>
    <w:p w14:paraId="43D925B7">
      <w:pPr>
        <w:spacing w:line="360" w:lineRule="auto"/>
        <w:ind w:firstLine="420" w:firstLineChars="200"/>
        <w:contextualSpacing/>
        <w:rPr>
          <w:rFonts w:hint="eastAsia" w:ascii="宋体" w:hAnsi="宋体" w:eastAsia="宋体"/>
          <w:b/>
          <w:color w:val="auto"/>
          <w:szCs w:val="21"/>
          <w:highlight w:val="none"/>
        </w:rPr>
      </w:pPr>
      <w:r>
        <w:rPr>
          <w:rFonts w:hint="eastAsia" w:ascii="宋体" w:hAnsi="宋体" w:eastAsia="宋体" w:cs="宋体"/>
          <w:color w:val="auto"/>
          <w:szCs w:val="21"/>
          <w:highlight w:val="none"/>
          <w:lang w:val="en-US" w:eastAsia="zh-CN"/>
        </w:rPr>
        <w:t>2、按照招标文件要求、投标文件响应和承诺验收。</w:t>
      </w:r>
    </w:p>
    <w:p w14:paraId="6D7C648D">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九、资金支付</w:t>
      </w:r>
    </w:p>
    <w:p w14:paraId="54206C6E">
      <w:pPr>
        <w:pStyle w:val="14"/>
        <w:ind w:firstLine="420" w:firstLineChars="2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CN" w:eastAsia="zh-CN" w:bidi="ar-SA"/>
        </w:rPr>
        <w:t>交付（实施）时间（期限）：</w:t>
      </w:r>
      <w:r>
        <w:rPr>
          <w:rFonts w:hint="eastAsia" w:hAnsi="宋体"/>
          <w:color w:val="auto"/>
          <w:szCs w:val="21"/>
          <w:highlight w:val="none"/>
          <w:lang w:eastAsia="zh-CN"/>
        </w:rPr>
        <w:t>自合同签订之日起</w:t>
      </w:r>
      <w:r>
        <w:rPr>
          <w:rFonts w:hint="eastAsia" w:hAnsi="宋体"/>
          <w:color w:val="auto"/>
          <w:szCs w:val="21"/>
          <w:highlight w:val="none"/>
          <w:lang w:val="en-US" w:eastAsia="zh-CN"/>
        </w:rPr>
        <w:t>1年</w:t>
      </w:r>
      <w:r>
        <w:rPr>
          <w:rFonts w:hint="eastAsia" w:ascii="宋体" w:hAnsi="宋体" w:eastAsia="宋体" w:cs="宋体"/>
          <w:color w:val="auto"/>
          <w:kern w:val="2"/>
          <w:sz w:val="21"/>
          <w:szCs w:val="21"/>
          <w:highlight w:val="none"/>
          <w:lang w:val="zh-CN" w:eastAsia="zh-CN" w:bidi="ar-SA"/>
        </w:rPr>
        <w:t>。</w:t>
      </w:r>
    </w:p>
    <w:p w14:paraId="3FB563B5">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交付（实施）地点（范围）：</w:t>
      </w:r>
      <w:r>
        <w:rPr>
          <w:rFonts w:hint="eastAsia" w:eastAsia="宋体" w:cs="宋体" w:asciiTheme="minorEastAsia" w:hAnsiTheme="minorEastAsia"/>
          <w:color w:val="auto"/>
          <w:kern w:val="0"/>
          <w:szCs w:val="21"/>
          <w:highlight w:val="none"/>
          <w:lang w:val="en-US" w:eastAsia="zh-CN"/>
        </w:rPr>
        <w:t>禹州市</w:t>
      </w:r>
      <w:r>
        <w:rPr>
          <w:rFonts w:hint="eastAsia" w:ascii="宋体" w:hAnsi="宋体" w:eastAsia="宋体" w:cs="宋体"/>
          <w:color w:val="auto"/>
          <w:kern w:val="2"/>
          <w:sz w:val="21"/>
          <w:szCs w:val="21"/>
          <w:highlight w:val="none"/>
          <w:lang w:val="zh-CN" w:eastAsia="zh-CN" w:bidi="ar-SA"/>
        </w:rPr>
        <w:t>。</w:t>
      </w:r>
    </w:p>
    <w:p w14:paraId="0B441DA0">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3、支付方式：银行转账。</w:t>
      </w:r>
    </w:p>
    <w:p w14:paraId="56001345">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color w:val="auto"/>
          <w:highlight w:val="none"/>
        </w:rPr>
      </w:pPr>
      <w:r>
        <w:rPr>
          <w:rFonts w:hint="eastAsia" w:ascii="宋体" w:hAnsi="宋体" w:eastAsia="宋体" w:cs="宋体"/>
          <w:color w:val="auto"/>
          <w:kern w:val="2"/>
          <w:sz w:val="21"/>
          <w:szCs w:val="21"/>
          <w:highlight w:val="none"/>
          <w:lang w:val="en-US" w:eastAsia="zh-CN" w:bidi="ar-SA"/>
        </w:rPr>
        <w:t>4、支付时间</w:t>
      </w:r>
      <w:r>
        <w:rPr>
          <w:rFonts w:hint="eastAsia" w:ascii="宋体" w:hAnsi="宋体" w:eastAsia="宋体" w:cs="宋体"/>
          <w:color w:val="auto"/>
          <w:kern w:val="2"/>
          <w:sz w:val="21"/>
          <w:szCs w:val="21"/>
          <w:highlight w:val="none"/>
          <w:lang w:val="en-US" w:eastAsia="zh-CN" w:bidi="ar-SA"/>
        </w:rPr>
        <w:t>及条件：每月汇总污泥处理总量，按季度结算支付</w:t>
      </w:r>
      <w:r>
        <w:rPr>
          <w:rFonts w:hint="eastAsia" w:ascii="宋体" w:hAnsi="宋体" w:eastAsia="宋体" w:cs="宋体"/>
          <w:color w:val="auto"/>
          <w:kern w:val="2"/>
          <w:sz w:val="21"/>
          <w:szCs w:val="21"/>
          <w:highlight w:val="none"/>
          <w:lang w:val="zh-CN" w:eastAsia="zh-CN" w:bidi="ar-SA"/>
        </w:rPr>
        <w:t>。</w:t>
      </w:r>
    </w:p>
    <w:p w14:paraId="0E5CE6F7">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2D25CBB3">
      <w:pPr>
        <w:rPr>
          <w:rFonts w:hint="eastAsia" w:cs="宋体" w:asciiTheme="majorEastAsia" w:hAnsiTheme="majorEastAsia" w:eastAsiaTheme="majorEastAsia"/>
          <w:b/>
          <w:color w:val="auto"/>
          <w:kern w:val="0"/>
          <w:sz w:val="32"/>
          <w:szCs w:val="32"/>
          <w:highlight w:val="none"/>
        </w:rPr>
      </w:pPr>
    </w:p>
    <w:p w14:paraId="01BC9AAF">
      <w:pPr>
        <w:pStyle w:val="14"/>
        <w:rPr>
          <w:rFonts w:hint="eastAsia"/>
          <w:color w:val="auto"/>
          <w:highlight w:val="none"/>
        </w:rPr>
      </w:pPr>
    </w:p>
    <w:p w14:paraId="1DDF1E00">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65D264E9">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56F19606">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4A81ED52">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77F94841">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3BB19823">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6556D9AD">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18DB9659">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1AC3A5D8">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3B8B7D92">
      <w:pPr>
        <w:autoSpaceDE w:val="0"/>
        <w:autoSpaceDN w:val="0"/>
        <w:adjustRightInd w:val="0"/>
        <w:jc w:val="both"/>
        <w:rPr>
          <w:rFonts w:hint="eastAsia" w:cs="宋体" w:asciiTheme="majorEastAsia" w:hAnsiTheme="majorEastAsia" w:eastAsiaTheme="majorEastAsia"/>
          <w:b/>
          <w:color w:val="auto"/>
          <w:kern w:val="0"/>
          <w:sz w:val="32"/>
          <w:szCs w:val="32"/>
          <w:highlight w:val="none"/>
        </w:rPr>
      </w:pPr>
    </w:p>
    <w:p w14:paraId="41E351FD">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0ABFE9BA">
      <w:pPr>
        <w:autoSpaceDE w:val="0"/>
        <w:autoSpaceDN w:val="0"/>
        <w:adjustRightInd w:val="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投标人须知前附表</w:t>
      </w:r>
    </w:p>
    <w:p w14:paraId="0837EA7D">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招标文件中凡标有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条款均为实质性要求条款，投标文件须完全响应，未实质响应的，按照无效投标处理。</w:t>
      </w:r>
    </w:p>
    <w:tbl>
      <w:tblPr>
        <w:tblStyle w:val="31"/>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07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7C4F52B">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268" w:type="dxa"/>
            <w:vAlign w:val="center"/>
          </w:tcPr>
          <w:p w14:paraId="7CA0A73B">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13" w:type="dxa"/>
            <w:vAlign w:val="center"/>
          </w:tcPr>
          <w:p w14:paraId="0A5BDCD0">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3F13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6" w:type="dxa"/>
            <w:vAlign w:val="center"/>
          </w:tcPr>
          <w:p w14:paraId="433205D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268" w:type="dxa"/>
            <w:vAlign w:val="center"/>
          </w:tcPr>
          <w:p w14:paraId="278082B1">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813" w:type="dxa"/>
          </w:tcPr>
          <w:p w14:paraId="05D5B041">
            <w:pPr>
              <w:tabs>
                <w:tab w:val="left" w:pos="7095"/>
              </w:tabs>
              <w:spacing w:line="360" w:lineRule="auto"/>
              <w:contextualSpacing/>
              <w:jc w:val="left"/>
              <w:rPr>
                <w:rFonts w:eastAsia="宋体"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项目名称：</w:t>
            </w:r>
            <w:r>
              <w:rPr>
                <w:rFonts w:hint="eastAsia" w:hAnsi="宋体"/>
                <w:color w:val="auto"/>
                <w:szCs w:val="21"/>
                <w:highlight w:val="none"/>
              </w:rPr>
              <w:t>禹州市水利局污泥处置项目</w:t>
            </w:r>
          </w:p>
        </w:tc>
      </w:tr>
      <w:tr w14:paraId="5A82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0CB06793">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268" w:type="dxa"/>
            <w:vAlign w:val="center"/>
          </w:tcPr>
          <w:p w14:paraId="26196B61">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813" w:type="dxa"/>
            <w:vAlign w:val="center"/>
          </w:tcPr>
          <w:p w14:paraId="432159EE">
            <w:pPr>
              <w:spacing w:line="384" w:lineRule="auto"/>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名称：禹州市水利局</w:t>
            </w:r>
          </w:p>
          <w:p w14:paraId="148BEC49">
            <w:pPr>
              <w:spacing w:line="384"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地址：</w:t>
            </w:r>
            <w:r>
              <w:rPr>
                <w:rFonts w:hint="eastAsia" w:asciiTheme="majorEastAsia" w:hAnsiTheme="majorEastAsia" w:eastAsiaTheme="majorEastAsia" w:cstheme="majorEastAsia"/>
                <w:color w:val="auto"/>
                <w:szCs w:val="21"/>
                <w:highlight w:val="none"/>
                <w:lang w:val="en-US" w:eastAsia="zh-CN"/>
              </w:rPr>
              <w:t>禹州市禹王大道东段</w:t>
            </w:r>
          </w:p>
          <w:p w14:paraId="189ED930">
            <w:pPr>
              <w:spacing w:line="384" w:lineRule="auto"/>
              <w:jc w:val="lef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联系</w:t>
            </w:r>
            <w:r>
              <w:rPr>
                <w:rFonts w:hint="eastAsia" w:asciiTheme="majorEastAsia" w:hAnsiTheme="majorEastAsia" w:eastAsiaTheme="majorEastAsia" w:cstheme="majorEastAsia"/>
                <w:color w:val="auto"/>
                <w:szCs w:val="21"/>
                <w:highlight w:val="none"/>
              </w:rPr>
              <w:t>人：</w:t>
            </w:r>
            <w:r>
              <w:rPr>
                <w:rFonts w:hint="eastAsia" w:asciiTheme="majorEastAsia" w:hAnsiTheme="majorEastAsia" w:eastAsiaTheme="majorEastAsia" w:cstheme="majorEastAsia"/>
                <w:color w:val="auto"/>
                <w:szCs w:val="21"/>
                <w:highlight w:val="none"/>
                <w:lang w:eastAsia="zh-CN"/>
              </w:rPr>
              <w:t>傅</w:t>
            </w:r>
            <w:r>
              <w:rPr>
                <w:rFonts w:hint="eastAsia" w:asciiTheme="majorEastAsia" w:hAnsiTheme="majorEastAsia" w:eastAsiaTheme="majorEastAsia" w:cstheme="majorEastAsia"/>
                <w:color w:val="auto"/>
                <w:szCs w:val="21"/>
                <w:highlight w:val="none"/>
              </w:rPr>
              <w:t>先生</w:t>
            </w:r>
          </w:p>
          <w:p w14:paraId="43CFDE06">
            <w:pPr>
              <w:spacing w:line="384"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联系电话：</w:t>
            </w:r>
            <w:r>
              <w:rPr>
                <w:rFonts w:hint="eastAsia" w:asciiTheme="majorEastAsia" w:hAnsiTheme="majorEastAsia" w:eastAsiaTheme="majorEastAsia" w:cstheme="majorEastAsia"/>
                <w:color w:val="auto"/>
                <w:szCs w:val="21"/>
                <w:highlight w:val="none"/>
                <w:lang w:val="en-US" w:eastAsia="zh-CN"/>
              </w:rPr>
              <w:t>0374-6068682</w:t>
            </w:r>
          </w:p>
        </w:tc>
      </w:tr>
      <w:tr w14:paraId="78C1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E9C965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268" w:type="dxa"/>
            <w:vAlign w:val="center"/>
          </w:tcPr>
          <w:p w14:paraId="7EEDA4F0">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采购机构</w:t>
            </w:r>
          </w:p>
        </w:tc>
        <w:tc>
          <w:tcPr>
            <w:tcW w:w="6813" w:type="dxa"/>
            <w:vAlign w:val="center"/>
          </w:tcPr>
          <w:p w14:paraId="0E565283">
            <w:pPr>
              <w:autoSpaceDE w:val="0"/>
              <w:autoSpaceDN w:val="0"/>
              <w:adjustRightInd w:val="0"/>
              <w:spacing w:line="360" w:lineRule="auto"/>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代理机构：许昌丰元咨询管理有限公司</w:t>
            </w:r>
          </w:p>
          <w:p w14:paraId="0BD30D15">
            <w:pPr>
              <w:autoSpaceDE w:val="0"/>
              <w:autoSpaceDN w:val="0"/>
              <w:adjustRightInd w:val="0"/>
              <w:spacing w:line="360" w:lineRule="auto"/>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地址：禹州市颍北大道6号</w:t>
            </w:r>
          </w:p>
          <w:p w14:paraId="48872BAF">
            <w:pPr>
              <w:autoSpaceDE w:val="0"/>
              <w:autoSpaceDN w:val="0"/>
              <w:adjustRightInd w:val="0"/>
              <w:spacing w:line="360" w:lineRule="auto"/>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联系人： 连女士</w:t>
            </w:r>
          </w:p>
          <w:p w14:paraId="199107F7">
            <w:pPr>
              <w:autoSpaceDE w:val="0"/>
              <w:autoSpaceDN w:val="0"/>
              <w:adjustRightInd w:val="0"/>
              <w:spacing w:line="360" w:lineRule="auto"/>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联系电话：</w:t>
            </w:r>
            <w:r>
              <w:rPr>
                <w:rFonts w:hint="eastAsia" w:ascii="宋体" w:hAnsi="宋体" w:eastAsia="宋体" w:cs="宋体"/>
                <w:color w:val="auto"/>
                <w:szCs w:val="21"/>
                <w:highlight w:val="none"/>
                <w:shd w:val="clear" w:color="auto" w:fill="FFFFFF"/>
              </w:rPr>
              <w:t>0374-8281999</w:t>
            </w:r>
          </w:p>
        </w:tc>
      </w:tr>
      <w:tr w14:paraId="1EA5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4528364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268" w:type="dxa"/>
            <w:vMerge w:val="restart"/>
            <w:vAlign w:val="center"/>
          </w:tcPr>
          <w:p w14:paraId="0D10B985">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13" w:type="dxa"/>
            <w:vAlign w:val="center"/>
          </w:tcPr>
          <w:p w14:paraId="11E218CB">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一、中小企业或者残疾人福利性单位声明函</w:t>
            </w:r>
            <w:r>
              <w:rPr>
                <w:rFonts w:hint="eastAsia" w:cs="宋体" w:asciiTheme="minorEastAsia" w:hAnsiTheme="minorEastAsia"/>
                <w:b/>
                <w:bCs/>
                <w:color w:val="auto"/>
                <w:szCs w:val="21"/>
                <w:highlight w:val="none"/>
                <w:lang w:val="en-US" w:eastAsia="zh-CN"/>
              </w:rPr>
              <w:t>或</w:t>
            </w:r>
            <w:r>
              <w:rPr>
                <w:rFonts w:hint="eastAsia" w:ascii="ˎ̥" w:hAnsi="ˎ̥"/>
                <w:b/>
                <w:bCs/>
                <w:color w:val="auto"/>
                <w:highlight w:val="none"/>
              </w:rPr>
              <w:t>监狱企业证明文件</w:t>
            </w:r>
          </w:p>
          <w:p w14:paraId="6C50F22F">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1、中小企业出具《中小企业声明函》</w:t>
            </w:r>
          </w:p>
          <w:p w14:paraId="22731566">
            <w:pPr>
              <w:autoSpaceDE w:val="0"/>
              <w:autoSpaceDN w:val="0"/>
              <w:adjustRightInd w:val="0"/>
              <w:spacing w:line="360" w:lineRule="auto"/>
              <w:ind w:right="-11"/>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2、残疾人福利性单位出具《残疾人福利企业声明函》</w:t>
            </w:r>
          </w:p>
          <w:p w14:paraId="549EC0CB">
            <w:pPr>
              <w:autoSpaceDE w:val="0"/>
              <w:autoSpaceDN w:val="0"/>
              <w:adjustRightInd w:val="0"/>
              <w:spacing w:line="360" w:lineRule="auto"/>
              <w:ind w:right="-11"/>
              <w:rPr>
                <w:rFonts w:hint="default" w:eastAsiaTheme="minorEastAsia"/>
                <w:color w:val="auto"/>
                <w:highlight w:val="none"/>
                <w:lang w:val="en-US" w:eastAsia="zh-CN"/>
              </w:rPr>
            </w:pPr>
            <w:r>
              <w:rPr>
                <w:rFonts w:hint="eastAsia"/>
                <w:color w:val="auto"/>
                <w:highlight w:val="none"/>
                <w:lang w:val="en-US" w:eastAsia="zh-CN"/>
              </w:rPr>
              <w:t>3、</w:t>
            </w:r>
            <w:r>
              <w:rPr>
                <w:rFonts w:hint="eastAsia" w:ascii="ˎ̥" w:hAnsi="ˎ̥"/>
                <w:color w:val="auto"/>
                <w:highlight w:val="none"/>
              </w:rPr>
              <w:t>监狱企业证明文件</w:t>
            </w:r>
          </w:p>
        </w:tc>
      </w:tr>
      <w:tr w14:paraId="33A7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3D3F4D08">
            <w:pPr>
              <w:autoSpaceDE w:val="0"/>
              <w:autoSpaceDN w:val="0"/>
              <w:adjustRightInd w:val="0"/>
              <w:spacing w:line="276" w:lineRule="auto"/>
              <w:jc w:val="center"/>
              <w:rPr>
                <w:rFonts w:cs="黑体" w:asciiTheme="minorEastAsia" w:hAnsiTheme="minorEastAsia"/>
                <w:color w:val="auto"/>
                <w:szCs w:val="21"/>
                <w:highlight w:val="none"/>
              </w:rPr>
            </w:pPr>
          </w:p>
        </w:tc>
        <w:tc>
          <w:tcPr>
            <w:tcW w:w="2268" w:type="dxa"/>
            <w:vMerge w:val="continue"/>
            <w:vAlign w:val="center"/>
          </w:tcPr>
          <w:p w14:paraId="077AC42E">
            <w:pPr>
              <w:autoSpaceDE w:val="0"/>
              <w:autoSpaceDN w:val="0"/>
              <w:adjustRightInd w:val="0"/>
              <w:spacing w:line="276" w:lineRule="auto"/>
              <w:jc w:val="center"/>
              <w:rPr>
                <w:rFonts w:cs="微软雅黑" w:asciiTheme="minorEastAsia" w:hAnsiTheme="minorEastAsia"/>
                <w:b/>
                <w:color w:val="auto"/>
                <w:szCs w:val="21"/>
                <w:highlight w:val="none"/>
              </w:rPr>
            </w:pPr>
          </w:p>
        </w:tc>
        <w:tc>
          <w:tcPr>
            <w:tcW w:w="6813" w:type="dxa"/>
            <w:vAlign w:val="center"/>
          </w:tcPr>
          <w:p w14:paraId="0966FB06">
            <w:pPr>
              <w:autoSpaceDE w:val="0"/>
              <w:autoSpaceDN w:val="0"/>
              <w:adjustRightInd w:val="0"/>
              <w:spacing w:line="360" w:lineRule="auto"/>
              <w:ind w:right="-11"/>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en-US" w:eastAsia="zh-CN"/>
              </w:rPr>
              <w:t>二、</w:t>
            </w:r>
            <w:r>
              <w:rPr>
                <w:rFonts w:hint="eastAsia" w:cs="宋体" w:asciiTheme="minorEastAsia" w:hAnsiTheme="minorEastAsia"/>
                <w:bCs/>
                <w:color w:val="auto"/>
                <w:szCs w:val="21"/>
                <w:highlight w:val="none"/>
                <w:lang w:val="zh-CN"/>
              </w:rPr>
              <w:t>符合《</w:t>
            </w:r>
            <w:r>
              <w:rPr>
                <w:rFonts w:hint="eastAsia" w:cs="宋体" w:asciiTheme="minorEastAsia" w:hAnsiTheme="minorEastAsia"/>
                <w:bCs/>
                <w:color w:val="auto"/>
                <w:szCs w:val="21"/>
                <w:highlight w:val="none"/>
                <w:lang w:val="en-US" w:eastAsia="zh-CN"/>
              </w:rPr>
              <w:t>中华人民共和国</w:t>
            </w:r>
            <w:r>
              <w:rPr>
                <w:rFonts w:hint="eastAsia" w:cs="宋体" w:asciiTheme="minorEastAsia" w:hAnsiTheme="minorEastAsia"/>
                <w:bCs/>
                <w:color w:val="auto"/>
                <w:szCs w:val="21"/>
                <w:highlight w:val="none"/>
                <w:lang w:val="zh-CN"/>
              </w:rPr>
              <w:t>政府采购法》第二十二条规定</w:t>
            </w:r>
          </w:p>
          <w:p w14:paraId="447EAB0F">
            <w:pPr>
              <w:pStyle w:val="14"/>
              <w:rPr>
                <w:rFonts w:hint="eastAsia"/>
                <w:color w:val="auto"/>
                <w:highlight w:val="none"/>
                <w:lang w:val="zh-CN"/>
              </w:rPr>
            </w:pPr>
            <w:r>
              <w:rPr>
                <w:rFonts w:hint="eastAsia"/>
                <w:color w:val="auto"/>
                <w:highlight w:val="none"/>
                <w:lang w:val="zh-CN" w:eastAsia="zh-CN"/>
              </w:rPr>
              <w:t xml:space="preserve">1．具有独立承担民事责任的能力； </w:t>
            </w:r>
          </w:p>
          <w:p w14:paraId="216396B9">
            <w:pPr>
              <w:pStyle w:val="14"/>
              <w:rPr>
                <w:rFonts w:hint="eastAsia"/>
                <w:color w:val="auto"/>
                <w:highlight w:val="none"/>
                <w:lang w:val="zh-CN"/>
              </w:rPr>
            </w:pPr>
            <w:r>
              <w:rPr>
                <w:rFonts w:hint="eastAsia"/>
                <w:color w:val="auto"/>
                <w:highlight w:val="none"/>
                <w:lang w:val="zh-CN" w:eastAsia="zh-CN"/>
              </w:rPr>
              <w:t xml:space="preserve">2．具有良好的商业信誉和健全的财务会计制度； </w:t>
            </w:r>
          </w:p>
          <w:p w14:paraId="2B89C4E2">
            <w:pPr>
              <w:pStyle w:val="14"/>
              <w:rPr>
                <w:rFonts w:hint="eastAsia"/>
                <w:color w:val="auto"/>
                <w:highlight w:val="none"/>
                <w:lang w:val="zh-CN"/>
              </w:rPr>
            </w:pPr>
            <w:r>
              <w:rPr>
                <w:rFonts w:hint="eastAsia"/>
                <w:color w:val="auto"/>
                <w:highlight w:val="none"/>
                <w:lang w:val="zh-CN" w:eastAsia="zh-CN"/>
              </w:rPr>
              <w:t xml:space="preserve">3．具有履行合同所必需的设备和专业技术能力； </w:t>
            </w:r>
          </w:p>
          <w:p w14:paraId="0818182D">
            <w:pPr>
              <w:pStyle w:val="14"/>
              <w:rPr>
                <w:rFonts w:hint="eastAsia"/>
                <w:color w:val="auto"/>
                <w:highlight w:val="none"/>
                <w:lang w:val="zh-CN"/>
              </w:rPr>
            </w:pPr>
            <w:r>
              <w:rPr>
                <w:rFonts w:hint="eastAsia"/>
                <w:color w:val="auto"/>
                <w:highlight w:val="none"/>
                <w:lang w:val="zh-CN" w:eastAsia="zh-CN"/>
              </w:rPr>
              <w:t xml:space="preserve">4．具有依法缴纳税收和社会保障资金的良好记录； </w:t>
            </w:r>
          </w:p>
          <w:p w14:paraId="7D310C71">
            <w:pPr>
              <w:pStyle w:val="14"/>
              <w:rPr>
                <w:rFonts w:hint="eastAsia"/>
                <w:color w:val="auto"/>
                <w:highlight w:val="none"/>
                <w:lang w:val="zh-CN"/>
              </w:rPr>
            </w:pPr>
            <w:r>
              <w:rPr>
                <w:rFonts w:hint="eastAsia"/>
                <w:color w:val="auto"/>
                <w:highlight w:val="none"/>
                <w:lang w:val="zh-CN" w:eastAsia="zh-CN"/>
              </w:rPr>
              <w:t xml:space="preserve">5．参加政府采购活动前三年内，在经营活动中没有重大违法记录； </w:t>
            </w:r>
          </w:p>
          <w:p w14:paraId="06271E83">
            <w:pPr>
              <w:autoSpaceDE w:val="0"/>
              <w:autoSpaceDN w:val="0"/>
              <w:spacing w:line="360" w:lineRule="auto"/>
              <w:contextualSpacing/>
              <w:rPr>
                <w:rFonts w:hint="eastAsia" w:cs="宋体" w:asciiTheme="minorEastAsia" w:hAnsiTheme="minorEastAsia"/>
                <w:b/>
                <w:bCs/>
                <w:color w:val="auto"/>
                <w:szCs w:val="21"/>
                <w:highlight w:val="none"/>
              </w:rPr>
            </w:pPr>
            <w:r>
              <w:rPr>
                <w:rFonts w:hint="eastAsia"/>
                <w:color w:val="auto"/>
                <w:highlight w:val="none"/>
                <w:lang w:val="en-US" w:eastAsia="zh-CN"/>
              </w:rPr>
              <w:t>6. 投标人应具</w:t>
            </w:r>
            <w:r>
              <w:rPr>
                <w:rFonts w:hint="eastAsia"/>
                <w:color w:val="auto"/>
                <w:highlight w:val="none"/>
                <w:lang w:val="en-US" w:eastAsia="zh-CN"/>
              </w:rPr>
              <w:t>备的特殊要求：无</w:t>
            </w:r>
          </w:p>
          <w:p w14:paraId="7F0A4300">
            <w:pPr>
              <w:autoSpaceDE w:val="0"/>
              <w:autoSpaceDN w:val="0"/>
              <w:spacing w:line="360" w:lineRule="auto"/>
              <w:contextualSpacing/>
              <w:rPr>
                <w:rFonts w:ascii="宋体" w:hAnsi="宋体" w:eastAsia="宋体" w:cs="宋体"/>
                <w:b/>
                <w:bCs/>
                <w:color w:val="auto"/>
                <w:szCs w:val="21"/>
                <w:highlight w:val="none"/>
              </w:rPr>
            </w:pPr>
            <w:r>
              <w:rPr>
                <w:rFonts w:hint="eastAsia" w:cs="宋体" w:asciiTheme="minorEastAsia" w:hAnsiTheme="minorEastAsia"/>
                <w:b/>
                <w:bCs/>
                <w:color w:val="auto"/>
                <w:szCs w:val="21"/>
                <w:highlight w:val="none"/>
              </w:rPr>
              <w:t>注：</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rPr>
              <w:tab/>
            </w:r>
            <w:r>
              <w:rPr>
                <w:rFonts w:hint="eastAsia" w:ascii="宋体" w:hAnsi="宋体" w:eastAsia="宋体" w:cs="宋体"/>
                <w:b/>
                <w:bCs/>
                <w:color w:val="auto"/>
                <w:szCs w:val="21"/>
                <w:highlight w:val="none"/>
              </w:rPr>
              <w:t>供应商在投标时，提供《禹州市政府采购供应商信用承诺函》（详见招标文件第八章格式），无需再提交上述证明材料。</w:t>
            </w:r>
          </w:p>
          <w:p w14:paraId="42868484">
            <w:pPr>
              <w:autoSpaceDE w:val="0"/>
              <w:autoSpaceDN w:val="0"/>
              <w:spacing w:line="360" w:lineRule="auto"/>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rPr>
              <w:tab/>
            </w:r>
            <w:r>
              <w:rPr>
                <w:rFonts w:hint="eastAsia" w:ascii="宋体" w:hAnsi="宋体" w:eastAsia="宋体" w:cs="宋体"/>
                <w:b/>
                <w:bCs/>
                <w:color w:val="auto"/>
                <w:szCs w:val="21"/>
                <w:highlight w:val="none"/>
              </w:rPr>
              <w:t>采购人有权在签订合同前要求中标供应商提供相关证明材料以核实中标供应商承诺事项的真实性。</w:t>
            </w:r>
          </w:p>
          <w:p w14:paraId="665CE9B6">
            <w:pPr>
              <w:autoSpaceDE w:val="0"/>
              <w:autoSpaceDN w:val="0"/>
              <w:adjustRightInd w:val="0"/>
              <w:spacing w:line="360" w:lineRule="auto"/>
              <w:jc w:val="left"/>
              <w:rPr>
                <w:rFonts w:cs="仿宋_GB2312" w:asciiTheme="minorEastAsia" w:hAnsiTheme="minorEastAsia"/>
                <w:b/>
                <w:color w:val="auto"/>
                <w:szCs w:val="21"/>
                <w:highlight w:val="none"/>
                <w:shd w:val="clear" w:color="auto" w:fill="FFFFFF"/>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供应商对信用承诺内容的真实性、合法性、有效性负责。如作出虚假信用承诺，视同为“提供虚假材料谋取中标”的违法行为。</w:t>
            </w:r>
          </w:p>
        </w:tc>
      </w:tr>
      <w:tr w14:paraId="39A0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473F0C0">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268" w:type="dxa"/>
            <w:vAlign w:val="center"/>
          </w:tcPr>
          <w:p w14:paraId="3CFFCE4C">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联合体投标</w:t>
            </w:r>
          </w:p>
        </w:tc>
        <w:tc>
          <w:tcPr>
            <w:tcW w:w="6813" w:type="dxa"/>
            <w:vAlign w:val="center"/>
          </w:tcPr>
          <w:p w14:paraId="1D0E1F90">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w:t>
            </w:r>
          </w:p>
        </w:tc>
      </w:tr>
      <w:tr w14:paraId="4A90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8A7BB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268" w:type="dxa"/>
            <w:vAlign w:val="center"/>
          </w:tcPr>
          <w:p w14:paraId="780D8B03">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最高限价</w:t>
            </w:r>
          </w:p>
        </w:tc>
        <w:tc>
          <w:tcPr>
            <w:tcW w:w="6813" w:type="dxa"/>
            <w:vAlign w:val="center"/>
          </w:tcPr>
          <w:p w14:paraId="2B49DA5A">
            <w:pPr>
              <w:tabs>
                <w:tab w:val="left" w:pos="7095"/>
              </w:tabs>
              <w:spacing w:line="384" w:lineRule="auto"/>
              <w:contextualSpacing/>
              <w:rPr>
                <w:rFonts w:cs="宋体" w:asciiTheme="minorEastAsia" w:hAnsiTheme="minorEastAsia"/>
                <w:bCs/>
                <w:color w:val="auto"/>
                <w:szCs w:val="21"/>
                <w:highlight w:val="none"/>
                <w:lang w:val="zh-CN"/>
              </w:rPr>
            </w:pPr>
            <w:r>
              <w:rPr>
                <w:rFonts w:hint="eastAsia" w:hAnsi="宋体"/>
                <w:color w:val="auto"/>
                <w:szCs w:val="21"/>
                <w:highlight w:val="none"/>
                <w:lang w:val="en-US" w:eastAsia="zh-CN"/>
              </w:rPr>
              <w:t>207元/吨，超过最高限价投标无效</w:t>
            </w:r>
            <w:r>
              <w:rPr>
                <w:rFonts w:cs="宋体" w:asciiTheme="minorEastAsia" w:hAnsiTheme="minorEastAsia"/>
                <w:bCs/>
                <w:color w:val="auto"/>
                <w:szCs w:val="21"/>
                <w:highlight w:val="none"/>
                <w:lang w:val="zh-CN"/>
              </w:rPr>
              <w:t>。</w:t>
            </w:r>
          </w:p>
        </w:tc>
      </w:tr>
      <w:tr w14:paraId="2223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DABFA1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268" w:type="dxa"/>
            <w:vAlign w:val="center"/>
          </w:tcPr>
          <w:p w14:paraId="43501947">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13" w:type="dxa"/>
            <w:vAlign w:val="center"/>
          </w:tcPr>
          <w:p w14:paraId="76C1F63E">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7E111B7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0752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83C92F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268" w:type="dxa"/>
            <w:vAlign w:val="center"/>
          </w:tcPr>
          <w:p w14:paraId="3FAD82D0">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开标</w:t>
            </w:r>
            <w:r>
              <w:rPr>
                <w:rFonts w:cs="宋体" w:asciiTheme="minorEastAsia" w:hAnsiTheme="minorEastAsia"/>
                <w:bCs/>
                <w:color w:val="auto"/>
                <w:szCs w:val="21"/>
                <w:highlight w:val="none"/>
                <w:lang w:val="zh-CN"/>
              </w:rPr>
              <w:t>前答疑会</w:t>
            </w:r>
          </w:p>
        </w:tc>
        <w:tc>
          <w:tcPr>
            <w:tcW w:w="6813" w:type="dxa"/>
            <w:vAlign w:val="center"/>
          </w:tcPr>
          <w:p w14:paraId="1B2EE8E0">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578C2C8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0E3B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9A736B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268" w:type="dxa"/>
            <w:vAlign w:val="center"/>
          </w:tcPr>
          <w:p w14:paraId="5F4FC614">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13" w:type="dxa"/>
            <w:vAlign w:val="center"/>
          </w:tcPr>
          <w:p w14:paraId="59B8F553">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7AB6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9279B1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268" w:type="dxa"/>
            <w:vAlign w:val="center"/>
          </w:tcPr>
          <w:p w14:paraId="3ABF4339">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投标有效期</w:t>
            </w:r>
          </w:p>
        </w:tc>
        <w:tc>
          <w:tcPr>
            <w:tcW w:w="6813" w:type="dxa"/>
            <w:vAlign w:val="center"/>
          </w:tcPr>
          <w:p w14:paraId="7D8E8F7F">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提交投标文件的截止之日起算</w:t>
            </w:r>
            <w:r>
              <w:rPr>
                <w:rFonts w:hint="eastAsia" w:cs="仿宋_GB2312" w:asciiTheme="minorEastAsia" w:hAnsiTheme="minorEastAsia"/>
                <w:color w:val="auto"/>
                <w:szCs w:val="21"/>
                <w:highlight w:val="none"/>
              </w:rPr>
              <w:t>）</w:t>
            </w:r>
          </w:p>
          <w:p w14:paraId="64929A3B">
            <w:pPr>
              <w:autoSpaceDE w:val="0"/>
              <w:autoSpaceDN w:val="0"/>
              <w:adjustRightInd w:val="0"/>
              <w:spacing w:line="360" w:lineRule="auto"/>
              <w:rPr>
                <w:rFonts w:cs="仿宋_GB2312" w:asciiTheme="minorEastAsia" w:hAnsiTheme="minorEastAsia"/>
                <w:color w:val="auto"/>
                <w:szCs w:val="21"/>
                <w:highlight w:val="none"/>
              </w:rPr>
            </w:pPr>
            <w:r>
              <w:rPr>
                <w:rFonts w:cs="仿宋_GB2312" w:asciiTheme="minorEastAsia" w:hAnsiTheme="minorEastAsia"/>
                <w:color w:val="auto"/>
                <w:szCs w:val="21"/>
                <w:highlight w:val="none"/>
                <w:lang w:val="zh-CN"/>
              </w:rPr>
              <w:t>中标</w:t>
            </w:r>
            <w:r>
              <w:rPr>
                <w:rFonts w:hint="eastAsia" w:cs="仿宋_GB2312" w:asciiTheme="minorEastAsia" w:hAnsiTheme="minorEastAsia"/>
                <w:color w:val="auto"/>
                <w:szCs w:val="21"/>
                <w:highlight w:val="none"/>
                <w:lang w:val="zh-CN"/>
              </w:rPr>
              <w:t>人投标</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中标人全部合同义务履行完毕为止。</w:t>
            </w:r>
          </w:p>
        </w:tc>
      </w:tr>
      <w:tr w14:paraId="2E2D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A142C3">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268" w:type="dxa"/>
            <w:vAlign w:val="center"/>
          </w:tcPr>
          <w:p w14:paraId="39B2D649">
            <w:pP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13" w:type="dxa"/>
            <w:vAlign w:val="center"/>
          </w:tcPr>
          <w:p w14:paraId="4831356B">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5296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D02B81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268" w:type="dxa"/>
            <w:vAlign w:val="center"/>
          </w:tcPr>
          <w:p w14:paraId="3E63F95D">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投标文件提交截止</w:t>
            </w:r>
            <w:r>
              <w:rPr>
                <w:rFonts w:hint="eastAsia" w:cs="宋体" w:asciiTheme="minorEastAsia" w:hAnsiTheme="minorEastAsia"/>
                <w:bCs/>
                <w:color w:val="auto"/>
                <w:szCs w:val="21"/>
                <w:highlight w:val="none"/>
                <w:lang w:val="zh-CN"/>
              </w:rPr>
              <w:t>及开标时间</w:t>
            </w:r>
          </w:p>
        </w:tc>
        <w:tc>
          <w:tcPr>
            <w:tcW w:w="6813" w:type="dxa"/>
            <w:vAlign w:val="center"/>
          </w:tcPr>
          <w:p w14:paraId="6F3436E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hAnsi="宋体"/>
                <w:color w:val="auto"/>
                <w:szCs w:val="21"/>
                <w:highlight w:val="none"/>
              </w:rPr>
              <w:t>202</w:t>
            </w:r>
            <w:r>
              <w:rPr>
                <w:rFonts w:hint="eastAsia" w:hAnsi="宋体"/>
                <w:color w:val="auto"/>
                <w:szCs w:val="21"/>
                <w:highlight w:val="none"/>
                <w:lang w:val="en-US" w:eastAsia="zh-CN"/>
              </w:rPr>
              <w:t>5</w:t>
            </w:r>
            <w:r>
              <w:rPr>
                <w:rFonts w:hint="eastAsia" w:hAnsi="宋体"/>
                <w:color w:val="auto"/>
                <w:szCs w:val="21"/>
                <w:highlight w:val="none"/>
              </w:rPr>
              <w:t>年</w:t>
            </w:r>
            <w:r>
              <w:rPr>
                <w:rFonts w:hint="eastAsia" w:hAnsi="宋体"/>
                <w:color w:val="auto"/>
                <w:szCs w:val="21"/>
                <w:highlight w:val="none"/>
                <w:lang w:val="en-US" w:eastAsia="zh-CN"/>
              </w:rPr>
              <w:t>5</w:t>
            </w:r>
            <w:r>
              <w:rPr>
                <w:rFonts w:hint="eastAsia" w:hAnsi="宋体"/>
                <w:color w:val="auto"/>
                <w:szCs w:val="21"/>
                <w:highlight w:val="none"/>
              </w:rPr>
              <w:t>月</w:t>
            </w:r>
            <w:r>
              <w:rPr>
                <w:rFonts w:hint="eastAsia" w:hAnsi="宋体"/>
                <w:color w:val="auto"/>
                <w:szCs w:val="21"/>
                <w:highlight w:val="none"/>
                <w:lang w:val="en-US" w:eastAsia="zh-CN"/>
              </w:rPr>
              <w:t>16</w:t>
            </w:r>
            <w:r>
              <w:rPr>
                <w:rFonts w:hint="eastAsia" w:hAnsi="宋体"/>
                <w:color w:val="auto"/>
                <w:szCs w:val="21"/>
                <w:highlight w:val="none"/>
              </w:rPr>
              <w:t>日</w:t>
            </w:r>
            <w:r>
              <w:rPr>
                <w:rFonts w:hint="eastAsia" w:hAnsi="宋体"/>
                <w:color w:val="auto"/>
                <w:szCs w:val="21"/>
                <w:highlight w:val="none"/>
                <w:lang w:val="en-US" w:eastAsia="zh-CN"/>
              </w:rPr>
              <w:t>08</w:t>
            </w:r>
            <w:r>
              <w:rPr>
                <w:rFonts w:hint="eastAsia" w:cs="仿宋_GB2312" w:asciiTheme="minorEastAsia" w:hAnsiTheme="minorEastAsia"/>
                <w:color w:val="auto"/>
                <w:szCs w:val="21"/>
                <w:highlight w:val="none"/>
                <w:lang w:val="zh-CN"/>
              </w:rPr>
              <w:t>时30分（北京时间）</w:t>
            </w:r>
          </w:p>
        </w:tc>
      </w:tr>
      <w:tr w14:paraId="28C6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BC94A5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268" w:type="dxa"/>
            <w:vAlign w:val="center"/>
          </w:tcPr>
          <w:p w14:paraId="786FC862">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投标文件</w:t>
            </w:r>
          </w:p>
          <w:p w14:paraId="7B99DD45">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6813" w:type="dxa"/>
            <w:vAlign w:val="center"/>
          </w:tcPr>
          <w:p w14:paraId="623C938A">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禹州市公共资源交易中心开标</w:t>
            </w:r>
            <w:r>
              <w:rPr>
                <w:rFonts w:hint="eastAsia" w:cs="仿宋_GB2312" w:asciiTheme="minorEastAsia" w:hAnsiTheme="minorEastAsia"/>
                <w:color w:val="auto"/>
                <w:szCs w:val="21"/>
                <w:highlight w:val="none"/>
                <w:lang w:val="en-US" w:eastAsia="zh-CN"/>
              </w:rPr>
              <w:t>2</w:t>
            </w:r>
            <w:r>
              <w:rPr>
                <w:rFonts w:hint="eastAsia" w:cs="仿宋_GB2312" w:asciiTheme="minorEastAsia" w:hAnsiTheme="minorEastAsia"/>
                <w:color w:val="auto"/>
                <w:szCs w:val="21"/>
                <w:highlight w:val="none"/>
              </w:rPr>
              <w:t>室（地址：禹州市行政服务中心楼九楼）（</w:t>
            </w:r>
            <w:r>
              <w:rPr>
                <w:rFonts w:hint="eastAsia" w:cs="Arial" w:asciiTheme="minorEastAsia" w:hAnsiTheme="minorEastAsia"/>
                <w:b/>
                <w:color w:val="auto"/>
                <w:szCs w:val="21"/>
                <w:highlight w:val="none"/>
              </w:rPr>
              <w:t>本项目采用远程不见面开标，供应商无须到达现场</w:t>
            </w:r>
            <w:r>
              <w:rPr>
                <w:rFonts w:hint="eastAsia" w:cs="Arial" w:asciiTheme="minorEastAsia" w:hAnsiTheme="minorEastAsia"/>
                <w:color w:val="auto"/>
                <w:szCs w:val="21"/>
                <w:highlight w:val="none"/>
              </w:rPr>
              <w:t>）</w:t>
            </w:r>
          </w:p>
        </w:tc>
      </w:tr>
      <w:tr w14:paraId="6F83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698D4C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268" w:type="dxa"/>
            <w:vAlign w:val="center"/>
          </w:tcPr>
          <w:p w14:paraId="7D740F4C">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投标保证金</w:t>
            </w:r>
          </w:p>
        </w:tc>
        <w:tc>
          <w:tcPr>
            <w:tcW w:w="6813" w:type="dxa"/>
            <w:vAlign w:val="center"/>
          </w:tcPr>
          <w:p w14:paraId="378BF668">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31BBE3E3">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供应商应提供投标承诺函。</w:t>
            </w:r>
          </w:p>
        </w:tc>
      </w:tr>
      <w:tr w14:paraId="113B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386E7D4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268" w:type="dxa"/>
            <w:vAlign w:val="center"/>
          </w:tcPr>
          <w:p w14:paraId="4AE8864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13" w:type="dxa"/>
            <w:tcBorders>
              <w:top w:val="single" w:color="auto" w:sz="4" w:space="0"/>
            </w:tcBorders>
            <w:vAlign w:val="center"/>
          </w:tcPr>
          <w:p w14:paraId="6E03D0B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采购公告、成交公告、变更（更正）公告、现场勘察答复等相关信息同时在以下网站发布：</w:t>
            </w:r>
            <w:r>
              <w:rPr>
                <w:rFonts w:hint="eastAsia" w:hAnsi="宋体"/>
                <w:color w:val="auto"/>
                <w:szCs w:val="21"/>
                <w:highlight w:val="none"/>
              </w:rPr>
              <w:t>《河南省政府采购网》《许昌市政府采购网》</w:t>
            </w:r>
            <w:r>
              <w:rPr>
                <w:rFonts w:hint="eastAsia" w:cs="宋体" w:asciiTheme="minorEastAsia" w:hAnsiTheme="minorEastAsia"/>
                <w:color w:val="auto"/>
                <w:szCs w:val="21"/>
                <w:highlight w:val="none"/>
              </w:rPr>
              <w:t>《全国公共资源交易平台（河南省·许昌市）》。</w:t>
            </w:r>
          </w:p>
        </w:tc>
      </w:tr>
      <w:tr w14:paraId="5086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223BD7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268" w:type="dxa"/>
            <w:vAlign w:val="center"/>
          </w:tcPr>
          <w:p w14:paraId="387CB543">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7DB8966B">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招标文件时间</w:t>
            </w:r>
          </w:p>
        </w:tc>
        <w:tc>
          <w:tcPr>
            <w:tcW w:w="6813" w:type="dxa"/>
            <w:vAlign w:val="center"/>
          </w:tcPr>
          <w:p w14:paraId="630C8E9C">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投标截止时间</w:t>
            </w:r>
            <w:r>
              <w:rPr>
                <w:rFonts w:hint="eastAsia" w:cs="宋体" w:asciiTheme="minorEastAsia" w:hAnsiTheme="minorEastAsia"/>
                <w:bCs/>
                <w:color w:val="auto"/>
                <w:szCs w:val="21"/>
                <w:highlight w:val="none"/>
              </w:rPr>
              <w:t>15</w:t>
            </w:r>
            <w:r>
              <w:rPr>
                <w:rFonts w:hint="eastAsia" w:cs="宋体" w:asciiTheme="minorEastAsia" w:hAnsiTheme="minorEastAsia"/>
                <w:bCs/>
                <w:color w:val="auto"/>
                <w:szCs w:val="21"/>
                <w:highlight w:val="none"/>
                <w:lang w:val="zh-CN"/>
              </w:rPr>
              <w:t>个工作日前（</w:t>
            </w:r>
            <w:r>
              <w:rPr>
                <w:rFonts w:hint="eastAsia" w:cs="仿宋_GB2312" w:asciiTheme="minorEastAsia" w:hAnsiTheme="minorEastAsia"/>
                <w:color w:val="auto"/>
                <w:szCs w:val="21"/>
                <w:highlight w:val="none"/>
                <w:lang w:val="zh-CN"/>
              </w:rPr>
              <w:t>澄清内容可能影响投标文件编制的）</w:t>
            </w:r>
          </w:p>
        </w:tc>
      </w:tr>
      <w:tr w14:paraId="3103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FC201A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268" w:type="dxa"/>
            <w:vAlign w:val="center"/>
          </w:tcPr>
          <w:p w14:paraId="46F39216">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供应商对招标文件</w:t>
            </w:r>
          </w:p>
          <w:p w14:paraId="29DB1FFF">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13" w:type="dxa"/>
            <w:vAlign w:val="center"/>
          </w:tcPr>
          <w:p w14:paraId="63766A6D">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采购公告期满之日起七个工作日</w:t>
            </w:r>
          </w:p>
        </w:tc>
      </w:tr>
      <w:tr w14:paraId="70DF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D9EE8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268" w:type="dxa"/>
            <w:vAlign w:val="center"/>
          </w:tcPr>
          <w:p w14:paraId="6AE73226">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投标文件份数</w:t>
            </w:r>
          </w:p>
        </w:tc>
        <w:tc>
          <w:tcPr>
            <w:tcW w:w="6813" w:type="dxa"/>
            <w:vAlign w:val="center"/>
          </w:tcPr>
          <w:p w14:paraId="2B17E794">
            <w:pPr>
              <w:autoSpaceDE w:val="0"/>
              <w:autoSpaceDN w:val="0"/>
              <w:adjustRightInd w:val="0"/>
              <w:spacing w:line="340" w:lineRule="exact"/>
              <w:rPr>
                <w:rFonts w:hint="eastAsia" w:ascii="宋体" w:hAnsi="宋体" w:cs="仿宋_GB2312"/>
                <w:b w:val="0"/>
                <w:bCs/>
                <w:color w:val="auto"/>
                <w:sz w:val="21"/>
                <w:szCs w:val="21"/>
                <w:highlight w:val="none"/>
                <w:lang w:val="zh-CN"/>
              </w:rPr>
            </w:pPr>
            <w:r>
              <w:rPr>
                <w:rFonts w:ascii="新宋体" w:hAnsi="新宋体" w:eastAsia="新宋体"/>
                <w:b w:val="0"/>
                <w:bCs/>
                <w:color w:val="auto"/>
                <w:sz w:val="21"/>
                <w:szCs w:val="21"/>
                <w:highlight w:val="none"/>
              </w:rPr>
              <w:fldChar w:fldCharType="begin"/>
            </w:r>
            <w:r>
              <w:rPr>
                <w:rFonts w:hint="eastAsia" w:ascii="新宋体" w:hAnsi="新宋体" w:eastAsia="新宋体"/>
                <w:b w:val="0"/>
                <w:bCs/>
                <w:color w:val="auto"/>
                <w:sz w:val="21"/>
                <w:szCs w:val="21"/>
                <w:highlight w:val="none"/>
              </w:rPr>
              <w:instrText xml:space="preserve">eq \o\ac(</w:instrText>
            </w:r>
            <w:r>
              <w:rPr>
                <w:rFonts w:hint="eastAsia" w:ascii="新宋体" w:hAnsi="新宋体" w:eastAsia="新宋体"/>
                <w:b w:val="0"/>
                <w:bCs/>
                <w:color w:val="auto"/>
                <w:position w:val="-4"/>
                <w:sz w:val="31"/>
                <w:szCs w:val="21"/>
                <w:highlight w:val="none"/>
              </w:rPr>
              <w:instrText xml:space="preserve">□</w:instrText>
            </w:r>
            <w:r>
              <w:rPr>
                <w:rFonts w:hint="eastAsia" w:ascii="新宋体" w:hAnsi="新宋体" w:eastAsia="新宋体"/>
                <w:b w:val="0"/>
                <w:bCs/>
                <w:color w:val="auto"/>
                <w:position w:val="0"/>
                <w:sz w:val="21"/>
                <w:szCs w:val="21"/>
                <w:highlight w:val="none"/>
              </w:rPr>
              <w:instrText xml:space="preserve">,√)</w:instrText>
            </w:r>
            <w:r>
              <w:rPr>
                <w:rFonts w:ascii="新宋体" w:hAnsi="新宋体" w:eastAsia="新宋体"/>
                <w:b w:val="0"/>
                <w:bCs/>
                <w:color w:val="auto"/>
                <w:sz w:val="21"/>
                <w:szCs w:val="21"/>
                <w:highlight w:val="none"/>
              </w:rPr>
              <w:fldChar w:fldCharType="end"/>
            </w:r>
            <w:r>
              <w:rPr>
                <w:rFonts w:hint="eastAsia" w:ascii="新宋体" w:hAnsi="新宋体" w:eastAsia="新宋体"/>
                <w:b w:val="0"/>
                <w:bCs/>
                <w:color w:val="auto"/>
                <w:sz w:val="21"/>
                <w:szCs w:val="21"/>
                <w:highlight w:val="none"/>
              </w:rPr>
              <w:t>电子投标文件</w:t>
            </w:r>
            <w:r>
              <w:rPr>
                <w:rFonts w:hint="eastAsia" w:ascii="新宋体" w:hAnsi="新宋体" w:eastAsia="新宋体"/>
                <w:b w:val="0"/>
                <w:bCs/>
                <w:color w:val="auto"/>
                <w:sz w:val="21"/>
                <w:szCs w:val="21"/>
                <w:highlight w:val="none"/>
                <w:lang w:eastAsia="zh-CN"/>
              </w:rPr>
              <w:t>：</w:t>
            </w:r>
            <w:r>
              <w:rPr>
                <w:rFonts w:hint="eastAsia" w:ascii="宋体" w:hAnsi="宋体" w:cs="仿宋_GB2312"/>
                <w:b w:val="0"/>
                <w:bCs/>
                <w:color w:val="auto"/>
                <w:sz w:val="21"/>
                <w:szCs w:val="21"/>
                <w:highlight w:val="none"/>
                <w:lang w:val="zh-CN"/>
              </w:rPr>
              <w:t>成功上传至《全国公共资源交易平台（河南省·许昌市）》公共资源交易系统加密电子投标文件1份（后缀格式为“.XCSTF”的加密电子响应文件）。</w:t>
            </w:r>
          </w:p>
          <w:p w14:paraId="2B0CCE7F">
            <w:pPr>
              <w:autoSpaceDE w:val="0"/>
              <w:autoSpaceDN w:val="0"/>
              <w:adjustRightInd w:val="0"/>
              <w:spacing w:line="340" w:lineRule="exact"/>
              <w:rPr>
                <w:rFonts w:hint="eastAsia" w:ascii="宋体" w:hAnsi="宋体" w:cs="仿宋_GB2312"/>
                <w:b w:val="0"/>
                <w:bCs/>
                <w:color w:val="auto"/>
                <w:sz w:val="21"/>
                <w:szCs w:val="21"/>
                <w:highlight w:val="none"/>
                <w:lang w:val="zh-CN"/>
              </w:rPr>
            </w:pPr>
            <w:r>
              <w:rPr>
                <w:rFonts w:hint="eastAsia" w:ascii="宋体" w:hAnsi="宋体" w:cs="仿宋_GB2312"/>
                <w:b w:val="0"/>
                <w:bCs/>
                <w:color w:val="auto"/>
                <w:sz w:val="21"/>
                <w:szCs w:val="21"/>
                <w:highlight w:val="none"/>
                <w:lang w:val="zh-CN"/>
              </w:rPr>
              <w:t>注：供应商登录“全国公共资源交易平台（河南省·许昌市）”下载“新点投标文件制作软件（河南省版）”的最新版本制作电子响应文件。</w:t>
            </w:r>
          </w:p>
          <w:p w14:paraId="6789C201">
            <w:pPr>
              <w:autoSpaceDE w:val="0"/>
              <w:autoSpaceDN w:val="0"/>
              <w:adjustRightInd w:val="0"/>
              <w:spacing w:line="360" w:lineRule="auto"/>
              <w:rPr>
                <w:rFonts w:cs="宋体" w:asciiTheme="minorEastAsia" w:hAnsiTheme="minorEastAsia"/>
                <w:b w:val="0"/>
                <w:bCs/>
                <w:color w:val="auto"/>
                <w:sz w:val="21"/>
                <w:szCs w:val="21"/>
                <w:highlight w:val="none"/>
                <w:lang w:val="zh-CN"/>
              </w:rPr>
            </w:pPr>
            <w:r>
              <w:rPr>
                <w:rFonts w:hint="eastAsia" w:ascii="宋体" w:hAnsi="宋体" w:cs="仿宋_GB2312"/>
                <w:b w:val="0"/>
                <w:bCs/>
                <w:color w:val="auto"/>
                <w:sz w:val="21"/>
                <w:szCs w:val="21"/>
                <w:highlight w:val="none"/>
                <w:lang w:val="zh-CN"/>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tc>
      </w:tr>
      <w:tr w14:paraId="2FFA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DB6D82">
            <w:pPr>
              <w:autoSpaceDE w:val="0"/>
              <w:autoSpaceDN w:val="0"/>
              <w:adjustRightInd w:val="0"/>
              <w:spacing w:line="276" w:lineRule="auto"/>
              <w:jc w:val="center"/>
              <w:rPr>
                <w:rFonts w:cs="黑体" w:asciiTheme="minorEastAsia" w:hAnsiTheme="minorEastAsia"/>
                <w:color w:val="auto"/>
                <w:szCs w:val="21"/>
                <w:highlight w:val="none"/>
              </w:rPr>
            </w:pPr>
            <w:r>
              <w:rPr>
                <w:rFonts w:hint="eastAsia" w:cs="TimesNewRomanPSMT" w:asciiTheme="minorEastAsia" w:hAnsiTheme="minorEastAsia"/>
                <w:color w:val="auto"/>
                <w:szCs w:val="21"/>
                <w:highlight w:val="none"/>
              </w:rPr>
              <w:t>19</w:t>
            </w:r>
          </w:p>
        </w:tc>
        <w:tc>
          <w:tcPr>
            <w:tcW w:w="2268" w:type="dxa"/>
            <w:vAlign w:val="center"/>
          </w:tcPr>
          <w:p w14:paraId="52059DCC">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投标文件的</w:t>
            </w:r>
          </w:p>
          <w:p w14:paraId="0172C5A6">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13" w:type="dxa"/>
            <w:vAlign w:val="center"/>
          </w:tcPr>
          <w:p w14:paraId="5B03809A">
            <w:pPr>
              <w:autoSpaceDE w:val="0"/>
              <w:autoSpaceDN w:val="0"/>
              <w:adjustRightInd w:val="0"/>
              <w:spacing w:line="420" w:lineRule="exact"/>
              <w:rPr>
                <w:rFonts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w:t>
            </w:r>
            <w:r>
              <w:rPr>
                <w:rFonts w:hint="eastAsia" w:cs="黑体" w:asciiTheme="minorEastAsia" w:hAnsiTheme="minorEastAsia"/>
                <w:color w:val="auto"/>
                <w:szCs w:val="21"/>
                <w:highlight w:val="none"/>
              </w:rPr>
              <w:t>投标</w:t>
            </w:r>
            <w:r>
              <w:rPr>
                <w:rFonts w:hint="eastAsia" w:ascii="新宋体" w:hAnsi="新宋体" w:eastAsia="新宋体"/>
                <w:color w:val="auto"/>
                <w:szCs w:val="21"/>
                <w:highlight w:val="none"/>
              </w:rPr>
              <w:t>文件：按招标文件要求加盖供应商电子印章和法人电子印章。</w:t>
            </w:r>
          </w:p>
          <w:p w14:paraId="0BBC75CE">
            <w:pPr>
              <w:autoSpaceDE w:val="0"/>
              <w:autoSpaceDN w:val="0"/>
              <w:adjustRightInd w:val="0"/>
              <w:spacing w:line="420" w:lineRule="exact"/>
              <w:rPr>
                <w:rFonts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w:t>
            </w:r>
            <w:r>
              <w:rPr>
                <w:rFonts w:hint="eastAsia" w:cs="黑体" w:asciiTheme="minorEastAsia" w:hAnsiTheme="minorEastAsia"/>
                <w:color w:val="auto"/>
                <w:szCs w:val="21"/>
                <w:highlight w:val="none"/>
              </w:rPr>
              <w:t>投标</w:t>
            </w:r>
            <w:r>
              <w:rPr>
                <w:rFonts w:hint="eastAsia" w:ascii="新宋体" w:hAnsi="新宋体" w:eastAsia="新宋体"/>
                <w:color w:val="auto"/>
                <w:szCs w:val="21"/>
                <w:highlight w:val="none"/>
              </w:rPr>
              <w:t>文件：投标文件封面加盖投标人公章（投标文件是指投标人电子投标文件制作完成后生成的后缀名为</w:t>
            </w:r>
            <w:r>
              <w:rPr>
                <w:rFonts w:hint="eastAsia" w:hAnsi="宋体"/>
                <w:color w:val="auto"/>
                <w:szCs w:val="21"/>
                <w:highlight w:val="none"/>
              </w:rPr>
              <w:t>“.PDF”的文件</w:t>
            </w:r>
            <w:r>
              <w:rPr>
                <w:rFonts w:hint="eastAsia" w:ascii="新宋体" w:hAnsi="新宋体" w:eastAsia="新宋体"/>
                <w:color w:val="auto"/>
                <w:szCs w:val="21"/>
                <w:highlight w:val="none"/>
              </w:rPr>
              <w:t>打印的纸质投标文件）。</w:t>
            </w:r>
          </w:p>
        </w:tc>
      </w:tr>
      <w:tr w14:paraId="3455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69FB9C6">
            <w:pPr>
              <w:autoSpaceDE w:val="0"/>
              <w:autoSpaceDN w:val="0"/>
              <w:adjustRightInd w:val="0"/>
              <w:spacing w:line="276" w:lineRule="auto"/>
              <w:jc w:val="center"/>
              <w:rPr>
                <w:rFonts w:hint="default" w:cs="TimesNewRomanPSMT" w:asciiTheme="minorEastAsia" w:hAnsiTheme="minorEastAsia" w:eastAsiaTheme="minorEastAsia"/>
                <w:color w:val="auto"/>
                <w:szCs w:val="21"/>
                <w:highlight w:val="none"/>
                <w:lang w:val="en-US" w:eastAsia="zh-CN"/>
              </w:rPr>
            </w:pPr>
            <w:r>
              <w:rPr>
                <w:rFonts w:hint="eastAsia" w:cs="TimesNewRomanPSMT" w:asciiTheme="minorEastAsia" w:hAnsiTheme="minorEastAsia"/>
                <w:color w:val="auto"/>
                <w:szCs w:val="21"/>
                <w:highlight w:val="none"/>
                <w:lang w:val="en-US" w:eastAsia="zh-CN"/>
              </w:rPr>
              <w:t>20</w:t>
            </w:r>
          </w:p>
        </w:tc>
        <w:tc>
          <w:tcPr>
            <w:tcW w:w="2268" w:type="dxa"/>
            <w:vAlign w:val="center"/>
          </w:tcPr>
          <w:p w14:paraId="5DBA1F94">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hAnsi="等线" w:cs="等线"/>
                <w:color w:val="auto"/>
                <w:sz w:val="21"/>
                <w:szCs w:val="21"/>
                <w:highlight w:val="none"/>
              </w:rPr>
              <w:t>开标程序</w:t>
            </w:r>
          </w:p>
        </w:tc>
        <w:tc>
          <w:tcPr>
            <w:tcW w:w="6813" w:type="dxa"/>
            <w:vAlign w:val="center"/>
          </w:tcPr>
          <w:p w14:paraId="367AB4CE">
            <w:pPr>
              <w:numPr>
                <w:ilvl w:val="0"/>
                <w:numId w:val="7"/>
              </w:numPr>
              <w:autoSpaceDE w:val="0"/>
              <w:autoSpaceDN w:val="0"/>
              <w:adjustRightInd w:val="0"/>
              <w:spacing w:line="340" w:lineRule="exact"/>
              <w:rPr>
                <w:rFonts w:hint="eastAsia"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本项目采用远程“不见面”开标方式，投标前请详细阅读“全国公共资源交易平台（河南省·许昌市）”的“服务指南”栏目下《必看！新交易平台使用手册》中的相关内容。</w:t>
            </w:r>
          </w:p>
          <w:p w14:paraId="41C6E393">
            <w:pPr>
              <w:numPr>
                <w:ilvl w:val="0"/>
                <w:numId w:val="7"/>
              </w:numPr>
              <w:autoSpaceDE w:val="0"/>
              <w:autoSpaceDN w:val="0"/>
              <w:adjustRightInd w:val="0"/>
              <w:spacing w:line="340" w:lineRule="exact"/>
              <w:rPr>
                <w:rFonts w:hint="eastAsia"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供应商应按新交易平台使用手册提前设置好浏览器，并于开标时间前登录本项目网上开标大厅，按照规定的开标时间准时参加网上开标。</w:t>
            </w:r>
          </w:p>
          <w:p w14:paraId="4DE9F55B">
            <w:pPr>
              <w:numPr>
                <w:ilvl w:val="0"/>
                <w:numId w:val="7"/>
              </w:numPr>
              <w:autoSpaceDE w:val="0"/>
              <w:autoSpaceDN w:val="0"/>
              <w:adjustRightInd w:val="0"/>
              <w:spacing w:line="340" w:lineRule="exact"/>
              <w:rPr>
                <w:rFonts w:hint="eastAsia"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根据开标大厅界面右侧“公告栏”中的系统提示，供应商应在“标书解密”环节完成解密操作。供应商未解密或因供应商原因解密失败的，其响应文件将被退回。</w:t>
            </w:r>
          </w:p>
          <w:p w14:paraId="03E8FB20">
            <w:pPr>
              <w:numPr>
                <w:ilvl w:val="0"/>
                <w:numId w:val="7"/>
              </w:numPr>
              <w:autoSpaceDE w:val="0"/>
              <w:autoSpaceDN w:val="0"/>
              <w:adjustRightInd w:val="0"/>
              <w:spacing w:line="340" w:lineRule="exact"/>
              <w:rPr>
                <w:rFonts w:hint="eastAsia"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在“唱标”环节，供应商应对唱标信息进行确认，供应商未进行唱标确认操作的，视同认可唱标结果。</w:t>
            </w:r>
          </w:p>
          <w:p w14:paraId="7F29C3E0">
            <w:pPr>
              <w:numPr>
                <w:ilvl w:val="0"/>
                <w:numId w:val="7"/>
              </w:numPr>
              <w:autoSpaceDE w:val="0"/>
              <w:autoSpaceDN w:val="0"/>
              <w:adjustRightInd w:val="0"/>
              <w:spacing w:line="340" w:lineRule="exact"/>
              <w:rPr>
                <w:rFonts w:hint="eastAsia" w:ascii="宋体" w:hAnsi="宋体" w:cs="仿宋_GB2312"/>
                <w:color w:val="auto"/>
                <w:sz w:val="21"/>
                <w:szCs w:val="21"/>
                <w:highlight w:val="none"/>
                <w:lang w:val="zh-CN"/>
              </w:rPr>
            </w:pPr>
            <w:r>
              <w:rPr>
                <w:rFonts w:hint="eastAsia" w:ascii="宋体" w:hAnsi="宋体" w:cs="宋体"/>
                <w:bCs/>
                <w:color w:val="auto"/>
                <w:sz w:val="21"/>
                <w:szCs w:val="21"/>
                <w:highlight w:val="none"/>
                <w:lang w:val="zh-CN"/>
              </w:rPr>
              <w:t>在“开标结束”环节，供应商应在《开标情况记录表》上进行电子签章。供应商未签章的，视同认可开标结果。</w:t>
            </w:r>
          </w:p>
          <w:p w14:paraId="04B00AB8">
            <w:pPr>
              <w:autoSpaceDE w:val="0"/>
              <w:autoSpaceDN w:val="0"/>
              <w:adjustRightInd w:val="0"/>
              <w:spacing w:line="420" w:lineRule="exact"/>
              <w:rPr>
                <w:rFonts w:hint="eastAsia" w:cs="宋体" w:asciiTheme="minorEastAsia" w:hAnsiTheme="minorEastAsia"/>
                <w:b/>
                <w:bCs/>
                <w:color w:val="auto"/>
                <w:szCs w:val="21"/>
                <w:highlight w:val="none"/>
                <w:lang w:val="zh-CN"/>
              </w:rPr>
            </w:pPr>
            <w:r>
              <w:rPr>
                <w:rFonts w:hint="eastAsia" w:ascii="宋体" w:hAnsi="宋体" w:cs="宋体"/>
                <w:bCs/>
                <w:color w:val="auto"/>
                <w:sz w:val="21"/>
                <w:szCs w:val="21"/>
                <w:highlight w:val="none"/>
                <w:lang w:val="zh-CN"/>
              </w:rPr>
              <w:t>供应商对开标过程和开标记录如有异议，可在本项目开标大厅界面右下方“发起异议”中提出异议。</w:t>
            </w:r>
          </w:p>
        </w:tc>
      </w:tr>
      <w:tr w14:paraId="1AAB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EC14BE">
            <w:pPr>
              <w:autoSpaceDE w:val="0"/>
              <w:autoSpaceDN w:val="0"/>
              <w:adjustRightInd w:val="0"/>
              <w:spacing w:line="276" w:lineRule="auto"/>
              <w:jc w:val="center"/>
              <w:rPr>
                <w:rFonts w:hint="eastAsia" w:cs="TimesNewRomanPSMT" w:asciiTheme="minorEastAsia" w:hAnsiTheme="minorEastAsia" w:eastAsiaTheme="minorEastAsia"/>
                <w:color w:val="auto"/>
                <w:szCs w:val="21"/>
                <w:highlight w:val="none"/>
                <w:lang w:val="en-US" w:eastAsia="zh-CN"/>
              </w:rPr>
            </w:pPr>
            <w:r>
              <w:rPr>
                <w:rFonts w:hint="eastAsia" w:cs="TimesNewRomanPSMT" w:asciiTheme="minorEastAsia" w:hAnsiTheme="minorEastAsia"/>
                <w:color w:val="auto"/>
                <w:szCs w:val="21"/>
                <w:highlight w:val="none"/>
              </w:rPr>
              <w:t>2</w:t>
            </w:r>
            <w:r>
              <w:rPr>
                <w:rFonts w:hint="eastAsia" w:cs="TimesNewRomanPSMT" w:asciiTheme="minorEastAsia" w:hAnsiTheme="minorEastAsia"/>
                <w:color w:val="auto"/>
                <w:szCs w:val="21"/>
                <w:highlight w:val="none"/>
                <w:lang w:val="en-US" w:eastAsia="zh-CN"/>
              </w:rPr>
              <w:t>1</w:t>
            </w:r>
          </w:p>
        </w:tc>
        <w:tc>
          <w:tcPr>
            <w:tcW w:w="2268" w:type="dxa"/>
            <w:vAlign w:val="center"/>
          </w:tcPr>
          <w:p w14:paraId="47554965">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评标委员会组建</w:t>
            </w:r>
          </w:p>
        </w:tc>
        <w:tc>
          <w:tcPr>
            <w:tcW w:w="6813" w:type="dxa"/>
            <w:vAlign w:val="center"/>
          </w:tcPr>
          <w:p w14:paraId="491D86CE">
            <w:pPr>
              <w:autoSpaceDE w:val="0"/>
              <w:autoSpaceDN w:val="0"/>
              <w:adjustRightInd w:val="0"/>
              <w:spacing w:line="360" w:lineRule="auto"/>
              <w:rPr>
                <w:rFonts w:cs="仿宋_GB2312" w:asciiTheme="minorEastAsia" w:hAnsiTheme="minorEastAsia"/>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hint="eastAsia" w:ascii="新宋体" w:hAnsi="新宋体" w:eastAsia="新宋体"/>
                <w:b/>
                <w:color w:val="auto"/>
                <w:position w:val="2"/>
                <w:sz w:val="13"/>
                <w:szCs w:val="21"/>
                <w:highlight w:val="none"/>
              </w:rPr>
              <w:instrText xml:space="preserve">√</w:instrText>
            </w:r>
            <w:r>
              <w:rPr>
                <w:rFonts w:hint="eastAsia" w:ascii="新宋体" w:hAnsi="新宋体" w:eastAsia="新宋体"/>
                <w:b/>
                <w:color w:val="auto"/>
                <w:szCs w:val="21"/>
                <w:highlight w:val="none"/>
              </w:rPr>
              <w:instrText xml:space="preserve">)</w:instrText>
            </w:r>
            <w:r>
              <w:rPr>
                <w:rFonts w:ascii="新宋体" w:hAnsi="新宋体" w:eastAsia="新宋体"/>
                <w:b/>
                <w:color w:val="auto"/>
                <w:szCs w:val="21"/>
                <w:highlight w:val="none"/>
              </w:rPr>
              <w:fldChar w:fldCharType="end"/>
            </w:r>
            <w:r>
              <w:rPr>
                <w:rFonts w:hint="eastAsia" w:cs="仿宋_GB2312" w:asciiTheme="minorEastAsia" w:hAnsiTheme="minorEastAsia"/>
                <w:color w:val="auto"/>
                <w:szCs w:val="21"/>
                <w:highlight w:val="none"/>
                <w:lang w:val="zh-CN"/>
              </w:rPr>
              <w:t>由采购人代表和评审专家组成，其中评审专家的人数不少于评标委员会成员总数的三分之二。评审专家从政府采购评审专家库中随机抽取。</w:t>
            </w:r>
          </w:p>
          <w:p w14:paraId="6DA1DE8A">
            <w:pPr>
              <w:autoSpaceDE w:val="0"/>
              <w:autoSpaceDN w:val="0"/>
              <w:adjustRightInd w:val="0"/>
              <w:spacing w:line="360" w:lineRule="auto"/>
              <w:rPr>
                <w:rFonts w:cs="宋体" w:asciiTheme="minorEastAsia" w:hAnsiTheme="minorEastAsia"/>
                <w:bCs/>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cs="仿宋_GB2312" w:asciiTheme="minorEastAsia" w:hAnsiTheme="minorEastAsia"/>
                <w:color w:val="auto"/>
                <w:szCs w:val="21"/>
                <w:highlight w:val="none"/>
                <w:lang w:val="zh-CN"/>
              </w:rPr>
              <w:t>由评审专家组成。评审专家从政府采购评审专家库中随机抽取。</w:t>
            </w:r>
          </w:p>
        </w:tc>
      </w:tr>
      <w:tr w14:paraId="2C86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AB660DA">
            <w:pPr>
              <w:autoSpaceDE w:val="0"/>
              <w:autoSpaceDN w:val="0"/>
              <w:adjustRightInd w:val="0"/>
              <w:spacing w:line="276" w:lineRule="auto"/>
              <w:jc w:val="center"/>
              <w:rPr>
                <w:rFonts w:hint="eastAsia" w:cs="TimesNewRomanPSMT"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2</w:t>
            </w:r>
          </w:p>
        </w:tc>
        <w:tc>
          <w:tcPr>
            <w:tcW w:w="2268" w:type="dxa"/>
            <w:vAlign w:val="center"/>
          </w:tcPr>
          <w:p w14:paraId="61A12475">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评标方法</w:t>
            </w:r>
          </w:p>
        </w:tc>
        <w:tc>
          <w:tcPr>
            <w:tcW w:w="6813" w:type="dxa"/>
            <w:vAlign w:val="center"/>
          </w:tcPr>
          <w:p w14:paraId="3CB382CD">
            <w:pPr>
              <w:autoSpaceDE w:val="0"/>
              <w:autoSpaceDN w:val="0"/>
              <w:adjustRightInd w:val="0"/>
              <w:spacing w:line="360" w:lineRule="auto"/>
              <w:rPr>
                <w:rFonts w:cs="宋体" w:asciiTheme="minorEastAsia" w:hAnsiTheme="minorEastAsia"/>
                <w:bCs/>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综合评分法</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lang w:val="zh-CN"/>
              </w:rPr>
              <w:t>最低评标价法</w:t>
            </w:r>
          </w:p>
        </w:tc>
      </w:tr>
      <w:tr w14:paraId="2A49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9F46F7F">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3</w:t>
            </w:r>
          </w:p>
        </w:tc>
        <w:tc>
          <w:tcPr>
            <w:tcW w:w="2268" w:type="dxa"/>
            <w:vAlign w:val="center"/>
          </w:tcPr>
          <w:p w14:paraId="13C39BB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13" w:type="dxa"/>
            <w:vAlign w:val="center"/>
          </w:tcPr>
          <w:p w14:paraId="1F26D208">
            <w:pPr>
              <w:pStyle w:val="40"/>
              <w:spacing w:line="360" w:lineRule="auto"/>
              <w:rPr>
                <w:color w:val="auto"/>
                <w:highlight w:val="none"/>
                <w:lang w:val="zh-CN"/>
              </w:rPr>
            </w:pPr>
            <w:r>
              <w:rPr>
                <w:rFonts w:hint="eastAsia" w:cs="仿宋_GB2312" w:asciiTheme="minorEastAsia" w:hAnsiTheme="minorEastAsia"/>
                <w:color w:val="auto"/>
                <w:szCs w:val="21"/>
                <w:highlight w:val="none"/>
                <w:lang w:val="zh-CN"/>
              </w:rPr>
              <w:t>采购单位委派代表参加资格审查、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4C3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6BBA6EB">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4</w:t>
            </w:r>
          </w:p>
        </w:tc>
        <w:tc>
          <w:tcPr>
            <w:tcW w:w="2268" w:type="dxa"/>
            <w:vAlign w:val="center"/>
          </w:tcPr>
          <w:p w14:paraId="1837A42B">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13" w:type="dxa"/>
            <w:vAlign w:val="center"/>
          </w:tcPr>
          <w:p w14:paraId="07833DBD">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highlight w:val="none"/>
              </w:rPr>
              <w:t>否则不得享受相关中小企业扶持政策。</w:t>
            </w:r>
          </w:p>
          <w:p w14:paraId="59F0BADD">
            <w:pPr>
              <w:autoSpaceDE w:val="0"/>
              <w:autoSpaceDN w:val="0"/>
              <w:adjustRightInd w:val="0"/>
              <w:spacing w:line="360" w:lineRule="auto"/>
              <w:contextualSpacing/>
              <w:rPr>
                <w:rFonts w:hint="default" w:ascii="ˎ̥" w:hAnsi="ˎ̥" w:eastAsiaTheme="minorEastAsia"/>
                <w:color w:val="auto"/>
                <w:highlight w:val="none"/>
                <w:lang w:val="en-US" w:eastAsia="zh-CN"/>
              </w:rPr>
            </w:pPr>
            <w:r>
              <w:rPr>
                <w:rFonts w:hint="eastAsia" w:ascii="ˎ̥" w:hAnsi="ˎ̥"/>
                <w:color w:val="auto"/>
                <w:highlight w:val="none"/>
              </w:rPr>
              <w:t>2、</w:t>
            </w:r>
            <w:r>
              <w:rPr>
                <w:rFonts w:hint="eastAsia" w:ascii="ˎ̥" w:hAnsi="ˎ̥"/>
                <w:color w:val="auto"/>
                <w:highlight w:val="none"/>
                <w:lang w:val="en-US" w:eastAsia="zh-CN"/>
              </w:rPr>
              <w:t>本项目专门面向中小企业采购。</w:t>
            </w:r>
          </w:p>
          <w:p w14:paraId="1900D6ED">
            <w:pPr>
              <w:numPr>
                <w:ilvl w:val="0"/>
                <w:numId w:val="0"/>
              </w:num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3、</w:t>
            </w:r>
            <w:r>
              <w:rPr>
                <w:rFonts w:hint="eastAsia" w:ascii="ˎ̥" w:hAnsi="ˎ̥"/>
                <w:color w:val="auto"/>
                <w:highlight w:val="none"/>
              </w:rPr>
              <w:t>本次</w:t>
            </w:r>
            <w:r>
              <w:rPr>
                <w:rFonts w:ascii="ˎ̥" w:hAnsi="ˎ̥"/>
                <w:color w:val="auto"/>
                <w:highlight w:val="none"/>
              </w:rPr>
              <w:t>采购标的对应的中小企业划分标准所属</w:t>
            </w:r>
            <w:r>
              <w:rPr>
                <w:rFonts w:ascii="ˎ̥" w:hAnsi="ˎ̥"/>
                <w:color w:val="auto"/>
                <w:highlight w:val="none"/>
              </w:rPr>
              <w:t>行业</w:t>
            </w:r>
            <w:r>
              <w:rPr>
                <w:rFonts w:hint="eastAsia" w:ascii="ˎ̥" w:hAnsi="ˎ̥"/>
                <w:color w:val="auto"/>
                <w:highlight w:val="none"/>
              </w:rPr>
              <w:t>：</w:t>
            </w:r>
            <w:r>
              <w:rPr>
                <w:rFonts w:hint="eastAsia" w:ascii="ˎ̥" w:hAnsi="ˎ̥"/>
                <w:color w:val="auto"/>
                <w:highlight w:val="none"/>
                <w:lang w:val="en-US" w:eastAsia="zh-CN"/>
              </w:rPr>
              <w:t>其他未列明行业</w:t>
            </w:r>
            <w:r>
              <w:rPr>
                <w:rFonts w:hint="eastAsia" w:ascii="ˎ̥" w:hAnsi="ˎ̥"/>
                <w:color w:val="auto"/>
                <w:highlight w:val="none"/>
              </w:rPr>
              <w:t>。</w:t>
            </w:r>
          </w:p>
          <w:p w14:paraId="174EAED5">
            <w:pPr>
              <w:spacing w:line="360" w:lineRule="auto"/>
              <w:contextualSpacing/>
              <w:rPr>
                <w:rFonts w:cs="仿宋_GB2312" w:asciiTheme="minorEastAsia" w:hAnsiTheme="minorEastAsia"/>
                <w:color w:val="auto"/>
                <w:szCs w:val="21"/>
                <w:highlight w:val="none"/>
              </w:rPr>
            </w:pPr>
            <w:r>
              <w:rPr>
                <w:rFonts w:hint="eastAsia" w:ascii="ˎ̥" w:hAnsi="ˎ̥"/>
                <w:color w:val="auto"/>
                <w:highlight w:val="none"/>
                <w:lang w:val="en-US" w:eastAsia="zh-CN"/>
              </w:rPr>
              <w:t>4</w:t>
            </w:r>
            <w:r>
              <w:rPr>
                <w:rFonts w:hint="eastAsia" w:ascii="ˎ̥" w:hAnsi="ˎ̥"/>
                <w:color w:val="auto"/>
                <w:highlight w:val="none"/>
              </w:rPr>
              <w:t>、</w:t>
            </w:r>
            <w:r>
              <w:rPr>
                <w:rFonts w:hint="eastAsia" w:ascii="ˎ̥" w:hAnsi="ˎ̥"/>
                <w:color w:val="auto"/>
                <w:highlight w:val="none"/>
              </w:rPr>
              <w:t>本项目接受联合体投标。</w:t>
            </w:r>
          </w:p>
          <w:p w14:paraId="7F5CD0C1">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5</w:t>
            </w:r>
            <w:r>
              <w:rPr>
                <w:rFonts w:hint="eastAsia" w:ascii="ˎ̥" w:hAnsi="ˎ̥"/>
                <w:color w:val="auto"/>
                <w:highlight w:val="none"/>
              </w:rPr>
              <w:t>、提供由省级以上监狱管理局、戒毒管理局（含新疆生产建设兵团）出具的属于监狱企业证明文件的，视同为小型和微型企业。</w:t>
            </w:r>
          </w:p>
          <w:p w14:paraId="2C2AE0AB">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lang w:val="en-US" w:eastAsia="zh-CN"/>
              </w:rPr>
              <w:t>6</w:t>
            </w:r>
            <w:r>
              <w:rPr>
                <w:rFonts w:hint="eastAsia" w:ascii="ˎ̥" w:hAnsi="ˎ̥"/>
                <w:color w:val="auto"/>
                <w:highlight w:val="none"/>
              </w:rPr>
              <w:t>、符合享受政府采购支持政策的残疾人福利性单位条件且提供《残疾人福利性单位声明函》的，视同为小型和微型企业。</w:t>
            </w:r>
          </w:p>
        </w:tc>
      </w:tr>
      <w:tr w14:paraId="1BAA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BB2A8ED">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5</w:t>
            </w:r>
          </w:p>
        </w:tc>
        <w:tc>
          <w:tcPr>
            <w:tcW w:w="2268" w:type="dxa"/>
            <w:vAlign w:val="center"/>
          </w:tcPr>
          <w:p w14:paraId="324DE061">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6813" w:type="dxa"/>
            <w:vAlign w:val="center"/>
          </w:tcPr>
          <w:p w14:paraId="7AA1E15E">
            <w:pPr>
              <w:keepNext w:val="0"/>
              <w:keepLines w:val="0"/>
              <w:widowControl/>
              <w:suppressLineNumbers w:val="0"/>
              <w:jc w:val="left"/>
              <w:rPr>
                <w:rFonts w:hint="eastAsia" w:cs="宋体" w:asciiTheme="minorEastAsia" w:hAnsiTheme="minorEastAsia"/>
                <w:bCs/>
                <w:color w:val="auto"/>
                <w:szCs w:val="21"/>
                <w:highlight w:val="none"/>
                <w:lang w:val="zh-CN"/>
              </w:rPr>
            </w:pPr>
            <w:r>
              <w:rPr>
                <w:rFonts w:hint="eastAsia" w:ascii="宋体" w:hAnsi="宋体" w:eastAsia="宋体" w:cs="宋体"/>
                <w:color w:val="auto"/>
                <w:kern w:val="0"/>
                <w:sz w:val="21"/>
                <w:szCs w:val="21"/>
                <w:highlight w:val="none"/>
                <w:lang w:val="en-US" w:eastAsia="zh-CN" w:bidi="ar"/>
              </w:rPr>
              <w:t>1、本项目强制采购的节能产品：</w:t>
            </w:r>
            <w:r>
              <w:rPr>
                <w:rFonts w:hint="eastAsia" w:ascii="宋体" w:hAnsi="宋体" w:eastAsia="宋体" w:cs="宋体"/>
                <w:b/>
                <w:bCs/>
                <w:color w:val="auto"/>
                <w:kern w:val="0"/>
                <w:sz w:val="21"/>
                <w:szCs w:val="21"/>
                <w:highlight w:val="none"/>
                <w:lang w:val="en-US" w:eastAsia="zh-CN" w:bidi="ar"/>
              </w:rPr>
              <w:t xml:space="preserve">（无） </w:t>
            </w:r>
          </w:p>
          <w:p w14:paraId="1F9A3E04">
            <w:pPr>
              <w:autoSpaceDE w:val="0"/>
              <w:autoSpaceDN w:val="0"/>
              <w:adjustRightInd w:val="0"/>
              <w:spacing w:line="360" w:lineRule="auto"/>
              <w:rPr>
                <w:rFonts w:ascii="ˎ̥" w:hAnsi="ˎ̥"/>
                <w:color w:val="auto"/>
                <w:highlight w:val="none"/>
                <w:lang w:val="zh-CN"/>
              </w:rPr>
            </w:pPr>
            <w:r>
              <w:rPr>
                <w:rFonts w:hint="eastAsia" w:cs="宋体" w:asciiTheme="minorEastAsia" w:hAnsiTheme="minorEastAsia"/>
                <w:bCs/>
                <w:color w:val="auto"/>
                <w:szCs w:val="21"/>
                <w:highlight w:val="none"/>
                <w:lang w:val="en-US" w:eastAsia="zh-CN"/>
              </w:rPr>
              <w:t>2、</w:t>
            </w:r>
            <w:r>
              <w:rPr>
                <w:rFonts w:hint="eastAsia" w:cs="宋体" w:asciiTheme="minorEastAsia" w:hAnsi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576B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BD12503">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6</w:t>
            </w:r>
          </w:p>
        </w:tc>
        <w:tc>
          <w:tcPr>
            <w:tcW w:w="2268" w:type="dxa"/>
            <w:vAlign w:val="center"/>
          </w:tcPr>
          <w:p w14:paraId="445C042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rPr>
              <w:t>网络关键设备、网络安全专用产品要求</w:t>
            </w:r>
          </w:p>
        </w:tc>
        <w:tc>
          <w:tcPr>
            <w:tcW w:w="6813" w:type="dxa"/>
            <w:vAlign w:val="center"/>
          </w:tcPr>
          <w:p w14:paraId="76C68DF8">
            <w:pPr>
              <w:numPr>
                <w:ilvl w:val="0"/>
                <w:numId w:val="8"/>
              </w:num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本项目网络关键设备：（无）；网络安全专用产品：（无）</w:t>
            </w:r>
          </w:p>
          <w:p w14:paraId="1D7698DA">
            <w:pPr>
              <w:numPr>
                <w:ilvl w:val="0"/>
                <w:numId w:val="8"/>
              </w:numPr>
              <w:autoSpaceDE w:val="0"/>
              <w:autoSpaceDN w:val="0"/>
              <w:adjustRightInd w:val="0"/>
              <w:spacing w:line="420" w:lineRule="exact"/>
              <w:rPr>
                <w:rFonts w:ascii="宋体" w:hAnsi="宋体" w:eastAsia="宋体" w:cs="宋体"/>
                <w:bCs/>
                <w:color w:val="auto"/>
                <w:szCs w:val="21"/>
                <w:highlight w:val="none"/>
                <w:lang w:val="zh-CN"/>
              </w:rPr>
            </w:pPr>
            <w:r>
              <w:rPr>
                <w:rFonts w:hint="eastAsia" w:ascii="宋体" w:hAnsi="宋体" w:eastAsia="宋体" w:cs="宋体"/>
                <w:color w:val="auto"/>
                <w:szCs w:val="21"/>
                <w:highlight w:val="none"/>
              </w:rPr>
              <w:t>项目中涉及网络关键设备或网络安全专用产品的，执行国家互联网信息办公室、工业和信息化部、公安部和国家认证认可监督管理委员会2023 年第 2 号《关于调整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网络关键设备和网络安全专用产品目录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E05024B">
            <w:pPr>
              <w:numPr>
                <w:ilvl w:val="0"/>
                <w:numId w:val="0"/>
              </w:numPr>
              <w:autoSpaceDE w:val="0"/>
              <w:autoSpaceDN w:val="0"/>
              <w:adjustRightInd w:val="0"/>
              <w:spacing w:line="420" w:lineRule="exact"/>
              <w:ind w:left="0" w:leftChars="0" w:firstLine="0" w:firstLineChars="0"/>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3C93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5744EDC">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7</w:t>
            </w:r>
          </w:p>
        </w:tc>
        <w:tc>
          <w:tcPr>
            <w:tcW w:w="2268" w:type="dxa"/>
            <w:vAlign w:val="center"/>
          </w:tcPr>
          <w:p w14:paraId="7273ACB3">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 xml:space="preserve">政府采购合同融资 </w:t>
            </w:r>
          </w:p>
          <w:p w14:paraId="28C23AEC">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政策告知函</w:t>
            </w:r>
          </w:p>
        </w:tc>
        <w:tc>
          <w:tcPr>
            <w:tcW w:w="6813" w:type="dxa"/>
            <w:vAlign w:val="center"/>
          </w:tcPr>
          <w:p w14:paraId="3D17FAF7">
            <w:pPr>
              <w:autoSpaceDE w:val="0"/>
              <w:autoSpaceDN w:val="0"/>
              <w:adjustRightInd w:val="0"/>
              <w:spacing w:line="36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3ED1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67DC08C">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8</w:t>
            </w:r>
          </w:p>
        </w:tc>
        <w:tc>
          <w:tcPr>
            <w:tcW w:w="2268" w:type="dxa"/>
            <w:vAlign w:val="center"/>
          </w:tcPr>
          <w:p w14:paraId="7567E2A9">
            <w:pPr>
              <w:pageBreakBefore w:val="0"/>
              <w:kinsoku/>
              <w:overflowPunct/>
              <w:autoSpaceDE w:val="0"/>
              <w:autoSpaceDN w:val="0"/>
              <w:bidi w:val="0"/>
              <w:adjustRightInd w:val="0"/>
              <w:snapToGrid/>
              <w:spacing w:line="360" w:lineRule="auto"/>
              <w:jc w:val="center"/>
              <w:rPr>
                <w:rFonts w:hint="eastAsia" w:cs="宋体" w:asciiTheme="minorEastAsia" w:hAnsiTheme="minorEastAsia" w:eastAsiaTheme="minorEastAsia"/>
                <w:color w:val="auto"/>
                <w:kern w:val="2"/>
                <w:sz w:val="21"/>
                <w:szCs w:val="21"/>
                <w:highlight w:val="none"/>
                <w:lang w:val="zh-CN" w:eastAsia="zh-CN" w:bidi="ar-SA"/>
              </w:rPr>
            </w:pPr>
            <w:r>
              <w:rPr>
                <w:rFonts w:hint="eastAsia" w:ascii="宋体" w:hAnsi="宋体" w:eastAsia="宋体" w:cs="宋体"/>
                <w:color w:val="auto"/>
                <w:kern w:val="0"/>
                <w:szCs w:val="21"/>
                <w:highlight w:val="none"/>
              </w:rPr>
              <w:t>加快推广绿色建材发展应用</w:t>
            </w:r>
          </w:p>
        </w:tc>
        <w:tc>
          <w:tcPr>
            <w:tcW w:w="6813" w:type="dxa"/>
            <w:vAlign w:val="center"/>
          </w:tcPr>
          <w:p w14:paraId="523EE0A2">
            <w:pPr>
              <w:pageBreakBefore w:val="0"/>
              <w:kinsoku/>
              <w:overflowPunct/>
              <w:autoSpaceDE w:val="0"/>
              <w:autoSpaceDN w:val="0"/>
              <w:bidi w:val="0"/>
              <w:adjustRightInd w:val="0"/>
              <w:snapToGrid/>
              <w:spacing w:line="360" w:lineRule="auto"/>
              <w:ind w:right="-11" w:right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本项目绿化建材产品为：（无）</w:t>
            </w:r>
          </w:p>
          <w:p w14:paraId="7B47145E">
            <w:pPr>
              <w:pageBreakBefore w:val="0"/>
              <w:kinsoku/>
              <w:overflowPunct/>
              <w:autoSpaceDE w:val="0"/>
              <w:autoSpaceDN w:val="0"/>
              <w:bidi w:val="0"/>
              <w:adjustRightInd w:val="0"/>
              <w:snapToGrid/>
              <w:spacing w:line="360" w:lineRule="auto"/>
              <w:ind w:right="-11" w:rightChars="0"/>
              <w:rPr>
                <w:rFonts w:hint="eastAsia" w:cs="宋体" w:asciiTheme="minorEastAsia" w:hAnsiTheme="minorEastAsia" w:eastAsiaTheme="minorEastAsia"/>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E51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0E218C">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9</w:t>
            </w:r>
          </w:p>
        </w:tc>
        <w:tc>
          <w:tcPr>
            <w:tcW w:w="2268" w:type="dxa"/>
            <w:vAlign w:val="center"/>
          </w:tcPr>
          <w:p w14:paraId="3B5B1BE6">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13" w:type="dxa"/>
            <w:vAlign w:val="center"/>
          </w:tcPr>
          <w:p w14:paraId="3CFB5295">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16032EE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lang w:val="zh-CN"/>
              </w:rPr>
              <w:t>要求提交。履约保证金的数额为合同金额的%。成交供应商以支票、汇票、本票或者金融机构、担保机构出具的保函等非现金形式向采购人提交。</w:t>
            </w:r>
          </w:p>
        </w:tc>
      </w:tr>
      <w:tr w14:paraId="4281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E24EE3">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30</w:t>
            </w:r>
          </w:p>
        </w:tc>
        <w:tc>
          <w:tcPr>
            <w:tcW w:w="2268" w:type="dxa"/>
            <w:vAlign w:val="center"/>
          </w:tcPr>
          <w:p w14:paraId="2304C572">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代理服务费</w:t>
            </w:r>
          </w:p>
        </w:tc>
        <w:tc>
          <w:tcPr>
            <w:tcW w:w="6813" w:type="dxa"/>
            <w:vAlign w:val="center"/>
          </w:tcPr>
          <w:p w14:paraId="5DA3D0B3">
            <w:pPr>
              <w:autoSpaceDE w:val="0"/>
              <w:autoSpaceDN w:val="0"/>
              <w:spacing w:line="360" w:lineRule="auto"/>
              <w:contextualSpacing/>
              <w:rPr>
                <w:rFonts w:hint="eastAsia"/>
                <w:color w:val="auto"/>
                <w:highlight w:val="none"/>
                <w:lang w:eastAsia="zh-CN"/>
              </w:rPr>
            </w:pPr>
            <w:r>
              <w:rPr>
                <w:color w:val="auto"/>
                <w:highlight w:val="none"/>
                <w:lang w:val="zh-CN"/>
              </w:rPr>
              <w:fldChar w:fldCharType="begin"/>
            </w:r>
            <w:r>
              <w:rPr>
                <w:rFonts w:hint="eastAsia"/>
                <w:color w:val="auto"/>
                <w:highlight w:val="none"/>
                <w:lang w:val="zh-CN"/>
              </w:rPr>
              <w:instrText xml:space="preserve">eq \o\ac(□,√)</w:instrText>
            </w:r>
            <w:r>
              <w:rPr>
                <w:color w:val="auto"/>
                <w:highlight w:val="none"/>
                <w:lang w:val="zh-CN"/>
              </w:rPr>
              <w:fldChar w:fldCharType="end"/>
            </w:r>
            <w:r>
              <w:rPr>
                <w:rFonts w:hint="eastAsia"/>
                <w:color w:val="auto"/>
                <w:highlight w:val="none"/>
                <w:lang w:val="zh-CN"/>
              </w:rPr>
              <w:t>收取，</w:t>
            </w:r>
            <w:r>
              <w:rPr>
                <w:rFonts w:hint="eastAsia"/>
                <w:color w:val="auto"/>
                <w:highlight w:val="none"/>
              </w:rPr>
              <w:t>招标代理服务费由中标人支付，</w:t>
            </w:r>
            <w:r>
              <w:rPr>
                <w:rFonts w:hint="eastAsia"/>
                <w:color w:val="auto"/>
                <w:highlight w:val="none"/>
                <w:lang w:eastAsia="zh-CN"/>
              </w:rPr>
              <w:t>按照豫招协</w:t>
            </w:r>
            <w:r>
              <w:rPr>
                <w:rFonts w:hint="eastAsia"/>
                <w:color w:val="auto"/>
                <w:highlight w:val="none"/>
              </w:rPr>
              <w:t>〔</w:t>
            </w:r>
            <w:r>
              <w:rPr>
                <w:color w:val="auto"/>
                <w:highlight w:val="none"/>
              </w:rPr>
              <w:t>20</w:t>
            </w:r>
            <w:r>
              <w:rPr>
                <w:rFonts w:hint="eastAsia"/>
                <w:color w:val="auto"/>
                <w:highlight w:val="none"/>
                <w:lang w:val="en-US" w:eastAsia="zh-CN"/>
              </w:rPr>
              <w:t>23</w:t>
            </w:r>
            <w:r>
              <w:rPr>
                <w:rFonts w:hint="eastAsia"/>
                <w:color w:val="auto"/>
                <w:highlight w:val="none"/>
              </w:rPr>
              <w:t>〕</w:t>
            </w:r>
            <w:r>
              <w:rPr>
                <w:rFonts w:hint="eastAsia"/>
                <w:color w:val="auto"/>
                <w:highlight w:val="none"/>
                <w:lang w:val="en-US" w:eastAsia="zh-CN"/>
              </w:rPr>
              <w:t>002</w:t>
            </w:r>
            <w:r>
              <w:rPr>
                <w:rFonts w:hint="eastAsia"/>
                <w:color w:val="auto"/>
                <w:highlight w:val="none"/>
              </w:rPr>
              <w:t>《</w:t>
            </w:r>
            <w:r>
              <w:rPr>
                <w:rFonts w:hint="eastAsia"/>
                <w:color w:val="auto"/>
                <w:highlight w:val="none"/>
                <w:lang w:eastAsia="zh-CN"/>
              </w:rPr>
              <w:t>河南省招标代理服务收费指导意见</w:t>
            </w:r>
            <w:r>
              <w:rPr>
                <w:rFonts w:hint="eastAsia"/>
                <w:color w:val="auto"/>
                <w:highlight w:val="none"/>
              </w:rPr>
              <w:t>》</w:t>
            </w:r>
            <w:r>
              <w:rPr>
                <w:rFonts w:hint="eastAsia"/>
                <w:color w:val="auto"/>
                <w:highlight w:val="none"/>
                <w:lang w:eastAsia="zh-CN"/>
              </w:rPr>
              <w:t>收取，由中标单位在领取中标通知书时一次性支付给代理机构。</w:t>
            </w:r>
          </w:p>
          <w:p w14:paraId="7A9DDEE3">
            <w:pPr>
              <w:autoSpaceDE w:val="0"/>
              <w:autoSpaceDN w:val="0"/>
              <w:spacing w:line="360" w:lineRule="auto"/>
              <w:contextualSpacing/>
              <w:rPr>
                <w:rFonts w:hint="eastAsia"/>
                <w:color w:val="auto"/>
                <w:sz w:val="21"/>
                <w:szCs w:val="21"/>
                <w:highlight w:val="none"/>
                <w:lang w:eastAsia="zh-CN"/>
              </w:rPr>
            </w:pPr>
            <w:r>
              <w:rPr>
                <w:rFonts w:hint="eastAsia"/>
                <w:color w:val="auto"/>
                <w:sz w:val="21"/>
                <w:szCs w:val="21"/>
                <w:highlight w:val="none"/>
                <w:lang w:eastAsia="zh-CN"/>
              </w:rPr>
              <w:t>招标代理服务收费按差额定率累计法计算：</w:t>
            </w:r>
          </w:p>
          <w:p w14:paraId="6CB211D7">
            <w:pPr>
              <w:pStyle w:val="30"/>
              <w:ind w:firstLine="340" w:firstLineChars="100"/>
              <w:rPr>
                <w:rFonts w:cs="宋体" w:asciiTheme="minorEastAsia" w:hAnsiTheme="minorEastAsia"/>
                <w:bCs/>
                <w:color w:val="auto"/>
                <w:szCs w:val="21"/>
                <w:highlight w:val="none"/>
                <w:lang w:val="zh-CN"/>
              </w:rPr>
            </w:pPr>
            <w:r>
              <w:rPr>
                <w:rFonts w:hint="eastAsia"/>
                <w:color w:val="auto"/>
                <w:highlight w:val="none"/>
                <w:lang w:eastAsia="zh-CN"/>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12"/>
                          <a:stretch>
                            <a:fillRect/>
                          </a:stretch>
                        </pic:blipFill>
                        <pic:spPr>
                          <a:xfrm>
                            <a:off x="0" y="0"/>
                            <a:ext cx="3945255" cy="2764790"/>
                          </a:xfrm>
                          <a:prstGeom prst="rect">
                            <a:avLst/>
                          </a:prstGeom>
                          <a:noFill/>
                          <a:ln>
                            <a:noFill/>
                          </a:ln>
                        </pic:spPr>
                      </pic:pic>
                    </a:graphicData>
                  </a:graphic>
                </wp:inline>
              </w:drawing>
            </w:r>
          </w:p>
        </w:tc>
      </w:tr>
      <w:tr w14:paraId="7F87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F572E4">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31</w:t>
            </w:r>
          </w:p>
        </w:tc>
        <w:tc>
          <w:tcPr>
            <w:tcW w:w="2268" w:type="dxa"/>
            <w:vAlign w:val="center"/>
          </w:tcPr>
          <w:p w14:paraId="0EB218A4">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成交供应商需提交</w:t>
            </w:r>
          </w:p>
          <w:p w14:paraId="188B9034">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的资料</w:t>
            </w:r>
          </w:p>
        </w:tc>
        <w:tc>
          <w:tcPr>
            <w:tcW w:w="6813" w:type="dxa"/>
            <w:vAlign w:val="center"/>
          </w:tcPr>
          <w:p w14:paraId="0B9F08F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cs="宋体"/>
                <w:color w:val="auto"/>
                <w:szCs w:val="21"/>
                <w:highlight w:val="none"/>
                <w:lang w:val="zh-CN"/>
              </w:rPr>
              <w:t>中标人在接到中标通知时，须向代理机构发送投标报价及分项报价一览表（包含主要中标标的的名称、规格型号、数量、单价、服务要求等）电子文档，</w:t>
            </w:r>
            <w:r>
              <w:rPr>
                <w:rFonts w:hint="eastAsia" w:cs="宋体" w:asciiTheme="minorEastAsia" w:hAnsiTheme="minorEastAsia"/>
                <w:color w:val="auto"/>
                <w:szCs w:val="21"/>
                <w:highlight w:val="none"/>
                <w:lang w:val="zh-CN"/>
              </w:rPr>
              <w:t>联系电话：</w:t>
            </w:r>
            <w:r>
              <w:rPr>
                <w:rFonts w:hint="eastAsia"/>
                <w:color w:val="auto"/>
                <w:highlight w:val="none"/>
              </w:rPr>
              <w:t>0374-8281999</w:t>
            </w:r>
            <w:r>
              <w:rPr>
                <w:rFonts w:hint="eastAsia" w:cs="宋体" w:asciiTheme="minorEastAsia" w:hAnsiTheme="minorEastAsia"/>
                <w:color w:val="auto"/>
                <w:szCs w:val="21"/>
                <w:highlight w:val="none"/>
                <w:lang w:val="zh-CN"/>
              </w:rPr>
              <w:t>，邮箱：</w:t>
            </w:r>
            <w:r>
              <w:rPr>
                <w:rFonts w:hint="eastAsia" w:cs="宋体" w:asciiTheme="minorEastAsia" w:hAnsiTheme="minorEastAsia"/>
                <w:color w:val="auto"/>
                <w:szCs w:val="21"/>
                <w:highlight w:val="none"/>
              </w:rPr>
              <w:t>xcfyzxgl@126.com</w:t>
            </w:r>
            <w:r>
              <w:rPr>
                <w:rFonts w:hint="eastAsia" w:ascii="宋体" w:hAnsi="宋体" w:cs="宋体"/>
                <w:color w:val="auto"/>
                <w:szCs w:val="21"/>
                <w:highlight w:val="none"/>
                <w:lang w:val="zh-CN"/>
              </w:rPr>
              <w:t>。并配合业主需要提供纸质投标文件。</w:t>
            </w:r>
          </w:p>
        </w:tc>
      </w:tr>
      <w:tr w14:paraId="63CF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A8A29A">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2</w:t>
            </w:r>
          </w:p>
        </w:tc>
        <w:tc>
          <w:tcPr>
            <w:tcW w:w="2268" w:type="dxa"/>
            <w:vAlign w:val="center"/>
          </w:tcPr>
          <w:p w14:paraId="65C08519">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13" w:type="dxa"/>
            <w:vAlign w:val="center"/>
          </w:tcPr>
          <w:p w14:paraId="16C24E20">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投标人投标时须成功上传、解密电子投标文件。投标人资质、业绩、荣誉及相关人员证明材料等资料原件不再提交（本招标文件第六章另有要求提供原件的除外）。</w:t>
            </w:r>
          </w:p>
          <w:p w14:paraId="4CDA6ED6">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□否。投标人投标时须提供纸质投标文件。投标人资质、业绩、荣誉及相关人员证明材料等资料原件根据招标文件要求提供。</w:t>
            </w:r>
          </w:p>
        </w:tc>
      </w:tr>
      <w:tr w14:paraId="19B1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57AD6BF">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3</w:t>
            </w:r>
          </w:p>
        </w:tc>
        <w:tc>
          <w:tcPr>
            <w:tcW w:w="2268" w:type="dxa"/>
            <w:vAlign w:val="center"/>
          </w:tcPr>
          <w:p w14:paraId="507C3247">
            <w:pPr>
              <w:autoSpaceDE w:val="0"/>
              <w:autoSpaceDN w:val="0"/>
              <w:adjustRightInd w:val="0"/>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投标人代表出席开标会及其他</w:t>
            </w:r>
          </w:p>
        </w:tc>
        <w:tc>
          <w:tcPr>
            <w:tcW w:w="6813" w:type="dxa"/>
            <w:vAlign w:val="center"/>
          </w:tcPr>
          <w:p w14:paraId="2A2DB1DD">
            <w:pPr>
              <w:spacing w:line="312" w:lineRule="auto"/>
              <w:rPr>
                <w:rFonts w:hAnsi="宋体" w:cs="宋体"/>
                <w:color w:val="auto"/>
                <w:szCs w:val="21"/>
                <w:highlight w:val="none"/>
                <w:lang w:val="zh-CN"/>
              </w:rPr>
            </w:pPr>
            <w:r>
              <w:rPr>
                <w:rFonts w:hint="eastAsia" w:hAnsi="宋体" w:cs="宋体"/>
                <w:color w:val="auto"/>
                <w:szCs w:val="21"/>
                <w:highlight w:val="none"/>
                <w:lang w:val="zh-CN"/>
              </w:rPr>
              <w:t>投标人准时在网上参加投标、开标活动。</w:t>
            </w:r>
          </w:p>
        </w:tc>
      </w:tr>
      <w:tr w14:paraId="161E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79D7FD">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4</w:t>
            </w:r>
          </w:p>
        </w:tc>
        <w:tc>
          <w:tcPr>
            <w:tcW w:w="2268" w:type="dxa"/>
            <w:vAlign w:val="center"/>
          </w:tcPr>
          <w:p w14:paraId="6D4E7BAD">
            <w:pPr>
              <w:autoSpaceDE w:val="0"/>
              <w:autoSpaceDN w:val="0"/>
              <w:adjustRightInd w:val="0"/>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解释权</w:t>
            </w:r>
          </w:p>
        </w:tc>
        <w:tc>
          <w:tcPr>
            <w:tcW w:w="6813" w:type="dxa"/>
            <w:vAlign w:val="center"/>
          </w:tcPr>
          <w:p w14:paraId="6A3D09A6">
            <w:pPr>
              <w:spacing w:line="360" w:lineRule="auto"/>
              <w:rPr>
                <w:rFonts w:hAnsi="宋体" w:cs="宋体"/>
                <w:color w:val="auto"/>
                <w:szCs w:val="21"/>
                <w:highlight w:val="none"/>
                <w:lang w:val="zh-CN"/>
              </w:rPr>
            </w:pPr>
            <w:r>
              <w:rPr>
                <w:rFonts w:hint="eastAsia" w:hAnsi="宋体" w:cs="宋体"/>
                <w:color w:val="auto"/>
                <w:szCs w:val="21"/>
                <w:highlight w:val="none"/>
                <w:lang w:val="zh-CN"/>
              </w:rPr>
              <w:t>构成本招标文件的各个组成文件应互为解释，互为说明；</w:t>
            </w:r>
          </w:p>
          <w:p w14:paraId="4FAB9719">
            <w:pPr>
              <w:spacing w:line="360" w:lineRule="auto"/>
              <w:rPr>
                <w:rFonts w:hAnsi="宋体" w:cs="宋体"/>
                <w:color w:val="auto"/>
                <w:szCs w:val="21"/>
                <w:highlight w:val="none"/>
                <w:lang w:val="zh-CN"/>
              </w:rPr>
            </w:pPr>
            <w:r>
              <w:rPr>
                <w:rFonts w:hAnsi="宋体" w:cs="宋体"/>
                <w:color w:val="auto"/>
                <w:szCs w:val="21"/>
                <w:highlight w:val="none"/>
                <w:lang w:val="zh-CN"/>
              </w:rPr>
              <w:t>1</w:t>
            </w:r>
            <w:r>
              <w:rPr>
                <w:rFonts w:hint="eastAsia" w:hAnsi="宋体" w:cs="宋体"/>
                <w:color w:val="auto"/>
                <w:szCs w:val="21"/>
                <w:highlight w:val="none"/>
                <w:lang w:val="zh-CN"/>
              </w:rPr>
              <w:t>、除招标文件中有特别规定外，仅适用于招标投标阶段的规定，按招标公告（投标邀请书）、投标人须知、评标办法的先后顺序解释；</w:t>
            </w:r>
          </w:p>
          <w:p w14:paraId="2BFFB570">
            <w:pPr>
              <w:spacing w:line="360" w:lineRule="auto"/>
              <w:rPr>
                <w:rFonts w:hAnsi="宋体" w:cs="宋体"/>
                <w:color w:val="auto"/>
                <w:szCs w:val="21"/>
                <w:highlight w:val="none"/>
                <w:lang w:val="zh-CN"/>
              </w:rPr>
            </w:pPr>
            <w:r>
              <w:rPr>
                <w:rFonts w:hint="eastAsia" w:hAnsi="宋体" w:cs="宋体"/>
                <w:color w:val="auto"/>
                <w:szCs w:val="21"/>
                <w:highlight w:val="none"/>
                <w:lang w:val="en-US" w:eastAsia="zh-CN"/>
              </w:rPr>
              <w:t>2</w:t>
            </w:r>
            <w:r>
              <w:rPr>
                <w:rFonts w:hint="eastAsia" w:hAnsi="宋体" w:cs="宋体"/>
                <w:color w:val="auto"/>
                <w:szCs w:val="21"/>
                <w:highlight w:val="none"/>
                <w:lang w:val="zh-CN"/>
              </w:rPr>
              <w:t>、同一组成文件中就同一事项的规定或约定不一致的，以编排顺序在后者为准；</w:t>
            </w:r>
          </w:p>
          <w:p w14:paraId="53003089">
            <w:pPr>
              <w:spacing w:line="360" w:lineRule="auto"/>
              <w:rPr>
                <w:rFonts w:hAnsi="宋体" w:cs="宋体"/>
                <w:color w:val="auto"/>
                <w:szCs w:val="21"/>
                <w:highlight w:val="none"/>
                <w:lang w:val="zh-CN"/>
              </w:rPr>
            </w:pPr>
            <w:r>
              <w:rPr>
                <w:rFonts w:hint="eastAsia" w:hAnsi="宋体" w:cs="宋体"/>
                <w:color w:val="auto"/>
                <w:szCs w:val="21"/>
                <w:highlight w:val="none"/>
                <w:lang w:val="en-US" w:eastAsia="zh-CN"/>
              </w:rPr>
              <w:t>3</w:t>
            </w:r>
            <w:r>
              <w:rPr>
                <w:rFonts w:hint="eastAsia" w:hAnsi="宋体" w:cs="宋体"/>
                <w:color w:val="auto"/>
                <w:szCs w:val="21"/>
                <w:highlight w:val="none"/>
                <w:lang w:val="zh-CN"/>
              </w:rPr>
              <w:t>、同一组成文件不同版本之间有不一致的，以形成时间在后者为准；</w:t>
            </w:r>
          </w:p>
          <w:p w14:paraId="50285C46">
            <w:pPr>
              <w:autoSpaceDE w:val="0"/>
              <w:autoSpaceDN w:val="0"/>
              <w:adjustRightInd w:val="0"/>
              <w:spacing w:line="360" w:lineRule="auto"/>
              <w:contextualSpacing/>
              <w:rPr>
                <w:rFonts w:hAnsi="宋体" w:cs="宋体"/>
                <w:color w:val="auto"/>
                <w:szCs w:val="21"/>
                <w:highlight w:val="none"/>
                <w:lang w:val="zh-CN"/>
              </w:rPr>
            </w:pPr>
            <w:r>
              <w:rPr>
                <w:rFonts w:hint="eastAsia" w:hAnsi="宋体" w:cs="宋体"/>
                <w:color w:val="auto"/>
                <w:szCs w:val="21"/>
                <w:highlight w:val="none"/>
                <w:lang w:val="zh-CN"/>
              </w:rPr>
              <w:t>按本款前述规定仍不能形成结论的，由招标人负责解释。</w:t>
            </w:r>
          </w:p>
        </w:tc>
      </w:tr>
      <w:tr w14:paraId="22E0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B14C1E9">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5</w:t>
            </w:r>
          </w:p>
        </w:tc>
        <w:tc>
          <w:tcPr>
            <w:tcW w:w="2268" w:type="dxa"/>
            <w:vAlign w:val="center"/>
          </w:tcPr>
          <w:p w14:paraId="098AA98B">
            <w:pPr>
              <w:autoSpaceDE w:val="0"/>
              <w:autoSpaceDN w:val="0"/>
              <w:adjustRightInd w:val="0"/>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知识产权</w:t>
            </w:r>
          </w:p>
        </w:tc>
        <w:tc>
          <w:tcPr>
            <w:tcW w:w="6813" w:type="dxa"/>
            <w:vAlign w:val="center"/>
          </w:tcPr>
          <w:p w14:paraId="283BAB9D">
            <w:pPr>
              <w:spacing w:line="360" w:lineRule="auto"/>
              <w:rPr>
                <w:rFonts w:hAnsi="宋体" w:cs="宋体"/>
                <w:color w:val="auto"/>
                <w:szCs w:val="21"/>
                <w:highlight w:val="none"/>
                <w:lang w:val="zh-CN"/>
              </w:rPr>
            </w:pPr>
            <w:r>
              <w:rPr>
                <w:rFonts w:hint="eastAsia" w:hAnsi="宋体" w:cs="宋体"/>
                <w:color w:val="auto"/>
                <w:szCs w:val="21"/>
                <w:highlight w:val="none"/>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7DB2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BE6754">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6</w:t>
            </w:r>
          </w:p>
        </w:tc>
        <w:tc>
          <w:tcPr>
            <w:tcW w:w="2268" w:type="dxa"/>
            <w:vAlign w:val="center"/>
          </w:tcPr>
          <w:p w14:paraId="7D72E5F3">
            <w:pPr>
              <w:autoSpaceDE w:val="0"/>
              <w:autoSpaceDN w:val="0"/>
              <w:adjustRightInd w:val="0"/>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投标费用</w:t>
            </w:r>
          </w:p>
        </w:tc>
        <w:tc>
          <w:tcPr>
            <w:tcW w:w="6813" w:type="dxa"/>
            <w:vAlign w:val="center"/>
          </w:tcPr>
          <w:p w14:paraId="601EA0CB">
            <w:pPr>
              <w:spacing w:line="360" w:lineRule="auto"/>
              <w:rPr>
                <w:rFonts w:hAnsi="宋体" w:cs="宋体"/>
                <w:color w:val="auto"/>
                <w:szCs w:val="21"/>
                <w:highlight w:val="none"/>
                <w:lang w:val="zh-CN"/>
              </w:rPr>
            </w:pPr>
            <w:r>
              <w:rPr>
                <w:rFonts w:hint="eastAsia" w:hAnsi="宋体" w:cs="宋体"/>
                <w:color w:val="auto"/>
                <w:szCs w:val="21"/>
                <w:highlight w:val="none"/>
                <w:lang w:val="zh-CN"/>
              </w:rPr>
              <w:t>供应商应自行承担参加投标活动有关的全部费用，招标人和招标代理机构在任何情况下均无义务和责任承担上述费用。</w:t>
            </w:r>
          </w:p>
        </w:tc>
      </w:tr>
      <w:tr w14:paraId="1529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996941">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7</w:t>
            </w:r>
          </w:p>
        </w:tc>
        <w:tc>
          <w:tcPr>
            <w:tcW w:w="2268" w:type="dxa"/>
            <w:vAlign w:val="center"/>
          </w:tcPr>
          <w:p w14:paraId="610BED4D">
            <w:pPr>
              <w:autoSpaceDE w:val="0"/>
              <w:autoSpaceDN w:val="0"/>
              <w:adjustRightInd w:val="0"/>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纪律和监督</w:t>
            </w:r>
          </w:p>
        </w:tc>
        <w:tc>
          <w:tcPr>
            <w:tcW w:w="6813" w:type="dxa"/>
            <w:vAlign w:val="center"/>
          </w:tcPr>
          <w:p w14:paraId="4EFAD321">
            <w:pPr>
              <w:spacing w:line="360" w:lineRule="auto"/>
              <w:rPr>
                <w:rFonts w:hAnsi="宋体" w:cs="宋体"/>
                <w:color w:val="auto"/>
                <w:szCs w:val="21"/>
                <w:highlight w:val="none"/>
                <w:lang w:val="zh-CN"/>
              </w:rPr>
            </w:pPr>
            <w:r>
              <w:rPr>
                <w:rFonts w:hint="eastAsia" w:hAnsi="宋体" w:cs="宋体"/>
                <w:color w:val="auto"/>
                <w:szCs w:val="21"/>
                <w:highlight w:val="none"/>
                <w:lang w:val="zh-CN"/>
              </w:rPr>
              <w:t>采购人或招标代理机构不得泄露招标投标活动中应当保密的情况和资料，不得与供应商串通损害国家利益、社会公共利益或者他人合法权益。</w:t>
            </w:r>
          </w:p>
        </w:tc>
      </w:tr>
      <w:tr w14:paraId="5098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11A46BF">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8</w:t>
            </w:r>
          </w:p>
        </w:tc>
        <w:tc>
          <w:tcPr>
            <w:tcW w:w="2268" w:type="dxa"/>
            <w:vAlign w:val="center"/>
          </w:tcPr>
          <w:p w14:paraId="049E490D">
            <w:pPr>
              <w:autoSpaceDE w:val="0"/>
              <w:autoSpaceDN w:val="0"/>
              <w:adjustRightInd w:val="0"/>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投标文件的拒收</w:t>
            </w:r>
          </w:p>
        </w:tc>
        <w:tc>
          <w:tcPr>
            <w:tcW w:w="6813" w:type="dxa"/>
            <w:vAlign w:val="center"/>
          </w:tcPr>
          <w:p w14:paraId="3800A824">
            <w:pPr>
              <w:autoSpaceDE w:val="0"/>
              <w:autoSpaceDN w:val="0"/>
              <w:adjustRightInd w:val="0"/>
              <w:spacing w:line="360" w:lineRule="auto"/>
              <w:contextualSpacing/>
              <w:rPr>
                <w:rFonts w:hAnsi="宋体" w:cs="宋体"/>
                <w:color w:val="auto"/>
                <w:szCs w:val="21"/>
                <w:highlight w:val="none"/>
                <w:lang w:val="zh-CN"/>
              </w:rPr>
            </w:pPr>
            <w:r>
              <w:rPr>
                <w:rFonts w:hint="eastAsia" w:hAnsi="宋体" w:cs="宋体"/>
                <w:color w:val="auto"/>
                <w:szCs w:val="21"/>
                <w:highlight w:val="none"/>
                <w:lang w:val="zh-CN"/>
              </w:rPr>
              <w:t>1、未成功上传的投标文件；</w:t>
            </w:r>
          </w:p>
          <w:p w14:paraId="17031BB5">
            <w:pPr>
              <w:autoSpaceDE w:val="0"/>
              <w:autoSpaceDN w:val="0"/>
              <w:adjustRightInd w:val="0"/>
              <w:spacing w:line="360" w:lineRule="auto"/>
              <w:contextualSpacing/>
              <w:rPr>
                <w:rFonts w:hAnsi="宋体" w:cs="宋体"/>
                <w:color w:val="auto"/>
                <w:szCs w:val="21"/>
                <w:highlight w:val="none"/>
                <w:lang w:val="zh-CN"/>
              </w:rPr>
            </w:pPr>
            <w:r>
              <w:rPr>
                <w:rFonts w:hint="eastAsia" w:hAnsi="宋体" w:cs="宋体"/>
                <w:color w:val="auto"/>
                <w:szCs w:val="21"/>
                <w:highlight w:val="none"/>
                <w:lang w:val="zh-CN"/>
              </w:rPr>
              <w:t>2、未进行解密或未按要求成功解密的投标文件。</w:t>
            </w:r>
          </w:p>
        </w:tc>
      </w:tr>
      <w:tr w14:paraId="169D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5B630C">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39</w:t>
            </w:r>
          </w:p>
        </w:tc>
        <w:tc>
          <w:tcPr>
            <w:tcW w:w="2268" w:type="dxa"/>
            <w:vAlign w:val="center"/>
          </w:tcPr>
          <w:p w14:paraId="2A44F095">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13" w:type="dxa"/>
            <w:vAlign w:val="center"/>
          </w:tcPr>
          <w:p w14:paraId="47A82C8E">
            <w:pPr>
              <w:autoSpaceDE w:val="0"/>
              <w:autoSpaceDN w:val="0"/>
              <w:adjustRightInd w:val="0"/>
              <w:spacing w:line="360" w:lineRule="auto"/>
              <w:contextualSpacing/>
              <w:rPr>
                <w:color w:val="auto"/>
                <w:highlight w:val="none"/>
              </w:rPr>
            </w:pPr>
            <w:r>
              <w:rPr>
                <w:rFonts w:hint="eastAsia"/>
                <w:color w:val="auto"/>
                <w:highlight w:val="none"/>
              </w:rPr>
              <w:t>1、按照《关于推进全流程电子化交易和在线监管工作有关问题的通知》（许公管办</w:t>
            </w:r>
            <w:r>
              <w:rPr>
                <w:rFonts w:hint="eastAsia"/>
                <w:color w:val="auto"/>
                <w:highlight w:val="none"/>
                <w:lang w:eastAsia="zh-CN"/>
              </w:rPr>
              <w:t>〔</w:t>
            </w:r>
            <w:r>
              <w:rPr>
                <w:rFonts w:hint="eastAsia"/>
                <w:color w:val="auto"/>
                <w:highlight w:val="none"/>
              </w:rPr>
              <w:t>2019</w:t>
            </w:r>
            <w:r>
              <w:rPr>
                <w:rFonts w:hint="eastAsia"/>
                <w:color w:val="auto"/>
                <w:highlight w:val="none"/>
                <w:lang w:eastAsia="zh-CN"/>
              </w:rPr>
              <w:t>〕</w:t>
            </w:r>
            <w:r>
              <w:rPr>
                <w:rFonts w:hint="eastAsia"/>
                <w:color w:val="auto"/>
                <w:highlight w:val="none"/>
              </w:rPr>
              <w:t>3号）规定：</w:t>
            </w:r>
          </w:p>
          <w:p w14:paraId="626C5061">
            <w:pPr>
              <w:autoSpaceDE w:val="0"/>
              <w:autoSpaceDN w:val="0"/>
              <w:adjustRightInd w:val="0"/>
              <w:spacing w:line="360" w:lineRule="auto"/>
              <w:contextualSpacing/>
              <w:rPr>
                <w:color w:val="auto"/>
                <w:highlight w:val="none"/>
              </w:rPr>
            </w:pPr>
            <w:r>
              <w:rPr>
                <w:rFonts w:hint="eastAsia"/>
                <w:color w:val="auto"/>
                <w:highlight w:val="none"/>
              </w:rPr>
              <w:t>不同供应商电子投标文件制作硬件特征码（网卡MAC地址、CPU序号、硬盘序列号）均一致时，视为‘</w:t>
            </w:r>
            <w:r>
              <w:rPr>
                <w:color w:val="auto"/>
                <w:highlight w:val="none"/>
              </w:rPr>
              <w:t>不同</w:t>
            </w:r>
            <w:r>
              <w:rPr>
                <w:rFonts w:hint="eastAsia"/>
                <w:color w:val="auto"/>
                <w:highlight w:val="none"/>
              </w:rPr>
              <w:t>投标人的投标</w:t>
            </w:r>
            <w:r>
              <w:rPr>
                <w:color w:val="auto"/>
                <w:highlight w:val="none"/>
              </w:rPr>
              <w:t>文件由同一单位或者个人编制</w:t>
            </w:r>
            <w:r>
              <w:rPr>
                <w:rFonts w:hint="eastAsia"/>
                <w:color w:val="auto"/>
                <w:highlight w:val="none"/>
              </w:rPr>
              <w:t>’或‘</w:t>
            </w:r>
            <w:r>
              <w:rPr>
                <w:color w:val="auto"/>
                <w:highlight w:val="none"/>
              </w:rPr>
              <w:t>不同</w:t>
            </w:r>
            <w:r>
              <w:rPr>
                <w:rFonts w:hint="eastAsia"/>
                <w:color w:val="auto"/>
                <w:highlight w:val="none"/>
              </w:rPr>
              <w:t>投标人</w:t>
            </w:r>
            <w:r>
              <w:rPr>
                <w:color w:val="auto"/>
                <w:highlight w:val="none"/>
              </w:rPr>
              <w:t>委托同一单位或者个人办理</w:t>
            </w:r>
            <w:r>
              <w:rPr>
                <w:rFonts w:hint="eastAsia"/>
                <w:color w:val="auto"/>
                <w:highlight w:val="none"/>
              </w:rPr>
              <w:t>投标</w:t>
            </w:r>
            <w:r>
              <w:rPr>
                <w:color w:val="auto"/>
                <w:highlight w:val="none"/>
              </w:rPr>
              <w:t>事宜</w:t>
            </w:r>
            <w:r>
              <w:rPr>
                <w:rFonts w:hint="eastAsia"/>
                <w:color w:val="auto"/>
                <w:highlight w:val="none"/>
              </w:rPr>
              <w:t>’，其投标无效。</w:t>
            </w:r>
          </w:p>
          <w:p w14:paraId="05E71ACE">
            <w:pPr>
              <w:autoSpaceDE w:val="0"/>
              <w:autoSpaceDN w:val="0"/>
              <w:adjustRightInd w:val="0"/>
              <w:spacing w:line="360" w:lineRule="auto"/>
              <w:contextualSpacing/>
              <w:rPr>
                <w:color w:val="auto"/>
                <w:highlight w:val="none"/>
              </w:rPr>
            </w:pPr>
            <w:r>
              <w:rPr>
                <w:rFonts w:hint="eastAsia"/>
                <w:color w:val="auto"/>
                <w:highlight w:val="none"/>
              </w:rPr>
              <w:t>评审专家应严格按照要求查看“硬件特征码” 相关信息并进行评审，在评审报告中显示“不同投标人电子投标文件制作硬件特征码”是否雷同的分析及判定结果。</w:t>
            </w:r>
          </w:p>
          <w:p w14:paraId="30C0E04D">
            <w:pPr>
              <w:pStyle w:val="14"/>
              <w:rPr>
                <w:color w:val="auto"/>
                <w:highlight w:val="none"/>
                <w:lang w:val="zh-CN"/>
              </w:rPr>
            </w:pPr>
            <w:r>
              <w:rPr>
                <w:rFonts w:hint="eastAsia"/>
                <w:color w:val="auto"/>
                <w:highlight w:val="none"/>
              </w:rPr>
              <w:t>2、</w:t>
            </w:r>
            <w:r>
              <w:rPr>
                <w:rFonts w:hint="eastAsia"/>
                <w:color w:val="auto"/>
                <w:highlight w:val="none"/>
                <w:lang w:val="zh-CN"/>
              </w:rPr>
              <w:t>项目编号以本项目招标文件项目编号为准。</w:t>
            </w:r>
          </w:p>
          <w:p w14:paraId="78490683">
            <w:pPr>
              <w:pStyle w:val="14"/>
              <w:rPr>
                <w:color w:val="auto"/>
                <w:highlight w:val="none"/>
                <w:lang w:val="zh-CN"/>
              </w:rPr>
            </w:pPr>
            <w:r>
              <w:rPr>
                <w:rFonts w:hint="eastAsia"/>
                <w:color w:val="auto"/>
                <w:highlight w:val="none"/>
              </w:rPr>
              <w:t>3、</w:t>
            </w:r>
            <w:r>
              <w:rPr>
                <w:rFonts w:hint="eastAsia"/>
                <w:color w:val="auto"/>
                <w:highlight w:val="none"/>
                <w:lang w:val="zh-CN"/>
              </w:rPr>
              <w:t>投标文件格式的先后顺序不作为废标项。</w:t>
            </w:r>
          </w:p>
        </w:tc>
      </w:tr>
      <w:tr w14:paraId="039C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55F2FF">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40</w:t>
            </w:r>
          </w:p>
        </w:tc>
        <w:tc>
          <w:tcPr>
            <w:tcW w:w="2268" w:type="dxa"/>
            <w:vAlign w:val="center"/>
          </w:tcPr>
          <w:p w14:paraId="6957844D">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供应商资格核验</w:t>
            </w:r>
          </w:p>
        </w:tc>
        <w:tc>
          <w:tcPr>
            <w:tcW w:w="6813" w:type="dxa"/>
            <w:vAlign w:val="center"/>
          </w:tcPr>
          <w:p w14:paraId="3C7DAD5B">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供应商在成交后，应将由《禹州市政府采购供应商信用承诺函》替代的证明材料提交采购人核验，经核验无误后，采购人发出成交通知书。</w:t>
            </w:r>
          </w:p>
          <w:p w14:paraId="7C4ED4CD">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一、</w:t>
            </w:r>
            <w:r>
              <w:rPr>
                <w:rFonts w:cs="宋体" w:asciiTheme="minorEastAsia" w:hAnsiTheme="minorEastAsia"/>
                <w:b/>
                <w:bCs/>
                <w:color w:val="auto"/>
                <w:szCs w:val="21"/>
                <w:highlight w:val="none"/>
                <w:lang w:val="zh-CN"/>
              </w:rPr>
              <w:t>法人或者其他组织的营业执照等证明文件，自然人的身份证明</w:t>
            </w:r>
          </w:p>
          <w:p w14:paraId="7D380EDC">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1、企业法人营业执照或营业执照。（企业提供）</w:t>
            </w:r>
          </w:p>
          <w:p w14:paraId="70F31671">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2、事业单位法人证书。（事业单位提供）</w:t>
            </w:r>
          </w:p>
          <w:p w14:paraId="2426291A">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3、执业许可证。（非企业专业服务机构提供）</w:t>
            </w:r>
          </w:p>
          <w:p w14:paraId="2666D629">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4、个体工商户营业执照。（个体工商户提供）</w:t>
            </w:r>
          </w:p>
          <w:p w14:paraId="0C2BFFC0">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5、自然人身份证明。（自然人提供）</w:t>
            </w:r>
          </w:p>
          <w:p w14:paraId="6E1B08D7">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6、民办非企业单位登记证书。（民办非企业单位提供）</w:t>
            </w:r>
          </w:p>
          <w:p w14:paraId="60DABE79">
            <w:pPr>
              <w:autoSpaceDE w:val="0"/>
              <w:autoSpaceDN w:val="0"/>
              <w:adjustRightInd w:val="0"/>
              <w:spacing w:line="360" w:lineRule="auto"/>
              <w:jc w:val="left"/>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二、财务状况报告相关材料</w:t>
            </w:r>
          </w:p>
          <w:p w14:paraId="194BB22B">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（1）供应商是法人（法人包括企业法人、机关法人、事业单位法人和社会团体法人），提供本单位：</w:t>
            </w:r>
          </w:p>
          <w:p w14:paraId="298FE015">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Cs/>
                <w:color w:val="auto"/>
                <w:szCs w:val="21"/>
                <w:highlight w:val="none"/>
                <w:lang w:val="en-US" w:eastAsia="zh-CN"/>
              </w:rPr>
              <w:t>2023年度</w:t>
            </w:r>
            <w:r>
              <w:rPr>
                <w:rFonts w:hint="eastAsia" w:asciiTheme="minorEastAsia" w:hAnsiTheme="minorEastAsia"/>
                <w:bCs/>
                <w:color w:val="auto"/>
                <w:szCs w:val="21"/>
                <w:highlight w:val="none"/>
              </w:rPr>
              <w:t>经审计的财务报告，包括资产负债表、利润表、现金流量表、所有者权益变动表及其附注；</w:t>
            </w:r>
          </w:p>
          <w:p w14:paraId="6B03B5A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②基本开户银行出具的资信证明；</w:t>
            </w:r>
          </w:p>
          <w:p w14:paraId="58870C90">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38326E37">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注：仅需提供序号①～③其中之一即可。</w:t>
            </w:r>
          </w:p>
          <w:p w14:paraId="6EDFFE2C">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（2）供应商（其他组织和自然人）提供本单位：</w:t>
            </w:r>
          </w:p>
          <w:p w14:paraId="494AC5FE">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Cs/>
                <w:color w:val="auto"/>
                <w:szCs w:val="21"/>
                <w:highlight w:val="none"/>
                <w:lang w:val="en-US" w:eastAsia="zh-CN"/>
              </w:rPr>
              <w:t>2023年度</w:t>
            </w:r>
            <w:r>
              <w:rPr>
                <w:rFonts w:hint="eastAsia" w:asciiTheme="minorEastAsia" w:hAnsiTheme="minorEastAsia"/>
                <w:bCs/>
                <w:color w:val="auto"/>
                <w:szCs w:val="21"/>
                <w:highlight w:val="none"/>
              </w:rPr>
              <w:t>经审计的财务报告，包括资产负债表、利润表、现金流量表、所有者权益变动表及其附注；</w:t>
            </w:r>
          </w:p>
          <w:p w14:paraId="3D7AA04F">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②银行出具的资信证明；</w:t>
            </w:r>
          </w:p>
          <w:p w14:paraId="53D0F610">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4A7917F6">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注：仅需提供序号①～③其中之一即可。</w:t>
            </w:r>
          </w:p>
          <w:p w14:paraId="2E1A2C38">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仿宋_GB2312" w:asciiTheme="minorEastAsia" w:hAnsiTheme="minorEastAsia"/>
                <w:b/>
                <w:color w:val="auto"/>
                <w:szCs w:val="21"/>
                <w:highlight w:val="none"/>
              </w:rPr>
              <w:t>三、依法缴纳税收相关材料</w:t>
            </w:r>
          </w:p>
          <w:p w14:paraId="24CA6312">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参加本次政府采购项目投标截止时间前一年内任意一个月缴纳税收凭据。（依法免税的供应商，应提供相应文件证明依法免税）</w:t>
            </w:r>
          </w:p>
          <w:p w14:paraId="4949EDA1">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四、依法缴纳社会保障资金的证明材料</w:t>
            </w:r>
          </w:p>
          <w:p w14:paraId="08D9274D">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参加本次政府采购项目投标截止时间前一年内任意一个月缴纳社会保险凭据。（依法不需要缴纳社会保障资金的供应商，应提供相应文件证明依法不需要缴纳社会保障资金）</w:t>
            </w:r>
          </w:p>
          <w:p w14:paraId="41838CAF">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五、履行合同所必</w:t>
            </w:r>
            <w:r>
              <w:rPr>
                <w:rFonts w:hint="eastAsia" w:cs="宋体" w:asciiTheme="minorEastAsia" w:hAnsiTheme="minorEastAsia"/>
                <w:b/>
                <w:bCs/>
                <w:color w:val="auto"/>
                <w:szCs w:val="21"/>
                <w:highlight w:val="none"/>
                <w:lang w:val="en-US" w:eastAsia="zh-CN"/>
              </w:rPr>
              <w:t>需</w:t>
            </w:r>
            <w:r>
              <w:rPr>
                <w:rFonts w:hint="eastAsia" w:cs="宋体" w:asciiTheme="minorEastAsia" w:hAnsiTheme="minorEastAsia"/>
                <w:b/>
                <w:bCs/>
                <w:color w:val="auto"/>
                <w:szCs w:val="21"/>
                <w:highlight w:val="none"/>
                <w:lang w:val="zh-CN"/>
              </w:rPr>
              <w:t>的设备和专业技术能力的证明材料</w:t>
            </w:r>
          </w:p>
          <w:p w14:paraId="58A34610">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①相关设备的购置发票、专业技术人员职称证书、用工合同等；</w:t>
            </w:r>
          </w:p>
          <w:p w14:paraId="13E0E2FE">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②供应商具备履行合同所必</w:t>
            </w:r>
            <w:r>
              <w:rPr>
                <w:rFonts w:hint="eastAsia" w:asciiTheme="minorEastAsia" w:hAnsiTheme="minorEastAsia"/>
                <w:bCs/>
                <w:color w:val="auto"/>
                <w:szCs w:val="21"/>
                <w:highlight w:val="none"/>
                <w:lang w:val="en-US" w:eastAsia="zh-CN"/>
              </w:rPr>
              <w:t>需</w:t>
            </w:r>
            <w:r>
              <w:rPr>
                <w:rFonts w:hint="eastAsia" w:asciiTheme="minorEastAsia" w:hAnsiTheme="minorEastAsia"/>
                <w:bCs/>
                <w:color w:val="auto"/>
                <w:szCs w:val="21"/>
                <w:highlight w:val="none"/>
              </w:rPr>
              <w:t>的设备和专业技术能力承诺函或声明（承诺函或声明格式自拟）。</w:t>
            </w:r>
          </w:p>
          <w:p w14:paraId="36B705A2">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注：仅需提供序号①～②其中之一即可。</w:t>
            </w:r>
          </w:p>
          <w:p w14:paraId="21F2A2B5">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color w:val="auto"/>
                <w:kern w:val="0"/>
                <w:szCs w:val="21"/>
                <w:highlight w:val="none"/>
              </w:rPr>
              <w:t>六、</w:t>
            </w:r>
            <w:r>
              <w:rPr>
                <w:rFonts w:cs="宋体" w:asciiTheme="minorEastAsia" w:hAnsiTheme="minorEastAsia"/>
                <w:b/>
                <w:bCs/>
                <w:color w:val="auto"/>
                <w:szCs w:val="21"/>
                <w:highlight w:val="none"/>
                <w:lang w:val="zh-CN"/>
              </w:rPr>
              <w:t>参加政府采购活动前3年内在经营活动中没有重大违法记录的声明</w:t>
            </w:r>
          </w:p>
          <w:p w14:paraId="573278ED">
            <w:pPr>
              <w:autoSpaceDE w:val="0"/>
              <w:autoSpaceDN w:val="0"/>
              <w:spacing w:line="360" w:lineRule="auto"/>
              <w:contextualSpacing/>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供应商“</w:t>
            </w:r>
            <w:r>
              <w:rPr>
                <w:rFonts w:cs="宋体" w:asciiTheme="minorEastAsia" w:hAnsiTheme="minorEastAsia"/>
                <w:bCs/>
                <w:color w:val="auto"/>
                <w:szCs w:val="21"/>
                <w:highlight w:val="none"/>
                <w:lang w:val="zh-CN"/>
              </w:rPr>
              <w:t>参加政府采购活动前3年内在经营活动中没有重大违法记录的书面声明</w:t>
            </w:r>
            <w:r>
              <w:rPr>
                <w:rFonts w:hint="eastAsia" w:cs="宋体" w:asciiTheme="minorEastAsia" w:hAnsiTheme="minorEastAsia"/>
                <w:bCs/>
                <w:color w:val="auto"/>
                <w:szCs w:val="21"/>
                <w:highlight w:val="none"/>
                <w:lang w:val="zh-CN"/>
              </w:rPr>
              <w:t>”。 重大违法记录，是指供应商因违法经营受到刑事处罚或者责令停产停业、吊销许可证或者执照、较大数额罚款等行政处罚。</w:t>
            </w:r>
          </w:p>
          <w:p w14:paraId="0C42CA39">
            <w:pPr>
              <w:wordWrap w:val="0"/>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b/>
                <w:bCs/>
                <w:color w:val="auto"/>
                <w:szCs w:val="21"/>
                <w:highlight w:val="none"/>
                <w:lang w:val="zh-CN"/>
              </w:rPr>
              <w:t>七、</w:t>
            </w:r>
            <w:r>
              <w:rPr>
                <w:rFonts w:cs="仿宋_GB2312" w:asciiTheme="minorEastAsia" w:hAnsiTheme="minorEastAsia"/>
                <w:b/>
                <w:color w:val="auto"/>
                <w:szCs w:val="21"/>
                <w:highlight w:val="none"/>
                <w:shd w:val="clear" w:color="auto" w:fill="FFFFFF"/>
              </w:rPr>
              <w:t>未被列入“信用中国”网站</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www.creditchina.gov.cn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失信被执行人、重大税收违法失信主体的</w:t>
            </w:r>
            <w:r>
              <w:rPr>
                <w:rFonts w:hint="eastAsia" w:cs="仿宋_GB2312" w:asciiTheme="minorEastAsia" w:hAnsiTheme="minorEastAsia"/>
                <w:b/>
                <w:color w:val="auto"/>
                <w:szCs w:val="21"/>
                <w:highlight w:val="none"/>
                <w:shd w:val="clear" w:color="auto" w:fill="FFFFFF"/>
              </w:rPr>
              <w:t>供应商</w:t>
            </w:r>
            <w:r>
              <w:rPr>
                <w:rFonts w:cs="仿宋_GB2312" w:asciiTheme="minorEastAsia" w:hAnsiTheme="minorEastAsia"/>
                <w:b/>
                <w:color w:val="auto"/>
                <w:szCs w:val="21"/>
                <w:highlight w:val="none"/>
                <w:shd w:val="clear" w:color="auto" w:fill="FFFFFF"/>
              </w:rPr>
              <w:t>；</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中国政府采购网</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 xml:space="preserve"> (www.ccgp.gov.cn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政府采购严重违法失信行为记录名单的</w:t>
            </w:r>
            <w:r>
              <w:rPr>
                <w:rFonts w:hint="eastAsia" w:cs="仿宋_GB2312" w:asciiTheme="minorEastAsia" w:hAnsiTheme="minorEastAsia"/>
                <w:b/>
                <w:color w:val="auto"/>
                <w:szCs w:val="21"/>
                <w:highlight w:val="none"/>
                <w:shd w:val="clear" w:color="auto" w:fill="FFFFFF"/>
              </w:rPr>
              <w:t>供应商</w:t>
            </w:r>
            <w:r>
              <w:rPr>
                <w:rFonts w:hint="eastAsia" w:cs="宋体" w:asciiTheme="minorEastAsia" w:hAnsiTheme="minorEastAsia"/>
                <w:b/>
                <w:bCs/>
                <w:color w:val="auto"/>
                <w:szCs w:val="21"/>
                <w:highlight w:val="none"/>
                <w:lang w:val="zh-CN"/>
              </w:rPr>
              <w:t>；</w:t>
            </w:r>
            <w:r>
              <w:rPr>
                <w:rFonts w:hint="eastAsia" w:cs="仿宋_GB2312" w:asciiTheme="minorEastAsia" w:hAnsiTheme="minorEastAsia"/>
                <w:b/>
                <w:color w:val="auto"/>
                <w:szCs w:val="21"/>
                <w:highlight w:val="none"/>
                <w:shd w:val="clear" w:color="auto" w:fill="FFFFFF"/>
              </w:rPr>
              <w:t xml:space="preserve"> “中国社会组织政务服务平台”网站（</w:t>
            </w:r>
            <w:r>
              <w:rPr>
                <w:rFonts w:cs="仿宋_GB2312" w:asciiTheme="minorEastAsia" w:hAnsiTheme="minorEastAsia"/>
                <w:b/>
                <w:color w:val="auto"/>
                <w:szCs w:val="21"/>
                <w:highlight w:val="none"/>
                <w:shd w:val="clear" w:color="auto" w:fill="FFFFFF"/>
              </w:rPr>
              <w:t>https://chinanpo.mca.gov.cn</w:t>
            </w:r>
            <w:r>
              <w:rPr>
                <w:rFonts w:hint="eastAsia" w:cs="仿宋_GB2312" w:asciiTheme="minorEastAsia" w:hAnsiTheme="minorEastAsia"/>
                <w:b/>
                <w:color w:val="auto"/>
                <w:szCs w:val="21"/>
                <w:highlight w:val="none"/>
                <w:shd w:val="clear" w:color="auto" w:fill="FFFFFF"/>
              </w:rPr>
              <w:t>）严重违法失信社会组织名单的供应商</w:t>
            </w:r>
            <w:r>
              <w:rPr>
                <w:rFonts w:hint="eastAsia" w:cs="仿宋_GB2312" w:asciiTheme="minorEastAsia" w:hAnsiTheme="minorEastAsia"/>
                <w:b/>
                <w:color w:val="auto"/>
                <w:szCs w:val="21"/>
                <w:highlight w:val="none"/>
                <w:shd w:val="clear" w:color="auto" w:fill="FFFFFF"/>
                <w:lang w:eastAsia="zh-CN"/>
              </w:rPr>
              <w:t>（以</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79ABFDB5">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1、查询渠道：</w:t>
            </w:r>
          </w:p>
          <w:p w14:paraId="11CEEB71">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s="宋体"/>
                <w:color w:val="auto"/>
                <w:kern w:val="0"/>
                <w:highlight w:val="none"/>
              </w:rPr>
              <w:t>www.creditchina.gov.cn</w:t>
            </w:r>
            <w:r>
              <w:rPr>
                <w:rFonts w:hint="eastAsia" w:cs="宋体"/>
                <w:color w:val="auto"/>
                <w:kern w:val="0"/>
                <w:highlight w:val="none"/>
              </w:rPr>
              <w:fldChar w:fldCharType="end"/>
            </w:r>
            <w:r>
              <w:rPr>
                <w:rFonts w:hint="eastAsia" w:cs="宋体" w:asciiTheme="minorEastAsia" w:hAnsiTheme="minorEastAsia"/>
                <w:color w:val="auto"/>
                <w:kern w:val="0"/>
                <w:szCs w:val="21"/>
                <w:highlight w:val="none"/>
              </w:rPr>
              <w:t>）</w:t>
            </w:r>
          </w:p>
          <w:p w14:paraId="0EC96B2B">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②“中国政府采购网”（www.ccgp.gov.cn）</w:t>
            </w:r>
          </w:p>
          <w:p w14:paraId="63102002">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③“中国社会组织政务服务平台”网站（</w:t>
            </w:r>
            <w:r>
              <w:rPr>
                <w:rFonts w:cs="宋体" w:asciiTheme="minorEastAsia" w:hAnsiTheme="minorEastAsia"/>
                <w:color w:val="auto"/>
                <w:kern w:val="0"/>
                <w:szCs w:val="21"/>
                <w:highlight w:val="none"/>
              </w:rPr>
              <w:t>https://chinanpo.mca.gov.cn</w:t>
            </w:r>
            <w:r>
              <w:rPr>
                <w:rFonts w:hint="eastAsia" w:cs="宋体" w:asciiTheme="minorEastAsia" w:hAnsiTheme="minorEastAsia"/>
                <w:color w:val="auto"/>
                <w:kern w:val="0"/>
                <w:szCs w:val="21"/>
                <w:highlight w:val="none"/>
              </w:rPr>
              <w:t>）（仅查询社会组织）；</w:t>
            </w:r>
          </w:p>
        </w:tc>
      </w:tr>
      <w:tr w14:paraId="1887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981745A">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41</w:t>
            </w:r>
          </w:p>
        </w:tc>
        <w:tc>
          <w:tcPr>
            <w:tcW w:w="2268" w:type="dxa"/>
            <w:vAlign w:val="center"/>
          </w:tcPr>
          <w:p w14:paraId="1C2E5C4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6813" w:type="dxa"/>
            <w:vAlign w:val="center"/>
          </w:tcPr>
          <w:p w14:paraId="64CB243C">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 按照《政府采购质疑和投诉办法》的有关规定，已质疑的供应商可以依法向财政部门提起书面投诉。</w:t>
            </w:r>
          </w:p>
          <w:p w14:paraId="1FB8BE95">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1EA3C40A">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7CE054F7">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4A5F35EA">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通讯地址：禹州市行政北路2号禹州市财政局1305房间</w:t>
            </w:r>
          </w:p>
        </w:tc>
      </w:tr>
    </w:tbl>
    <w:p w14:paraId="4ED96C45">
      <w:pPr>
        <w:pStyle w:val="39"/>
        <w:rPr>
          <w:color w:val="auto"/>
          <w:highlight w:val="none"/>
        </w:rPr>
      </w:pPr>
    </w:p>
    <w:p w14:paraId="3A52AFF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7C7CFDD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A90239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68D86F5">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color w:val="auto"/>
          <w:kern w:val="0"/>
          <w:sz w:val="32"/>
          <w:szCs w:val="32"/>
          <w:highlight w:val="none"/>
        </w:rPr>
      </w:pPr>
    </w:p>
    <w:p w14:paraId="4617E312">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 投标人须知</w:t>
      </w:r>
    </w:p>
    <w:p w14:paraId="2A368039">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6D9E17C8">
      <w:pPr>
        <w:pStyle w:val="59"/>
        <w:numPr>
          <w:ilvl w:val="0"/>
          <w:numId w:val="9"/>
        </w:numPr>
        <w:autoSpaceDE w:val="0"/>
        <w:autoSpaceDN w:val="0"/>
        <w:spacing w:line="360" w:lineRule="auto"/>
        <w:ind w:firstLineChars="0"/>
        <w:contextualSpacing/>
        <w:rPr>
          <w:rFonts w:ascii="宋体" w:cs="宋体"/>
          <w:b/>
          <w:color w:val="auto"/>
          <w:kern w:val="0"/>
          <w:szCs w:val="21"/>
          <w:highlight w:val="none"/>
        </w:rPr>
      </w:pPr>
      <w:r>
        <w:rPr>
          <w:rFonts w:hint="eastAsia" w:ascii="宋体" w:hAnsi="宋体" w:cs="宋体"/>
          <w:b/>
          <w:color w:val="auto"/>
          <w:kern w:val="0"/>
          <w:szCs w:val="21"/>
          <w:highlight w:val="none"/>
        </w:rPr>
        <w:t>适用范围</w:t>
      </w:r>
    </w:p>
    <w:p w14:paraId="17B1BF23">
      <w:pPr>
        <w:pStyle w:val="59"/>
        <w:numPr>
          <w:ilvl w:val="0"/>
          <w:numId w:val="10"/>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本招标文件仅适用于本次“投标邀请”中所述采购项目。</w:t>
      </w:r>
    </w:p>
    <w:p w14:paraId="43D145A6">
      <w:pPr>
        <w:pStyle w:val="59"/>
        <w:numPr>
          <w:ilvl w:val="1"/>
          <w:numId w:val="9"/>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本招标文件解释权属于“投标邀请”所述的采购人。</w:t>
      </w:r>
    </w:p>
    <w:p w14:paraId="43D7CD1B">
      <w:pPr>
        <w:pStyle w:val="59"/>
        <w:numPr>
          <w:ilvl w:val="0"/>
          <w:numId w:val="9"/>
        </w:numPr>
        <w:autoSpaceDE w:val="0"/>
        <w:autoSpaceDN w:val="0"/>
        <w:spacing w:line="360" w:lineRule="auto"/>
        <w:ind w:firstLineChars="0"/>
        <w:contextualSpacing/>
        <w:rPr>
          <w:rFonts w:ascii="宋体" w:cs="宋体"/>
          <w:b/>
          <w:color w:val="auto"/>
          <w:kern w:val="0"/>
          <w:szCs w:val="21"/>
          <w:highlight w:val="none"/>
        </w:rPr>
      </w:pPr>
      <w:r>
        <w:rPr>
          <w:rFonts w:hint="eastAsia" w:ascii="宋体" w:hAnsi="宋体" w:cs="宋体"/>
          <w:b/>
          <w:color w:val="auto"/>
          <w:kern w:val="0"/>
          <w:szCs w:val="21"/>
          <w:highlight w:val="none"/>
        </w:rPr>
        <w:t>定义</w:t>
      </w:r>
    </w:p>
    <w:p w14:paraId="235A03A6">
      <w:pPr>
        <w:pStyle w:val="59"/>
        <w:numPr>
          <w:ilvl w:val="0"/>
          <w:numId w:val="10"/>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“采购项目”：“投标人须知前附表”中所述的采购项目。</w:t>
      </w:r>
    </w:p>
    <w:p w14:paraId="24124D65">
      <w:pPr>
        <w:pStyle w:val="59"/>
        <w:numPr>
          <w:ilvl w:val="1"/>
          <w:numId w:val="9"/>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“招标人”：“投标人须知前附表”中所述的组织本次招标的代理机构和采购人。</w:t>
      </w:r>
    </w:p>
    <w:p w14:paraId="059B7EB9">
      <w:pPr>
        <w:pStyle w:val="59"/>
        <w:numPr>
          <w:ilvl w:val="1"/>
          <w:numId w:val="9"/>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“采购人”：是指依法进行政府采购的国家机关、事业单位、团体组织。采购人名</w:t>
      </w:r>
    </w:p>
    <w:p w14:paraId="6FBD9E36">
      <w:pPr>
        <w:pStyle w:val="59"/>
        <w:numPr>
          <w:numId w:val="0"/>
        </w:numPr>
        <w:autoSpaceDE w:val="0"/>
        <w:autoSpaceDN w:val="0"/>
        <w:spacing w:line="360" w:lineRule="auto"/>
        <w:contextualSpacing/>
        <w:rPr>
          <w:rFonts w:ascii="宋体" w:cs="宋体"/>
          <w:color w:val="auto"/>
          <w:kern w:val="0"/>
          <w:szCs w:val="21"/>
          <w:highlight w:val="none"/>
        </w:rPr>
      </w:pPr>
      <w:r>
        <w:rPr>
          <w:rFonts w:hint="eastAsia" w:ascii="宋体" w:hAnsi="宋体" w:cs="宋体"/>
          <w:color w:val="auto"/>
          <w:kern w:val="0"/>
          <w:szCs w:val="21"/>
          <w:highlight w:val="none"/>
        </w:rPr>
        <w:t>称、地址、电话、联系人见“投标人须知前附表”。</w:t>
      </w:r>
    </w:p>
    <w:p w14:paraId="2E2550A4">
      <w:pPr>
        <w:pStyle w:val="59"/>
        <w:numPr>
          <w:ilvl w:val="1"/>
          <w:numId w:val="9"/>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“代理机构”：接受采购人委托，代理采购项目的采购代理机构。代理机构名称、</w:t>
      </w:r>
    </w:p>
    <w:p w14:paraId="6E15B76B">
      <w:pPr>
        <w:pStyle w:val="59"/>
        <w:numPr>
          <w:numId w:val="0"/>
        </w:numPr>
        <w:autoSpaceDE w:val="0"/>
        <w:autoSpaceDN w:val="0"/>
        <w:spacing w:line="360" w:lineRule="auto"/>
        <w:contextualSpacing/>
        <w:rPr>
          <w:rFonts w:ascii="宋体" w:cs="宋体"/>
          <w:color w:val="auto"/>
          <w:kern w:val="0"/>
          <w:szCs w:val="21"/>
          <w:highlight w:val="none"/>
        </w:rPr>
      </w:pPr>
      <w:r>
        <w:rPr>
          <w:rFonts w:hint="eastAsia" w:ascii="宋体" w:hAnsi="宋体" w:cs="宋体"/>
          <w:color w:val="auto"/>
          <w:kern w:val="0"/>
          <w:szCs w:val="21"/>
          <w:highlight w:val="none"/>
        </w:rPr>
        <w:t>地址、电话、联系人见“投标人须知前附表”。</w:t>
      </w:r>
    </w:p>
    <w:p w14:paraId="1142C151">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采购代理机构及其分支机构不得在所代理的采购项目中投标或者代理投标，不得为所代理</w:t>
      </w:r>
    </w:p>
    <w:p w14:paraId="69FA12E2">
      <w:pPr>
        <w:autoSpaceDE w:val="0"/>
        <w:autoSpaceDN w:val="0"/>
        <w:spacing w:line="360" w:lineRule="auto"/>
        <w:contextualSpacing/>
        <w:rPr>
          <w:rFonts w:ascii="宋体" w:cs="宋体"/>
          <w:color w:val="auto"/>
          <w:kern w:val="0"/>
          <w:szCs w:val="21"/>
          <w:highlight w:val="none"/>
        </w:rPr>
      </w:pPr>
      <w:r>
        <w:rPr>
          <w:rFonts w:hint="eastAsia" w:ascii="宋体" w:hAnsi="宋体" w:cs="宋体"/>
          <w:color w:val="auto"/>
          <w:kern w:val="0"/>
          <w:szCs w:val="21"/>
          <w:highlight w:val="none"/>
        </w:rPr>
        <w:t>的采购项目的投标人参加本项目提供投标咨询。</w:t>
      </w:r>
    </w:p>
    <w:p w14:paraId="36B89571">
      <w:pPr>
        <w:pStyle w:val="59"/>
        <w:numPr>
          <w:ilvl w:val="1"/>
          <w:numId w:val="9"/>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“潜在投标人”指符合《中华人民共和国政府采购法》及相关法律法规和本招标文</w:t>
      </w:r>
    </w:p>
    <w:p w14:paraId="049BAF69">
      <w:pPr>
        <w:pStyle w:val="59"/>
        <w:numPr>
          <w:numId w:val="0"/>
        </w:numPr>
        <w:autoSpaceDE w:val="0"/>
        <w:autoSpaceDN w:val="0"/>
        <w:spacing w:line="360" w:lineRule="auto"/>
        <w:contextualSpacing/>
        <w:rPr>
          <w:rFonts w:ascii="宋体" w:cs="宋体"/>
          <w:color w:val="auto"/>
          <w:kern w:val="0"/>
          <w:szCs w:val="21"/>
          <w:highlight w:val="none"/>
        </w:rPr>
      </w:pPr>
      <w:r>
        <w:rPr>
          <w:rFonts w:hint="eastAsia" w:ascii="宋体" w:hAnsi="宋体" w:cs="宋体"/>
          <w:color w:val="auto"/>
          <w:kern w:val="0"/>
          <w:szCs w:val="21"/>
          <w:highlight w:val="none"/>
        </w:rPr>
        <w:t>件的各项规定，且按照本项目招标公告及招标文件规定的方式获取招标文件的法人、其他组织或者自然人。</w:t>
      </w:r>
    </w:p>
    <w:p w14:paraId="0296D7A5">
      <w:pPr>
        <w:pStyle w:val="59"/>
        <w:numPr>
          <w:ilvl w:val="1"/>
          <w:numId w:val="9"/>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“投标人”：是指符合《中华人民共和国政府采购法》及相关法律法规和本招标文</w:t>
      </w:r>
    </w:p>
    <w:p w14:paraId="5FAE6EE3">
      <w:pPr>
        <w:pStyle w:val="59"/>
        <w:numPr>
          <w:numId w:val="0"/>
        </w:numPr>
        <w:autoSpaceDE w:val="0"/>
        <w:autoSpaceDN w:val="0"/>
        <w:spacing w:line="360" w:lineRule="auto"/>
        <w:contextualSpacing/>
        <w:rPr>
          <w:rFonts w:ascii="宋体" w:cs="宋体"/>
          <w:color w:val="auto"/>
          <w:kern w:val="0"/>
          <w:szCs w:val="21"/>
          <w:highlight w:val="none"/>
        </w:rPr>
      </w:pPr>
      <w:r>
        <w:rPr>
          <w:rFonts w:hint="eastAsia" w:ascii="宋体" w:hAnsi="宋体" w:cs="宋体"/>
          <w:color w:val="auto"/>
          <w:kern w:val="0"/>
          <w:szCs w:val="21"/>
          <w:highlight w:val="none"/>
        </w:rPr>
        <w:t>件的各项规定，响应招标、参加投标竞争，从招标人处按规定获取招标文件，并按照招标文件要求向招标人提交投标文件的法人、其他组织或者自然人。</w:t>
      </w:r>
    </w:p>
    <w:p w14:paraId="6BA4BBED">
      <w:pPr>
        <w:pStyle w:val="59"/>
        <w:numPr>
          <w:ilvl w:val="1"/>
          <w:numId w:val="9"/>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“进口产品”：是指通过中国海关报关验放进入中国境内且产自关境外的产品，包</w:t>
      </w:r>
    </w:p>
    <w:p w14:paraId="0B4577A5">
      <w:pPr>
        <w:pStyle w:val="59"/>
        <w:numPr>
          <w:numId w:val="0"/>
        </w:numPr>
        <w:autoSpaceDE w:val="0"/>
        <w:autoSpaceDN w:val="0"/>
        <w:spacing w:line="360" w:lineRule="auto"/>
        <w:contextualSpacing/>
        <w:rPr>
          <w:rFonts w:ascii="宋体" w:cs="宋体"/>
          <w:color w:val="auto"/>
          <w:kern w:val="0"/>
          <w:szCs w:val="21"/>
          <w:highlight w:val="none"/>
        </w:rPr>
      </w:pPr>
      <w:r>
        <w:rPr>
          <w:rFonts w:hint="eastAsia" w:ascii="宋体" w:hAnsi="宋体" w:cs="宋体"/>
          <w:color w:val="auto"/>
          <w:kern w:val="0"/>
          <w:szCs w:val="21"/>
          <w:highlight w:val="none"/>
        </w:rPr>
        <w:t>括已经进入中国境内的进口产品。详见《关于政府采购进口产品管理有关问题的通知》</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财库</w:t>
      </w:r>
      <w:r>
        <w:rPr>
          <w:rFonts w:ascii="宋体" w:hAnsi="宋体" w:cs="宋体"/>
          <w:color w:val="auto"/>
          <w:kern w:val="0"/>
          <w:szCs w:val="21"/>
          <w:highlight w:val="none"/>
        </w:rPr>
        <w:t>[2007]119</w:t>
      </w:r>
      <w:r>
        <w:rPr>
          <w:rFonts w:hint="eastAsia" w:ascii="宋体" w:hAnsi="宋体" w:cs="宋体"/>
          <w:color w:val="auto"/>
          <w:kern w:val="0"/>
          <w:szCs w:val="21"/>
          <w:highlight w:val="none"/>
        </w:rPr>
        <w:t>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、《关于政府采购进口产品管理有关问题的通知》（财办库</w:t>
      </w:r>
      <w:r>
        <w:rPr>
          <w:rFonts w:hint="eastAsia" w:ascii="宋体" w:hAnsi="宋体" w:cs="宋体"/>
          <w:color w:val="auto"/>
          <w:kern w:val="0"/>
          <w:szCs w:val="21"/>
          <w:highlight w:val="none"/>
          <w:lang w:eastAsia="zh-CN"/>
        </w:rPr>
        <w:t>〔2008〕</w:t>
      </w:r>
      <w:r>
        <w:rPr>
          <w:rFonts w:ascii="宋体" w:hAnsi="宋体" w:cs="宋体"/>
          <w:color w:val="auto"/>
          <w:kern w:val="0"/>
          <w:szCs w:val="21"/>
          <w:highlight w:val="none"/>
        </w:rPr>
        <w:t xml:space="preserve">248 </w:t>
      </w:r>
      <w:r>
        <w:rPr>
          <w:rFonts w:hint="eastAsia" w:ascii="宋体" w:hAnsi="宋体" w:cs="宋体"/>
          <w:color w:val="auto"/>
          <w:kern w:val="0"/>
          <w:szCs w:val="21"/>
          <w:highlight w:val="none"/>
        </w:rPr>
        <w:t>号）。</w:t>
      </w:r>
    </w:p>
    <w:p w14:paraId="0F9DF50C">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2.7.1 </w:t>
      </w:r>
      <w:r>
        <w:rPr>
          <w:rFonts w:hint="eastAsia" w:ascii="宋体" w:hAnsi="宋体" w:cs="宋体"/>
          <w:color w:val="auto"/>
          <w:kern w:val="0"/>
          <w:szCs w:val="21"/>
          <w:highlight w:val="none"/>
        </w:rPr>
        <w:t>招标文件列明不允许或未列明允许进口产品参加投标的，均视为拒绝进口产品参加投标。</w:t>
      </w:r>
    </w:p>
    <w:p w14:paraId="1228A99F">
      <w:pPr>
        <w:autoSpaceDE w:val="0"/>
        <w:autoSpaceDN w:val="0"/>
        <w:spacing w:line="360" w:lineRule="auto"/>
        <w:ind w:firstLine="420" w:firstLineChars="200"/>
        <w:contextualSpacing/>
        <w:rPr>
          <w:rFonts w:ascii="宋体" w:hAnsi="宋体" w:cs="宋体"/>
          <w:color w:val="auto"/>
          <w:kern w:val="0"/>
          <w:szCs w:val="21"/>
          <w:highlight w:val="none"/>
        </w:rPr>
      </w:pPr>
      <w:r>
        <w:rPr>
          <w:rFonts w:ascii="宋体" w:hAnsi="宋体" w:cs="宋体"/>
          <w:color w:val="auto"/>
          <w:kern w:val="0"/>
          <w:szCs w:val="21"/>
          <w:highlight w:val="none"/>
        </w:rPr>
        <w:t xml:space="preserve">2.7.2 </w:t>
      </w:r>
      <w:r>
        <w:rPr>
          <w:rFonts w:hint="eastAsia" w:ascii="宋体" w:hAnsi="宋体" w:cs="宋体"/>
          <w:color w:val="auto"/>
          <w:kern w:val="0"/>
          <w:szCs w:val="21"/>
          <w:highlight w:val="none"/>
        </w:rPr>
        <w:t>如招标文件中已说明，经财政部门审核同意，允许部分或全部产品采购进口产品，投标人既可提供本国产品，也可以提供进口产品。</w:t>
      </w:r>
    </w:p>
    <w:p w14:paraId="59FADD7F">
      <w:pPr>
        <w:pStyle w:val="59"/>
        <w:autoSpaceDE w:val="0"/>
        <w:autoSpaceDN w:val="0"/>
        <w:spacing w:line="360" w:lineRule="auto"/>
        <w:ind w:left="-987" w:leftChars="-470" w:firstLine="1470" w:firstLineChars="700"/>
        <w:contextualSpacing/>
        <w:rPr>
          <w:color w:val="auto"/>
          <w:highlight w:val="none"/>
        </w:rPr>
      </w:pPr>
      <w:r>
        <w:rPr>
          <w:rFonts w:hint="eastAsia" w:cs="宋体" w:asciiTheme="minorEastAsia" w:hAnsiTheme="minorEastAsia"/>
          <w:color w:val="auto"/>
          <w:kern w:val="0"/>
          <w:szCs w:val="21"/>
          <w:highlight w:val="none"/>
        </w:rPr>
        <w:t>2.8 招标文件中凡标有“★”的条款均系实质性要求条款。</w:t>
      </w:r>
    </w:p>
    <w:p w14:paraId="3C7E4ABE">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rPr>
        <w:t>合格的投标人</w:t>
      </w:r>
    </w:p>
    <w:p w14:paraId="69005D6D">
      <w:pPr>
        <w:pStyle w:val="65"/>
        <w:numPr>
          <w:ilvl w:val="0"/>
          <w:numId w:val="0"/>
        </w:numPr>
        <w:tabs>
          <w:tab w:val="left" w:pos="0"/>
        </w:tabs>
        <w:adjustRightInd/>
        <w:spacing w:line="360" w:lineRule="auto"/>
        <w:ind w:firstLine="420" w:firstLineChars="200"/>
        <w:contextualSpacing/>
        <w:rPr>
          <w:rFonts w:cs="宋体"/>
          <w:color w:val="auto"/>
          <w:highlight w:val="none"/>
        </w:rPr>
      </w:pPr>
      <w:r>
        <w:rPr>
          <w:rFonts w:cs="宋体"/>
          <w:color w:val="auto"/>
          <w:highlight w:val="none"/>
        </w:rPr>
        <w:t>3.1</w:t>
      </w:r>
      <w:r>
        <w:rPr>
          <w:rFonts w:hint="eastAsia" w:cs="宋体"/>
          <w:color w:val="auto"/>
          <w:highlight w:val="none"/>
        </w:rPr>
        <w:t>在中华人民共和国境内注册，具有本项目实施能力，符合、承认并承诺履行本招标文件各项规定的法人、其他组织或者自然人。</w:t>
      </w:r>
    </w:p>
    <w:p w14:paraId="0D0A8FC9">
      <w:pPr>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3.2 </w:t>
      </w:r>
      <w:r>
        <w:rPr>
          <w:rFonts w:hint="eastAsia" w:ascii="宋体" w:hAnsi="宋体" w:cs="宋体"/>
          <w:color w:val="auto"/>
          <w:kern w:val="0"/>
          <w:szCs w:val="21"/>
          <w:highlight w:val="none"/>
        </w:rPr>
        <w:t>符合本项目“投标邀请”和“投标人须知前附表”中规定的合格投标人所必须具备的条件。</w:t>
      </w:r>
    </w:p>
    <w:p w14:paraId="2A1D6897">
      <w:pPr>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政府采购活动中查询及使用投标人信用记录的具体要求为：投标人未被列入失信被执行人、重大税收违法案件当事人名单、政府采购严重违法失信名单、政府采购严重违法失信行为记录名单、严重违法失信企业名单（黑名单）、严重违法失信社会组织名单（联合体形式投标的，联合体成员存在不良信用记录，视同联合体存在不良信用记录）。</w:t>
      </w:r>
    </w:p>
    <w:p w14:paraId="59CE75FD">
      <w:pPr>
        <w:numPr>
          <w:ilvl w:val="0"/>
          <w:numId w:val="11"/>
        </w:numPr>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查询渠道：“信用中国”网站（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7"/>
          <w:rFonts w:cs="宋体"/>
          <w:color w:val="auto"/>
          <w:szCs w:val="21"/>
          <w:highlight w:val="none"/>
        </w:rPr>
        <w:t>www.creditchina.gov.cn</w:t>
      </w:r>
      <w:r>
        <w:rPr>
          <w:rStyle w:val="37"/>
          <w:rFonts w:cs="宋体"/>
          <w:color w:val="auto"/>
          <w:szCs w:val="21"/>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7"/>
          <w:rFonts w:cs="宋体"/>
          <w:color w:val="auto"/>
          <w:szCs w:val="21"/>
          <w:highlight w:val="none"/>
        </w:rPr>
        <w:t>www.ccgp.gov.cn</w:t>
      </w:r>
      <w:r>
        <w:rPr>
          <w:rStyle w:val="37"/>
          <w:rFonts w:cs="宋体"/>
          <w:color w:val="auto"/>
          <w:szCs w:val="21"/>
          <w:highlight w:val="none"/>
        </w:rPr>
        <w:fldChar w:fldCharType="end"/>
      </w:r>
      <w:r>
        <w:rPr>
          <w:rFonts w:hint="eastAsia" w:ascii="宋体" w:hAnsi="宋体" w:cs="宋体"/>
          <w:color w:val="auto"/>
          <w:szCs w:val="21"/>
          <w:highlight w:val="none"/>
        </w:rPr>
        <w:t>）、“国家企业信用公示系统”网站（</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Style w:val="37"/>
          <w:rFonts w:cs="宋体"/>
          <w:color w:val="auto"/>
          <w:szCs w:val="21"/>
          <w:highlight w:val="none"/>
        </w:rPr>
        <w:t>www.gsxt.gov.cn</w:t>
      </w:r>
      <w:r>
        <w:rPr>
          <w:rStyle w:val="37"/>
          <w:rFonts w:cs="宋体"/>
          <w:color w:val="auto"/>
          <w:szCs w:val="21"/>
          <w:highlight w:val="none"/>
        </w:rPr>
        <w:fldChar w:fldCharType="end"/>
      </w:r>
      <w:r>
        <w:rPr>
          <w:rFonts w:hint="eastAsia" w:ascii="宋体" w:hAnsi="宋体" w:cs="宋体"/>
          <w:color w:val="auto"/>
          <w:szCs w:val="21"/>
          <w:highlight w:val="none"/>
        </w:rPr>
        <w:t>）、“中国社会组织政务服务平台”网站（</w:t>
      </w:r>
      <w:r>
        <w:rPr>
          <w:rFonts w:hint="eastAsia"/>
          <w:color w:val="auto"/>
          <w:highlight w:val="none"/>
          <w:u w:val="single"/>
        </w:rPr>
        <w:t>chinanpo.mca.gov.cn</w:t>
      </w:r>
      <w:r>
        <w:rPr>
          <w:rFonts w:hint="eastAsia" w:ascii="宋体" w:hAnsi="宋体" w:cs="宋体"/>
          <w:color w:val="auto"/>
          <w:szCs w:val="21"/>
          <w:highlight w:val="none"/>
        </w:rPr>
        <w:t>）；</w:t>
      </w:r>
    </w:p>
    <w:p w14:paraId="4BF64B0A">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3.4 </w:t>
      </w:r>
      <w:r>
        <w:rPr>
          <w:rFonts w:hint="eastAsia" w:ascii="宋体" w:hAnsi="宋体" w:cs="宋体"/>
          <w:color w:val="auto"/>
          <w:kern w:val="0"/>
          <w:szCs w:val="21"/>
          <w:highlight w:val="none"/>
        </w:rPr>
        <w:t>单位负责人为同一人或者存在直接控股、管理关系的不同供应商，不得参加同一合同项下的政府采购活动；</w:t>
      </w:r>
    </w:p>
    <w:p w14:paraId="6496685D">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3.5 </w:t>
      </w:r>
      <w:r>
        <w:rPr>
          <w:rFonts w:hint="eastAsia" w:ascii="宋体" w:hAnsi="宋体" w:cs="宋体"/>
          <w:color w:val="auto"/>
          <w:kern w:val="0"/>
          <w:szCs w:val="21"/>
          <w:highlight w:val="none"/>
        </w:rPr>
        <w:t>除单一来源采购项目外，为采购项目提供整体设计、规范编制或者项目管理、监理、检测等服务的供应商，不得再参加该采购项目的其他采购活动。</w:t>
      </w:r>
    </w:p>
    <w:p w14:paraId="323E60FE">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3.6 </w:t>
      </w:r>
      <w:r>
        <w:rPr>
          <w:rFonts w:hint="eastAsia" w:ascii="宋体" w:hAnsi="宋体" w:cs="宋体"/>
          <w:color w:val="auto"/>
          <w:kern w:val="0"/>
          <w:szCs w:val="21"/>
          <w:highlight w:val="none"/>
        </w:rPr>
        <w:t>“投标邀请”和“投标人须知前附表”规定接受联合体投标的，除应符合本章第</w:t>
      </w:r>
      <w:r>
        <w:rPr>
          <w:rFonts w:ascii="宋体" w:hAnsi="宋体" w:cs="宋体"/>
          <w:color w:val="auto"/>
          <w:kern w:val="0"/>
          <w:szCs w:val="21"/>
          <w:highlight w:val="none"/>
        </w:rPr>
        <w:t>3.1</w:t>
      </w:r>
      <w:r>
        <w:rPr>
          <w:rFonts w:hint="eastAsia" w:ascii="宋体" w:hAnsi="宋体" w:cs="宋体"/>
          <w:color w:val="auto"/>
          <w:kern w:val="0"/>
          <w:szCs w:val="21"/>
          <w:highlight w:val="none"/>
        </w:rPr>
        <w:t>项和</w:t>
      </w:r>
      <w:r>
        <w:rPr>
          <w:rFonts w:ascii="宋体" w:hAnsi="宋体" w:cs="宋体"/>
          <w:color w:val="auto"/>
          <w:kern w:val="0"/>
          <w:szCs w:val="21"/>
          <w:highlight w:val="none"/>
        </w:rPr>
        <w:t>3.2</w:t>
      </w:r>
      <w:r>
        <w:rPr>
          <w:rFonts w:hint="eastAsia" w:ascii="宋体" w:hAnsi="宋体" w:cs="宋体"/>
          <w:color w:val="auto"/>
          <w:kern w:val="0"/>
          <w:szCs w:val="21"/>
          <w:highlight w:val="none"/>
        </w:rPr>
        <w:t>项要求外，还应遵守以下规定：</w:t>
      </w:r>
    </w:p>
    <w:p w14:paraId="0D58DC30">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）在投标文件中向采购人提交联合体协议书，明确联合体各方承担的工作和义务；</w:t>
      </w:r>
    </w:p>
    <w:p w14:paraId="39D127B5">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）联合体中有同类资质的供应商按联合体分工承担相同工作的，应当按照资质等级较低的供应商确定资质等级；</w:t>
      </w:r>
    </w:p>
    <w:p w14:paraId="603F4EF4">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）招标人根据采购项目的特殊要求规定投标人特定条件的，联合体各方中至少应当有一方符合采购规定的特定条件。</w:t>
      </w:r>
    </w:p>
    <w:p w14:paraId="1890E16B">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）联合体各方不得再单独参加或者与其他供应商另外组成联合体参加同一合同项下的政府采购活动。</w:t>
      </w:r>
    </w:p>
    <w:p w14:paraId="60423952">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hint="eastAsia" w:ascii="宋体" w:hAnsi="宋体" w:cs="宋体"/>
          <w:color w:val="auto"/>
          <w:kern w:val="0"/>
          <w:szCs w:val="21"/>
          <w:highlight w:val="none"/>
        </w:rPr>
        <w:t>承担连带责任</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w:t>
      </w:r>
    </w:p>
    <w:p w14:paraId="13587B50">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3.7 </w:t>
      </w:r>
      <w:r>
        <w:rPr>
          <w:rFonts w:hint="eastAsia" w:ascii="宋体" w:hAnsi="宋体" w:cs="宋体"/>
          <w:color w:val="auto"/>
          <w:kern w:val="0"/>
          <w:szCs w:val="21"/>
          <w:highlight w:val="none"/>
        </w:rPr>
        <w:t>法律、行政法规规定的其他条件。</w:t>
      </w:r>
    </w:p>
    <w:p w14:paraId="386F0F8E">
      <w:pPr>
        <w:pStyle w:val="59"/>
        <w:autoSpaceDE w:val="0"/>
        <w:autoSpaceDN w:val="0"/>
        <w:spacing w:line="360" w:lineRule="auto"/>
        <w:ind w:firstLine="0" w:firstLineChars="0"/>
        <w:contextualSpacing/>
        <w:rPr>
          <w:rFonts w:ascii="宋体" w:cs="宋体"/>
          <w:b/>
          <w:color w:val="auto"/>
          <w:kern w:val="0"/>
          <w:szCs w:val="21"/>
          <w:highlight w:val="none"/>
        </w:rPr>
      </w:pPr>
      <w:r>
        <w:rPr>
          <w:rFonts w:ascii="宋体" w:hAnsi="宋体" w:cs="宋体"/>
          <w:b/>
          <w:color w:val="auto"/>
          <w:kern w:val="0"/>
          <w:szCs w:val="21"/>
          <w:highlight w:val="none"/>
        </w:rPr>
        <w:t>4.</w:t>
      </w:r>
      <w:r>
        <w:rPr>
          <w:rFonts w:hint="eastAsia" w:ascii="宋体" w:hAnsi="宋体" w:cs="宋体"/>
          <w:b/>
          <w:color w:val="auto"/>
          <w:kern w:val="0"/>
          <w:szCs w:val="21"/>
          <w:highlight w:val="none"/>
        </w:rPr>
        <w:t>合格的货物和服务</w:t>
      </w:r>
    </w:p>
    <w:p w14:paraId="44B7E2F3">
      <w:pPr>
        <w:pStyle w:val="59"/>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18759E5">
      <w:pPr>
        <w:pStyle w:val="59"/>
        <w:autoSpaceDE w:val="0"/>
        <w:autoSpaceDN w:val="0"/>
        <w:spacing w:line="360" w:lineRule="auto"/>
        <w:contextualSpacing/>
        <w:rPr>
          <w:rFonts w:ascii="宋体" w:hAnsi="宋体" w:cs="宋体"/>
          <w:color w:val="auto"/>
          <w:kern w:val="0"/>
          <w:szCs w:val="21"/>
          <w:highlight w:val="none"/>
        </w:rPr>
      </w:pPr>
      <w:r>
        <w:rPr>
          <w:rFonts w:ascii="宋体" w:hAnsi="宋体" w:cs="宋体"/>
          <w:color w:val="auto"/>
          <w:kern w:val="0"/>
          <w:szCs w:val="21"/>
          <w:highlight w:val="none"/>
        </w:rPr>
        <w:t xml:space="preserve">4.2 </w:t>
      </w:r>
      <w:r>
        <w:rPr>
          <w:rFonts w:hint="eastAsia" w:ascii="宋体" w:hAnsi="宋体" w:cs="宋体"/>
          <w:color w:val="auto"/>
          <w:kern w:val="0"/>
          <w:szCs w:val="21"/>
          <w:highlight w:val="none"/>
        </w:rPr>
        <w:t>投标人所提供的服务应当没有侵犯任何第三方的知识产权、秘密等合法权利。</w:t>
      </w:r>
    </w:p>
    <w:p w14:paraId="27142B8D">
      <w:pPr>
        <w:pStyle w:val="59"/>
        <w:autoSpaceDE w:val="0"/>
        <w:autoSpaceDN w:val="0"/>
        <w:spacing w:line="360"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E9BCC11">
      <w:pPr>
        <w:pStyle w:val="59"/>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4 如投标人所投产品被列入《中华人民共和国实施强制性产品认证的产品目录》，则该产品应具备国家认监委指定强制性产品认证机构颁发的《中国国家强制性产品认证证书》（</w:t>
      </w:r>
      <w:r>
        <w:rPr>
          <w:rFonts w:ascii="宋体" w:hAnsi="宋体" w:cs="宋体"/>
          <w:color w:val="auto"/>
          <w:kern w:val="0"/>
          <w:szCs w:val="21"/>
          <w:highlight w:val="none"/>
        </w:rPr>
        <w:t xml:space="preserve">CCC </w:t>
      </w:r>
      <w:r>
        <w:rPr>
          <w:rFonts w:hint="eastAsia" w:ascii="宋体" w:hAnsi="宋体" w:cs="宋体"/>
          <w:color w:val="auto"/>
          <w:kern w:val="0"/>
          <w:szCs w:val="21"/>
          <w:highlight w:val="none"/>
        </w:rPr>
        <w:t>认证）。投标人不能提供超出此目录范畴外的替代品。</w:t>
      </w:r>
    </w:p>
    <w:p w14:paraId="47F2700F">
      <w:pPr>
        <w:pStyle w:val="59"/>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4.5根据国家互联网信息办公室、工业和信息化部、公安部和国家认证认可监督管理委员会 2023 年第 2 号《关于调整</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网络关键设备和网络安全专用产品目录</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且在有效期内。</w:t>
      </w:r>
    </w:p>
    <w:p w14:paraId="0F5C14B7">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5</w:t>
      </w:r>
      <w:r>
        <w:rPr>
          <w:rFonts w:hint="eastAsia" w:ascii="宋体" w:hAnsi="宋体" w:cs="宋体"/>
          <w:b/>
          <w:color w:val="auto"/>
          <w:kern w:val="0"/>
          <w:szCs w:val="21"/>
          <w:highlight w:val="none"/>
        </w:rPr>
        <w:t>．投标费用</w:t>
      </w:r>
    </w:p>
    <w:p w14:paraId="3BE0D393">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不论投标的结果如何，投标人均应自行承担所有与投标有关的全部费用，招标人在任何情况下均无义务和责任承担这些费用。</w:t>
      </w:r>
    </w:p>
    <w:p w14:paraId="220FB920">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6</w:t>
      </w:r>
      <w:r>
        <w:rPr>
          <w:rFonts w:hint="eastAsia" w:ascii="宋体" w:hAnsi="宋体" w:cs="宋体"/>
          <w:b/>
          <w:color w:val="auto"/>
          <w:kern w:val="0"/>
          <w:szCs w:val="21"/>
          <w:highlight w:val="none"/>
        </w:rPr>
        <w:t>．信息发布</w:t>
      </w:r>
    </w:p>
    <w:p w14:paraId="2B7ECDA0">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本采购项目需要公开的有关信息，包括招标公告、招标文件澄清或修改公告、中标公告以及延长投标截止时间等与招标活动有关的通知，招标人均将通过在</w:t>
      </w:r>
      <w:r>
        <w:rPr>
          <w:rFonts w:hint="eastAsia" w:hAnsi="宋体"/>
          <w:color w:val="auto"/>
          <w:szCs w:val="21"/>
          <w:highlight w:val="none"/>
        </w:rPr>
        <w:t>《河南省政府采购网》《许昌市政府采购网》</w:t>
      </w:r>
      <w:r>
        <w:rPr>
          <w:rFonts w:hint="eastAsia" w:ascii="宋体" w:hAnsi="宋体" w:cs="宋体"/>
          <w:color w:val="auto"/>
          <w:kern w:val="0"/>
          <w:szCs w:val="21"/>
          <w:highlight w:val="none"/>
        </w:rPr>
        <w:t>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5F431FC6">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7.</w:t>
      </w:r>
      <w:r>
        <w:rPr>
          <w:rFonts w:hint="eastAsia" w:ascii="宋体" w:hAnsi="宋体" w:cs="宋体"/>
          <w:b/>
          <w:color w:val="auto"/>
          <w:kern w:val="0"/>
          <w:szCs w:val="21"/>
          <w:highlight w:val="none"/>
        </w:rPr>
        <w:t>采购代理机构代理费用收取标准和方式</w:t>
      </w:r>
    </w:p>
    <w:p w14:paraId="74F52B5F">
      <w:pPr>
        <w:autoSpaceDE w:val="0"/>
        <w:autoSpaceDN w:val="0"/>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见投标人须知前附表。</w:t>
      </w:r>
    </w:p>
    <w:p w14:paraId="0046A20D">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 xml:space="preserve">8. </w:t>
      </w:r>
      <w:r>
        <w:rPr>
          <w:rFonts w:hint="eastAsia" w:ascii="宋体" w:hAnsi="宋体" w:cs="宋体"/>
          <w:b/>
          <w:color w:val="auto"/>
          <w:kern w:val="0"/>
          <w:szCs w:val="21"/>
          <w:highlight w:val="none"/>
        </w:rPr>
        <w:t>其他</w:t>
      </w:r>
    </w:p>
    <w:p w14:paraId="496A63FC">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本“投标人须知”的条款如与“投标邀请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项目需求</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投标人须知前附表”和“资格审查与评标”就同一内容的表述不一致的，以“投标邀请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项目需求</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投标人须知前附表”和“资格审查与评标”中规定的内容为准。</w:t>
      </w:r>
    </w:p>
    <w:p w14:paraId="6C8005B6">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二、招标文件说明</w:t>
      </w:r>
    </w:p>
    <w:p w14:paraId="2F722FFA">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9</w:t>
      </w:r>
      <w:r>
        <w:rPr>
          <w:rFonts w:hint="eastAsia" w:ascii="宋体" w:hAnsi="宋体" w:cs="宋体"/>
          <w:b/>
          <w:color w:val="auto"/>
          <w:kern w:val="0"/>
          <w:szCs w:val="21"/>
          <w:highlight w:val="none"/>
        </w:rPr>
        <w:t>．招标文件构成</w:t>
      </w:r>
    </w:p>
    <w:p w14:paraId="77BB47D7">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9.1 </w:t>
      </w:r>
      <w:r>
        <w:rPr>
          <w:rFonts w:hint="eastAsia" w:ascii="宋体" w:hAnsi="宋体" w:cs="宋体"/>
          <w:color w:val="auto"/>
          <w:kern w:val="0"/>
          <w:szCs w:val="21"/>
          <w:highlight w:val="none"/>
        </w:rPr>
        <w:t>招标文件由以下部分组成：</w:t>
      </w:r>
    </w:p>
    <w:p w14:paraId="52AD3F01">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）投标邀请</w:t>
      </w:r>
    </w:p>
    <w:p w14:paraId="3F01523B">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）项目需求</w:t>
      </w:r>
    </w:p>
    <w:p w14:paraId="0CB2B1AB">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）投标人须知前附表</w:t>
      </w:r>
    </w:p>
    <w:p w14:paraId="3EB20521">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）投标人须知</w:t>
      </w:r>
    </w:p>
    <w:p w14:paraId="0FB7C362">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）政府采购政策功能</w:t>
      </w:r>
    </w:p>
    <w:p w14:paraId="64A05A8C">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）资格审查与评标</w:t>
      </w:r>
    </w:p>
    <w:p w14:paraId="795CC2EC">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）合同条款及格式</w:t>
      </w:r>
    </w:p>
    <w:p w14:paraId="40F81ED3">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）投标文件有关格式</w:t>
      </w:r>
    </w:p>
    <w:p w14:paraId="675B0573">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9</w:t>
      </w:r>
      <w:r>
        <w:rPr>
          <w:rFonts w:hint="eastAsia" w:ascii="宋体" w:hAnsi="宋体" w:cs="宋体"/>
          <w:color w:val="auto"/>
          <w:kern w:val="0"/>
          <w:szCs w:val="21"/>
          <w:highlight w:val="none"/>
        </w:rPr>
        <w:t>）本项目招标文件的附件澄清、答复、修改、补充内容（如有的话）</w:t>
      </w:r>
    </w:p>
    <w:p w14:paraId="799D87D1">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9.2 </w:t>
      </w:r>
      <w:r>
        <w:rPr>
          <w:rFonts w:hint="eastAsia" w:ascii="宋体" w:hAnsi="宋体" w:cs="宋体"/>
          <w:color w:val="auto"/>
          <w:kern w:val="0"/>
          <w:szCs w:val="21"/>
          <w:highlight w:val="none"/>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37BF9A49">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9.3 </w:t>
      </w:r>
      <w:r>
        <w:rPr>
          <w:rFonts w:hint="eastAsia" w:ascii="宋体" w:hAnsi="宋体" w:cs="宋体"/>
          <w:color w:val="auto"/>
          <w:kern w:val="0"/>
          <w:szCs w:val="21"/>
          <w:highlight w:val="none"/>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23147FF0">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10.</w:t>
      </w:r>
      <w:r>
        <w:rPr>
          <w:rFonts w:hint="eastAsia" w:ascii="宋体" w:hAnsi="宋体" w:cs="宋体"/>
          <w:b/>
          <w:color w:val="auto"/>
          <w:kern w:val="0"/>
          <w:szCs w:val="21"/>
          <w:highlight w:val="none"/>
        </w:rPr>
        <w:t>现场考察、开标前答疑会</w:t>
      </w:r>
    </w:p>
    <w:p w14:paraId="4B89F518">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10.1 </w:t>
      </w:r>
      <w:r>
        <w:rPr>
          <w:rFonts w:hint="eastAsia" w:ascii="宋体" w:hAnsi="宋体" w:cs="宋体"/>
          <w:color w:val="auto"/>
          <w:kern w:val="0"/>
          <w:szCs w:val="21"/>
          <w:highlight w:val="none"/>
        </w:rPr>
        <w:t>不统一组织，自行考察。</w:t>
      </w:r>
    </w:p>
    <w:p w14:paraId="55FA7827">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10.</w:t>
      </w:r>
      <w:r>
        <w:rPr>
          <w:rFonts w:hint="eastAsia" w:ascii="宋体" w:hAnsi="宋体" w:cs="宋体"/>
          <w:color w:val="auto"/>
          <w:kern w:val="0"/>
          <w:szCs w:val="21"/>
          <w:highlight w:val="none"/>
        </w:rPr>
        <w:t>2自行现场考察所发生的费用及一切责任由投标人自行承担。</w:t>
      </w:r>
    </w:p>
    <w:p w14:paraId="26741815">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11.</w:t>
      </w:r>
      <w:r>
        <w:rPr>
          <w:rFonts w:hint="eastAsia" w:ascii="宋体" w:hAnsi="宋体" w:cs="宋体"/>
          <w:b/>
          <w:color w:val="auto"/>
          <w:kern w:val="0"/>
          <w:szCs w:val="21"/>
          <w:highlight w:val="none"/>
        </w:rPr>
        <w:t>招标文件的澄清或修改</w:t>
      </w:r>
    </w:p>
    <w:p w14:paraId="2E4F9EC4">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11.1 </w:t>
      </w:r>
      <w:r>
        <w:rPr>
          <w:rFonts w:hint="eastAsia" w:ascii="宋体" w:hAnsi="宋体" w:cs="宋体"/>
          <w:color w:val="auto"/>
          <w:kern w:val="0"/>
          <w:szCs w:val="21"/>
          <w:highlight w:val="none"/>
        </w:rPr>
        <w:t>在投标截止期前，无论出于何种原因，招标人可主动地或在解答潜在投标人提出的澄清问题时对招标文件进行修改。</w:t>
      </w:r>
    </w:p>
    <w:p w14:paraId="5D0414A7">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11.2 </w:t>
      </w:r>
      <w:r>
        <w:rPr>
          <w:rFonts w:hint="eastAsia" w:ascii="宋体" w:hAnsi="宋体" w:cs="宋体"/>
          <w:color w:val="auto"/>
          <w:kern w:val="0"/>
          <w:szCs w:val="21"/>
          <w:highlight w:val="none"/>
        </w:rPr>
        <w:t>招标人可以对已发出的招标文件进行必要的澄清或者修改。澄清或者修改的内容可能影响投标文件编制的，招标人将在投标截止时间</w:t>
      </w:r>
      <w:r>
        <w:rPr>
          <w:rFonts w:ascii="宋体" w:hAnsi="宋体" w:cs="宋体"/>
          <w:color w:val="auto"/>
          <w:kern w:val="0"/>
          <w:szCs w:val="21"/>
          <w:highlight w:val="none"/>
        </w:rPr>
        <w:t>15</w:t>
      </w:r>
      <w:r>
        <w:rPr>
          <w:rFonts w:hint="eastAsia" w:ascii="宋体" w:hAnsi="宋体" w:cs="宋体"/>
          <w:color w:val="auto"/>
          <w:kern w:val="0"/>
          <w:szCs w:val="21"/>
          <w:highlight w:val="none"/>
        </w:rPr>
        <w:t>日前，在财政部门指定的政府采购信息发布媒体和《全国公共资源交易平台（河南省·许昌市）》发布更正公告。</w:t>
      </w:r>
    </w:p>
    <w:p w14:paraId="5B6C4DDA">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11.3 </w:t>
      </w:r>
      <w:r>
        <w:rPr>
          <w:rFonts w:hint="eastAsia" w:ascii="宋体" w:hAnsi="宋体" w:cs="宋体"/>
          <w:color w:val="auto"/>
          <w:kern w:val="0"/>
          <w:szCs w:val="21"/>
          <w:highlight w:val="none"/>
        </w:rPr>
        <w:t>澄清或修改公告的内容为招标文件的组成部分，并对投标人具有约束力。当招标文件与澄清或修改公告就同一内容的表述不一致时，以最后发出的文件内容为准。</w:t>
      </w:r>
    </w:p>
    <w:p w14:paraId="6D4D951B">
      <w:pPr>
        <w:autoSpaceDE w:val="0"/>
        <w:autoSpaceDN w:val="0"/>
        <w:spacing w:line="360" w:lineRule="auto"/>
        <w:ind w:firstLine="420" w:firstLineChars="200"/>
        <w:contextualSpacing/>
        <w:rPr>
          <w:rFonts w:ascii="宋体" w:cs="宋体"/>
          <w:b/>
          <w:color w:val="auto"/>
          <w:kern w:val="0"/>
          <w:szCs w:val="21"/>
          <w:highlight w:val="none"/>
        </w:rPr>
      </w:pPr>
      <w:r>
        <w:rPr>
          <w:rFonts w:ascii="宋体" w:hAnsi="宋体" w:cs="宋体"/>
          <w:color w:val="auto"/>
          <w:kern w:val="0"/>
          <w:szCs w:val="21"/>
          <w:highlight w:val="none"/>
        </w:rPr>
        <w:t xml:space="preserve">11.4 </w:t>
      </w:r>
      <w:r>
        <w:rPr>
          <w:rFonts w:hint="eastAsia" w:ascii="宋体" w:hAnsi="宋体" w:cs="宋体"/>
          <w:color w:val="auto"/>
          <w:kern w:val="0"/>
          <w:szCs w:val="21"/>
          <w:highlight w:val="none"/>
        </w:rPr>
        <w:t>如果澄清或者修改发出的时间距规定的投标截止时间不足</w:t>
      </w:r>
      <w:r>
        <w:rPr>
          <w:rFonts w:ascii="宋体" w:hAnsi="宋体" w:cs="宋体"/>
          <w:color w:val="auto"/>
          <w:kern w:val="0"/>
          <w:szCs w:val="21"/>
          <w:highlight w:val="none"/>
        </w:rPr>
        <w:t>15</w:t>
      </w:r>
      <w:r>
        <w:rPr>
          <w:rFonts w:hint="eastAsia" w:ascii="宋体" w:hAnsi="宋体" w:cs="宋体"/>
          <w:color w:val="auto"/>
          <w:kern w:val="0"/>
          <w:szCs w:val="21"/>
          <w:highlight w:val="none"/>
        </w:rPr>
        <w:t>日，招标人将顺延提交投标文件的截止时间。</w:t>
      </w:r>
    </w:p>
    <w:p w14:paraId="41D1EDE7">
      <w:pPr>
        <w:tabs>
          <w:tab w:val="left" w:pos="1260"/>
        </w:tabs>
        <w:autoSpaceDE w:val="0"/>
        <w:autoSpaceDN w:val="0"/>
        <w:spacing w:line="360" w:lineRule="auto"/>
        <w:contextualSpacing/>
        <w:jc w:val="center"/>
        <w:rPr>
          <w:rFonts w:cs="宋体"/>
          <w:color w:val="auto"/>
          <w:szCs w:val="21"/>
          <w:highlight w:val="none"/>
        </w:rPr>
      </w:pPr>
      <w:r>
        <w:rPr>
          <w:rFonts w:hint="eastAsia" w:ascii="宋体" w:hAnsi="宋体" w:cs="宋体"/>
          <w:b/>
          <w:color w:val="auto"/>
          <w:kern w:val="0"/>
          <w:szCs w:val="21"/>
          <w:highlight w:val="none"/>
        </w:rPr>
        <w:t>三、投标文件的编制</w:t>
      </w:r>
    </w:p>
    <w:p w14:paraId="0634B6EB">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12</w:t>
      </w:r>
      <w:r>
        <w:rPr>
          <w:rFonts w:hint="eastAsia" w:ascii="宋体" w:hAnsi="宋体" w:cs="宋体"/>
          <w:b/>
          <w:color w:val="auto"/>
          <w:kern w:val="0"/>
          <w:szCs w:val="21"/>
          <w:highlight w:val="none"/>
        </w:rPr>
        <w:t>．投标的语言及计量单位</w:t>
      </w:r>
    </w:p>
    <w:p w14:paraId="58D3CA2A">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12</w:t>
      </w:r>
      <w:r>
        <w:rPr>
          <w:rFonts w:hint="eastAsia" w:ascii="宋体" w:hAnsi="宋体" w:cs="宋体"/>
          <w:color w:val="auto"/>
          <w:kern w:val="0"/>
          <w:szCs w:val="21"/>
          <w:highlight w:val="none"/>
        </w:rPr>
        <w:t>.</w:t>
      </w:r>
      <w:r>
        <w:rPr>
          <w:rFonts w:ascii="宋体" w:hAnsi="宋体" w:cs="宋体"/>
          <w:color w:val="auto"/>
          <w:kern w:val="0"/>
          <w:szCs w:val="21"/>
          <w:highlight w:val="none"/>
        </w:rPr>
        <w:t xml:space="preserve">1 </w:t>
      </w:r>
      <w:r>
        <w:rPr>
          <w:rFonts w:hint="eastAsia" w:ascii="宋体" w:hAnsi="宋体" w:cs="宋体"/>
          <w:color w:val="auto"/>
          <w:kern w:val="0"/>
          <w:szCs w:val="21"/>
          <w:highlight w:val="none"/>
        </w:rPr>
        <w:t>投标人提交的投标文件以及投标人与招标人就有关投标事宜的所有来往书面文件均应使用中文。除签名、盖章、专用名称等特殊情形外，以中文以外的文字表述的投标文件视同未提供。</w:t>
      </w:r>
    </w:p>
    <w:p w14:paraId="7EA51F29">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12.2 </w:t>
      </w:r>
      <w:r>
        <w:rPr>
          <w:rFonts w:hint="eastAsia" w:ascii="宋体" w:hAnsi="宋体" w:cs="宋体"/>
          <w:color w:val="auto"/>
          <w:kern w:val="0"/>
          <w:szCs w:val="21"/>
          <w:highlight w:val="none"/>
        </w:rPr>
        <w:t>投标计量单位，招标文件已有明确规定的，使用招标文件规定的计量单位；招标文件没有规定的，一律采用中华人民共和国法定计量单位。</w:t>
      </w:r>
    </w:p>
    <w:p w14:paraId="55523F90">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 xml:space="preserve">13. </w:t>
      </w:r>
      <w:r>
        <w:rPr>
          <w:rFonts w:hint="eastAsia" w:ascii="宋体" w:hAnsi="宋体" w:cs="宋体"/>
          <w:b/>
          <w:color w:val="auto"/>
          <w:kern w:val="0"/>
          <w:szCs w:val="21"/>
          <w:highlight w:val="none"/>
        </w:rPr>
        <w:t>投标报价</w:t>
      </w:r>
    </w:p>
    <w:p w14:paraId="75CF9A3C">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13.1 </w:t>
      </w:r>
      <w:r>
        <w:rPr>
          <w:rFonts w:hint="eastAsia" w:ascii="宋体" w:hAnsi="宋体" w:cs="宋体"/>
          <w:color w:val="auto"/>
          <w:kern w:val="0"/>
          <w:szCs w:val="21"/>
          <w:highlight w:val="none"/>
        </w:rPr>
        <w:t>本次招标项目的投标均以</w:t>
      </w:r>
      <w:r>
        <w:rPr>
          <w:rFonts w:hint="eastAsia" w:ascii="宋体" w:hAnsi="宋体" w:cs="宋体"/>
          <w:b/>
          <w:color w:val="auto"/>
          <w:kern w:val="0"/>
          <w:szCs w:val="21"/>
          <w:highlight w:val="none"/>
        </w:rPr>
        <w:t>人民币</w:t>
      </w:r>
      <w:r>
        <w:rPr>
          <w:rFonts w:hint="eastAsia" w:ascii="宋体" w:hAnsi="宋体" w:cs="宋体"/>
          <w:color w:val="auto"/>
          <w:kern w:val="0"/>
          <w:szCs w:val="21"/>
          <w:highlight w:val="none"/>
        </w:rPr>
        <w:t>为计算单位。</w:t>
      </w:r>
    </w:p>
    <w:p w14:paraId="6F4D7F28">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13.2 </w:t>
      </w:r>
      <w:r>
        <w:rPr>
          <w:rFonts w:hint="eastAsia" w:ascii="宋体" w:hAnsi="宋体" w:cs="宋体"/>
          <w:color w:val="auto"/>
          <w:kern w:val="0"/>
          <w:szCs w:val="21"/>
          <w:highlight w:val="none"/>
        </w:rPr>
        <w:t>采购人不得向投标人索要或者接受其给予的赠品、回扣或者与采购无关的其他商品、服务。</w:t>
      </w:r>
    </w:p>
    <w:p w14:paraId="52D271EA">
      <w:pPr>
        <w:pStyle w:val="40"/>
        <w:spacing w:line="374" w:lineRule="auto"/>
        <w:rPr>
          <w:rFonts w:ascii="宋体" w:cs="宋体"/>
          <w:color w:val="auto"/>
          <w:kern w:val="0"/>
          <w:szCs w:val="21"/>
          <w:highlight w:val="none"/>
        </w:rPr>
      </w:pPr>
      <w:r>
        <w:rPr>
          <w:rFonts w:ascii="宋体" w:hAnsi="宋体" w:cs="宋体"/>
          <w:color w:val="auto"/>
          <w:kern w:val="0"/>
          <w:szCs w:val="21"/>
          <w:highlight w:val="none"/>
        </w:rPr>
        <w:t xml:space="preserve">13.3 </w:t>
      </w:r>
      <w:r>
        <w:rPr>
          <w:rFonts w:hint="eastAsia" w:ascii="宋体" w:hAnsi="宋体" w:cs="宋体"/>
          <w:color w:val="auto"/>
          <w:kern w:val="0"/>
          <w:szCs w:val="21"/>
          <w:highlight w:val="none"/>
        </w:rPr>
        <w:t>投标人应对项目要求的全部内容进行报价，少报漏报将导致其投标</w:t>
      </w:r>
      <w:r>
        <w:rPr>
          <w:rFonts w:hint="eastAsia" w:ascii="宋体" w:hAnsi="宋体" w:cs="宋体"/>
          <w:color w:val="auto"/>
          <w:szCs w:val="21"/>
          <w:highlight w:val="none"/>
          <w:lang w:val="en-GB"/>
        </w:rPr>
        <w:t>为非实质性响应予以拒绝。</w:t>
      </w:r>
    </w:p>
    <w:p w14:paraId="6DD73E58">
      <w:pPr>
        <w:spacing w:line="360" w:lineRule="auto"/>
        <w:ind w:firstLine="420" w:firstLineChars="200"/>
        <w:outlineLvl w:val="0"/>
        <w:rPr>
          <w:rFonts w:ascii="宋体" w:cs="宋体"/>
          <w:color w:val="auto"/>
          <w:kern w:val="0"/>
          <w:szCs w:val="21"/>
          <w:highlight w:val="none"/>
        </w:rPr>
      </w:pPr>
      <w:r>
        <w:rPr>
          <w:rFonts w:ascii="宋体" w:hAnsi="宋体" w:cs="宋体"/>
          <w:color w:val="auto"/>
          <w:kern w:val="0"/>
          <w:szCs w:val="21"/>
          <w:highlight w:val="none"/>
        </w:rPr>
        <w:t xml:space="preserve">13.4 </w:t>
      </w:r>
      <w:r>
        <w:rPr>
          <w:rFonts w:hint="eastAsia" w:ascii="宋体" w:hAnsi="宋体" w:cs="宋体"/>
          <w:color w:val="auto"/>
          <w:kern w:val="0"/>
          <w:szCs w:val="21"/>
          <w:highlight w:val="none"/>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1D87EC48">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13.5 </w:t>
      </w:r>
      <w:r>
        <w:rPr>
          <w:rFonts w:hint="eastAsia" w:ascii="宋体" w:hAnsi="宋体" w:cs="宋体"/>
          <w:color w:val="auto"/>
          <w:kern w:val="0"/>
          <w:szCs w:val="21"/>
          <w:highlight w:val="none"/>
        </w:rPr>
        <w:t>本项目所涉及的运输、施工、安装、集成、调试、验收、备品和工具等费用均包含在投标报价中。</w:t>
      </w:r>
    </w:p>
    <w:p w14:paraId="3D4D8EB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13.6 </w:t>
      </w:r>
      <w:r>
        <w:rPr>
          <w:rFonts w:hint="eastAsia" w:ascii="宋体" w:hAnsi="宋体" w:cs="宋体"/>
          <w:color w:val="auto"/>
          <w:kern w:val="0"/>
          <w:szCs w:val="21"/>
          <w:highlight w:val="none"/>
        </w:rPr>
        <w:t>本次招标不接受可选择或可调整的投标方案和报价，任何有选择的或可调整的投标方案和报价将被视为非实质性响应投标而作无效投标处理。</w:t>
      </w:r>
    </w:p>
    <w:p w14:paraId="77B5A6C3">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13.7 </w:t>
      </w:r>
      <w:r>
        <w:rPr>
          <w:rFonts w:hint="eastAsia" w:ascii="宋体" w:hAnsi="宋体" w:cs="宋体"/>
          <w:color w:val="auto"/>
          <w:kern w:val="0"/>
          <w:szCs w:val="21"/>
          <w:highlight w:val="none"/>
        </w:rPr>
        <w:t>报价不得高于本项目最高限价，且不低于成本价。</w:t>
      </w:r>
      <w:r>
        <w:rPr>
          <w:rFonts w:hint="eastAsia" w:ascii="宋体" w:hAnsi="宋体" w:cs="宋体"/>
          <w:color w:val="auto"/>
          <w:szCs w:val="21"/>
          <w:highlight w:val="none"/>
          <w:lang w:val="en-GB"/>
        </w:rPr>
        <w:t>本次招标实行“最高限价（项目控制金额上限）”</w:t>
      </w:r>
      <w:r>
        <w:rPr>
          <w:rFonts w:hint="eastAsia" w:ascii="宋体" w:hAnsi="宋体" w:cs="宋体"/>
          <w:color w:val="auto"/>
          <w:szCs w:val="21"/>
          <w:highlight w:val="none"/>
          <w:lang w:val="en-GB" w:eastAsia="zh-CN"/>
        </w:rPr>
        <w:t>，</w:t>
      </w:r>
      <w:r>
        <w:rPr>
          <w:rFonts w:hint="eastAsia" w:ascii="宋体" w:hAnsi="宋体" w:cs="宋体"/>
          <w:color w:val="auto"/>
          <w:szCs w:val="21"/>
          <w:highlight w:val="none"/>
          <w:lang w:val="en-GB"/>
        </w:rPr>
        <w:t>投标人的投标报价高于最高限价（项目控制金额上限）的，该投标人的投标文件将被视为非实质性响应予以拒绝。</w:t>
      </w:r>
    </w:p>
    <w:p w14:paraId="5B61A820">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13.8 </w:t>
      </w:r>
      <w:r>
        <w:rPr>
          <w:rFonts w:hint="eastAsia" w:ascii="宋体" w:hAnsi="宋体" w:cs="宋体"/>
          <w:color w:val="auto"/>
          <w:kern w:val="0"/>
          <w:szCs w:val="21"/>
          <w:highlight w:val="none"/>
        </w:rPr>
        <w:t>最低报价不能作为中标的保证。</w:t>
      </w:r>
    </w:p>
    <w:p w14:paraId="042BC562">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14</w:t>
      </w:r>
      <w:r>
        <w:rPr>
          <w:rFonts w:hint="eastAsia" w:ascii="宋体" w:hAnsi="宋体" w:cs="宋体"/>
          <w:b/>
          <w:color w:val="auto"/>
          <w:kern w:val="0"/>
          <w:szCs w:val="21"/>
          <w:highlight w:val="none"/>
        </w:rPr>
        <w:t>．投标有效期</w:t>
      </w:r>
    </w:p>
    <w:p w14:paraId="40C369FB">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14.1 </w:t>
      </w:r>
      <w:r>
        <w:rPr>
          <w:rFonts w:hint="eastAsia" w:ascii="宋体" w:hAnsi="宋体" w:cs="宋体"/>
          <w:color w:val="auto"/>
          <w:kern w:val="0"/>
          <w:szCs w:val="21"/>
          <w:highlight w:val="none"/>
        </w:rPr>
        <w:t>投标有效期从提交投标文件的截止之日起算。本项目投标有效期详</w:t>
      </w:r>
      <w:r>
        <w:rPr>
          <w:rFonts w:hint="eastAsia" w:ascii="宋体" w:hAnsi="宋体" w:cs="宋体"/>
          <w:color w:val="auto"/>
          <w:szCs w:val="21"/>
          <w:highlight w:val="none"/>
          <w:lang w:val="zh-CN"/>
        </w:rPr>
        <w:t>见投标人须知前附表。</w:t>
      </w:r>
      <w:r>
        <w:rPr>
          <w:rFonts w:hint="eastAsia" w:ascii="宋体" w:hAnsi="宋体" w:cs="宋体"/>
          <w:color w:val="auto"/>
          <w:kern w:val="0"/>
          <w:szCs w:val="21"/>
          <w:highlight w:val="none"/>
        </w:rPr>
        <w:t>投标文件中承诺的投标有效期应当不少于“投标人须知前附表”载明的投标有效期。投标有效期比招标文件规定短的属于非实质性响应，将被认定为无效投标。</w:t>
      </w:r>
    </w:p>
    <w:p w14:paraId="5E302EE4">
      <w:pPr>
        <w:pStyle w:val="59"/>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highlight w:val="none"/>
        </w:rPr>
        <w:t>14.</w:t>
      </w:r>
      <w:r>
        <w:rPr>
          <w:rFonts w:hint="eastAsia" w:ascii="宋体" w:hAnsi="宋体" w:cs="宋体"/>
          <w:color w:val="auto"/>
          <w:kern w:val="0"/>
          <w:szCs w:val="21"/>
          <w:highlight w:val="none"/>
          <w:lang w:val="en-US" w:eastAsia="zh-CN"/>
        </w:rPr>
        <w:t>2</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w:t>
      </w:r>
      <w:r>
        <w:rPr>
          <w:rFonts w:hint="eastAsia" w:ascii="宋体" w:hAnsi="宋体" w:cs="宋体"/>
          <w:color w:val="auto"/>
          <w:kern w:val="0"/>
          <w:szCs w:val="21"/>
          <w:highlight w:val="none"/>
          <w:lang w:eastAsia="zh-CN"/>
        </w:rPr>
        <w:t>延长</w:t>
      </w:r>
      <w:r>
        <w:rPr>
          <w:rFonts w:hint="eastAsia" w:ascii="宋体" w:hAnsi="宋体" w:cs="宋体"/>
          <w:color w:val="auto"/>
          <w:kern w:val="0"/>
          <w:szCs w:val="21"/>
          <w:highlight w:val="none"/>
        </w:rPr>
        <w:t>的有效期内继续有效。同意延期的投标人在原投标有效期内应享之权利及应负之责任也相应延续。</w:t>
      </w:r>
    </w:p>
    <w:p w14:paraId="380F95AB">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14.</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中标人的投标文件作为项目合同的附件，其有效期至中标人全部合同义务履行完毕为止。</w:t>
      </w:r>
    </w:p>
    <w:p w14:paraId="061BA2CC">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15</w:t>
      </w:r>
      <w:r>
        <w:rPr>
          <w:rFonts w:hint="eastAsia" w:ascii="宋体" w:hAnsi="宋体" w:cs="宋体"/>
          <w:b/>
          <w:color w:val="auto"/>
          <w:kern w:val="0"/>
          <w:szCs w:val="21"/>
          <w:highlight w:val="none"/>
        </w:rPr>
        <w:t>．投标文件构成</w:t>
      </w:r>
    </w:p>
    <w:p w14:paraId="6AC165E6">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15.1 </w:t>
      </w:r>
      <w:r>
        <w:rPr>
          <w:rFonts w:hint="eastAsia" w:ascii="宋体" w:hAnsi="宋体" w:cs="宋体"/>
          <w:color w:val="auto"/>
          <w:kern w:val="0"/>
          <w:szCs w:val="21"/>
          <w:highlight w:val="none"/>
        </w:rPr>
        <w:t>投标文件的构成应符合法律法规及招标文件的要求。</w:t>
      </w:r>
    </w:p>
    <w:p w14:paraId="4795A129">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15.2 </w:t>
      </w:r>
      <w:r>
        <w:rPr>
          <w:rFonts w:hint="eastAsia" w:ascii="宋体" w:hAnsi="宋体" w:cs="宋体"/>
          <w:color w:val="auto"/>
          <w:kern w:val="0"/>
          <w:szCs w:val="21"/>
          <w:highlight w:val="none"/>
        </w:rPr>
        <w:t>投标人应当按照招标文件的要求编制投标文件。投标文件应当对招标文件提出的要求和条件作出明确响应。</w:t>
      </w:r>
    </w:p>
    <w:p w14:paraId="17E6F214">
      <w:pPr>
        <w:pStyle w:val="59"/>
        <w:numPr>
          <w:ilvl w:val="0"/>
          <w:numId w:val="0"/>
        </w:numPr>
        <w:shd w:val="clear"/>
        <w:autoSpaceDE w:val="0"/>
        <w:autoSpaceDN w:val="0"/>
        <w:spacing w:line="360" w:lineRule="auto"/>
        <w:ind w:leftChars="0"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15.3 </w:t>
      </w:r>
      <w:r>
        <w:rPr>
          <w:rFonts w:hint="eastAsia" w:ascii="宋体" w:hAnsi="宋体" w:cs="宋体"/>
          <w:color w:val="auto"/>
          <w:kern w:val="0"/>
          <w:szCs w:val="21"/>
          <w:highlight w:val="none"/>
        </w:rPr>
        <w:t>投标文件由资格证明材料、符合性证明材料、</w:t>
      </w:r>
      <w:r>
        <w:rPr>
          <w:rFonts w:hint="eastAsia" w:ascii="宋体" w:hAnsi="宋体" w:cs="宋体"/>
          <w:color w:val="auto"/>
          <w:kern w:val="0"/>
          <w:szCs w:val="21"/>
          <w:highlight w:val="none"/>
          <w:lang w:eastAsia="zh-CN"/>
        </w:rPr>
        <w:t>其他</w:t>
      </w:r>
      <w:r>
        <w:rPr>
          <w:rFonts w:hint="eastAsia" w:ascii="宋体" w:hAnsi="宋体" w:cs="宋体"/>
          <w:color w:val="auto"/>
          <w:kern w:val="0"/>
          <w:szCs w:val="21"/>
          <w:highlight w:val="none"/>
        </w:rPr>
        <w:t>材料等组成。</w:t>
      </w:r>
    </w:p>
    <w:p w14:paraId="40A181EF">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15.4 </w:t>
      </w:r>
      <w:r>
        <w:rPr>
          <w:rFonts w:hint="eastAsia" w:ascii="宋体" w:hAnsi="宋体" w:cs="宋体"/>
          <w:color w:val="auto"/>
          <w:kern w:val="0"/>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7D603476">
      <w:pPr>
        <w:autoSpaceDE w:val="0"/>
        <w:autoSpaceDN w:val="0"/>
        <w:spacing w:line="360" w:lineRule="auto"/>
        <w:ind w:firstLine="420" w:firstLineChars="200"/>
        <w:contextualSpacing/>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bCs/>
          <w:color w:val="auto"/>
          <w:kern w:val="0"/>
          <w:szCs w:val="21"/>
          <w:highlight w:val="none"/>
        </w:rPr>
        <w:t xml:space="preserve">15.5 </w:t>
      </w:r>
      <w:r>
        <w:rPr>
          <w:rFonts w:hint="eastAsia" w:ascii="宋体" w:hAnsi="宋体" w:cs="宋体" w:eastAsiaTheme="minorEastAsia"/>
          <w:color w:val="auto"/>
          <w:kern w:val="0"/>
          <w:sz w:val="21"/>
          <w:szCs w:val="21"/>
          <w:highlight w:val="none"/>
          <w:lang w:val="en-US" w:eastAsia="zh-CN" w:bidi="ar-SA"/>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4E5B5B2F">
      <w:pPr>
        <w:autoSpaceDE w:val="0"/>
        <w:autoSpaceDN w:val="0"/>
        <w:spacing w:line="360" w:lineRule="auto"/>
        <w:ind w:firstLine="420" w:firstLineChars="200"/>
        <w:contextualSpacing/>
        <w:rPr>
          <w:rFonts w:ascii="宋体" w:hAnsi="宋体" w:cs="宋体"/>
          <w:bCs/>
          <w:color w:val="auto"/>
          <w:kern w:val="0"/>
          <w:szCs w:val="21"/>
          <w:highlight w:val="none"/>
        </w:rPr>
      </w:pPr>
      <w:r>
        <w:rPr>
          <w:rFonts w:hint="eastAsia" w:ascii="宋体" w:hAnsi="宋体" w:cs="宋体" w:eastAsiaTheme="minorEastAsia"/>
          <w:color w:val="auto"/>
          <w:kern w:val="0"/>
          <w:sz w:val="21"/>
          <w:szCs w:val="21"/>
          <w:highlight w:val="none"/>
          <w:lang w:val="en-US" w:eastAsia="zh-CN" w:bidi="ar-SA"/>
        </w:rPr>
        <w:t>电子投标文件制作技术咨询：0374-</w:t>
      </w:r>
      <w:r>
        <w:rPr>
          <w:rStyle w:val="89"/>
          <w:rFonts w:hint="eastAsia" w:ascii="宋体" w:hAnsi="宋体" w:eastAsia="宋体" w:cs="Times New Roman"/>
          <w:color w:val="auto"/>
          <w:sz w:val="21"/>
          <w:szCs w:val="21"/>
          <w:highlight w:val="none"/>
        </w:rPr>
        <w:t>296</w:t>
      </w:r>
      <w:r>
        <w:rPr>
          <w:rStyle w:val="89"/>
          <w:rFonts w:hint="eastAsia" w:ascii="宋体" w:hAnsi="宋体" w:eastAsia="宋体" w:cs="Times New Roman"/>
          <w:color w:val="auto"/>
          <w:sz w:val="21"/>
          <w:szCs w:val="21"/>
          <w:highlight w:val="none"/>
          <w:lang w:val="en-US" w:eastAsia="zh-CN"/>
        </w:rPr>
        <w:t>1598</w:t>
      </w:r>
      <w:r>
        <w:rPr>
          <w:rFonts w:hint="eastAsia" w:ascii="宋体" w:hAnsi="宋体" w:cs="宋体" w:eastAsiaTheme="minorEastAsia"/>
          <w:color w:val="auto"/>
          <w:kern w:val="0"/>
          <w:sz w:val="21"/>
          <w:szCs w:val="21"/>
          <w:highlight w:val="none"/>
          <w:lang w:val="en-US" w:eastAsia="zh-CN" w:bidi="ar-SA"/>
        </w:rPr>
        <w:t>。</w:t>
      </w:r>
    </w:p>
    <w:p w14:paraId="15505888">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16.</w:t>
      </w:r>
      <w:r>
        <w:rPr>
          <w:rFonts w:hint="eastAsia" w:ascii="宋体" w:hAnsi="宋体" w:cs="宋体"/>
          <w:b/>
          <w:color w:val="auto"/>
          <w:kern w:val="0"/>
          <w:szCs w:val="21"/>
          <w:highlight w:val="none"/>
        </w:rPr>
        <w:t>投标文件格式</w:t>
      </w:r>
    </w:p>
    <w:p w14:paraId="04B0984D">
      <w:pPr>
        <w:autoSpaceDE w:val="0"/>
        <w:autoSpaceDN w:val="0"/>
        <w:spacing w:line="360" w:lineRule="auto"/>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投标人应按招标文件提供的格式编写投标文件。招标文件未提供标准格式的投标人可自行拟定。</w:t>
      </w:r>
    </w:p>
    <w:p w14:paraId="7E3517E7">
      <w:pPr>
        <w:autoSpaceDE w:val="0"/>
        <w:autoSpaceDN w:val="0"/>
        <w:spacing w:line="360" w:lineRule="auto"/>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17.投标保证金</w:t>
      </w:r>
    </w:p>
    <w:p w14:paraId="5E171877">
      <w:pPr>
        <w:autoSpaceDE w:val="0"/>
        <w:autoSpaceDN w:val="0"/>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17.1</w:t>
      </w:r>
      <w:r>
        <w:rPr>
          <w:rFonts w:hint="eastAsia" w:ascii="宋体" w:hAnsi="宋体" w:cs="宋体"/>
          <w:color w:val="auto"/>
          <w:szCs w:val="21"/>
          <w:highlight w:val="none"/>
          <w:lang w:val="zh-CN"/>
        </w:rPr>
        <w:t>本项目不收取投标保证金。</w:t>
      </w:r>
    </w:p>
    <w:p w14:paraId="3C060691">
      <w:pPr>
        <w:autoSpaceDE w:val="0"/>
        <w:autoSpaceDN w:val="0"/>
        <w:adjustRightInd w:val="0"/>
        <w:spacing w:line="360" w:lineRule="auto"/>
        <w:ind w:firstLine="420" w:firstLineChars="200"/>
        <w:rPr>
          <w:color w:val="auto"/>
          <w:highlight w:val="none"/>
        </w:rPr>
      </w:pPr>
      <w:r>
        <w:rPr>
          <w:rFonts w:hint="eastAsia" w:ascii="宋体" w:hAnsi="宋体" w:cs="宋体"/>
          <w:color w:val="auto"/>
          <w:szCs w:val="21"/>
          <w:highlight w:val="none"/>
        </w:rPr>
        <w:t>17.2</w:t>
      </w:r>
      <w:r>
        <w:rPr>
          <w:rFonts w:hint="eastAsia" w:ascii="宋体" w:hAnsi="宋体" w:cs="宋体"/>
          <w:color w:val="auto"/>
          <w:szCs w:val="21"/>
          <w:highlight w:val="none"/>
          <w:lang w:val="zh-CN"/>
        </w:rPr>
        <w:t>投标人应提供投标承诺函。</w:t>
      </w:r>
    </w:p>
    <w:p w14:paraId="4FB15259">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1</w:t>
      </w:r>
      <w:r>
        <w:rPr>
          <w:rFonts w:hint="eastAsia" w:ascii="宋体" w:hAnsi="宋体" w:cs="宋体"/>
          <w:b/>
          <w:color w:val="auto"/>
          <w:szCs w:val="21"/>
          <w:highlight w:val="none"/>
        </w:rPr>
        <w:t>8</w:t>
      </w:r>
      <w:r>
        <w:rPr>
          <w:rFonts w:ascii="宋体" w:cs="宋体"/>
          <w:b/>
          <w:color w:val="auto"/>
          <w:szCs w:val="21"/>
          <w:highlight w:val="none"/>
          <w:lang w:val="zh-CN"/>
        </w:rPr>
        <w:t>.</w:t>
      </w:r>
      <w:r>
        <w:rPr>
          <w:rFonts w:hint="eastAsia" w:ascii="宋体" w:hAnsi="宋体" w:cs="宋体"/>
          <w:b/>
          <w:color w:val="auto"/>
          <w:szCs w:val="21"/>
          <w:highlight w:val="none"/>
          <w:lang w:val="zh-CN"/>
        </w:rPr>
        <w:t>投标文件的数量和签署盖章</w:t>
      </w:r>
    </w:p>
    <w:p w14:paraId="38FA7808">
      <w:pPr>
        <w:autoSpaceDE w:val="0"/>
        <w:autoSpaceDN w:val="0"/>
        <w:adjustRightInd w:val="0"/>
        <w:spacing w:line="360" w:lineRule="auto"/>
        <w:ind w:firstLine="420" w:firstLineChars="200"/>
        <w:rPr>
          <w:rFonts w:ascii="宋体" w:cs="宋体"/>
          <w:color w:val="auto"/>
          <w:szCs w:val="21"/>
          <w:highlight w:val="none"/>
          <w:lang w:val="zh-CN"/>
        </w:rPr>
      </w:pPr>
      <w:r>
        <w:rPr>
          <w:rFonts w:ascii="宋体" w:hAnsi="宋体" w:cs="宋体"/>
          <w:color w:val="auto"/>
          <w:szCs w:val="21"/>
          <w:highlight w:val="none"/>
          <w:lang w:val="zh-CN"/>
        </w:rPr>
        <w:t>1</w:t>
      </w:r>
      <w:r>
        <w:rPr>
          <w:rFonts w:hint="eastAsia" w:ascii="宋体" w:hAnsi="宋体" w:cs="宋体"/>
          <w:color w:val="auto"/>
          <w:szCs w:val="21"/>
          <w:highlight w:val="none"/>
        </w:rPr>
        <w:t>8</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投标人应提交投标文件份数见“投标人须知前附表”。</w:t>
      </w:r>
    </w:p>
    <w:p w14:paraId="33C35882">
      <w:pPr>
        <w:tabs>
          <w:tab w:val="left" w:pos="1260"/>
        </w:tabs>
        <w:autoSpaceDE w:val="0"/>
        <w:autoSpaceDN w:val="0"/>
        <w:spacing w:line="360" w:lineRule="auto"/>
        <w:ind w:firstLine="420" w:firstLineChars="200"/>
        <w:contextualSpacing/>
        <w:rPr>
          <w:ins w:id="0" w:author="许昌丰元咨询管理有限公司:连丹丹" w:date="2021-06-08T09:27:00Z"/>
          <w:rFonts w:ascii="宋体" w:hAnsi="宋体" w:cs="宋体"/>
          <w:b/>
          <w:color w:val="auto"/>
          <w:kern w:val="0"/>
          <w:sz w:val="28"/>
          <w:szCs w:val="28"/>
          <w:highlight w:val="none"/>
        </w:rPr>
      </w:pPr>
      <w:r>
        <w:rPr>
          <w:rFonts w:ascii="宋体" w:hAnsi="宋体" w:cs="宋体"/>
          <w:color w:val="auto"/>
          <w:szCs w:val="21"/>
          <w:highlight w:val="none"/>
          <w:lang w:val="zh-CN"/>
        </w:rPr>
        <w:t>1</w:t>
      </w:r>
      <w:r>
        <w:rPr>
          <w:rFonts w:hint="eastAsia" w:ascii="宋体" w:hAnsi="宋体" w:cs="宋体"/>
          <w:color w:val="auto"/>
          <w:szCs w:val="21"/>
          <w:highlight w:val="none"/>
        </w:rPr>
        <w:t>8</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在招标文件中已明示需盖章及签名之处，</w:t>
      </w:r>
      <w:r>
        <w:rPr>
          <w:rFonts w:hint="eastAsia" w:ascii="宋体" w:hAnsi="宋体" w:cs="宋体"/>
          <w:color w:val="auto"/>
          <w:szCs w:val="21"/>
          <w:highlight w:val="none"/>
        </w:rPr>
        <w:t>电子投标文件应按招标文件要求加盖投标人电子印章和法人电子印章或授权代表电子印章。</w:t>
      </w:r>
    </w:p>
    <w:p w14:paraId="48432E8C">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四、投标文件的递交</w:t>
      </w:r>
    </w:p>
    <w:p w14:paraId="7642B972">
      <w:pPr>
        <w:numPr>
          <w:ilvl w:val="0"/>
          <w:numId w:val="12"/>
        </w:numPr>
        <w:tabs>
          <w:tab w:val="left" w:pos="1260"/>
        </w:tabs>
        <w:autoSpaceDE w:val="0"/>
        <w:autoSpaceDN w:val="0"/>
        <w:spacing w:line="360" w:lineRule="auto"/>
        <w:contextualSpacing/>
        <w:rPr>
          <w:rFonts w:ascii="宋体" w:hAnsi="宋体" w:cs="宋体"/>
          <w:b/>
          <w:color w:val="auto"/>
          <w:szCs w:val="21"/>
          <w:highlight w:val="none"/>
          <w:lang w:val="zh-CN"/>
        </w:rPr>
      </w:pPr>
      <w:r>
        <w:rPr>
          <w:rFonts w:hint="eastAsia" w:ascii="宋体" w:hAnsi="宋体" w:cs="宋体"/>
          <w:b/>
          <w:color w:val="auto"/>
          <w:szCs w:val="21"/>
          <w:highlight w:val="none"/>
          <w:lang w:val="zh-CN"/>
        </w:rPr>
        <w:t>投标文件的递交及投标截止时间</w:t>
      </w:r>
    </w:p>
    <w:p w14:paraId="2B6B9E16">
      <w:pPr>
        <w:tabs>
          <w:tab w:val="left" w:pos="1260"/>
        </w:tabs>
        <w:autoSpaceDE w:val="0"/>
        <w:autoSpaceDN w:val="0"/>
        <w:spacing w:line="360" w:lineRule="auto"/>
        <w:ind w:firstLine="420" w:firstLineChars="200"/>
        <w:contextualSpacing/>
        <w:rPr>
          <w:color w:val="auto"/>
          <w:highlight w:val="none"/>
          <w:lang w:val="zh-CN"/>
        </w:rPr>
      </w:pPr>
      <w:r>
        <w:rPr>
          <w:rFonts w:hint="eastAsia" w:ascii="宋体" w:hAnsi="宋体" w:cs="仿宋_GB2312"/>
          <w:color w:val="auto"/>
          <w:szCs w:val="21"/>
          <w:highlight w:val="none"/>
        </w:rPr>
        <w:t>19.1 电子投标文件：成功上传至《全国公共资源交易平台（河南省·许昌市）》公共资源交易系统加密电子投标文件</w:t>
      </w:r>
      <w:r>
        <w:rPr>
          <w:rFonts w:ascii="宋体" w:hAnsi="宋体" w:cs="仿宋_GB2312"/>
          <w:color w:val="auto"/>
          <w:szCs w:val="21"/>
          <w:highlight w:val="none"/>
        </w:rPr>
        <w:t>。</w:t>
      </w:r>
    </w:p>
    <w:p w14:paraId="624A9BF8">
      <w:pPr>
        <w:pStyle w:val="59"/>
        <w:autoSpaceDE w:val="0"/>
        <w:autoSpaceDN w:val="0"/>
        <w:spacing w:line="360" w:lineRule="auto"/>
        <w:contextualSpacing/>
        <w:rPr>
          <w:rFonts w:ascii="宋体" w:cs="宋体"/>
          <w:bCs/>
          <w:color w:val="auto"/>
          <w:szCs w:val="21"/>
          <w:highlight w:val="none"/>
        </w:rPr>
      </w:pPr>
      <w:r>
        <w:rPr>
          <w:rFonts w:hint="eastAsia" w:ascii="宋体" w:hAnsi="宋体" w:cs="宋体"/>
          <w:color w:val="auto"/>
          <w:szCs w:val="21"/>
          <w:highlight w:val="none"/>
        </w:rPr>
        <w:t>19</w:t>
      </w: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b/>
          <w:color w:val="auto"/>
          <w:kern w:val="0"/>
          <w:sz w:val="21"/>
          <w:szCs w:val="21"/>
          <w:highlight w:val="none"/>
        </w:rPr>
        <w:t>本项目采用“远程不见面”开标方式，</w:t>
      </w:r>
      <w:r>
        <w:rPr>
          <w:rFonts w:hint="eastAsia" w:ascii="宋体" w:hAnsi="宋体" w:cs="宋体"/>
          <w:color w:val="auto"/>
          <w:kern w:val="0"/>
          <w:sz w:val="21"/>
          <w:szCs w:val="21"/>
          <w:highlight w:val="none"/>
        </w:rPr>
        <w:t>投标人无须到开标现场参加开标会议、无须现场提交有关原件资料；投标人在</w:t>
      </w:r>
      <w:r>
        <w:rPr>
          <w:rFonts w:hint="eastAsia" w:ascii="宋体" w:hAnsi="宋体" w:cs="宋体"/>
          <w:color w:val="auto"/>
          <w:sz w:val="21"/>
          <w:szCs w:val="21"/>
          <w:highlight w:val="none"/>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cs="宋体"/>
          <w:color w:val="auto"/>
          <w:kern w:val="0"/>
          <w:sz w:val="21"/>
          <w:szCs w:val="21"/>
          <w:highlight w:val="none"/>
        </w:rPr>
        <w:t>。</w:t>
      </w:r>
    </w:p>
    <w:p w14:paraId="7BBF1162">
      <w:pPr>
        <w:autoSpaceDE w:val="0"/>
        <w:autoSpaceDN w:val="0"/>
        <w:spacing w:line="360" w:lineRule="auto"/>
        <w:ind w:firstLine="420" w:firstLineChars="200"/>
        <w:contextualSpacing/>
        <w:rPr>
          <w:rFonts w:ascii="宋体" w:cs="宋体"/>
          <w:bCs/>
          <w:color w:val="auto"/>
          <w:szCs w:val="21"/>
          <w:highlight w:val="none"/>
        </w:rPr>
      </w:pPr>
      <w:r>
        <w:rPr>
          <w:rFonts w:hint="eastAsia" w:ascii="宋体" w:hAnsi="宋体" w:cs="宋体"/>
          <w:color w:val="auto"/>
          <w:szCs w:val="21"/>
          <w:highlight w:val="none"/>
        </w:rPr>
        <w:t>19</w:t>
      </w:r>
      <w:r>
        <w:rPr>
          <w:rFonts w:ascii="宋体" w:hAnsi="宋体" w:cs="宋体"/>
          <w:color w:val="auto"/>
          <w:szCs w:val="21"/>
          <w:highlight w:val="none"/>
          <w:lang w:val="zh-CN"/>
        </w:rPr>
        <w:t>.</w:t>
      </w:r>
      <w:r>
        <w:rPr>
          <w:rFonts w:hint="eastAsia" w:ascii="宋体" w:hAnsi="宋体" w:cs="宋体"/>
          <w:color w:val="auto"/>
          <w:szCs w:val="21"/>
          <w:highlight w:val="none"/>
        </w:rPr>
        <w:t xml:space="preserve">3 </w:t>
      </w:r>
      <w:r>
        <w:rPr>
          <w:rFonts w:hint="eastAsia" w:ascii="宋体" w:hAnsi="宋体" w:cs="宋体"/>
          <w:bCs/>
          <w:color w:val="auto"/>
          <w:szCs w:val="21"/>
          <w:highlight w:val="none"/>
        </w:rPr>
        <w:t>招标人可以按本须知第</w:t>
      </w:r>
      <w:r>
        <w:rPr>
          <w:rFonts w:ascii="宋体" w:hAnsi="宋体" w:cs="宋体"/>
          <w:bCs/>
          <w:color w:val="auto"/>
          <w:szCs w:val="21"/>
          <w:highlight w:val="none"/>
        </w:rPr>
        <w:t>1</w:t>
      </w:r>
      <w:r>
        <w:rPr>
          <w:rFonts w:hint="eastAsia" w:ascii="宋体" w:hAnsi="宋体" w:cs="宋体"/>
          <w:bCs/>
          <w:color w:val="auto"/>
          <w:szCs w:val="21"/>
          <w:highlight w:val="none"/>
        </w:rPr>
        <w:t>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34353FFF">
      <w:pPr>
        <w:tabs>
          <w:tab w:val="left" w:pos="1260"/>
        </w:tabs>
        <w:autoSpaceDE w:val="0"/>
        <w:autoSpaceDN w:val="0"/>
        <w:spacing w:line="360" w:lineRule="auto"/>
        <w:contextualSpacing/>
        <w:rPr>
          <w:rFonts w:ascii="宋体" w:cs="宋体"/>
          <w:b/>
          <w:color w:val="auto"/>
          <w:szCs w:val="21"/>
          <w:highlight w:val="none"/>
          <w:lang w:val="zh-CN"/>
        </w:rPr>
      </w:pPr>
      <w:r>
        <w:rPr>
          <w:rFonts w:hint="eastAsia" w:ascii="宋体" w:hAnsi="宋体" w:cs="宋体"/>
          <w:b/>
          <w:color w:val="auto"/>
          <w:szCs w:val="21"/>
          <w:highlight w:val="none"/>
        </w:rPr>
        <w:t>20</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迟交的投标文件</w:t>
      </w:r>
    </w:p>
    <w:p w14:paraId="4166DA9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投标截止时间之后上传的投标文件，招标人将拒绝接收。</w:t>
      </w:r>
    </w:p>
    <w:p w14:paraId="48EA63E3">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1</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投标文件的修改和撤回</w:t>
      </w:r>
    </w:p>
    <w:p w14:paraId="13D1E906">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 xml:space="preserve">.1 </w:t>
      </w:r>
      <w:r>
        <w:rPr>
          <w:rFonts w:hint="eastAsia" w:ascii="宋体" w:hAnsi="宋体" w:cs="宋体"/>
          <w:color w:val="auto"/>
          <w:szCs w:val="21"/>
          <w:highlight w:val="none"/>
        </w:rPr>
        <w:t>投标人应当在投标截止时间前完成电子投标文件的提交，可以补充、修改或撤回。投标截止时间前未完成电子投标文件提交、取得“投标文件提交回执单”的，视为撤回投标文件。</w:t>
      </w:r>
    </w:p>
    <w:p w14:paraId="4485511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投标人在递交投标文件后，可以撤回其投标，但投标人必须在规定的投标截止时间前以书面形式告知招标人。</w:t>
      </w:r>
    </w:p>
    <w:p w14:paraId="1784FD28">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kern w:val="0"/>
          <w:szCs w:val="21"/>
          <w:highlight w:val="none"/>
        </w:rPr>
        <w:t>投标人不得在投标有效期内撤销投标文件，否则招标人将不退还其投标保证金。</w:t>
      </w:r>
    </w:p>
    <w:p w14:paraId="4A843246">
      <w:pPr>
        <w:autoSpaceDE w:val="0"/>
        <w:autoSpaceDN w:val="0"/>
        <w:spacing w:line="360" w:lineRule="auto"/>
        <w:contextualSpacing/>
        <w:rPr>
          <w:rFonts w:ascii="宋体" w:cs="宋体"/>
          <w:color w:val="auto"/>
          <w:kern w:val="0"/>
          <w:szCs w:val="21"/>
          <w:highlight w:val="none"/>
        </w:rPr>
      </w:pPr>
      <w:r>
        <w:rPr>
          <w:rFonts w:ascii="宋体" w:hAnsi="宋体" w:cs="宋体"/>
          <w:b/>
          <w:color w:val="auto"/>
          <w:kern w:val="0"/>
          <w:szCs w:val="21"/>
          <w:highlight w:val="none"/>
        </w:rPr>
        <w:t>2</w:t>
      </w:r>
      <w:r>
        <w:rPr>
          <w:rFonts w:hint="eastAsia" w:ascii="宋体" w:hAnsi="宋体" w:cs="宋体"/>
          <w:b/>
          <w:color w:val="auto"/>
          <w:kern w:val="0"/>
          <w:szCs w:val="21"/>
          <w:highlight w:val="none"/>
        </w:rPr>
        <w:t>2．</w:t>
      </w:r>
      <w:r>
        <w:rPr>
          <w:rFonts w:hint="eastAsia" w:ascii="宋体" w:hAnsi="宋体" w:cs="宋体"/>
          <w:b/>
          <w:color w:val="auto"/>
          <w:szCs w:val="21"/>
          <w:highlight w:val="none"/>
        </w:rPr>
        <w:t>除投标人须知前附表另有规定外，投标人所提交的电子投标文件不予退还。</w:t>
      </w:r>
    </w:p>
    <w:p w14:paraId="48CE30B3">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五、开标和评标</w:t>
      </w:r>
    </w:p>
    <w:p w14:paraId="3A93F451">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3</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开标</w:t>
      </w:r>
    </w:p>
    <w:p w14:paraId="21090916">
      <w:pPr>
        <w:pStyle w:val="59"/>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23.1招标人将按招标文件规定的时间和地点组织远程不见面开标。开标由代理机构主持，投标人</w:t>
      </w:r>
      <w:r>
        <w:rPr>
          <w:rFonts w:hint="eastAsia" w:cs="宋体" w:asciiTheme="minorEastAsia" w:hAnsiTheme="minorEastAsia"/>
          <w:color w:val="auto"/>
          <w:kern w:val="0"/>
          <w:szCs w:val="21"/>
          <w:highlight w:val="none"/>
          <w:lang w:eastAsia="zh-CN"/>
        </w:rPr>
        <w:t>无需</w:t>
      </w:r>
      <w:r>
        <w:rPr>
          <w:rFonts w:hint="eastAsia" w:cs="宋体" w:asciiTheme="minorEastAsia" w:hAnsiTheme="minorEastAsia"/>
          <w:color w:val="auto"/>
          <w:kern w:val="0"/>
          <w:szCs w:val="21"/>
          <w:highlight w:val="none"/>
        </w:rPr>
        <w:t>到现场。评标委员会成员不得参加开标活动。</w:t>
      </w:r>
    </w:p>
    <w:p w14:paraId="097DC921">
      <w:pPr>
        <w:tabs>
          <w:tab w:val="left" w:pos="1260"/>
        </w:tabs>
        <w:autoSpaceDE w:val="0"/>
        <w:autoSpaceDN w:val="0"/>
        <w:spacing w:line="360" w:lineRule="auto"/>
        <w:ind w:firstLine="420" w:firstLineChars="200"/>
        <w:contextualSpacing/>
        <w:jc w:val="left"/>
        <w:rPr>
          <w:rFonts w:ascii="宋体" w:hAnsi="宋体" w:cs="宋体"/>
          <w:color w:val="auto"/>
          <w:kern w:val="0"/>
          <w:sz w:val="21"/>
          <w:szCs w:val="21"/>
          <w:highlight w:val="none"/>
        </w:rPr>
      </w:pPr>
      <w:r>
        <w:rPr>
          <w:rFonts w:hint="eastAsia" w:cs="宋体" w:asciiTheme="minorEastAsia" w:hAnsiTheme="minorEastAsia"/>
          <w:color w:val="auto"/>
          <w:kern w:val="0"/>
          <w:szCs w:val="21"/>
          <w:highlight w:val="none"/>
        </w:rPr>
        <w:t>23.2</w:t>
      </w:r>
      <w:r>
        <w:rPr>
          <w:rFonts w:hint="eastAsia" w:ascii="宋体" w:hAnsi="宋体" w:cs="宋体"/>
          <w:color w:val="auto"/>
          <w:kern w:val="0"/>
          <w:sz w:val="21"/>
          <w:szCs w:val="21"/>
          <w:highlight w:val="none"/>
        </w:rPr>
        <w:t>开标程序</w:t>
      </w:r>
    </w:p>
    <w:p w14:paraId="7F2A357D">
      <w:pPr>
        <w:numPr>
          <w:ilvl w:val="0"/>
          <w:numId w:val="13"/>
        </w:numPr>
        <w:tabs>
          <w:tab w:val="left" w:pos="1260"/>
        </w:tabs>
        <w:autoSpaceDE w:val="0"/>
        <w:autoSpaceDN w:val="0"/>
        <w:spacing w:line="360" w:lineRule="auto"/>
        <w:ind w:firstLine="315" w:firstLineChars="150"/>
        <w:contextualSpacing/>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本项目采用远程“不见面”开标方式，投标前请详细阅读“全国公共资源交易平台（河南省·许昌市）”的“服务指南”栏目下《新交易平台使用手册》中的相关内容。</w:t>
      </w:r>
    </w:p>
    <w:p w14:paraId="3A49459C">
      <w:pPr>
        <w:numPr>
          <w:ilvl w:val="0"/>
          <w:numId w:val="13"/>
        </w:numPr>
        <w:tabs>
          <w:tab w:val="left" w:pos="1260"/>
        </w:tabs>
        <w:autoSpaceDE w:val="0"/>
        <w:autoSpaceDN w:val="0"/>
        <w:spacing w:line="360" w:lineRule="auto"/>
        <w:ind w:firstLine="315" w:firstLineChars="150"/>
        <w:contextualSpacing/>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供应商应按新交易平台使用手册提前设置好浏览器，并于开标时间前登录本项目网上开标大厅，按照规定的开标时间准时参加网上开标。</w:t>
      </w:r>
    </w:p>
    <w:p w14:paraId="228ADCAA">
      <w:pPr>
        <w:numPr>
          <w:ilvl w:val="0"/>
          <w:numId w:val="13"/>
        </w:numPr>
        <w:tabs>
          <w:tab w:val="left" w:pos="1260"/>
        </w:tabs>
        <w:autoSpaceDE w:val="0"/>
        <w:autoSpaceDN w:val="0"/>
        <w:spacing w:line="360" w:lineRule="auto"/>
        <w:ind w:firstLine="315" w:firstLineChars="150"/>
        <w:contextualSpacing/>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根据开标大厅界面右侧“公告栏”中的系统提示，供应商应在“标书解密”环节完成解密操作。供应商未解密或因供应商原因解密失败的，其响应文件将被退回。</w:t>
      </w:r>
    </w:p>
    <w:p w14:paraId="530BBBC3">
      <w:pPr>
        <w:numPr>
          <w:ilvl w:val="0"/>
          <w:numId w:val="13"/>
        </w:numPr>
        <w:tabs>
          <w:tab w:val="left" w:pos="1260"/>
        </w:tabs>
        <w:autoSpaceDE w:val="0"/>
        <w:autoSpaceDN w:val="0"/>
        <w:spacing w:line="360" w:lineRule="auto"/>
        <w:ind w:firstLine="315" w:firstLineChars="150"/>
        <w:contextualSpacing/>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在“唱标”环节，供应商应对唱标信息进行确认，供应商未进行唱标确认操作的，视同认可唱标结果。</w:t>
      </w:r>
    </w:p>
    <w:p w14:paraId="3A2EF938">
      <w:pPr>
        <w:numPr>
          <w:ilvl w:val="0"/>
          <w:numId w:val="13"/>
        </w:numPr>
        <w:tabs>
          <w:tab w:val="left" w:pos="1260"/>
        </w:tabs>
        <w:autoSpaceDE w:val="0"/>
        <w:autoSpaceDN w:val="0"/>
        <w:spacing w:line="360" w:lineRule="auto"/>
        <w:ind w:firstLine="315" w:firstLineChars="150"/>
        <w:contextualSpacing/>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在“开标结束”环节，供应商应在《开标情况记录表》上进行电子签章。供应商未签章的，视同认可开标结果。</w:t>
      </w:r>
    </w:p>
    <w:p w14:paraId="20296BF1">
      <w:pPr>
        <w:numPr>
          <w:ilvl w:val="0"/>
          <w:numId w:val="13"/>
        </w:numPr>
        <w:tabs>
          <w:tab w:val="left" w:pos="1260"/>
        </w:tabs>
        <w:autoSpaceDE w:val="0"/>
        <w:autoSpaceDN w:val="0"/>
        <w:spacing w:line="360" w:lineRule="auto"/>
        <w:ind w:firstLine="315" w:firstLineChars="150"/>
        <w:contextualSpacing/>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供应商对开标过程和开标记录如有异议，可在本项目开标大厅界面右下方“发起异议”中提出异议。</w:t>
      </w:r>
    </w:p>
    <w:p w14:paraId="4D547EFB">
      <w:pPr>
        <w:tabs>
          <w:tab w:val="left" w:pos="1260"/>
        </w:tabs>
        <w:autoSpaceDE w:val="0"/>
        <w:autoSpaceDN w:val="0"/>
        <w:spacing w:line="360" w:lineRule="auto"/>
        <w:ind w:firstLine="420" w:firstLineChars="200"/>
        <w:contextualSpacing/>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.3采购人应当对开标、评标现场活动进行全程录音录像。录音录像应当清晰可辨，音像资料作为采购文件一并存档。</w:t>
      </w:r>
    </w:p>
    <w:p w14:paraId="74132CEE">
      <w:pPr>
        <w:tabs>
          <w:tab w:val="left" w:pos="1260"/>
        </w:tabs>
        <w:autoSpaceDE w:val="0"/>
        <w:autoSpaceDN w:val="0"/>
        <w:spacing w:line="360" w:lineRule="auto"/>
        <w:ind w:firstLine="420" w:firstLineChars="200"/>
        <w:contextualSpacing/>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.4投标人不足3家的，不得开标。</w:t>
      </w:r>
    </w:p>
    <w:p w14:paraId="43A550B5">
      <w:pPr>
        <w:tabs>
          <w:tab w:val="left" w:pos="1260"/>
        </w:tabs>
        <w:autoSpaceDE w:val="0"/>
        <w:autoSpaceDN w:val="0"/>
        <w:spacing w:line="360" w:lineRule="auto"/>
        <w:ind w:firstLine="420" w:firstLineChars="200"/>
        <w:contextualSpacing/>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.5开标过程由采购代理机构负责记录，《开标情况记录表》经投标人进行电子签章、由参加开标的采购人和监督人签字确认后随采购文件一并存档。投标人未电子签章的，视同认可开标结果。</w:t>
      </w:r>
    </w:p>
    <w:p w14:paraId="5F5F7FC4">
      <w:pPr>
        <w:tabs>
          <w:tab w:val="left" w:pos="1260"/>
        </w:tabs>
        <w:autoSpaceDE w:val="0"/>
        <w:autoSpaceDN w:val="0"/>
        <w:spacing w:line="360" w:lineRule="auto"/>
        <w:contextualSpacing/>
        <w:rPr>
          <w:rFonts w:ascii="宋体" w:cs="宋体"/>
          <w:b/>
          <w:color w:val="auto"/>
          <w:szCs w:val="21"/>
          <w:highlight w:val="none"/>
          <w:lang w:val="zh-CN"/>
        </w:rPr>
      </w:pPr>
      <w:r>
        <w:rPr>
          <w:rFonts w:hint="eastAsia" w:ascii="宋体" w:hAnsi="宋体" w:cs="宋体"/>
          <w:b/>
          <w:color w:val="auto"/>
          <w:szCs w:val="21"/>
          <w:highlight w:val="none"/>
        </w:rPr>
        <w:t>24</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资格审查</w:t>
      </w:r>
    </w:p>
    <w:p w14:paraId="0668F8E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bCs/>
          <w:color w:val="auto"/>
          <w:szCs w:val="21"/>
          <w:highlight w:val="none"/>
        </w:rPr>
        <w:t>开标结束后，采购人依法对投标人的资格进行审查。</w:t>
      </w:r>
      <w:r>
        <w:rPr>
          <w:rFonts w:hint="eastAsia" w:ascii="宋体" w:hAnsi="宋体" w:cs="宋体"/>
          <w:color w:val="auto"/>
          <w:szCs w:val="21"/>
          <w:highlight w:val="none"/>
          <w:lang w:val="zh-CN"/>
        </w:rPr>
        <w:t>合格投标人不足</w:t>
      </w:r>
      <w:r>
        <w:rPr>
          <w:rFonts w:ascii="宋体" w:hAnsi="宋体" w:cs="宋体"/>
          <w:color w:val="auto"/>
          <w:szCs w:val="21"/>
          <w:highlight w:val="none"/>
          <w:lang w:val="zh-CN"/>
        </w:rPr>
        <w:t>3</w:t>
      </w:r>
      <w:r>
        <w:rPr>
          <w:rFonts w:hint="eastAsia" w:ascii="宋体" w:hAnsi="宋体" w:cs="宋体"/>
          <w:color w:val="auto"/>
          <w:szCs w:val="21"/>
          <w:highlight w:val="none"/>
          <w:lang w:val="zh-CN"/>
        </w:rPr>
        <w:t>家的，不得评标。</w:t>
      </w:r>
    </w:p>
    <w:p w14:paraId="2F40435D">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5</w:t>
      </w:r>
      <w:r>
        <w:rPr>
          <w:rFonts w:ascii="宋体" w:cs="宋体"/>
          <w:b/>
          <w:color w:val="auto"/>
          <w:szCs w:val="21"/>
          <w:highlight w:val="none"/>
          <w:lang w:val="zh-CN"/>
        </w:rPr>
        <w:t>.</w:t>
      </w:r>
      <w:r>
        <w:rPr>
          <w:rFonts w:hint="eastAsia" w:ascii="宋体" w:hAnsi="宋体" w:cs="宋体"/>
          <w:b/>
          <w:color w:val="auto"/>
          <w:szCs w:val="21"/>
          <w:highlight w:val="none"/>
          <w:lang w:val="zh-CN"/>
        </w:rPr>
        <w:t>评标委员会的组成</w:t>
      </w:r>
    </w:p>
    <w:p w14:paraId="198CBB2D">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hint="eastAsia" w:ascii="宋体" w:hAnsi="宋体" w:cs="宋体"/>
          <w:color w:val="auto"/>
          <w:szCs w:val="21"/>
          <w:highlight w:val="none"/>
          <w:lang w:val="zh-CN"/>
        </w:rPr>
        <w:t>．</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招标人将依法组建评标委员会，评标委员会由采购人代表和评审专家组成，成员人数应当为</w:t>
      </w:r>
      <w:r>
        <w:rPr>
          <w:rFonts w:ascii="宋体" w:hAnsi="宋体" w:cs="宋体"/>
          <w:color w:val="auto"/>
          <w:szCs w:val="21"/>
          <w:highlight w:val="none"/>
          <w:lang w:val="zh-CN"/>
        </w:rPr>
        <w:t>5</w:t>
      </w:r>
      <w:r>
        <w:rPr>
          <w:rFonts w:hint="eastAsia" w:ascii="宋体" w:hAnsi="宋体" w:cs="宋体"/>
          <w:color w:val="auto"/>
          <w:szCs w:val="21"/>
          <w:highlight w:val="none"/>
          <w:lang w:val="zh-CN"/>
        </w:rPr>
        <w:t>人以上单数，其中评审专家的人数不少于评标委员会成员总数的三分之二。评审专家依法从政府采购评审专家库中随机抽取。</w:t>
      </w:r>
    </w:p>
    <w:p w14:paraId="49CBF0B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.1.1 </w:t>
      </w:r>
      <w:r>
        <w:rPr>
          <w:rFonts w:hint="eastAsia" w:ascii="宋体" w:hAnsi="宋体" w:cs="宋体"/>
          <w:color w:val="auto"/>
          <w:szCs w:val="21"/>
          <w:highlight w:val="none"/>
          <w:lang w:val="zh-CN"/>
        </w:rPr>
        <w:t>采购项目符合下列情形之一的，评标委员会成员人数应当为</w:t>
      </w:r>
      <w:r>
        <w:rPr>
          <w:rFonts w:ascii="宋体" w:hAnsi="宋体" w:cs="宋体"/>
          <w:color w:val="auto"/>
          <w:szCs w:val="21"/>
          <w:highlight w:val="none"/>
          <w:lang w:val="zh-CN"/>
        </w:rPr>
        <w:t>7</w:t>
      </w:r>
      <w:r>
        <w:rPr>
          <w:rFonts w:hint="eastAsia" w:ascii="宋体" w:hAnsi="宋体" w:cs="宋体"/>
          <w:color w:val="auto"/>
          <w:szCs w:val="21"/>
          <w:highlight w:val="none"/>
          <w:lang w:val="zh-CN"/>
        </w:rPr>
        <w:t>人以上单数：</w:t>
      </w:r>
    </w:p>
    <w:p w14:paraId="0A91D56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（一）采购预算金额在</w:t>
      </w:r>
      <w:r>
        <w:rPr>
          <w:rFonts w:ascii="宋体" w:hAnsi="宋体" w:cs="宋体"/>
          <w:color w:val="auto"/>
          <w:szCs w:val="21"/>
          <w:highlight w:val="none"/>
          <w:lang w:val="zh-CN"/>
        </w:rPr>
        <w:t>1000</w:t>
      </w:r>
      <w:r>
        <w:rPr>
          <w:rFonts w:hint="eastAsia" w:ascii="宋体" w:hAnsi="宋体" w:cs="宋体"/>
          <w:color w:val="auto"/>
          <w:szCs w:val="21"/>
          <w:highlight w:val="none"/>
          <w:lang w:val="zh-CN"/>
        </w:rPr>
        <w:t>万元以上；</w:t>
      </w:r>
    </w:p>
    <w:p w14:paraId="65FA711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（二）技术复杂；</w:t>
      </w:r>
    </w:p>
    <w:p w14:paraId="29408706">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（三）社会影响较大。</w:t>
      </w:r>
    </w:p>
    <w:p w14:paraId="4EE4EFC6">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评审专家对本单位的采购项目只能作为采购人代表参与评标。采购代理机构工作人员不得参加由本机构代理的政府采购项目的评标。</w:t>
      </w:r>
    </w:p>
    <w:p w14:paraId="34559CD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评审专家与投标人存在下列利害关系之一的，应当回避：</w:t>
      </w:r>
    </w:p>
    <w:p w14:paraId="6CC22539">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（一）参加采购活动前三年内,不与供应商存在劳动关系，或者担任过供应商的董事、监事，或者是供应商的控股股东或实际控制人；</w:t>
      </w:r>
    </w:p>
    <w:p w14:paraId="077B1A86">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（二）与供应商的法定代表人或者负责人有夫妻、直系血亲、三代以内旁系血亲或者近姻亲关系；</w:t>
      </w:r>
    </w:p>
    <w:p w14:paraId="1DEBE09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（三）与供应商有其他可能影响政府采购活动公平、公正进行的关系。</w:t>
      </w:r>
    </w:p>
    <w:p w14:paraId="093E6C9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.4 </w:t>
      </w:r>
      <w:r>
        <w:rPr>
          <w:rFonts w:hint="eastAsia" w:ascii="宋体" w:hAnsi="宋体" w:cs="宋体"/>
          <w:color w:val="auto"/>
          <w:szCs w:val="21"/>
          <w:highlight w:val="none"/>
          <w:lang w:val="zh-CN"/>
        </w:rPr>
        <w:t>评审专家发现本人与参加采购活动的供应商有利害关系的，应当主动提出回避。采购人或者代理机构发现评审专家与参加采购活动的供应商有利害关系的，应当要求其回避。</w:t>
      </w:r>
    </w:p>
    <w:p w14:paraId="335053B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.5 </w:t>
      </w:r>
      <w:r>
        <w:rPr>
          <w:rFonts w:hint="eastAsia" w:ascii="宋体" w:hAnsi="宋体" w:cs="宋体"/>
          <w:color w:val="auto"/>
          <w:szCs w:val="21"/>
          <w:highlight w:val="none"/>
          <w:lang w:val="zh-CN"/>
        </w:rPr>
        <w:t>采购人不得担任评标小组长。</w:t>
      </w:r>
    </w:p>
    <w:p w14:paraId="1B5646AB">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.6 </w:t>
      </w:r>
      <w:r>
        <w:rPr>
          <w:rFonts w:hint="eastAsia" w:ascii="宋体" w:hAnsi="宋体" w:cs="宋体"/>
          <w:color w:val="auto"/>
          <w:szCs w:val="21"/>
          <w:highlight w:val="none"/>
          <w:lang w:val="zh-CN"/>
        </w:rPr>
        <w:t>采购人可以在评标前说明项目背景和采购需求，说明内容不得含有歧视性、倾向性意见，不得超出招标文件所述范围。说明应当提交书面材料，并随采购文件一并存档。</w:t>
      </w:r>
    </w:p>
    <w:p w14:paraId="6829507B">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.7 </w:t>
      </w:r>
      <w:r>
        <w:rPr>
          <w:rFonts w:hint="eastAsia" w:ascii="宋体" w:hAnsi="宋体" w:cs="宋体"/>
          <w:color w:val="auto"/>
          <w:szCs w:val="21"/>
          <w:highlight w:val="none"/>
          <w:lang w:val="zh-CN"/>
        </w:rPr>
        <w:t>评标委员会成员名单在评标结果公告前应当保密。</w:t>
      </w:r>
    </w:p>
    <w:p w14:paraId="26E7CE6C">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6</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符合性审查</w:t>
      </w:r>
    </w:p>
    <w:p w14:paraId="25895D0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评标委员会依据有关法律法规和招标文件的规定，对符合资格的投标人的投标文件进行符合性审查，以确定其是否满足招标文件的实质性要求。</w:t>
      </w:r>
    </w:p>
    <w:p w14:paraId="6521D2C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审查、评价投标文件是否符合招标文件的商务、技术等实质性要求。</w:t>
      </w:r>
    </w:p>
    <w:p w14:paraId="58E3051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可要求投标人对投标文件有关事项作出澄清或者说明。</w:t>
      </w:r>
    </w:p>
    <w:p w14:paraId="5C956B0F">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7</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投标文件的澄清</w:t>
      </w:r>
    </w:p>
    <w:p w14:paraId="1293568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7</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对于投标文件中含义不明确、同类问题表述不一致或者有明显文字和计算错误的内容，评标委员会应当以书面形式要求投标人作出必要的澄清、说明或者补正。</w:t>
      </w:r>
    </w:p>
    <w:p w14:paraId="429863A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27</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01F01989">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7</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投标人的澄清文件是其投标文件的组成部分。</w:t>
      </w:r>
    </w:p>
    <w:p w14:paraId="1831F5D5">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8</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投标文件报价出现前后不一致的修正</w:t>
      </w:r>
    </w:p>
    <w:p w14:paraId="4323403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投标文件中开标一览表（报价表）内容与投标文件中相应内容不一致的，以开标一览表（报价表）为准；</w:t>
      </w:r>
    </w:p>
    <w:p w14:paraId="25F8928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大写金额和小写金额不一致的，以大写金额为准；</w:t>
      </w:r>
    </w:p>
    <w:p w14:paraId="4260753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单价金额小数点或者百分比有明显错位的，以开标一览表的总价为准，并修改单价；</w:t>
      </w:r>
    </w:p>
    <w:p w14:paraId="3E8D75D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.4 </w:t>
      </w:r>
      <w:r>
        <w:rPr>
          <w:rFonts w:hint="eastAsia" w:ascii="宋体" w:hAnsi="宋体" w:cs="宋体"/>
          <w:color w:val="auto"/>
          <w:szCs w:val="21"/>
          <w:highlight w:val="none"/>
          <w:lang w:val="zh-CN"/>
        </w:rPr>
        <w:t>总价金额与按单价汇总金额不一致的，以单价金额计算结果为准。同时出现两种以上不一致的，按照前款规定的顺序修正。修正后的报价按照“投标人须知”</w:t>
      </w:r>
      <w:r>
        <w:rPr>
          <w:rFonts w:ascii="宋体" w:hAnsi="宋体" w:cs="宋体"/>
          <w:color w:val="auto"/>
          <w:szCs w:val="21"/>
          <w:highlight w:val="none"/>
          <w:lang w:val="zh-CN"/>
        </w:rPr>
        <w:t>2</w:t>
      </w:r>
      <w:r>
        <w:rPr>
          <w:rFonts w:ascii="宋体" w:hAnsi="宋体" w:cs="宋体"/>
          <w:color w:val="auto"/>
          <w:szCs w:val="21"/>
          <w:highlight w:val="none"/>
        </w:rPr>
        <w:t>8</w:t>
      </w:r>
      <w:r>
        <w:rPr>
          <w:rFonts w:ascii="宋体" w:hAnsi="宋体" w:cs="宋体"/>
          <w:color w:val="auto"/>
          <w:szCs w:val="21"/>
          <w:highlight w:val="none"/>
          <w:lang w:val="zh-CN"/>
        </w:rPr>
        <w:t>.2</w:t>
      </w:r>
      <w:r>
        <w:rPr>
          <w:rFonts w:hint="eastAsia" w:ascii="宋体" w:hAnsi="宋体" w:cs="宋体"/>
          <w:color w:val="auto"/>
          <w:szCs w:val="21"/>
          <w:highlight w:val="none"/>
          <w:lang w:val="zh-CN"/>
        </w:rPr>
        <w:t>规定经投标人确认后产生约束力，投标人不确认的，其投标无效。</w:t>
      </w:r>
    </w:p>
    <w:p w14:paraId="060C3E67">
      <w:pPr>
        <w:tabs>
          <w:tab w:val="left" w:pos="1260"/>
        </w:tabs>
        <w:autoSpaceDE w:val="0"/>
        <w:autoSpaceDN w:val="0"/>
        <w:spacing w:line="360" w:lineRule="auto"/>
        <w:contextualSpacing/>
        <w:rPr>
          <w:rFonts w:ascii="宋体" w:cs="宋体"/>
          <w:b/>
          <w:color w:val="auto"/>
          <w:szCs w:val="21"/>
          <w:highlight w:val="none"/>
          <w:lang w:val="zh-CN"/>
        </w:rPr>
      </w:pPr>
      <w:r>
        <w:rPr>
          <w:rFonts w:hint="eastAsia" w:ascii="宋体" w:hAnsi="宋体" w:cs="宋体"/>
          <w:b/>
          <w:color w:val="auto"/>
          <w:szCs w:val="21"/>
          <w:highlight w:val="none"/>
        </w:rPr>
        <w:t>29</w:t>
      </w:r>
      <w:r>
        <w:rPr>
          <w:rFonts w:ascii="宋体" w:hAnsi="宋体" w:cs="宋体"/>
          <w:b/>
          <w:color w:val="auto"/>
          <w:szCs w:val="21"/>
          <w:highlight w:val="none"/>
          <w:lang w:val="zh-CN"/>
        </w:rPr>
        <w:t>.</w:t>
      </w:r>
      <w:r>
        <w:rPr>
          <w:rFonts w:hint="eastAsia" w:ascii="宋体" w:hAnsi="宋体" w:cs="宋体"/>
          <w:b/>
          <w:color w:val="auto"/>
          <w:szCs w:val="21"/>
          <w:highlight w:val="none"/>
          <w:lang w:val="zh-CN"/>
        </w:rPr>
        <w:t>投标无效情形</w:t>
      </w:r>
    </w:p>
    <w:p w14:paraId="0379E37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投标文件属下列情况之一的，按照无效投标处理：</w:t>
      </w:r>
    </w:p>
    <w:p w14:paraId="5239C2B2">
      <w:pPr>
        <w:tabs>
          <w:tab w:val="left" w:pos="1260"/>
        </w:tabs>
        <w:autoSpaceDE w:val="0"/>
        <w:autoSpaceDN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.1.1 </w:t>
      </w:r>
      <w:r>
        <w:rPr>
          <w:rFonts w:hint="eastAsia" w:ascii="宋体" w:hAnsi="宋体" w:cs="宋体"/>
          <w:color w:val="auto"/>
          <w:szCs w:val="21"/>
          <w:highlight w:val="none"/>
          <w:lang w:val="zh-CN"/>
        </w:rPr>
        <w:t>未按照招标文件的规定提供投标承诺函的；</w:t>
      </w:r>
    </w:p>
    <w:p w14:paraId="7C80DC61">
      <w:pPr>
        <w:tabs>
          <w:tab w:val="left" w:pos="1260"/>
        </w:tabs>
        <w:autoSpaceDE w:val="0"/>
        <w:autoSpaceDN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29.1.2未按照招标文件的规定提交《禹州市政府采购供应商信用承诺函》的；</w:t>
      </w:r>
    </w:p>
    <w:p w14:paraId="5FC8564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.1.</w:t>
      </w:r>
      <w:r>
        <w:rPr>
          <w:rFonts w:hint="eastAsia" w:ascii="宋体" w:hAnsi="宋体" w:cs="宋体"/>
          <w:color w:val="auto"/>
          <w:szCs w:val="21"/>
          <w:highlight w:val="none"/>
          <w:lang w:val="zh-CN"/>
        </w:rPr>
        <w:t>3</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投标文件未按招标文件要求签署、盖章的；</w:t>
      </w:r>
    </w:p>
    <w:p w14:paraId="6716420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.1.</w:t>
      </w:r>
      <w:r>
        <w:rPr>
          <w:rFonts w:hint="eastAsia" w:ascii="宋体" w:hAnsi="宋体" w:cs="宋体"/>
          <w:color w:val="auto"/>
          <w:szCs w:val="21"/>
          <w:highlight w:val="none"/>
          <w:lang w:val="zh-CN"/>
        </w:rPr>
        <w:t>4不具备招标文件中规定的资格要求的；</w:t>
      </w:r>
    </w:p>
    <w:p w14:paraId="22589A5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.1.</w:t>
      </w:r>
      <w:r>
        <w:rPr>
          <w:rFonts w:hint="eastAsia" w:ascii="宋体" w:hAnsi="宋体" w:cs="宋体"/>
          <w:color w:val="auto"/>
          <w:szCs w:val="21"/>
          <w:highlight w:val="none"/>
          <w:lang w:val="zh-CN"/>
        </w:rPr>
        <w:t>5</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报价超过招标文件中规定的预算金额或者最高限价的；</w:t>
      </w:r>
    </w:p>
    <w:p w14:paraId="01B6C91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.1.</w:t>
      </w:r>
      <w:r>
        <w:rPr>
          <w:rFonts w:hint="eastAsia" w:ascii="宋体" w:hAnsi="宋体" w:cs="宋体"/>
          <w:color w:val="auto"/>
          <w:szCs w:val="21"/>
          <w:highlight w:val="none"/>
          <w:lang w:val="zh-CN"/>
        </w:rPr>
        <w:t>6投标文件内容模糊</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lang w:val="zh-CN"/>
        </w:rPr>
        <w:t>清，无法辨认的；</w:t>
      </w:r>
    </w:p>
    <w:p w14:paraId="43671ED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.1.</w:t>
      </w:r>
      <w:r>
        <w:rPr>
          <w:rFonts w:hint="eastAsia" w:ascii="宋体" w:hAnsi="宋体" w:cs="宋体"/>
          <w:color w:val="auto"/>
          <w:szCs w:val="21"/>
          <w:highlight w:val="none"/>
          <w:lang w:val="zh-CN"/>
        </w:rPr>
        <w:t>7投标文件含有采购人不能接受的附加条件的。</w:t>
      </w:r>
    </w:p>
    <w:p w14:paraId="7476CFE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有下列情形之一的，视为投标人串通投标，其投标无效：</w:t>
      </w:r>
    </w:p>
    <w:p w14:paraId="53670951">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.2.1 </w:t>
      </w:r>
      <w:r>
        <w:rPr>
          <w:rFonts w:hint="eastAsia" w:ascii="宋体" w:hAnsi="宋体" w:cs="宋体"/>
          <w:color w:val="auto"/>
          <w:szCs w:val="21"/>
          <w:highlight w:val="none"/>
          <w:lang w:val="zh-CN"/>
        </w:rPr>
        <w:t>不同投标人的投标文件由同一单位或者个人编制；</w:t>
      </w:r>
    </w:p>
    <w:p w14:paraId="5F66B3F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.2.2 </w:t>
      </w:r>
      <w:r>
        <w:rPr>
          <w:rFonts w:hint="eastAsia" w:ascii="宋体" w:hAnsi="宋体" w:cs="宋体"/>
          <w:color w:val="auto"/>
          <w:szCs w:val="21"/>
          <w:highlight w:val="none"/>
          <w:lang w:val="zh-CN"/>
        </w:rPr>
        <w:t>不同投标人委托同一单位或者个人办理投标事宜；</w:t>
      </w:r>
    </w:p>
    <w:p w14:paraId="2617227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.2.3 </w:t>
      </w:r>
      <w:r>
        <w:rPr>
          <w:rFonts w:hint="eastAsia" w:ascii="宋体" w:hAnsi="宋体" w:cs="宋体"/>
          <w:color w:val="auto"/>
          <w:szCs w:val="21"/>
          <w:highlight w:val="none"/>
          <w:lang w:val="zh-CN"/>
        </w:rPr>
        <w:t>不同投标人的投标文件载明的项目管理成员或者联系人员为同一人；</w:t>
      </w:r>
    </w:p>
    <w:p w14:paraId="0710BBC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.2.4 </w:t>
      </w:r>
      <w:r>
        <w:rPr>
          <w:rFonts w:hint="eastAsia" w:ascii="宋体" w:hAnsi="宋体" w:cs="宋体"/>
          <w:color w:val="auto"/>
          <w:szCs w:val="21"/>
          <w:highlight w:val="none"/>
          <w:lang w:val="zh-CN"/>
        </w:rPr>
        <w:t>不同投标人的投标文件异常一致或者投标报价呈规律性差异；</w:t>
      </w:r>
    </w:p>
    <w:p w14:paraId="2EC2B8E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.2.5 </w:t>
      </w:r>
      <w:r>
        <w:rPr>
          <w:rFonts w:hint="eastAsia" w:ascii="宋体" w:hAnsi="宋体" w:cs="宋体"/>
          <w:color w:val="auto"/>
          <w:szCs w:val="21"/>
          <w:highlight w:val="none"/>
          <w:lang w:val="zh-CN"/>
        </w:rPr>
        <w:t>不同投标人的投标文件相互混装；</w:t>
      </w:r>
    </w:p>
    <w:p w14:paraId="6C80B886">
      <w:pPr>
        <w:pStyle w:val="21"/>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29</w:t>
      </w:r>
      <w:r>
        <w:rPr>
          <w:rFonts w:ascii="宋体" w:hAnsi="宋体" w:cs="宋体"/>
          <w:color w:val="auto"/>
          <w:sz w:val="21"/>
          <w:szCs w:val="21"/>
          <w:highlight w:val="none"/>
          <w:lang w:val="zh-CN"/>
        </w:rPr>
        <w:t>.3</w:t>
      </w:r>
      <w:r>
        <w:rPr>
          <w:rFonts w:hint="eastAsia" w:ascii="宋体" w:hAnsi="宋体" w:cs="宋体"/>
          <w:color w:val="auto"/>
          <w:sz w:val="21"/>
          <w:szCs w:val="21"/>
          <w:highlight w:val="none"/>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5636C86">
      <w:pPr>
        <w:pStyle w:val="21"/>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（一）提供虚假材料谋取中标、成交的；</w:t>
      </w:r>
    </w:p>
    <w:p w14:paraId="03F79E57">
      <w:pPr>
        <w:pStyle w:val="21"/>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（二）采取不正当手段诋毁、排挤其他供应商的；</w:t>
      </w:r>
    </w:p>
    <w:p w14:paraId="33D422C8">
      <w:pPr>
        <w:pStyle w:val="21"/>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（三）与采购人、其他供应商或者采购代理机构恶意串通的；</w:t>
      </w:r>
    </w:p>
    <w:p w14:paraId="73797607">
      <w:pPr>
        <w:pStyle w:val="21"/>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（四）向采购人、采购代理机构行贿或者提供其他不正当利益的；</w:t>
      </w:r>
    </w:p>
    <w:p w14:paraId="0890AE3F">
      <w:pPr>
        <w:pStyle w:val="21"/>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（五）在招标采购过程中与采购人进行协商谈判的；</w:t>
      </w:r>
    </w:p>
    <w:p w14:paraId="5D601561">
      <w:pPr>
        <w:pStyle w:val="21"/>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（六）拒绝有关部门监督检查或者提供虚假情况的。</w:t>
      </w:r>
    </w:p>
    <w:p w14:paraId="2EB7B170">
      <w:pPr>
        <w:pStyle w:val="21"/>
        <w:spacing w:line="360" w:lineRule="auto"/>
        <w:ind w:firstLine="420" w:firstLineChars="200"/>
        <w:rPr>
          <w:rFonts w:ascii="宋体" w:cs="宋体"/>
          <w:color w:val="auto"/>
          <w:kern w:val="0"/>
          <w:sz w:val="21"/>
          <w:szCs w:val="21"/>
          <w:highlight w:val="none"/>
        </w:rPr>
      </w:pPr>
      <w:r>
        <w:rPr>
          <w:rFonts w:hint="eastAsia" w:ascii="宋体" w:hAnsi="宋体" w:cs="宋体"/>
          <w:color w:val="auto"/>
          <w:sz w:val="21"/>
          <w:szCs w:val="21"/>
          <w:highlight w:val="none"/>
        </w:rPr>
        <w:t>投标人有前款第（一）至（五）项情形之一的，中标、成交无效。</w:t>
      </w:r>
    </w:p>
    <w:p w14:paraId="1ECF53F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.4 </w:t>
      </w:r>
      <w:r>
        <w:rPr>
          <w:rFonts w:hint="eastAsia" w:ascii="宋体" w:hAnsi="宋体" w:cs="宋体"/>
          <w:color w:val="auto"/>
          <w:szCs w:val="21"/>
          <w:highlight w:val="none"/>
          <w:lang w:val="zh-CN"/>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9B2D28C">
      <w:pPr>
        <w:tabs>
          <w:tab w:val="left" w:pos="1260"/>
        </w:tabs>
        <w:autoSpaceDE w:val="0"/>
        <w:autoSpaceDN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.5 </w:t>
      </w:r>
      <w:r>
        <w:rPr>
          <w:rFonts w:hint="eastAsia" w:ascii="宋体" w:hAnsi="宋体" w:cs="宋体"/>
          <w:color w:val="auto"/>
          <w:szCs w:val="21"/>
          <w:highlight w:val="none"/>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0EB3CBA">
      <w:pPr>
        <w:pStyle w:val="59"/>
        <w:autoSpaceDE w:val="0"/>
        <w:autoSpaceDN w:val="0"/>
        <w:spacing w:line="360" w:lineRule="auto"/>
        <w:contextualSpacing/>
        <w:rPr>
          <w:color w:val="auto"/>
          <w:highlight w:val="none"/>
          <w:lang w:val="zh-CN"/>
        </w:rPr>
      </w:pPr>
      <w:r>
        <w:rPr>
          <w:rFonts w:hint="eastAsia" w:ascii="宋体" w:hAnsi="宋体" w:cs="宋体"/>
          <w:color w:val="auto"/>
          <w:szCs w:val="21"/>
          <w:highlight w:val="none"/>
        </w:rPr>
        <w:t>29.6 按照</w:t>
      </w:r>
      <w:r>
        <w:rPr>
          <w:rFonts w:hint="eastAsia" w:ascii="ˎ̥" w:hAnsi="ˎ̥"/>
          <w:color w:val="auto"/>
          <w:highlight w:val="none"/>
        </w:rPr>
        <w:t>《关于推进全流程电子化交易和在线监管工作有关问题的通知》（许公管办</w:t>
      </w:r>
      <w:r>
        <w:rPr>
          <w:rFonts w:hint="eastAsia" w:ascii="ˎ̥" w:hAnsi="ˎ̥"/>
          <w:color w:val="auto"/>
          <w:highlight w:val="none"/>
          <w:lang w:eastAsia="zh-CN"/>
        </w:rPr>
        <w:t>〔</w:t>
      </w:r>
      <w:r>
        <w:rPr>
          <w:rFonts w:hint="eastAsia" w:ascii="ˎ̥" w:hAnsi="ˎ̥"/>
          <w:color w:val="auto"/>
          <w:highlight w:val="none"/>
        </w:rPr>
        <w:t>2019</w:t>
      </w:r>
      <w:r>
        <w:rPr>
          <w:rFonts w:hint="eastAsia" w:ascii="ˎ̥" w:hAnsi="ˎ̥"/>
          <w:color w:val="auto"/>
          <w:highlight w:val="none"/>
          <w:lang w:eastAsia="zh-CN"/>
        </w:rPr>
        <w:t>〕</w:t>
      </w:r>
      <w:r>
        <w:rPr>
          <w:rFonts w:hint="eastAsia" w:ascii="ˎ̥" w:hAnsi="ˎ̥"/>
          <w:color w:val="auto"/>
          <w:highlight w:val="none"/>
        </w:rPr>
        <w:t>3号）规定，不同投标人电子投标文件制作硬件特征码（网卡MAC地址、CPU序号、硬盘序列号）均一致时，视为‘</w:t>
      </w:r>
      <w:r>
        <w:rPr>
          <w:rFonts w:ascii="ˎ̥" w:hAnsi="ˎ̥"/>
          <w:color w:val="auto"/>
          <w:highlight w:val="none"/>
        </w:rPr>
        <w:t>不同</w:t>
      </w:r>
      <w:r>
        <w:rPr>
          <w:rFonts w:hint="eastAsia" w:ascii="ˎ̥" w:hAnsi="ˎ̥"/>
          <w:color w:val="auto"/>
          <w:highlight w:val="none"/>
        </w:rPr>
        <w:t>投标人</w:t>
      </w:r>
      <w:r>
        <w:rPr>
          <w:rFonts w:ascii="ˎ̥" w:hAnsi="ˎ̥"/>
          <w:color w:val="auto"/>
          <w:highlight w:val="none"/>
        </w:rPr>
        <w:t>的</w:t>
      </w:r>
      <w:r>
        <w:rPr>
          <w:rFonts w:hint="eastAsia" w:ascii="ˎ̥" w:hAnsi="ˎ̥"/>
          <w:color w:val="auto"/>
          <w:highlight w:val="none"/>
        </w:rPr>
        <w:t>投标</w:t>
      </w:r>
      <w:r>
        <w:rPr>
          <w:rFonts w:ascii="ˎ̥" w:hAnsi="ˎ̥"/>
          <w:color w:val="auto"/>
          <w:highlight w:val="none"/>
        </w:rPr>
        <w:t>文件由同一单位或者个人编制</w:t>
      </w:r>
      <w:r>
        <w:rPr>
          <w:rFonts w:hint="eastAsia" w:ascii="ˎ̥" w:hAnsi="ˎ̥"/>
          <w:color w:val="auto"/>
          <w:highlight w:val="none"/>
        </w:rPr>
        <w:t>’或‘</w:t>
      </w:r>
      <w:r>
        <w:rPr>
          <w:rFonts w:ascii="ˎ̥" w:hAnsi="ˎ̥"/>
          <w:color w:val="auto"/>
          <w:highlight w:val="none"/>
        </w:rPr>
        <w:t>不同</w:t>
      </w:r>
      <w:r>
        <w:rPr>
          <w:rFonts w:hint="eastAsia" w:ascii="ˎ̥" w:hAnsi="ˎ̥"/>
          <w:color w:val="auto"/>
          <w:highlight w:val="none"/>
        </w:rPr>
        <w:t>投标人</w:t>
      </w:r>
      <w:r>
        <w:rPr>
          <w:rFonts w:ascii="ˎ̥" w:hAnsi="ˎ̥"/>
          <w:color w:val="auto"/>
          <w:highlight w:val="none"/>
        </w:rPr>
        <w:t>委托同一单位或者个人办理</w:t>
      </w:r>
      <w:r>
        <w:rPr>
          <w:rFonts w:hint="eastAsia" w:ascii="ˎ̥" w:hAnsi="ˎ̥"/>
          <w:color w:val="auto"/>
          <w:highlight w:val="none"/>
        </w:rPr>
        <w:t>响应</w:t>
      </w:r>
      <w:r>
        <w:rPr>
          <w:rFonts w:ascii="ˎ̥" w:hAnsi="ˎ̥"/>
          <w:color w:val="auto"/>
          <w:highlight w:val="none"/>
        </w:rPr>
        <w:t>事宜</w:t>
      </w:r>
      <w:r>
        <w:rPr>
          <w:rFonts w:hint="eastAsia" w:ascii="ˎ̥" w:hAnsi="ˎ̥"/>
          <w:color w:val="auto"/>
          <w:highlight w:val="none"/>
        </w:rPr>
        <w:t>’，其投标无效。</w:t>
      </w:r>
    </w:p>
    <w:p w14:paraId="0947D65D">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w:t>
      </w:r>
      <w:r>
        <w:rPr>
          <w:rFonts w:hint="eastAsia" w:ascii="宋体" w:hAnsi="宋体" w:cs="宋体"/>
          <w:color w:val="auto"/>
          <w:szCs w:val="21"/>
          <w:highlight w:val="none"/>
        </w:rPr>
        <w:t xml:space="preserve">7 </w:t>
      </w:r>
      <w:r>
        <w:rPr>
          <w:rFonts w:hint="eastAsia" w:ascii="宋体" w:hAnsi="宋体" w:cs="宋体"/>
          <w:color w:val="auto"/>
          <w:szCs w:val="21"/>
          <w:highlight w:val="none"/>
          <w:lang w:val="zh-CN"/>
        </w:rPr>
        <w:t>法律法规和招标文件规定的其他无效情形。</w:t>
      </w:r>
    </w:p>
    <w:p w14:paraId="0A144763">
      <w:pPr>
        <w:tabs>
          <w:tab w:val="left" w:pos="1260"/>
        </w:tabs>
        <w:autoSpaceDE w:val="0"/>
        <w:autoSpaceDN w:val="0"/>
        <w:spacing w:line="360" w:lineRule="auto"/>
        <w:contextualSpacing/>
        <w:rPr>
          <w:rFonts w:ascii="宋体" w:cs="宋体"/>
          <w:b/>
          <w:bCs/>
          <w:color w:val="auto"/>
          <w:szCs w:val="21"/>
          <w:highlight w:val="none"/>
          <w:lang w:val="zh-CN"/>
        </w:rPr>
      </w:pPr>
      <w:r>
        <w:rPr>
          <w:rFonts w:hint="eastAsia" w:ascii="宋体" w:hAnsi="宋体" w:cs="宋体"/>
          <w:b/>
          <w:bCs/>
          <w:color w:val="auto"/>
          <w:szCs w:val="21"/>
          <w:highlight w:val="none"/>
        </w:rPr>
        <w:t>30</w:t>
      </w:r>
      <w:r>
        <w:rPr>
          <w:rFonts w:ascii="宋体" w:hAnsi="宋体" w:cs="宋体"/>
          <w:b/>
          <w:bCs/>
          <w:color w:val="auto"/>
          <w:szCs w:val="21"/>
          <w:highlight w:val="none"/>
          <w:lang w:val="zh-CN"/>
        </w:rPr>
        <w:t>.</w:t>
      </w:r>
      <w:r>
        <w:rPr>
          <w:rFonts w:hint="eastAsia" w:ascii="宋体" w:hAnsi="宋体" w:cs="宋体"/>
          <w:b/>
          <w:bCs/>
          <w:color w:val="auto"/>
          <w:szCs w:val="21"/>
          <w:highlight w:val="none"/>
          <w:lang w:val="zh-CN"/>
        </w:rPr>
        <w:t>相同品牌投标人的认定（服务类项目不适用本条款规定）</w:t>
      </w:r>
    </w:p>
    <w:p w14:paraId="68AE183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30</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6DD82D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30</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20615E8">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rPr>
        <w:t>3</w:t>
      </w:r>
      <w:r>
        <w:rPr>
          <w:rFonts w:hint="eastAsia" w:ascii="宋体" w:hAnsi="宋体" w:cs="宋体"/>
          <w:b/>
          <w:color w:val="auto"/>
          <w:szCs w:val="21"/>
          <w:highlight w:val="none"/>
        </w:rPr>
        <w:t>1</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投标文件的比较与评价</w:t>
      </w:r>
    </w:p>
    <w:p w14:paraId="57251D8B">
      <w:pPr>
        <w:tabs>
          <w:tab w:val="left" w:pos="1260"/>
        </w:tabs>
        <w:autoSpaceDE w:val="0"/>
        <w:autoSpaceDN w:val="0"/>
        <w:spacing w:line="360" w:lineRule="auto"/>
        <w:ind w:firstLine="420" w:firstLineChars="200"/>
        <w:contextualSpacing/>
        <w:rPr>
          <w:rFonts w:hint="eastAsia" w:ascii="宋体" w:hAnsi="宋体" w:cs="宋体"/>
          <w:color w:val="auto"/>
          <w:szCs w:val="21"/>
          <w:highlight w:val="none"/>
          <w:lang w:val="zh-CN"/>
        </w:rPr>
      </w:pPr>
      <w:r>
        <w:rPr>
          <w:rFonts w:hint="eastAsia" w:ascii="宋体" w:hAnsi="宋体" w:cs="宋体"/>
          <w:color w:val="auto"/>
          <w:szCs w:val="21"/>
          <w:highlight w:val="none"/>
          <w:lang w:val="zh-CN"/>
        </w:rPr>
        <w:t>评标委员会按照招标文件中规定的评标方法和标准，对符合性审查合格的投标文件进行商务和技术评估，综合比较与评价。</w:t>
      </w:r>
    </w:p>
    <w:p w14:paraId="0F67BEB7">
      <w:pPr>
        <w:tabs>
          <w:tab w:val="left" w:pos="1260"/>
        </w:tabs>
        <w:autoSpaceDE w:val="0"/>
        <w:autoSpaceDN w:val="0"/>
        <w:spacing w:line="360" w:lineRule="auto"/>
        <w:contextualSpacing/>
        <w:rPr>
          <w:rFonts w:ascii="宋体" w:hAnsi="宋体" w:cs="宋体"/>
          <w:b/>
          <w:color w:val="auto"/>
          <w:szCs w:val="21"/>
          <w:highlight w:val="none"/>
          <w:lang w:val="zh-CN"/>
        </w:rPr>
      </w:pPr>
      <w:r>
        <w:rPr>
          <w:rFonts w:hint="eastAsia" w:ascii="宋体" w:hAnsi="宋体" w:cs="宋体"/>
          <w:b/>
          <w:color w:val="auto"/>
          <w:szCs w:val="21"/>
          <w:highlight w:val="none"/>
          <w:lang w:val="zh-CN"/>
        </w:rPr>
        <w:t>32. 投标文件出现前后不一致的修正</w:t>
      </w:r>
    </w:p>
    <w:p w14:paraId="52993CD6">
      <w:pPr>
        <w:tabs>
          <w:tab w:val="left" w:pos="1260"/>
        </w:tabs>
        <w:autoSpaceDE w:val="0"/>
        <w:autoSpaceDN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32.1 投标文件中开标一览表内容与投标文件中相应内容不一致的，以开标一览表为准；</w:t>
      </w:r>
    </w:p>
    <w:p w14:paraId="0639D941">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3</w:t>
      </w:r>
      <w:r>
        <w:rPr>
          <w:rFonts w:hint="eastAsia" w:ascii="宋体" w:hAnsi="宋体" w:cs="宋体"/>
          <w:b/>
          <w:color w:val="auto"/>
          <w:szCs w:val="21"/>
          <w:highlight w:val="none"/>
        </w:rPr>
        <w:t>3</w:t>
      </w:r>
      <w:r>
        <w:rPr>
          <w:rFonts w:ascii="宋体" w:hAnsi="宋体" w:cs="宋体"/>
          <w:b/>
          <w:color w:val="auto"/>
          <w:szCs w:val="21"/>
          <w:highlight w:val="none"/>
          <w:lang w:val="zh-CN"/>
        </w:rPr>
        <w:t>.</w:t>
      </w:r>
      <w:r>
        <w:rPr>
          <w:rFonts w:hint="eastAsia" w:ascii="宋体" w:hAnsi="宋体" w:cs="宋体"/>
          <w:b/>
          <w:color w:val="auto"/>
          <w:szCs w:val="21"/>
          <w:highlight w:val="none"/>
          <w:lang w:val="zh-CN"/>
        </w:rPr>
        <w:t>评标方法、评标标准</w:t>
      </w:r>
    </w:p>
    <w:p w14:paraId="6FC5FAA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3</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评标方法分为最低评标价法和综合评分法。</w:t>
      </w:r>
    </w:p>
    <w:p w14:paraId="1E4B0E2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3</w:t>
      </w:r>
      <w:r>
        <w:rPr>
          <w:rFonts w:ascii="宋体" w:hAnsi="宋体" w:cs="宋体"/>
          <w:color w:val="auto"/>
          <w:szCs w:val="21"/>
          <w:highlight w:val="none"/>
          <w:lang w:val="zh-CN"/>
        </w:rPr>
        <w:t xml:space="preserve">.1.1 </w:t>
      </w:r>
      <w:r>
        <w:rPr>
          <w:rFonts w:hint="eastAsia" w:ascii="宋体" w:hAnsi="宋体" w:cs="宋体"/>
          <w:color w:val="auto"/>
          <w:szCs w:val="21"/>
          <w:highlight w:val="none"/>
          <w:lang w:val="zh-CN"/>
        </w:rPr>
        <w:t>最低评标价法</w:t>
      </w:r>
    </w:p>
    <w:p w14:paraId="7FD0571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lang w:val="zh-CN"/>
        </w:rPr>
        <w:t xml:space="preserve">.1.1.1 </w:t>
      </w:r>
      <w:r>
        <w:rPr>
          <w:rFonts w:hint="eastAsia" w:ascii="宋体" w:hAnsi="宋体" w:cs="宋体"/>
          <w:color w:val="auto"/>
          <w:szCs w:val="21"/>
          <w:highlight w:val="none"/>
          <w:lang w:val="zh-CN"/>
        </w:rPr>
        <w:t>最低评标价法，是指投标文件满足招标文件全部实质性要求，且投标报价最低的投标人为中标候选人的评标方法。</w:t>
      </w:r>
    </w:p>
    <w:p w14:paraId="276B287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3</w:t>
      </w:r>
      <w:r>
        <w:rPr>
          <w:rFonts w:ascii="宋体" w:hAnsi="宋体" w:cs="宋体"/>
          <w:color w:val="auto"/>
          <w:szCs w:val="21"/>
          <w:highlight w:val="none"/>
          <w:lang w:val="zh-CN"/>
        </w:rPr>
        <w:t xml:space="preserve">.1.1.2 </w:t>
      </w:r>
      <w:r>
        <w:rPr>
          <w:rFonts w:hint="eastAsia" w:ascii="宋体" w:hAnsi="宋体" w:cs="宋体"/>
          <w:color w:val="auto"/>
          <w:szCs w:val="21"/>
          <w:highlight w:val="none"/>
          <w:lang w:val="zh-CN"/>
        </w:rPr>
        <w:t>采用最低评标价法评标时，除了算术修正和落实政府采购政策需进行的价格扣除外，不能对投标人的投标价格进行任何调整。</w:t>
      </w:r>
    </w:p>
    <w:p w14:paraId="7B667004">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33</w:t>
      </w:r>
      <w:r>
        <w:rPr>
          <w:rFonts w:ascii="宋体" w:hAnsi="宋体" w:cs="宋体"/>
          <w:color w:val="auto"/>
          <w:szCs w:val="21"/>
          <w:highlight w:val="none"/>
          <w:lang w:val="zh-CN"/>
        </w:rPr>
        <w:t xml:space="preserve">.1.2 </w:t>
      </w:r>
      <w:r>
        <w:rPr>
          <w:rFonts w:hint="eastAsia" w:ascii="宋体" w:hAnsi="宋体" w:cs="宋体"/>
          <w:color w:val="auto"/>
          <w:szCs w:val="21"/>
          <w:highlight w:val="none"/>
          <w:lang w:val="zh-CN"/>
        </w:rPr>
        <w:t>综合评分法，是指投标文件满足招标文件全部实质性要求，且按照评审因素的量化指标评审得分最高的投标人为中标候选人的评标方法。</w:t>
      </w:r>
    </w:p>
    <w:p w14:paraId="6919E80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3</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价格分</w:t>
      </w:r>
    </w:p>
    <w:p w14:paraId="7034E5D9">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3</w:t>
      </w:r>
      <w:r>
        <w:rPr>
          <w:rFonts w:ascii="宋体" w:hAnsi="宋体" w:cs="宋体"/>
          <w:color w:val="auto"/>
          <w:szCs w:val="21"/>
          <w:highlight w:val="none"/>
          <w:lang w:val="zh-CN"/>
        </w:rPr>
        <w:t xml:space="preserve">.2.1 </w:t>
      </w:r>
      <w:r>
        <w:rPr>
          <w:rFonts w:hint="eastAsia" w:ascii="宋体" w:hAnsi="宋体" w:cs="宋体"/>
          <w:color w:val="auto"/>
          <w:szCs w:val="21"/>
          <w:highlight w:val="none"/>
          <w:lang w:val="zh-CN"/>
        </w:rPr>
        <w:t>价格分采用低价优先法计算，即满足招标文件要求且投标价格最低的投标报价为评标基准价，其价格分为满分。其他投标人的价格分统一按照下列公式计算：</w:t>
      </w:r>
    </w:p>
    <w:p w14:paraId="70582058">
      <w:pPr>
        <w:tabs>
          <w:tab w:val="left" w:pos="1260"/>
        </w:tabs>
        <w:autoSpaceDE w:val="0"/>
        <w:autoSpaceDN w:val="0"/>
        <w:spacing w:line="360" w:lineRule="auto"/>
        <w:contextualSpacing/>
        <w:rPr>
          <w:rFonts w:ascii="宋体" w:cs="宋体"/>
          <w:color w:val="auto"/>
          <w:szCs w:val="21"/>
          <w:highlight w:val="none"/>
          <w:lang w:val="zh-CN"/>
        </w:rPr>
      </w:pPr>
      <w:r>
        <w:rPr>
          <w:rFonts w:hint="eastAsia" w:ascii="宋体" w:hAnsi="宋体" w:cs="宋体"/>
          <w:color w:val="auto"/>
          <w:szCs w:val="21"/>
          <w:highlight w:val="none"/>
          <w:lang w:val="zh-CN"/>
        </w:rPr>
        <w:t>投标报价得分</w:t>
      </w:r>
      <w:r>
        <w:rPr>
          <w:rFonts w:ascii="宋体" w:hAnsi="宋体" w:cs="宋体"/>
          <w:color w:val="auto"/>
          <w:szCs w:val="21"/>
          <w:highlight w:val="none"/>
          <w:lang w:val="zh-CN"/>
        </w:rPr>
        <w:t>=</w:t>
      </w:r>
      <w:r>
        <w:rPr>
          <w:rFonts w:hint="eastAsia" w:ascii="宋体" w:hAnsi="宋体" w:cs="宋体"/>
          <w:color w:val="auto"/>
          <w:szCs w:val="21"/>
          <w:highlight w:val="none"/>
          <w:lang w:val="zh-CN"/>
        </w:rPr>
        <w:t>（评标基准价</w:t>
      </w:r>
      <w:r>
        <w:rPr>
          <w:rFonts w:ascii="宋体" w:hAnsi="宋体" w:cs="宋体"/>
          <w:color w:val="auto"/>
          <w:szCs w:val="21"/>
          <w:highlight w:val="none"/>
          <w:lang w:val="zh-CN"/>
        </w:rPr>
        <w:t>/</w:t>
      </w:r>
      <w:r>
        <w:rPr>
          <w:rFonts w:hint="eastAsia" w:ascii="宋体" w:hAnsi="宋体" w:cs="宋体"/>
          <w:color w:val="auto"/>
          <w:szCs w:val="21"/>
          <w:highlight w:val="none"/>
          <w:lang w:val="zh-CN"/>
        </w:rPr>
        <w:t>投标报价）×</w:t>
      </w:r>
      <w:r>
        <w:rPr>
          <w:rFonts w:ascii="宋体" w:hAnsi="宋体" w:cs="宋体"/>
          <w:color w:val="auto"/>
          <w:szCs w:val="21"/>
          <w:highlight w:val="none"/>
          <w:lang w:val="zh-CN"/>
        </w:rPr>
        <w:t>100</w:t>
      </w:r>
    </w:p>
    <w:p w14:paraId="12CCD96D">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评标总得分</w:t>
      </w:r>
      <w:r>
        <w:rPr>
          <w:rFonts w:ascii="宋体" w:hAnsi="宋体" w:cs="宋体"/>
          <w:color w:val="auto"/>
          <w:szCs w:val="21"/>
          <w:highlight w:val="none"/>
          <w:lang w:val="zh-CN"/>
        </w:rPr>
        <w:t>=F1</w:t>
      </w:r>
      <w:r>
        <w:rPr>
          <w:rFonts w:hint="eastAsia" w:ascii="宋体" w:hAnsi="宋体" w:cs="宋体"/>
          <w:color w:val="auto"/>
          <w:szCs w:val="21"/>
          <w:highlight w:val="none"/>
          <w:lang w:val="zh-CN"/>
        </w:rPr>
        <w:t>×</w:t>
      </w:r>
      <w:r>
        <w:rPr>
          <w:rFonts w:ascii="宋体" w:hAnsi="宋体" w:cs="宋体"/>
          <w:color w:val="auto"/>
          <w:szCs w:val="21"/>
          <w:highlight w:val="none"/>
          <w:lang w:val="zh-CN"/>
        </w:rPr>
        <w:t>A1+F2</w:t>
      </w:r>
      <w:r>
        <w:rPr>
          <w:rFonts w:hint="eastAsia" w:ascii="宋体" w:hAnsi="宋体" w:cs="宋体"/>
          <w:color w:val="auto"/>
          <w:szCs w:val="21"/>
          <w:highlight w:val="none"/>
          <w:lang w:val="zh-CN"/>
        </w:rPr>
        <w:t>×</w:t>
      </w:r>
      <w:r>
        <w:rPr>
          <w:rFonts w:ascii="宋体" w:hAnsi="宋体" w:cs="宋体"/>
          <w:color w:val="auto"/>
          <w:szCs w:val="21"/>
          <w:highlight w:val="none"/>
          <w:lang w:val="zh-CN"/>
        </w:rPr>
        <w:t>A2+</w:t>
      </w:r>
      <w:r>
        <w:rPr>
          <w:rFonts w:hint="eastAsia" w:ascii="宋体" w:hAnsi="宋体" w:cs="宋体"/>
          <w:color w:val="auto"/>
          <w:szCs w:val="21"/>
          <w:highlight w:val="none"/>
          <w:lang w:val="zh-CN"/>
        </w:rPr>
        <w:t>……</w:t>
      </w:r>
      <w:r>
        <w:rPr>
          <w:rFonts w:ascii="宋体" w:hAnsi="宋体" w:cs="宋体"/>
          <w:color w:val="auto"/>
          <w:szCs w:val="21"/>
          <w:highlight w:val="none"/>
          <w:lang w:val="zh-CN"/>
        </w:rPr>
        <w:t>+Fn</w:t>
      </w:r>
      <w:r>
        <w:rPr>
          <w:rFonts w:hint="eastAsia" w:ascii="宋体" w:hAnsi="宋体" w:cs="宋体"/>
          <w:color w:val="auto"/>
          <w:szCs w:val="21"/>
          <w:highlight w:val="none"/>
          <w:lang w:val="zh-CN"/>
        </w:rPr>
        <w:t>×</w:t>
      </w:r>
      <w:r>
        <w:rPr>
          <w:rFonts w:ascii="宋体" w:hAnsi="宋体" w:cs="宋体"/>
          <w:color w:val="auto"/>
          <w:szCs w:val="21"/>
          <w:highlight w:val="none"/>
          <w:lang w:val="zh-CN"/>
        </w:rPr>
        <w:t>An</w:t>
      </w:r>
    </w:p>
    <w:p w14:paraId="162654D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F1</w:t>
      </w:r>
      <w:r>
        <w:rPr>
          <w:rFonts w:hint="eastAsia" w:ascii="宋体" w:hAnsi="宋体" w:cs="宋体"/>
          <w:color w:val="auto"/>
          <w:szCs w:val="21"/>
          <w:highlight w:val="none"/>
          <w:lang w:val="zh-CN"/>
        </w:rPr>
        <w:t>、</w:t>
      </w:r>
      <w:r>
        <w:rPr>
          <w:rFonts w:ascii="宋体" w:hAnsi="宋体" w:cs="宋体"/>
          <w:color w:val="auto"/>
          <w:szCs w:val="21"/>
          <w:highlight w:val="none"/>
          <w:lang w:val="zh-CN"/>
        </w:rPr>
        <w:t>F2</w:t>
      </w:r>
      <w:r>
        <w:rPr>
          <w:rFonts w:hint="eastAsia" w:ascii="宋体" w:hAnsi="宋体" w:cs="宋体"/>
          <w:color w:val="auto"/>
          <w:szCs w:val="21"/>
          <w:highlight w:val="none"/>
          <w:lang w:val="zh-CN"/>
        </w:rPr>
        <w:t>……</w:t>
      </w:r>
      <w:r>
        <w:rPr>
          <w:rFonts w:ascii="宋体" w:hAnsi="宋体" w:cs="宋体"/>
          <w:color w:val="auto"/>
          <w:szCs w:val="21"/>
          <w:highlight w:val="none"/>
          <w:lang w:val="zh-CN"/>
        </w:rPr>
        <w:t>Fn</w:t>
      </w:r>
      <w:r>
        <w:rPr>
          <w:rFonts w:hint="eastAsia" w:ascii="宋体" w:hAnsi="宋体" w:cs="宋体"/>
          <w:color w:val="auto"/>
          <w:szCs w:val="21"/>
          <w:highlight w:val="none"/>
          <w:lang w:val="zh-CN"/>
        </w:rPr>
        <w:t>分别为各项评审因素的得分；</w:t>
      </w:r>
    </w:p>
    <w:p w14:paraId="238D97C5">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A1</w:t>
      </w:r>
      <w:r>
        <w:rPr>
          <w:rFonts w:hint="eastAsia" w:ascii="宋体" w:hAnsi="宋体" w:cs="宋体"/>
          <w:color w:val="auto"/>
          <w:szCs w:val="21"/>
          <w:highlight w:val="none"/>
          <w:lang w:val="zh-CN"/>
        </w:rPr>
        <w:t>、</w:t>
      </w:r>
      <w:r>
        <w:rPr>
          <w:rFonts w:ascii="宋体" w:hAnsi="宋体" w:cs="宋体"/>
          <w:color w:val="auto"/>
          <w:szCs w:val="21"/>
          <w:highlight w:val="none"/>
          <w:lang w:val="zh-CN"/>
        </w:rPr>
        <w:t>A2</w:t>
      </w:r>
      <w:r>
        <w:rPr>
          <w:rFonts w:hint="eastAsia" w:ascii="宋体" w:hAnsi="宋体" w:cs="宋体"/>
          <w:color w:val="auto"/>
          <w:szCs w:val="21"/>
          <w:highlight w:val="none"/>
          <w:lang w:val="zh-CN"/>
        </w:rPr>
        <w:t>、……</w:t>
      </w:r>
      <w:r>
        <w:rPr>
          <w:rFonts w:ascii="宋体" w:hAnsi="宋体" w:cs="宋体"/>
          <w:color w:val="auto"/>
          <w:szCs w:val="21"/>
          <w:highlight w:val="none"/>
          <w:lang w:val="zh-CN"/>
        </w:rPr>
        <w:t xml:space="preserve">An </w:t>
      </w:r>
      <w:r>
        <w:rPr>
          <w:rFonts w:hint="eastAsia" w:ascii="宋体" w:hAnsi="宋体" w:cs="宋体"/>
          <w:color w:val="auto"/>
          <w:szCs w:val="21"/>
          <w:highlight w:val="none"/>
          <w:lang w:val="zh-CN"/>
        </w:rPr>
        <w:t>分别为各项评审因素所占的权重（</w:t>
      </w:r>
      <w:r>
        <w:rPr>
          <w:rFonts w:ascii="宋体" w:hAnsi="宋体" w:cs="宋体"/>
          <w:color w:val="auto"/>
          <w:szCs w:val="21"/>
          <w:highlight w:val="none"/>
          <w:lang w:val="zh-CN"/>
        </w:rPr>
        <w:t>A1+A2+</w:t>
      </w:r>
      <w:r>
        <w:rPr>
          <w:rFonts w:hint="eastAsia" w:ascii="宋体" w:hAnsi="宋体" w:cs="宋体"/>
          <w:color w:val="auto"/>
          <w:szCs w:val="21"/>
          <w:highlight w:val="none"/>
          <w:lang w:val="zh-CN"/>
        </w:rPr>
        <w:t>……</w:t>
      </w:r>
      <w:r>
        <w:rPr>
          <w:rFonts w:ascii="宋体" w:hAnsi="宋体" w:cs="宋体"/>
          <w:color w:val="auto"/>
          <w:szCs w:val="21"/>
          <w:highlight w:val="none"/>
          <w:lang w:val="zh-CN"/>
        </w:rPr>
        <w:t>+An=1)</w:t>
      </w:r>
      <w:r>
        <w:rPr>
          <w:rFonts w:hint="eastAsia" w:ascii="宋体" w:hAnsi="宋体" w:cs="宋体"/>
          <w:color w:val="auto"/>
          <w:szCs w:val="21"/>
          <w:highlight w:val="none"/>
          <w:lang w:val="zh-CN"/>
        </w:rPr>
        <w:t>。</w:t>
      </w:r>
    </w:p>
    <w:p w14:paraId="19E0FE7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3</w:t>
      </w:r>
      <w:r>
        <w:rPr>
          <w:rFonts w:ascii="宋体" w:hAnsi="宋体" w:cs="宋体"/>
          <w:color w:val="auto"/>
          <w:szCs w:val="21"/>
          <w:highlight w:val="none"/>
          <w:lang w:val="zh-CN"/>
        </w:rPr>
        <w:t xml:space="preserve">.2.2 </w:t>
      </w:r>
      <w:r>
        <w:rPr>
          <w:rFonts w:hint="eastAsia" w:ascii="宋体" w:hAnsi="宋体" w:cs="宋体"/>
          <w:color w:val="auto"/>
          <w:szCs w:val="21"/>
          <w:highlight w:val="none"/>
          <w:lang w:val="zh-CN"/>
        </w:rPr>
        <w:t>评标过程中，不得去掉报价中的最高报价和最低报价。</w:t>
      </w:r>
    </w:p>
    <w:p w14:paraId="3F8DEAD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3</w:t>
      </w:r>
      <w:r>
        <w:rPr>
          <w:rFonts w:ascii="宋体" w:hAnsi="宋体" w:cs="宋体"/>
          <w:color w:val="auto"/>
          <w:szCs w:val="21"/>
          <w:highlight w:val="none"/>
          <w:lang w:val="zh-CN"/>
        </w:rPr>
        <w:t xml:space="preserve">.2.3 </w:t>
      </w:r>
      <w:r>
        <w:rPr>
          <w:rFonts w:hint="eastAsia" w:ascii="宋体" w:hAnsi="宋体" w:cs="宋体"/>
          <w:color w:val="auto"/>
          <w:szCs w:val="21"/>
          <w:highlight w:val="none"/>
          <w:lang w:val="zh-CN"/>
        </w:rPr>
        <w:t>因落实政府采购政策进行价格调整的，以调整后的价格计算评标基准价和投标报价。</w:t>
      </w:r>
    </w:p>
    <w:p w14:paraId="34D05777">
      <w:pPr>
        <w:tabs>
          <w:tab w:val="left" w:pos="1260"/>
        </w:tabs>
        <w:autoSpaceDE w:val="0"/>
        <w:autoSpaceDN w:val="0"/>
        <w:spacing w:line="360" w:lineRule="auto"/>
        <w:ind w:firstLine="420" w:firstLineChars="200"/>
        <w:contextualSpacing/>
        <w:rPr>
          <w:rFonts w:ascii="宋体" w:cs="宋体"/>
          <w:b/>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3</w:t>
      </w:r>
      <w:r>
        <w:rPr>
          <w:rFonts w:ascii="宋体" w:hAnsi="宋体" w:cs="宋体"/>
          <w:color w:val="auto"/>
          <w:szCs w:val="21"/>
          <w:highlight w:val="none"/>
          <w:lang w:val="zh-CN"/>
        </w:rPr>
        <w:t>.3</w:t>
      </w:r>
      <w:r>
        <w:rPr>
          <w:rFonts w:hint="eastAsia" w:ascii="宋体" w:hAnsi="宋体" w:cs="宋体"/>
          <w:b/>
          <w:color w:val="auto"/>
          <w:szCs w:val="21"/>
          <w:highlight w:val="none"/>
          <w:lang w:val="zh-CN"/>
        </w:rPr>
        <w:t>本次评标具体评标方法、评标标准见（第六章资格审查与</w:t>
      </w:r>
      <w:r>
        <w:rPr>
          <w:rFonts w:hint="eastAsia" w:ascii="宋体" w:hAnsi="宋体" w:cs="宋体"/>
          <w:b/>
          <w:color w:val="auto"/>
          <w:kern w:val="0"/>
          <w:szCs w:val="21"/>
          <w:highlight w:val="none"/>
        </w:rPr>
        <w:t>评标</w:t>
      </w:r>
      <w:r>
        <w:rPr>
          <w:rFonts w:hint="eastAsia" w:ascii="宋体" w:hAnsi="宋体" w:cs="宋体"/>
          <w:b/>
          <w:color w:val="auto"/>
          <w:szCs w:val="21"/>
          <w:highlight w:val="none"/>
          <w:lang w:val="zh-CN"/>
        </w:rPr>
        <w:t>）。</w:t>
      </w:r>
    </w:p>
    <w:p w14:paraId="3E7257ED">
      <w:pPr>
        <w:tabs>
          <w:tab w:val="left" w:pos="1260"/>
        </w:tabs>
        <w:autoSpaceDE w:val="0"/>
        <w:autoSpaceDN w:val="0"/>
        <w:spacing w:line="360" w:lineRule="auto"/>
        <w:contextualSpacing/>
        <w:rPr>
          <w:rFonts w:ascii="宋体" w:cs="宋体"/>
          <w:color w:val="auto"/>
          <w:szCs w:val="21"/>
          <w:highlight w:val="none"/>
          <w:lang w:val="zh-CN"/>
        </w:rPr>
      </w:pPr>
      <w:r>
        <w:rPr>
          <w:rFonts w:ascii="宋体" w:hAnsi="宋体" w:cs="宋体"/>
          <w:b/>
          <w:bCs/>
          <w:color w:val="auto"/>
          <w:szCs w:val="21"/>
          <w:highlight w:val="none"/>
          <w:lang w:val="zh-CN"/>
        </w:rPr>
        <w:t>3</w:t>
      </w:r>
      <w:r>
        <w:rPr>
          <w:rFonts w:hint="eastAsia" w:ascii="宋体" w:hAnsi="宋体" w:cs="宋体"/>
          <w:b/>
          <w:bCs/>
          <w:color w:val="auto"/>
          <w:szCs w:val="21"/>
          <w:highlight w:val="none"/>
        </w:rPr>
        <w:t>4</w:t>
      </w:r>
      <w:r>
        <w:rPr>
          <w:rFonts w:ascii="宋体" w:hAnsi="宋体" w:cs="宋体"/>
          <w:b/>
          <w:bCs/>
          <w:color w:val="auto"/>
          <w:szCs w:val="21"/>
          <w:highlight w:val="none"/>
          <w:lang w:val="zh-CN"/>
        </w:rPr>
        <w:t xml:space="preserve">. </w:t>
      </w:r>
      <w:r>
        <w:rPr>
          <w:rFonts w:hint="eastAsia" w:ascii="宋体" w:hAnsi="宋体" w:cs="宋体"/>
          <w:b/>
          <w:bCs/>
          <w:color w:val="auto"/>
          <w:szCs w:val="21"/>
          <w:highlight w:val="none"/>
          <w:lang w:val="zh-CN"/>
        </w:rPr>
        <w:t>推荐中标候选人</w:t>
      </w:r>
    </w:p>
    <w:p w14:paraId="1E738BD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4</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采用最低评标价法的，评标结果按投标报价由低到高顺序排列。投标报价相同的并列。投标文件满足招标文件全部实质性要求且投标报价最低的投标人为排名第一的中标候选人。</w:t>
      </w:r>
    </w:p>
    <w:p w14:paraId="5F13509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4</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969EF75">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3</w:t>
      </w:r>
      <w:r>
        <w:rPr>
          <w:rFonts w:hint="eastAsia" w:ascii="宋体" w:hAnsi="宋体" w:cs="宋体"/>
          <w:b/>
          <w:color w:val="auto"/>
          <w:szCs w:val="21"/>
          <w:highlight w:val="none"/>
        </w:rPr>
        <w:t>5</w:t>
      </w:r>
      <w:r>
        <w:rPr>
          <w:rFonts w:ascii="宋体" w:cs="宋体"/>
          <w:b/>
          <w:color w:val="auto"/>
          <w:szCs w:val="21"/>
          <w:highlight w:val="none"/>
          <w:lang w:val="zh-CN"/>
        </w:rPr>
        <w:t>.</w:t>
      </w:r>
      <w:r>
        <w:rPr>
          <w:rFonts w:hint="eastAsia" w:ascii="宋体" w:hAnsi="宋体" w:cs="宋体"/>
          <w:b/>
          <w:color w:val="auto"/>
          <w:szCs w:val="21"/>
          <w:highlight w:val="none"/>
          <w:lang w:val="zh-CN"/>
        </w:rPr>
        <w:t>评审意见无效情形</w:t>
      </w:r>
    </w:p>
    <w:p w14:paraId="65882C4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评标委员会及其成员有下列行为之一的，其评审意见无效：</w:t>
      </w:r>
    </w:p>
    <w:p w14:paraId="6107C71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5</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确定参与评标至评标结束前私自接触投标人；</w:t>
      </w:r>
    </w:p>
    <w:p w14:paraId="468CBE8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5</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接受投标人提出的与投标文件不一致的澄清或者说明，《投标人须知》</w:t>
      </w:r>
      <w:r>
        <w:rPr>
          <w:rFonts w:ascii="宋体" w:hAnsi="宋体" w:cs="宋体"/>
          <w:color w:val="auto"/>
          <w:szCs w:val="21"/>
          <w:highlight w:val="none"/>
          <w:lang w:val="zh-CN"/>
        </w:rPr>
        <w:t>2</w:t>
      </w:r>
      <w:r>
        <w:rPr>
          <w:rFonts w:ascii="宋体" w:hAnsi="宋体" w:cs="宋体"/>
          <w:color w:val="auto"/>
          <w:szCs w:val="21"/>
          <w:highlight w:val="none"/>
        </w:rPr>
        <w:t>6</w:t>
      </w:r>
      <w:r>
        <w:rPr>
          <w:rFonts w:hint="eastAsia" w:ascii="宋体" w:hAnsi="宋体" w:cs="宋体"/>
          <w:color w:val="auto"/>
          <w:szCs w:val="21"/>
          <w:highlight w:val="none"/>
          <w:lang w:val="zh-CN"/>
        </w:rPr>
        <w:t>条规定的情形除外；</w:t>
      </w:r>
    </w:p>
    <w:p w14:paraId="4ECEAB7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5</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违反评标纪律发表倾向性意见或者征询采购人的倾向性意见；</w:t>
      </w:r>
    </w:p>
    <w:p w14:paraId="14EF6FB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5</w:t>
      </w:r>
      <w:r>
        <w:rPr>
          <w:rFonts w:ascii="宋体" w:hAnsi="宋体" w:cs="宋体"/>
          <w:color w:val="auto"/>
          <w:szCs w:val="21"/>
          <w:highlight w:val="none"/>
          <w:lang w:val="zh-CN"/>
        </w:rPr>
        <w:t xml:space="preserve">.4 </w:t>
      </w:r>
      <w:r>
        <w:rPr>
          <w:rFonts w:hint="eastAsia" w:ascii="宋体" w:hAnsi="宋体" w:cs="宋体"/>
          <w:color w:val="auto"/>
          <w:szCs w:val="21"/>
          <w:highlight w:val="none"/>
          <w:lang w:val="zh-CN"/>
        </w:rPr>
        <w:t>对需要专业判断的主观评审因素协商评分；</w:t>
      </w:r>
    </w:p>
    <w:p w14:paraId="5DB22CC5">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5</w:t>
      </w:r>
      <w:r>
        <w:rPr>
          <w:rFonts w:ascii="宋体" w:hAnsi="宋体" w:cs="宋体"/>
          <w:color w:val="auto"/>
          <w:szCs w:val="21"/>
          <w:highlight w:val="none"/>
          <w:lang w:val="zh-CN"/>
        </w:rPr>
        <w:t xml:space="preserve">.5 </w:t>
      </w:r>
      <w:r>
        <w:rPr>
          <w:rFonts w:hint="eastAsia" w:ascii="宋体" w:hAnsi="宋体" w:cs="宋体"/>
          <w:color w:val="auto"/>
          <w:szCs w:val="21"/>
          <w:highlight w:val="none"/>
          <w:lang w:val="zh-CN"/>
        </w:rPr>
        <w:t>在评标过程中擅离职守，影响评标程序正常进行的；</w:t>
      </w:r>
    </w:p>
    <w:p w14:paraId="3F9943A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5</w:t>
      </w:r>
      <w:r>
        <w:rPr>
          <w:rFonts w:ascii="宋体" w:hAnsi="宋体" w:cs="宋体"/>
          <w:color w:val="auto"/>
          <w:szCs w:val="21"/>
          <w:highlight w:val="none"/>
          <w:lang w:val="zh-CN"/>
        </w:rPr>
        <w:t xml:space="preserve">.6 </w:t>
      </w:r>
      <w:r>
        <w:rPr>
          <w:rFonts w:hint="eastAsia" w:ascii="宋体" w:hAnsi="宋体" w:cs="宋体"/>
          <w:color w:val="auto"/>
          <w:szCs w:val="21"/>
          <w:highlight w:val="none"/>
          <w:lang w:val="zh-CN"/>
        </w:rPr>
        <w:t>记录、复制或者带走任何评标资料；</w:t>
      </w:r>
    </w:p>
    <w:p w14:paraId="348277B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5</w:t>
      </w:r>
      <w:r>
        <w:rPr>
          <w:rFonts w:ascii="宋体" w:hAnsi="宋体" w:cs="宋体"/>
          <w:color w:val="auto"/>
          <w:szCs w:val="21"/>
          <w:highlight w:val="none"/>
          <w:lang w:val="zh-CN"/>
        </w:rPr>
        <w:t xml:space="preserve">.7 </w:t>
      </w:r>
      <w:r>
        <w:rPr>
          <w:rFonts w:hint="eastAsia" w:ascii="宋体" w:hAnsi="宋体" w:cs="宋体"/>
          <w:color w:val="auto"/>
          <w:szCs w:val="21"/>
          <w:highlight w:val="none"/>
          <w:lang w:val="zh-CN"/>
        </w:rPr>
        <w:t>其他不遵守评标纪律的行为。</w:t>
      </w:r>
    </w:p>
    <w:p w14:paraId="6D539198">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3</w:t>
      </w:r>
      <w:r>
        <w:rPr>
          <w:rFonts w:hint="eastAsia" w:ascii="宋体" w:hAnsi="宋体" w:cs="宋体"/>
          <w:b/>
          <w:color w:val="auto"/>
          <w:szCs w:val="21"/>
          <w:highlight w:val="none"/>
        </w:rPr>
        <w:t>6</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保密</w:t>
      </w:r>
    </w:p>
    <w:p w14:paraId="54F9904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6</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评审专家应当遵守评审工作纪律，不得泄露评审文件、评审情况和评审中获悉的商业秘密。</w:t>
      </w:r>
    </w:p>
    <w:p w14:paraId="569847DE">
      <w:pPr>
        <w:tabs>
          <w:tab w:val="left" w:pos="1260"/>
        </w:tabs>
        <w:autoSpaceDE w:val="0"/>
        <w:autoSpaceDN w:val="0"/>
        <w:spacing w:line="360" w:lineRule="auto"/>
        <w:ind w:firstLine="420" w:firstLineChars="200"/>
        <w:contextualSpacing/>
        <w:rPr>
          <w:rFonts w:ascii="宋体" w:cs="宋体"/>
          <w:color w:val="auto"/>
          <w:sz w:val="24"/>
          <w:szCs w:val="24"/>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6</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采购人、采购代理机构应当采取必要措施，保证评标在严格保密的情况下进行。有关人员对评标情况以及在评标过程中获悉的国家秘密、商业秘密负有保密责任。</w:t>
      </w:r>
    </w:p>
    <w:p w14:paraId="630A12B3">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六、定标和授予合同</w:t>
      </w:r>
    </w:p>
    <w:p w14:paraId="592F5858">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3</w:t>
      </w:r>
      <w:r>
        <w:rPr>
          <w:rFonts w:hint="eastAsia" w:ascii="宋体" w:hAnsi="宋体" w:cs="宋体"/>
          <w:b/>
          <w:color w:val="auto"/>
          <w:szCs w:val="21"/>
          <w:highlight w:val="none"/>
        </w:rPr>
        <w:t>7</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确定中标人</w:t>
      </w:r>
    </w:p>
    <w:p w14:paraId="09264F8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7</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采购人应当自收到评标报告之日起</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个工作日内，在评标报告确定的中标候选人名单中按顺序确定中标人。中标候选人并列的，由采购人采取随机抽取的方式确定。</w:t>
      </w:r>
    </w:p>
    <w:p w14:paraId="52279D2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7</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采购人在收到评标报告</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个工作日内未按评标报告推荐的中标候选人顺序确定中标人，又不能说明合法理由的，视同按评标报告推荐的顺序确定排名第一的中标候选人为中标人。</w:t>
      </w:r>
    </w:p>
    <w:p w14:paraId="3E7F5903">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3</w:t>
      </w:r>
      <w:r>
        <w:rPr>
          <w:rFonts w:hint="eastAsia" w:ascii="宋体" w:hAnsi="宋体" w:cs="宋体"/>
          <w:b/>
          <w:color w:val="auto"/>
          <w:szCs w:val="21"/>
          <w:highlight w:val="none"/>
        </w:rPr>
        <w:t>8</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中标公告、发出中标通知书</w:t>
      </w:r>
    </w:p>
    <w:p w14:paraId="4D64F04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8</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采购人确认中标人后，</w:t>
      </w:r>
      <w:r>
        <w:rPr>
          <w:rFonts w:hint="eastAsia" w:ascii="宋体" w:hAnsi="宋体" w:cs="宋体"/>
          <w:color w:val="auto"/>
          <w:kern w:val="0"/>
          <w:sz w:val="21"/>
          <w:szCs w:val="21"/>
          <w:highlight w:val="none"/>
        </w:rPr>
        <w:t>采购人在公告中标结果的同时，通知中标人核验投标时由信用承诺函替代的证明材料。经核验无误后，发出中标通知书。</w:t>
      </w:r>
    </w:p>
    <w:p w14:paraId="63E60ED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rPr>
        <w:t>8</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中标通知书发出后，采购人不得违法改变中标结果，中标人无正当理由不得放弃中标。</w:t>
      </w:r>
    </w:p>
    <w:p w14:paraId="2CAD9B45">
      <w:pPr>
        <w:tabs>
          <w:tab w:val="left" w:pos="1260"/>
        </w:tabs>
        <w:autoSpaceDE w:val="0"/>
        <w:autoSpaceDN w:val="0"/>
        <w:spacing w:line="360" w:lineRule="auto"/>
        <w:ind w:firstLine="420" w:firstLineChars="200"/>
        <w:contextualSpacing/>
        <w:rPr>
          <w:rFonts w:ascii="宋体" w:cs="宋体"/>
          <w:bCs/>
          <w:color w:val="auto"/>
          <w:szCs w:val="21"/>
          <w:highlight w:val="none"/>
          <w:lang w:val="zh-CN"/>
        </w:rPr>
      </w:pPr>
      <w:r>
        <w:rPr>
          <w:rFonts w:ascii="宋体" w:hAnsi="宋体" w:cs="宋体"/>
          <w:color w:val="auto"/>
          <w:szCs w:val="21"/>
          <w:highlight w:val="none"/>
        </w:rPr>
        <w:t>3</w:t>
      </w:r>
      <w:r>
        <w:rPr>
          <w:rFonts w:hint="eastAsia" w:ascii="宋体" w:hAnsi="宋体" w:cs="宋体"/>
          <w:color w:val="auto"/>
          <w:szCs w:val="21"/>
          <w:highlight w:val="none"/>
        </w:rPr>
        <w:t>8</w:t>
      </w:r>
      <w:r>
        <w:rPr>
          <w:rFonts w:ascii="宋体" w:hAnsi="宋体" w:cs="宋体"/>
          <w:color w:val="auto"/>
          <w:szCs w:val="21"/>
          <w:highlight w:val="none"/>
        </w:rPr>
        <w:t xml:space="preserve">.3 </w:t>
      </w:r>
      <w:r>
        <w:rPr>
          <w:rFonts w:hint="eastAsia" w:ascii="宋体" w:hAnsi="宋体" w:cs="宋体"/>
          <w:bCs/>
          <w:color w:val="auto"/>
          <w:szCs w:val="21"/>
          <w:highlight w:val="none"/>
          <w:lang w:val="zh-CN"/>
        </w:rPr>
        <w:t>中标人在接到中标通知时，须向代理机构发送投标报价及分项报价一览表（包含主要中标标的的名称、规格型号、数量、单价、服务要求等）电子文档，并同时通知代理机构联系人。</w:t>
      </w:r>
    </w:p>
    <w:p w14:paraId="0CE79FC5">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rPr>
        <w:t>3</w:t>
      </w:r>
      <w:r>
        <w:rPr>
          <w:rFonts w:hint="eastAsia" w:ascii="宋体" w:hAnsi="宋体" w:cs="宋体"/>
          <w:b/>
          <w:color w:val="auto"/>
          <w:szCs w:val="21"/>
          <w:highlight w:val="none"/>
        </w:rPr>
        <w:t>9</w:t>
      </w:r>
      <w:r>
        <w:rPr>
          <w:rFonts w:ascii="宋体" w:hAnsi="宋体" w:cs="宋体"/>
          <w:b/>
          <w:color w:val="auto"/>
          <w:szCs w:val="21"/>
          <w:highlight w:val="none"/>
        </w:rPr>
        <w:t>.</w:t>
      </w:r>
      <w:r>
        <w:rPr>
          <w:rFonts w:hint="eastAsia" w:ascii="宋体" w:hAnsi="宋体" w:cs="宋体"/>
          <w:b/>
          <w:color w:val="auto"/>
          <w:szCs w:val="21"/>
          <w:highlight w:val="none"/>
          <w:lang w:val="zh-CN"/>
        </w:rPr>
        <w:t>质疑提出与答复</w:t>
      </w:r>
    </w:p>
    <w:p w14:paraId="7F5BC61B">
      <w:pPr>
        <w:tabs>
          <w:tab w:val="left" w:pos="1260"/>
        </w:tabs>
        <w:autoSpaceDE w:val="0"/>
        <w:autoSpaceDN w:val="0"/>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9</w:t>
      </w:r>
      <w:r>
        <w:rPr>
          <w:rFonts w:ascii="宋体" w:hAnsi="宋体" w:cs="宋体"/>
          <w:color w:val="auto"/>
          <w:szCs w:val="21"/>
          <w:highlight w:val="none"/>
        </w:rPr>
        <w:t xml:space="preserve">.1 </w:t>
      </w:r>
      <w:r>
        <w:rPr>
          <w:rFonts w:hint="eastAsia" w:ascii="宋体" w:hAnsi="宋体" w:cs="宋体"/>
          <w:color w:val="auto"/>
          <w:szCs w:val="21"/>
          <w:highlight w:val="none"/>
        </w:rPr>
        <w:t>供应商认为招标文件、采购过程和中标结果使自己的权益受到损害的，可以按照</w:t>
      </w:r>
      <w:r>
        <w:rPr>
          <w:rFonts w:hint="eastAsia" w:ascii="宋体" w:hAnsi="宋体" w:cs="宋体"/>
          <w:bCs/>
          <w:color w:val="auto"/>
          <w:kern w:val="0"/>
          <w:szCs w:val="21"/>
          <w:highlight w:val="none"/>
          <w:lang w:val="zh-CN"/>
        </w:rPr>
        <w:t>财政部</w:t>
      </w:r>
      <w:r>
        <w:rPr>
          <w:rFonts w:ascii="宋体" w:hAnsi="宋体" w:cs="宋体"/>
          <w:bCs/>
          <w:color w:val="auto"/>
          <w:kern w:val="0"/>
          <w:szCs w:val="21"/>
          <w:highlight w:val="none"/>
          <w:lang w:val="zh-CN"/>
        </w:rPr>
        <w:t>94</w:t>
      </w:r>
      <w:r>
        <w:rPr>
          <w:rFonts w:hint="eastAsia" w:ascii="宋体" w:hAnsi="宋体" w:cs="宋体"/>
          <w:bCs/>
          <w:color w:val="auto"/>
          <w:kern w:val="0"/>
          <w:szCs w:val="21"/>
          <w:highlight w:val="none"/>
          <w:lang w:val="zh-CN"/>
        </w:rPr>
        <w:t>号令</w:t>
      </w:r>
      <w:r>
        <w:rPr>
          <w:rFonts w:hint="eastAsia" w:ascii="宋体" w:hAnsi="宋体" w:cs="宋体"/>
          <w:bCs/>
          <w:color w:val="auto"/>
          <w:szCs w:val="21"/>
          <w:highlight w:val="none"/>
          <w:lang w:val="zh-CN"/>
        </w:rPr>
        <w:t>质</w:t>
      </w:r>
      <w:r>
        <w:rPr>
          <w:rFonts w:hint="eastAsia" w:ascii="宋体" w:hAnsi="宋体" w:cs="宋体"/>
          <w:color w:val="auto"/>
          <w:szCs w:val="21"/>
          <w:highlight w:val="none"/>
        </w:rPr>
        <w:t>疑。提出质疑的供应商应当是参与本项目采购活动的供应商。</w:t>
      </w:r>
    </w:p>
    <w:p w14:paraId="3C51DA30">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39.1.1</w:t>
      </w:r>
      <w:r>
        <w:rPr>
          <w:rFonts w:hint="eastAsia" w:cs="宋体" w:asciiTheme="minorEastAsia" w:hAnsiTheme="minorEastAsia"/>
          <w:color w:val="auto"/>
          <w:kern w:val="0"/>
          <w:szCs w:val="21"/>
          <w:highlight w:val="none"/>
        </w:rPr>
        <w:t>对采购文件提出质疑的，</w:t>
      </w:r>
      <w:r>
        <w:rPr>
          <w:rFonts w:cs="宋体" w:asciiTheme="minorEastAsia" w:hAnsiTheme="minorEastAsia"/>
          <w:color w:val="auto"/>
          <w:kern w:val="0"/>
          <w:szCs w:val="21"/>
          <w:highlight w:val="none"/>
        </w:rPr>
        <w:t>潜在</w:t>
      </w:r>
      <w:r>
        <w:rPr>
          <w:rFonts w:hint="eastAsia" w:cs="宋体" w:asciiTheme="minorEastAsia" w:hAnsiTheme="minorEastAsia"/>
          <w:color w:val="auto"/>
          <w:kern w:val="0"/>
          <w:szCs w:val="21"/>
          <w:highlight w:val="none"/>
        </w:rPr>
        <w:t>投标人应</w:t>
      </w:r>
      <w:r>
        <w:rPr>
          <w:rFonts w:cs="宋体" w:asciiTheme="minorEastAsia" w:hAnsiTheme="minorEastAsia"/>
          <w:color w:val="auto"/>
          <w:kern w:val="0"/>
          <w:szCs w:val="21"/>
          <w:highlight w:val="none"/>
        </w:rPr>
        <w:t>已依法获取采购文件</w:t>
      </w:r>
      <w:r>
        <w:rPr>
          <w:rFonts w:hint="eastAsia" w:cs="宋体" w:asciiTheme="minorEastAsia" w:hAnsiTheme="minorEastAsia"/>
          <w:color w:val="auto"/>
          <w:kern w:val="0"/>
          <w:szCs w:val="21"/>
          <w:highlight w:val="none"/>
        </w:rPr>
        <w:t>，且应当在</w:t>
      </w:r>
      <w:r>
        <w:rPr>
          <w:rFonts w:cs="宋体" w:asciiTheme="minorEastAsia" w:hAnsiTheme="minorEastAsia"/>
          <w:color w:val="auto"/>
          <w:kern w:val="0"/>
          <w:szCs w:val="21"/>
          <w:highlight w:val="none"/>
        </w:rPr>
        <w:t>获取采购文件或者采购文件公告期限届满之日起7个工作日内</w:t>
      </w:r>
      <w:r>
        <w:rPr>
          <w:rFonts w:hint="eastAsia" w:cs="宋体" w:asciiTheme="minorEastAsia" w:hAnsiTheme="minorEastAsia"/>
          <w:color w:val="auto"/>
          <w:kern w:val="0"/>
          <w:szCs w:val="21"/>
          <w:highlight w:val="none"/>
        </w:rPr>
        <w:t>通过《全国公共资源交易平台（河南省·许昌市）》一次性提出，提出时应按照《政府采购质疑和投诉办法》（财政部令第94号）第十二条规定提交质疑函和必要的证明材料，质疑提出后</w:t>
      </w:r>
      <w:r>
        <w:rPr>
          <w:rFonts w:cs="宋体" w:asciiTheme="minorEastAsia" w:hAnsiTheme="minorEastAsia"/>
          <w:color w:val="auto"/>
          <w:kern w:val="0"/>
          <w:szCs w:val="21"/>
          <w:highlight w:val="none"/>
        </w:rPr>
        <w:t>潜在</w:t>
      </w:r>
      <w:r>
        <w:rPr>
          <w:rFonts w:hint="eastAsia" w:cs="宋体" w:asciiTheme="minorEastAsia" w:hAnsiTheme="minorEastAsia"/>
          <w:color w:val="auto"/>
          <w:kern w:val="0"/>
          <w:szCs w:val="21"/>
          <w:highlight w:val="none"/>
        </w:rPr>
        <w:t>投标人应及时联系招标公告中代理机构联系人查看。如未提出视为全面接受。</w:t>
      </w:r>
    </w:p>
    <w:p w14:paraId="0B725D1B">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39</w:t>
      </w:r>
      <w:r>
        <w:rPr>
          <w:rFonts w:ascii="宋体" w:hAnsi="宋体" w:cs="宋体"/>
          <w:color w:val="auto"/>
          <w:szCs w:val="21"/>
          <w:highlight w:val="none"/>
        </w:rPr>
        <w:t xml:space="preserve">.1.2 </w:t>
      </w:r>
      <w:r>
        <w:rPr>
          <w:rFonts w:hint="eastAsia" w:ascii="宋体" w:hAnsi="宋体" w:cs="宋体"/>
          <w:color w:val="auto"/>
          <w:szCs w:val="21"/>
          <w:highlight w:val="none"/>
        </w:rPr>
        <w:t>对采购过程提出质疑的，为各采购程序环节结束之日起七个工作日内，以书面形式向采购人和采购代理机构一次性提出；</w:t>
      </w:r>
      <w:r>
        <w:rPr>
          <w:rFonts w:ascii="宋体" w:cs="宋体"/>
          <w:color w:val="auto"/>
          <w:szCs w:val="21"/>
          <w:highlight w:val="none"/>
        </w:rPr>
        <w:br w:type="textWrapping"/>
      </w:r>
      <w:r>
        <w:rPr>
          <w:rFonts w:hint="eastAsia" w:ascii="宋体" w:hAnsi="宋体" w:cs="宋体"/>
          <w:color w:val="auto"/>
          <w:szCs w:val="21"/>
          <w:highlight w:val="none"/>
        </w:rPr>
        <w:t xml:space="preserve">    </w:t>
      </w:r>
      <w:r>
        <w:rPr>
          <w:rFonts w:ascii="宋体" w:hAnsi="宋体" w:cs="宋体"/>
          <w:color w:val="auto"/>
          <w:szCs w:val="21"/>
          <w:highlight w:val="none"/>
        </w:rPr>
        <w:t>3</w:t>
      </w:r>
      <w:r>
        <w:rPr>
          <w:rFonts w:hint="eastAsia" w:ascii="宋体" w:hAnsi="宋体" w:cs="宋体"/>
          <w:color w:val="auto"/>
          <w:szCs w:val="21"/>
          <w:highlight w:val="none"/>
        </w:rPr>
        <w:t>9</w:t>
      </w:r>
      <w:r>
        <w:rPr>
          <w:rFonts w:ascii="宋体" w:hAnsi="宋体" w:cs="宋体"/>
          <w:color w:val="auto"/>
          <w:szCs w:val="21"/>
          <w:highlight w:val="none"/>
        </w:rPr>
        <w:t xml:space="preserve">.1.3 </w:t>
      </w:r>
      <w:r>
        <w:rPr>
          <w:rFonts w:hint="eastAsia" w:ascii="宋体" w:hAnsi="宋体" w:cs="宋体"/>
          <w:color w:val="auto"/>
          <w:szCs w:val="21"/>
          <w:highlight w:val="none"/>
        </w:rPr>
        <w:t>对中标结果提出质疑的，为中标结果公告期限届满之日起七个工作日内，以书面形式向采购人和采购代理机构一次性提出。</w:t>
      </w:r>
    </w:p>
    <w:p w14:paraId="3268248F">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9</w:t>
      </w:r>
      <w:r>
        <w:rPr>
          <w:rFonts w:ascii="宋体" w:hAnsi="宋体" w:cs="宋体"/>
          <w:color w:val="auto"/>
          <w:szCs w:val="21"/>
          <w:highlight w:val="none"/>
        </w:rPr>
        <w:t xml:space="preserve">.2 </w:t>
      </w:r>
      <w:r>
        <w:rPr>
          <w:rFonts w:hint="eastAsia" w:ascii="宋体" w:hAnsi="宋体" w:cs="宋体"/>
          <w:color w:val="auto"/>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4B1C4206">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9</w:t>
      </w:r>
      <w:r>
        <w:rPr>
          <w:rFonts w:ascii="宋体" w:hAnsi="宋体" w:cs="宋体"/>
          <w:color w:val="auto"/>
          <w:szCs w:val="21"/>
          <w:highlight w:val="none"/>
        </w:rPr>
        <w:t xml:space="preserve">.2.1 </w:t>
      </w:r>
      <w:r>
        <w:rPr>
          <w:rFonts w:hint="eastAsia" w:ascii="宋体" w:hAnsi="宋体" w:cs="宋体"/>
          <w:color w:val="auto"/>
          <w:szCs w:val="21"/>
          <w:highlight w:val="none"/>
        </w:rPr>
        <w:t>对招标文件提出的质疑，依法通过澄清或者修改可以继续开展采购活动的，澄清或者修改招标文件后继续开展采购活动；否则应当修改招标文件后重新开展采购活动。</w:t>
      </w:r>
    </w:p>
    <w:p w14:paraId="498497AF">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9</w:t>
      </w:r>
      <w:r>
        <w:rPr>
          <w:rFonts w:ascii="宋体" w:hAnsi="宋体" w:cs="宋体"/>
          <w:color w:val="auto"/>
          <w:szCs w:val="21"/>
          <w:highlight w:val="none"/>
        </w:rPr>
        <w:t xml:space="preserve">.2.2 </w:t>
      </w:r>
      <w:r>
        <w:rPr>
          <w:rFonts w:hint="eastAsia" w:ascii="宋体" w:hAnsi="宋体" w:cs="宋体"/>
          <w:color w:val="auto"/>
          <w:szCs w:val="21"/>
          <w:highlight w:val="none"/>
        </w:rPr>
        <w:t>对采购过程、中标结果提出的质疑，合格供应商符合法定数量时，可以从合格的中标候选人中另行确定中标供应商的，应当依法另行确定中标供应商；否则应当重新开展采购活动。</w:t>
      </w:r>
    </w:p>
    <w:p w14:paraId="7A9FDE49">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9</w:t>
      </w:r>
      <w:r>
        <w:rPr>
          <w:rFonts w:ascii="宋体" w:hAnsi="宋体" w:cs="宋体"/>
          <w:color w:val="auto"/>
          <w:szCs w:val="21"/>
          <w:highlight w:val="none"/>
        </w:rPr>
        <w:t xml:space="preserve">.3 </w:t>
      </w:r>
      <w:r>
        <w:rPr>
          <w:rFonts w:hint="eastAsia" w:ascii="宋体" w:hAnsi="宋体" w:cs="宋体"/>
          <w:color w:val="auto"/>
          <w:szCs w:val="21"/>
          <w:highlight w:val="none"/>
        </w:rPr>
        <w:t>答复</w:t>
      </w:r>
    </w:p>
    <w:p w14:paraId="72E2EE5C">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9</w:t>
      </w:r>
      <w:r>
        <w:rPr>
          <w:rFonts w:ascii="宋体" w:hAnsi="宋体" w:cs="宋体"/>
          <w:color w:val="auto"/>
          <w:szCs w:val="21"/>
          <w:highlight w:val="none"/>
        </w:rPr>
        <w:t xml:space="preserve">.3.1 </w:t>
      </w:r>
      <w:r>
        <w:rPr>
          <w:rFonts w:hint="eastAsia" w:ascii="宋体" w:hAnsi="宋体" w:cs="宋体"/>
          <w:color w:val="auto"/>
          <w:szCs w:val="21"/>
          <w:highlight w:val="none"/>
        </w:rPr>
        <w:t>对招标文件提出质疑的，质疑供应商和其他有关供应商在法定时限内到《全国公共资源交易平台（河南省·许昌市）》自行下载并打印书面质疑回复函，或者联系采购单位领取书面质疑回复函。</w:t>
      </w:r>
    </w:p>
    <w:p w14:paraId="379D44CA">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9</w:t>
      </w:r>
      <w:r>
        <w:rPr>
          <w:rFonts w:ascii="宋体" w:hAnsi="宋体" w:cs="宋体"/>
          <w:color w:val="auto"/>
          <w:szCs w:val="21"/>
          <w:highlight w:val="none"/>
        </w:rPr>
        <w:t xml:space="preserve">.3.2 </w:t>
      </w:r>
      <w:r>
        <w:rPr>
          <w:rFonts w:hint="eastAsia" w:ascii="宋体" w:hAnsi="宋体" w:cs="宋体"/>
          <w:color w:val="auto"/>
          <w:szCs w:val="21"/>
          <w:highlight w:val="none"/>
        </w:rPr>
        <w:t>对采购过程提出质疑的，质疑供应商和其他有关供应商在法定时限内联系采购单位领取书面质疑回复函。</w:t>
      </w:r>
    </w:p>
    <w:p w14:paraId="02387DCC">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9</w:t>
      </w:r>
      <w:r>
        <w:rPr>
          <w:rFonts w:ascii="宋体" w:hAnsi="宋体" w:cs="宋体"/>
          <w:color w:val="auto"/>
          <w:szCs w:val="21"/>
          <w:highlight w:val="none"/>
        </w:rPr>
        <w:t xml:space="preserve">.3.3 </w:t>
      </w:r>
      <w:r>
        <w:rPr>
          <w:rFonts w:hint="eastAsia" w:ascii="宋体" w:hAnsi="宋体" w:cs="宋体"/>
          <w:color w:val="auto"/>
          <w:szCs w:val="21"/>
          <w:highlight w:val="none"/>
        </w:rPr>
        <w:t>对中标结果提出质疑的，质疑供应商和其他有关供应商在法定时限内联系采购单位领取书面质疑回复函。</w:t>
      </w:r>
    </w:p>
    <w:p w14:paraId="56BD86B1">
      <w:pPr>
        <w:tabs>
          <w:tab w:val="left" w:pos="1260"/>
        </w:tabs>
        <w:autoSpaceDE w:val="0"/>
        <w:autoSpaceDN w:val="0"/>
        <w:spacing w:line="360" w:lineRule="auto"/>
        <w:contextualSpacing/>
        <w:rPr>
          <w:rFonts w:ascii="宋体" w:cs="宋体"/>
          <w:b/>
          <w:color w:val="auto"/>
          <w:szCs w:val="21"/>
          <w:highlight w:val="none"/>
        </w:rPr>
      </w:pPr>
      <w:r>
        <w:rPr>
          <w:rFonts w:hint="eastAsia" w:ascii="宋体" w:hAnsi="宋体" w:cs="宋体"/>
          <w:b/>
          <w:color w:val="auto"/>
          <w:szCs w:val="21"/>
          <w:highlight w:val="none"/>
        </w:rPr>
        <w:t>40</w:t>
      </w:r>
      <w:r>
        <w:rPr>
          <w:rFonts w:ascii="宋体" w:hAnsi="宋体" w:cs="宋体"/>
          <w:b/>
          <w:color w:val="auto"/>
          <w:szCs w:val="21"/>
          <w:highlight w:val="none"/>
        </w:rPr>
        <w:t>.</w:t>
      </w:r>
      <w:r>
        <w:rPr>
          <w:rFonts w:hint="eastAsia" w:ascii="宋体" w:hAnsi="宋体" w:cs="宋体"/>
          <w:b/>
          <w:color w:val="auto"/>
          <w:szCs w:val="21"/>
          <w:highlight w:val="none"/>
          <w:lang w:val="zh-CN"/>
        </w:rPr>
        <w:t>签订合同</w:t>
      </w:r>
    </w:p>
    <w:p w14:paraId="2BD4EF5E">
      <w:pPr>
        <w:tabs>
          <w:tab w:val="left" w:pos="1260"/>
        </w:tabs>
        <w:autoSpaceDE w:val="0"/>
        <w:autoSpaceDN w:val="0"/>
        <w:spacing w:line="360" w:lineRule="auto"/>
        <w:ind w:firstLine="420" w:firstLineChars="200"/>
        <w:contextualSpacing/>
        <w:rPr>
          <w:rFonts w:hint="eastAsia" w:ascii="宋体" w:hAnsi="宋体" w:cs="宋体"/>
          <w:color w:val="auto"/>
          <w:szCs w:val="21"/>
          <w:highlight w:val="none"/>
          <w:lang w:val="zh-CN"/>
        </w:rPr>
      </w:pPr>
      <w:r>
        <w:rPr>
          <w:rFonts w:hint="eastAsia" w:ascii="宋体" w:hAnsi="宋体" w:cs="宋体"/>
          <w:color w:val="auto"/>
          <w:szCs w:val="21"/>
          <w:highlight w:val="none"/>
          <w:lang w:val="zh-CN"/>
        </w:rPr>
        <w:t>采购人应当自中标通知书发出</w:t>
      </w:r>
      <w:r>
        <w:rPr>
          <w:rFonts w:hint="eastAsia" w:ascii="宋体" w:hAnsi="宋体" w:cs="宋体"/>
          <w:color w:val="auto"/>
          <w:szCs w:val="21"/>
          <w:highlight w:val="none"/>
          <w:lang w:val="zh-CN"/>
        </w:rPr>
        <w:t>之日起</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val="zh-CN"/>
        </w:rPr>
        <w:t>日内与采购单</w:t>
      </w:r>
      <w:r>
        <w:rPr>
          <w:rFonts w:hint="eastAsia" w:ascii="宋体" w:hAnsi="宋体" w:cs="宋体"/>
          <w:color w:val="auto"/>
          <w:szCs w:val="21"/>
          <w:highlight w:val="none"/>
          <w:lang w:val="zh-CN"/>
        </w:rPr>
        <w:t>位签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25F5E67">
      <w:pPr>
        <w:tabs>
          <w:tab w:val="left" w:pos="1260"/>
        </w:tabs>
        <w:autoSpaceDE w:val="0"/>
        <w:autoSpaceDN w:val="0"/>
        <w:spacing w:line="360" w:lineRule="auto"/>
        <w:contextualSpacing/>
        <w:rPr>
          <w:rFonts w:ascii="宋体" w:cs="宋体"/>
          <w:b/>
          <w:color w:val="auto"/>
          <w:szCs w:val="21"/>
          <w:highlight w:val="none"/>
        </w:rPr>
      </w:pPr>
      <w:r>
        <w:rPr>
          <w:rFonts w:hint="eastAsia" w:ascii="宋体" w:hAnsi="宋体" w:cs="宋体"/>
          <w:b/>
          <w:color w:val="auto"/>
          <w:szCs w:val="21"/>
          <w:highlight w:val="none"/>
        </w:rPr>
        <w:t>41</w:t>
      </w:r>
      <w:r>
        <w:rPr>
          <w:rFonts w:ascii="宋体" w:hAnsi="宋体" w:cs="宋体"/>
          <w:b/>
          <w:color w:val="auto"/>
          <w:szCs w:val="21"/>
          <w:highlight w:val="none"/>
        </w:rPr>
        <w:t>.</w:t>
      </w:r>
      <w:r>
        <w:rPr>
          <w:rFonts w:hint="eastAsia" w:ascii="宋体" w:hAnsi="宋体" w:cs="宋体"/>
          <w:b/>
          <w:color w:val="auto"/>
          <w:szCs w:val="21"/>
          <w:highlight w:val="none"/>
        </w:rPr>
        <w:t>履约保证金</w:t>
      </w:r>
    </w:p>
    <w:p w14:paraId="6D9D2AE9">
      <w:pPr>
        <w:autoSpaceDE w:val="0"/>
        <w:autoSpaceDN w:val="0"/>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kern w:val="0"/>
          <w:szCs w:val="21"/>
          <w:highlight w:val="none"/>
        </w:rPr>
        <w:t>“投标人须知前附表”中规定</w:t>
      </w:r>
      <w:r>
        <w:rPr>
          <w:rFonts w:hint="eastAsia" w:ascii="宋体" w:hAnsi="宋体" w:cs="宋体"/>
          <w:color w:val="auto"/>
          <w:szCs w:val="21"/>
          <w:highlight w:val="none"/>
        </w:rPr>
        <w:t xml:space="preserve">中标人提交履约保证金的，中标人应当以支票、汇票、本票或者金融机构、担保机构出具的保函等非现金形式向采购人提交。履约保证金的数额不得超过政府采购合同金额的   </w:t>
      </w:r>
      <w:r>
        <w:rPr>
          <w:rFonts w:ascii="宋体" w:hAnsi="宋体" w:cs="宋体"/>
          <w:color w:val="auto"/>
          <w:szCs w:val="21"/>
          <w:highlight w:val="none"/>
        </w:rPr>
        <w:t>%</w:t>
      </w:r>
      <w:r>
        <w:rPr>
          <w:rFonts w:hint="eastAsia" w:ascii="宋体" w:hAnsi="宋体" w:cs="宋体"/>
          <w:color w:val="auto"/>
          <w:szCs w:val="21"/>
          <w:highlight w:val="none"/>
        </w:rPr>
        <w:t>。</w:t>
      </w:r>
    </w:p>
    <w:p w14:paraId="639E77B1">
      <w:pPr>
        <w:pStyle w:val="59"/>
        <w:autoSpaceDE w:val="0"/>
        <w:autoSpaceDN w:val="0"/>
        <w:spacing w:line="360" w:lineRule="auto"/>
        <w:ind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42.政府采购合同融资</w:t>
      </w:r>
    </w:p>
    <w:p w14:paraId="0D29D631">
      <w:pPr>
        <w:pStyle w:val="59"/>
        <w:wordWrap w:val="0"/>
        <w:topLinePunct/>
        <w:autoSpaceDE w:val="0"/>
        <w:autoSpaceDN w:val="0"/>
        <w:adjustRightInd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42.1缓解中小企业融资难题</w:t>
      </w:r>
    </w:p>
    <w:p w14:paraId="078F99FA">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1D4DB7EF">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42.2合作金融机构（排名不分先后）</w:t>
      </w:r>
    </w:p>
    <w:p w14:paraId="047A6A12">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合作金融机构名称：中原银行许昌分行（小微金融部）</w:t>
      </w:r>
    </w:p>
    <w:p w14:paraId="72BA0895">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4E6FAD37">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07E4F389">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合作金融机构名称：浦发银行许昌分行</w:t>
      </w:r>
    </w:p>
    <w:p w14:paraId="1602FB6B">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08CDF0A3">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04258EF3">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合作金融机构名称：交通银行许昌分行</w:t>
      </w:r>
    </w:p>
    <w:p w14:paraId="37CE5AFA">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53C53D53">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62E1E266">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合作金融机构名称：光大银行许昌分行</w:t>
      </w:r>
    </w:p>
    <w:p w14:paraId="50176D84">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42023C51">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地址：许昌市魏都区八一路文峰路交叉口西北角</w:t>
      </w:r>
    </w:p>
    <w:p w14:paraId="336EA35B">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合作金融机构名称：招商银行许昌分行</w:t>
      </w:r>
    </w:p>
    <w:p w14:paraId="78FEC2E8">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0A62817C">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2A3F5DA5">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合作金融机构名称：邮储银行许昌市分行</w:t>
      </w:r>
    </w:p>
    <w:p w14:paraId="0AF7D995">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550BF210">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3387B308">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11EFE7CF">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合作金融机构名称：中国银行许昌分行</w:t>
      </w:r>
    </w:p>
    <w:p w14:paraId="320B8BC5">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1A0BFE43">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08D99DA6">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合作金融机构名称：中信银行郑州红专路支行</w:t>
      </w:r>
    </w:p>
    <w:p w14:paraId="1AB274D4">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04F5D931">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4D3EEABB">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w:t>
      </w:r>
      <w:r>
        <w:rPr>
          <w:rFonts w:hint="eastAsia"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rPr>
        <w:t>.3 “许昌市政府采购合同融资金融产品推介名录”链接</w:t>
      </w:r>
    </w:p>
    <w:p w14:paraId="3649A659">
      <w:pPr>
        <w:autoSpaceDE w:val="0"/>
        <w:autoSpaceDN w:val="0"/>
        <w:spacing w:line="360" w:lineRule="auto"/>
        <w:ind w:left="964"/>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http://xuchang.hngp.gov.cn/xuchang/content?infoId=1606365368231095&amp;channelCode=H711001</w:t>
      </w:r>
    </w:p>
    <w:p w14:paraId="57FD0413">
      <w:pPr>
        <w:autoSpaceDE w:val="0"/>
        <w:autoSpaceDN w:val="0"/>
        <w:spacing w:line="360" w:lineRule="auto"/>
        <w:contextualSpacing/>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3</w:t>
      </w:r>
      <w:r>
        <w:rPr>
          <w:rFonts w:ascii="宋体" w:hAnsi="宋体" w:cs="宋体"/>
          <w:b/>
          <w:color w:val="auto"/>
          <w:szCs w:val="21"/>
          <w:highlight w:val="none"/>
        </w:rPr>
        <w:t xml:space="preserve">. </w:t>
      </w:r>
      <w:r>
        <w:rPr>
          <w:rFonts w:hint="eastAsia" w:ascii="宋体" w:hAnsi="宋体" w:cs="宋体"/>
          <w:b/>
          <w:color w:val="auto"/>
          <w:szCs w:val="21"/>
          <w:highlight w:val="none"/>
        </w:rPr>
        <w:t>其他</w:t>
      </w:r>
    </w:p>
    <w:p w14:paraId="44BC918B">
      <w:pPr>
        <w:tabs>
          <w:tab w:val="left" w:pos="1260"/>
        </w:tabs>
        <w:autoSpaceDE w:val="0"/>
        <w:autoSpaceDN w:val="0"/>
        <w:spacing w:line="360" w:lineRule="auto"/>
        <w:ind w:firstLine="420" w:firstLineChars="200"/>
        <w:contextualSpacing/>
        <w:jc w:val="left"/>
        <w:rPr>
          <w:rFonts w:ascii="宋体" w:cs="宋体"/>
          <w:color w:val="auto"/>
          <w:kern w:val="0"/>
          <w:szCs w:val="21"/>
          <w:highlight w:val="none"/>
        </w:rPr>
      </w:pPr>
      <w:r>
        <w:rPr>
          <w:rFonts w:hint="eastAsia" w:ascii="宋体" w:hAnsi="宋体" w:cs="宋体"/>
          <w:color w:val="auto"/>
          <w:kern w:val="0"/>
          <w:szCs w:val="21"/>
          <w:highlight w:val="none"/>
        </w:rPr>
        <w:t>本次招标文件未尽事项，以法律法规规定的为准。</w:t>
      </w:r>
    </w:p>
    <w:p w14:paraId="2170624A">
      <w:pPr>
        <w:autoSpaceDE w:val="0"/>
        <w:autoSpaceDN w:val="0"/>
        <w:spacing w:line="360" w:lineRule="auto"/>
        <w:ind w:firstLine="643" w:firstLineChars="200"/>
        <w:contextualSpacing/>
        <w:rPr>
          <w:rFonts w:cs="宋体" w:asciiTheme="majorEastAsia" w:hAnsiTheme="majorEastAsia"/>
          <w:b/>
          <w:color w:val="auto"/>
          <w:kern w:val="0"/>
          <w:sz w:val="32"/>
          <w:szCs w:val="32"/>
          <w:highlight w:val="none"/>
        </w:rPr>
      </w:pPr>
    </w:p>
    <w:p w14:paraId="66E442D9">
      <w:pPr>
        <w:pStyle w:val="9"/>
        <w:ind w:firstLine="0"/>
        <w:rPr>
          <w:rFonts w:cs="宋体" w:asciiTheme="majorEastAsia" w:hAnsiTheme="majorEastAsia" w:eastAsiaTheme="majorEastAsia"/>
          <w:b/>
          <w:color w:val="auto"/>
          <w:kern w:val="0"/>
          <w:sz w:val="32"/>
          <w:szCs w:val="32"/>
          <w:highlight w:val="none"/>
        </w:rPr>
      </w:pPr>
    </w:p>
    <w:p w14:paraId="707F72F4">
      <w:pPr>
        <w:pStyle w:val="9"/>
        <w:ind w:firstLine="0"/>
        <w:rPr>
          <w:rFonts w:cs="宋体" w:asciiTheme="majorEastAsia" w:hAnsiTheme="majorEastAsia" w:eastAsiaTheme="majorEastAsia"/>
          <w:b/>
          <w:color w:val="auto"/>
          <w:kern w:val="0"/>
          <w:sz w:val="32"/>
          <w:szCs w:val="32"/>
          <w:highlight w:val="none"/>
        </w:rPr>
      </w:pPr>
    </w:p>
    <w:p w14:paraId="73581643">
      <w:pPr>
        <w:pStyle w:val="9"/>
        <w:ind w:firstLine="0"/>
        <w:rPr>
          <w:rFonts w:cs="宋体" w:asciiTheme="majorEastAsia" w:hAnsiTheme="majorEastAsia" w:eastAsiaTheme="majorEastAsia"/>
          <w:b/>
          <w:color w:val="auto"/>
          <w:kern w:val="0"/>
          <w:sz w:val="32"/>
          <w:szCs w:val="32"/>
          <w:highlight w:val="none"/>
        </w:rPr>
      </w:pPr>
    </w:p>
    <w:p w14:paraId="34F5ECFC">
      <w:pPr>
        <w:pStyle w:val="9"/>
        <w:ind w:firstLine="0"/>
        <w:rPr>
          <w:rFonts w:cs="宋体" w:asciiTheme="majorEastAsia" w:hAnsiTheme="majorEastAsia" w:eastAsiaTheme="majorEastAsia"/>
          <w:b/>
          <w:color w:val="auto"/>
          <w:kern w:val="0"/>
          <w:sz w:val="32"/>
          <w:szCs w:val="32"/>
          <w:highlight w:val="none"/>
        </w:rPr>
      </w:pPr>
    </w:p>
    <w:p w14:paraId="09392F37">
      <w:pPr>
        <w:pStyle w:val="9"/>
        <w:ind w:firstLine="0"/>
        <w:rPr>
          <w:rFonts w:cs="宋体" w:asciiTheme="majorEastAsia" w:hAnsiTheme="majorEastAsia" w:eastAsiaTheme="majorEastAsia"/>
          <w:b/>
          <w:color w:val="auto"/>
          <w:kern w:val="0"/>
          <w:sz w:val="32"/>
          <w:szCs w:val="32"/>
          <w:highlight w:val="none"/>
        </w:rPr>
      </w:pPr>
    </w:p>
    <w:p w14:paraId="2C79A404">
      <w:pPr>
        <w:pStyle w:val="15"/>
        <w:rPr>
          <w:rFonts w:cs="宋体" w:asciiTheme="majorEastAsia" w:hAnsiTheme="majorEastAsia" w:eastAsiaTheme="majorEastAsia"/>
          <w:b/>
          <w:color w:val="auto"/>
          <w:kern w:val="0"/>
          <w:sz w:val="32"/>
          <w:szCs w:val="32"/>
          <w:highlight w:val="none"/>
        </w:rPr>
      </w:pPr>
    </w:p>
    <w:p w14:paraId="784C6759">
      <w:pPr>
        <w:pStyle w:val="14"/>
        <w:rPr>
          <w:color w:val="auto"/>
          <w:highlight w:val="none"/>
        </w:rPr>
      </w:pPr>
    </w:p>
    <w:p w14:paraId="01E43C32">
      <w:pPr>
        <w:pStyle w:val="15"/>
        <w:rPr>
          <w:color w:val="auto"/>
          <w:highlight w:val="none"/>
        </w:rPr>
      </w:pPr>
    </w:p>
    <w:p w14:paraId="0D77B5DE">
      <w:pPr>
        <w:pStyle w:val="16"/>
        <w:rPr>
          <w:color w:val="auto"/>
          <w:highlight w:val="none"/>
        </w:rPr>
      </w:pPr>
    </w:p>
    <w:p w14:paraId="25A0BE63">
      <w:pPr>
        <w:rPr>
          <w:color w:val="auto"/>
          <w:highlight w:val="none"/>
        </w:rPr>
      </w:pPr>
    </w:p>
    <w:p w14:paraId="5CF499BB">
      <w:pPr>
        <w:pStyle w:val="2"/>
        <w:rPr>
          <w:color w:val="auto"/>
          <w:highlight w:val="none"/>
        </w:rPr>
      </w:pPr>
    </w:p>
    <w:p w14:paraId="2D241252">
      <w:pPr>
        <w:rPr>
          <w:color w:val="auto"/>
          <w:highlight w:val="none"/>
        </w:rPr>
      </w:pPr>
    </w:p>
    <w:p w14:paraId="2B4F2A92">
      <w:pPr>
        <w:pStyle w:val="2"/>
      </w:pPr>
    </w:p>
    <w:p w14:paraId="6E031739">
      <w:pPr>
        <w:pStyle w:val="2"/>
        <w:rPr>
          <w:color w:val="auto"/>
          <w:highlight w:val="none"/>
        </w:rPr>
      </w:pPr>
    </w:p>
    <w:p w14:paraId="24EEB7FE">
      <w:pPr>
        <w:rPr>
          <w:color w:val="auto"/>
          <w:highlight w:val="none"/>
        </w:rPr>
      </w:pPr>
    </w:p>
    <w:p w14:paraId="4C8417AD">
      <w:pPr>
        <w:pStyle w:val="9"/>
        <w:ind w:firstLine="0"/>
        <w:rPr>
          <w:rFonts w:cs="宋体" w:asciiTheme="majorEastAsia" w:hAnsiTheme="majorEastAsia" w:eastAsiaTheme="majorEastAsia"/>
          <w:b/>
          <w:color w:val="auto"/>
          <w:kern w:val="0"/>
          <w:sz w:val="32"/>
          <w:szCs w:val="32"/>
          <w:highlight w:val="none"/>
        </w:rPr>
      </w:pPr>
    </w:p>
    <w:p w14:paraId="1C425456">
      <w:pPr>
        <w:pStyle w:val="9"/>
        <w:ind w:firstLine="0"/>
        <w:rPr>
          <w:rFonts w:cs="宋体" w:asciiTheme="majorEastAsia" w:hAnsiTheme="majorEastAsia" w:eastAsiaTheme="majorEastAsia"/>
          <w:b/>
          <w:color w:val="auto"/>
          <w:kern w:val="0"/>
          <w:sz w:val="32"/>
          <w:szCs w:val="32"/>
          <w:highlight w:val="none"/>
        </w:rPr>
      </w:pPr>
    </w:p>
    <w:p w14:paraId="0B635471">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37159824">
      <w:pPr>
        <w:pStyle w:val="21"/>
        <w:spacing w:line="348"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eastAsiaTheme="minorEastAsia"/>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62B800E">
      <w:pPr>
        <w:pStyle w:val="21"/>
        <w:spacing w:line="348"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w:t>
      </w:r>
      <w:r>
        <w:rPr>
          <w:rFonts w:hint="eastAsia" w:cs="仿宋_GB2312" w:asciiTheme="minorEastAsia" w:hAnsiTheme="minorEastAsia" w:eastAsiaTheme="minorEastAsia"/>
          <w:b/>
          <w:color w:val="auto"/>
          <w:sz w:val="21"/>
          <w:szCs w:val="21"/>
          <w:highlight w:val="none"/>
          <w:lang w:val="en-US" w:eastAsia="zh-CN"/>
        </w:rPr>
        <w:t>约</w:t>
      </w:r>
      <w:r>
        <w:rPr>
          <w:rFonts w:hint="eastAsia" w:cs="仿宋_GB2312" w:asciiTheme="minorEastAsia" w:hAnsiTheme="minorEastAsia" w:eastAsiaTheme="minorEastAsia"/>
          <w:b/>
          <w:color w:val="auto"/>
          <w:sz w:val="21"/>
          <w:szCs w:val="21"/>
          <w:highlight w:val="none"/>
          <w:lang w:val="zh-CN"/>
        </w:rPr>
        <w:t>能源、保护环境</w:t>
      </w:r>
    </w:p>
    <w:p w14:paraId="6CC717F6">
      <w:pPr>
        <w:pStyle w:val="21"/>
        <w:spacing w:line="348"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（财库[2019]18号）以及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《关于印发节能产品政府采购品目清单的通知》（财库[2019]19号）</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采购属于政府强</w:t>
      </w:r>
      <w:r>
        <w:rPr>
          <w:rFonts w:hint="eastAsia" w:cs="仿宋_GB2312" w:asciiTheme="minorEastAsia" w:hAnsiTheme="minorEastAsia" w:eastAsiaTheme="minorEastAsia"/>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62D3C337">
      <w:pPr>
        <w:pStyle w:val="21"/>
        <w:numPr>
          <w:ilvl w:val="0"/>
          <w:numId w:val="0"/>
        </w:numPr>
        <w:spacing w:line="348" w:lineRule="auto"/>
        <w:ind w:leftChars="0" w:firstLine="422" w:firstLineChars="200"/>
        <w:contextualSpacing/>
        <w:rPr>
          <w:rFonts w:hint="eastAsia" w:cs="仿宋_GB2312" w:asciiTheme="minorEastAsia" w:hAnsiTheme="minorEastAsia"/>
          <w:b/>
          <w:color w:val="auto"/>
          <w:sz w:val="21"/>
          <w:szCs w:val="21"/>
          <w:highlight w:val="none"/>
          <w:lang w:val="zh-CN"/>
        </w:rPr>
      </w:pPr>
      <w:r>
        <w:rPr>
          <w:rFonts w:hint="eastAsia" w:cs="仿宋_GB2312" w:asciiTheme="minorEastAsia" w:hAnsiTheme="minorEastAsia"/>
          <w:b/>
          <w:color w:val="auto"/>
          <w:sz w:val="21"/>
          <w:szCs w:val="21"/>
          <w:highlight w:val="none"/>
          <w:lang w:val="en-US" w:eastAsia="zh-CN"/>
        </w:rPr>
        <w:t>二、</w:t>
      </w:r>
      <w:r>
        <w:rPr>
          <w:rFonts w:hint="eastAsia" w:cs="仿宋_GB2312" w:asciiTheme="minorEastAsia" w:hAnsiTheme="minorEastAsia"/>
          <w:b/>
          <w:color w:val="auto"/>
          <w:sz w:val="21"/>
          <w:szCs w:val="21"/>
          <w:highlight w:val="none"/>
          <w:lang w:val="zh-CN"/>
        </w:rPr>
        <w:t>促进中小企业发展（不含民办非企业）</w:t>
      </w:r>
    </w:p>
    <w:p w14:paraId="3BFC6222">
      <w:pPr>
        <w:pStyle w:val="21"/>
        <w:numPr>
          <w:ilvl w:val="0"/>
          <w:numId w:val="0"/>
        </w:numPr>
        <w:spacing w:line="360" w:lineRule="auto"/>
        <w:ind w:leftChars="200"/>
        <w:contextualSpacing/>
        <w:rPr>
          <w:rFonts w:hint="eastAsia" w:cs="仿宋_GB2312" w:asciiTheme="minorEastAsia" w:hAnsiTheme="minorEastAsia"/>
          <w:b w:val="0"/>
          <w:bCs/>
          <w:color w:val="auto"/>
          <w:sz w:val="21"/>
          <w:szCs w:val="21"/>
          <w:highlight w:val="none"/>
          <w:lang w:val="zh-CN"/>
        </w:rPr>
      </w:pPr>
      <w:r>
        <w:rPr>
          <w:rFonts w:hint="eastAsia" w:cs="仿宋_GB2312" w:asciiTheme="minorEastAsia" w:hAnsiTheme="minorEastAsia"/>
          <w:b w:val="0"/>
          <w:bCs/>
          <w:color w:val="auto"/>
          <w:sz w:val="21"/>
          <w:szCs w:val="21"/>
          <w:highlight w:val="none"/>
          <w:lang w:val="zh-CN" w:eastAsia="zh-CN"/>
        </w:rPr>
        <w:t xml:space="preserve">（一）专门面向中小企业预留采购份额 </w:t>
      </w:r>
    </w:p>
    <w:p w14:paraId="09266C66">
      <w:pPr>
        <w:pStyle w:val="21"/>
        <w:numPr>
          <w:ilvl w:val="0"/>
          <w:numId w:val="0"/>
        </w:numPr>
        <w:spacing w:line="360" w:lineRule="auto"/>
        <w:ind w:leftChars="200"/>
        <w:contextualSpacing/>
        <w:rPr>
          <w:rFonts w:hint="eastAsia" w:cs="仿宋_GB2312" w:asciiTheme="minorEastAsia" w:hAnsiTheme="minorEastAsia"/>
          <w:b/>
          <w:color w:val="auto"/>
          <w:sz w:val="21"/>
          <w:szCs w:val="21"/>
          <w:highlight w:val="none"/>
          <w:lang w:val="zh-CN"/>
        </w:rPr>
      </w:pPr>
      <w:r>
        <w:rPr>
          <w:rFonts w:hint="eastAsia" w:cs="仿宋_GB2312" w:asciiTheme="minorEastAsia" w:hAnsiTheme="minorEastAsia"/>
          <w:b w:val="0"/>
          <w:bCs/>
          <w:color w:val="auto"/>
          <w:sz w:val="21"/>
          <w:szCs w:val="21"/>
          <w:highlight w:val="none"/>
          <w:lang w:val="zh-CN" w:eastAsia="zh-CN"/>
        </w:rPr>
        <w:t>（二）非专门面向中小企业预留采购份额</w:t>
      </w:r>
    </w:p>
    <w:p w14:paraId="5B65EF5A">
      <w:pPr>
        <w:topLinePunct/>
        <w:spacing w:line="348"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42F6B871">
      <w:pPr>
        <w:topLinePunct/>
        <w:spacing w:line="348" w:lineRule="auto"/>
        <w:ind w:firstLine="420" w:firstLineChars="200"/>
        <w:contextualSpacing/>
        <w:rPr>
          <w:rFonts w:ascii="ˎ̥" w:hAnsi="ˎ̥"/>
          <w:color w:val="auto"/>
          <w:highlight w:val="none"/>
        </w:rPr>
      </w:pPr>
      <w:r>
        <w:rPr>
          <w:rFonts w:hint="eastAsia" w:ascii="ˎ̥" w:hAnsi="ˎ̥"/>
          <w:color w:val="auto"/>
          <w:highlight w:val="none"/>
        </w:rPr>
        <w:t>2、</w:t>
      </w:r>
      <w:r>
        <w:rPr>
          <w:rFonts w:ascii="ˎ̥" w:hAnsi="ˎ̥"/>
          <w:color w:val="auto"/>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ascii="ˎ̥" w:hAnsi="ˎ̥"/>
          <w:color w:val="auto"/>
          <w:highlight w:val="none"/>
        </w:rPr>
        <w:t>规定的中小企业扶持政策。</w:t>
      </w:r>
    </w:p>
    <w:p w14:paraId="79F87473">
      <w:pPr>
        <w:spacing w:line="348" w:lineRule="auto"/>
        <w:ind w:firstLine="420" w:firstLineChars="200"/>
        <w:contextualSpacing/>
        <w:rPr>
          <w:rFonts w:ascii="ˎ̥" w:hAnsi="ˎ̥"/>
          <w:color w:val="auto"/>
          <w:highlight w:val="none"/>
        </w:rPr>
      </w:pPr>
      <w:r>
        <w:rPr>
          <w:rFonts w:hint="eastAsia" w:ascii="ˎ̥" w:hAnsi="ˎ̥"/>
          <w:color w:val="auto"/>
          <w:highlight w:val="none"/>
        </w:rPr>
        <w:t>3、</w:t>
      </w:r>
      <w:r>
        <w:rPr>
          <w:rFonts w:ascii="ˎ̥" w:hAnsi="ˎ̥"/>
          <w:color w:val="auto"/>
          <w:highlight w:val="none"/>
        </w:rPr>
        <w:t>以联合体形式参加政府采购活动，联合体各方均为中小企业的，联合体视同中小企业。其中，联合体各方均为小微企业的，联合体视同小微企业。</w:t>
      </w:r>
    </w:p>
    <w:p w14:paraId="2AB908AD">
      <w:pPr>
        <w:spacing w:line="348" w:lineRule="auto"/>
        <w:ind w:firstLine="420" w:firstLineChars="200"/>
        <w:contextualSpacing/>
        <w:rPr>
          <w:rFonts w:ascii="ˎ̥" w:hAnsi="ˎ̥"/>
          <w:color w:val="auto"/>
          <w:highlight w:val="none"/>
        </w:rPr>
      </w:pPr>
      <w:r>
        <w:rPr>
          <w:rFonts w:hint="eastAsia" w:ascii="ˎ̥" w:hAnsi="ˎ̥"/>
          <w:color w:val="auto"/>
          <w:highlight w:val="none"/>
        </w:rPr>
        <w:t>4、</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highlight w:val="none"/>
        </w:rPr>
        <w:t>4</w:t>
      </w:r>
      <w:r>
        <w:rPr>
          <w:rFonts w:ascii="ˎ̥" w:hAnsi="ˎ̥"/>
          <w:color w:val="auto"/>
          <w:highlight w:val="none"/>
        </w:rPr>
        <w:t>—</w:t>
      </w:r>
      <w:r>
        <w:rPr>
          <w:rFonts w:hint="eastAsia" w:ascii="ˎ̥" w:hAnsi="ˎ̥"/>
          <w:color w:val="auto"/>
          <w:highlight w:val="none"/>
        </w:rPr>
        <w:t>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43B45355">
      <w:pPr>
        <w:topLinePunct/>
        <w:spacing w:line="348" w:lineRule="auto"/>
        <w:ind w:firstLine="420" w:firstLineChars="200"/>
        <w:contextualSpacing/>
        <w:rPr>
          <w:rFonts w:ascii="ˎ̥" w:hAnsi="ˎ̥"/>
          <w:color w:val="auto"/>
          <w:highlight w:val="none"/>
        </w:rPr>
      </w:pPr>
      <w:r>
        <w:rPr>
          <w:rFonts w:hint="eastAsia" w:ascii="ˎ̥" w:hAnsi="ˎ̥"/>
          <w:color w:val="auto"/>
          <w:highlight w:val="none"/>
        </w:rPr>
        <w:t>5、按照本次采购标的所属行业的划</w:t>
      </w:r>
      <w:r>
        <w:rPr>
          <w:rFonts w:hint="eastAsia" w:ascii="ˎ̥" w:hAnsi="ˎ̥"/>
          <w:color w:val="auto"/>
          <w:highlight w:val="none"/>
          <w:lang w:eastAsia="zh-CN"/>
        </w:rPr>
        <w:t>定</w:t>
      </w:r>
      <w:r>
        <w:rPr>
          <w:rFonts w:hint="eastAsia" w:ascii="ˎ̥" w:hAnsi="ˎ̥"/>
          <w:color w:val="auto"/>
          <w:highlight w:val="none"/>
        </w:rPr>
        <w:t>标准，符合条件的中小企业应按照招标文件格式要求提供《中小企业声明函》，</w:t>
      </w:r>
      <w:r>
        <w:rPr>
          <w:rFonts w:ascii="ˎ̥" w:hAnsi="ˎ̥"/>
          <w:color w:val="auto"/>
          <w:highlight w:val="none"/>
        </w:rPr>
        <w:t>否则不得享受相关中小企业扶持政策。</w:t>
      </w:r>
    </w:p>
    <w:p w14:paraId="335D293A">
      <w:pPr>
        <w:topLinePunct/>
        <w:spacing w:line="348"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0B3DCDCA">
      <w:pPr>
        <w:spacing w:line="348"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0" w:name="OLE_LINK6"/>
      <w:r>
        <w:rPr>
          <w:rFonts w:hint="eastAsia" w:cs="仿宋_GB2312" w:asciiTheme="minorEastAsia" w:hAnsiTheme="minorEastAsia"/>
          <w:color w:val="auto"/>
          <w:szCs w:val="21"/>
          <w:highlight w:val="none"/>
          <w:lang w:val="zh-CN"/>
        </w:rPr>
        <w:t>财库[2014]68号</w:t>
      </w:r>
      <w:bookmarkEnd w:id="0"/>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E962673">
      <w:pPr>
        <w:spacing w:line="348"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724C16FB">
      <w:pPr>
        <w:pStyle w:val="21"/>
        <w:spacing w:line="348"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7CA6727C">
      <w:pPr>
        <w:pStyle w:val="21"/>
        <w:spacing w:line="348"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512B0BC">
      <w:pPr>
        <w:pStyle w:val="21"/>
        <w:spacing w:line="348"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3、中标人为残疾人福利性单位的，采购人应当随中标结果同时公告其《残疾人福利性单位声明函》，接受社会监督。</w:t>
      </w:r>
    </w:p>
    <w:p w14:paraId="64A46E3B">
      <w:pPr>
        <w:spacing w:line="348"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五、支持脱贫攻坚（物业服务采购）</w:t>
      </w:r>
    </w:p>
    <w:p w14:paraId="1AE5EC3C">
      <w:pPr>
        <w:topLinePunct/>
        <w:spacing w:line="348"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072AB21D">
      <w:pPr>
        <w:topLinePunct/>
        <w:spacing w:line="348" w:lineRule="auto"/>
        <w:ind w:firstLine="420" w:firstLineChars="200"/>
        <w:contextualSpacing/>
        <w:rPr>
          <w:rFonts w:cs="宋体" w:asciiTheme="majorEastAsia" w:hAnsiTheme="majorEastAsia" w:eastAsiaTheme="majorEastAsia"/>
          <w:b/>
          <w:color w:val="auto"/>
          <w:kern w:val="0"/>
          <w:sz w:val="36"/>
          <w:szCs w:val="36"/>
          <w:highlight w:val="none"/>
        </w:rPr>
      </w:pPr>
      <w:r>
        <w:rPr>
          <w:rFonts w:hint="eastAsia" w:cs="仿宋_GB2312" w:asciiTheme="minorEastAsia" w:hAnsiTheme="minorEastAsia"/>
          <w:color w:val="auto"/>
          <w:szCs w:val="21"/>
          <w:highlight w:val="none"/>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773385C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78D3F915">
      <w:pPr>
        <w:pStyle w:val="14"/>
        <w:rPr>
          <w:rFonts w:hint="eastAsia" w:cs="宋体" w:asciiTheme="majorEastAsia" w:hAnsiTheme="majorEastAsia" w:eastAsiaTheme="majorEastAsia"/>
          <w:b/>
          <w:color w:val="auto"/>
          <w:kern w:val="0"/>
          <w:sz w:val="32"/>
          <w:szCs w:val="32"/>
          <w:highlight w:val="none"/>
        </w:rPr>
      </w:pPr>
    </w:p>
    <w:p w14:paraId="6B5E7CE7">
      <w:pPr>
        <w:pStyle w:val="15"/>
        <w:rPr>
          <w:rFonts w:hint="eastAsia" w:cs="宋体" w:asciiTheme="majorEastAsia" w:hAnsiTheme="majorEastAsia" w:eastAsiaTheme="majorEastAsia"/>
          <w:b/>
          <w:color w:val="auto"/>
          <w:kern w:val="0"/>
          <w:sz w:val="32"/>
          <w:szCs w:val="32"/>
          <w:highlight w:val="none"/>
        </w:rPr>
      </w:pPr>
    </w:p>
    <w:p w14:paraId="28987F69">
      <w:pPr>
        <w:pStyle w:val="16"/>
        <w:rPr>
          <w:rFonts w:hint="eastAsia" w:cs="宋体" w:asciiTheme="majorEastAsia" w:hAnsiTheme="majorEastAsia" w:eastAsiaTheme="majorEastAsia"/>
          <w:b/>
          <w:color w:val="auto"/>
          <w:kern w:val="0"/>
          <w:sz w:val="32"/>
          <w:szCs w:val="32"/>
          <w:highlight w:val="none"/>
        </w:rPr>
      </w:pPr>
    </w:p>
    <w:p w14:paraId="46362411">
      <w:pPr>
        <w:rPr>
          <w:rFonts w:hint="eastAsia" w:cs="宋体" w:asciiTheme="majorEastAsia" w:hAnsiTheme="majorEastAsia" w:eastAsiaTheme="majorEastAsia"/>
          <w:b/>
          <w:color w:val="auto"/>
          <w:kern w:val="0"/>
          <w:sz w:val="32"/>
          <w:szCs w:val="32"/>
          <w:highlight w:val="none"/>
        </w:rPr>
      </w:pPr>
    </w:p>
    <w:p w14:paraId="587808A0">
      <w:pPr>
        <w:pStyle w:val="14"/>
        <w:rPr>
          <w:rFonts w:hint="eastAsia" w:cs="宋体" w:asciiTheme="majorEastAsia" w:hAnsiTheme="majorEastAsia" w:eastAsiaTheme="majorEastAsia"/>
          <w:b/>
          <w:color w:val="auto"/>
          <w:kern w:val="0"/>
          <w:sz w:val="32"/>
          <w:szCs w:val="32"/>
          <w:highlight w:val="none"/>
        </w:rPr>
      </w:pPr>
    </w:p>
    <w:p w14:paraId="402A6D40">
      <w:pPr>
        <w:pStyle w:val="15"/>
        <w:rPr>
          <w:rFonts w:hint="eastAsia" w:cs="宋体" w:asciiTheme="majorEastAsia" w:hAnsiTheme="majorEastAsia" w:eastAsiaTheme="majorEastAsia"/>
          <w:b/>
          <w:color w:val="auto"/>
          <w:kern w:val="0"/>
          <w:sz w:val="32"/>
          <w:szCs w:val="32"/>
          <w:highlight w:val="none"/>
        </w:rPr>
      </w:pPr>
    </w:p>
    <w:p w14:paraId="4318CE0F">
      <w:pPr>
        <w:pStyle w:val="16"/>
        <w:rPr>
          <w:rFonts w:hint="eastAsia" w:cs="宋体" w:asciiTheme="majorEastAsia" w:hAnsiTheme="majorEastAsia" w:eastAsiaTheme="majorEastAsia"/>
          <w:b/>
          <w:color w:val="auto"/>
          <w:kern w:val="0"/>
          <w:sz w:val="32"/>
          <w:szCs w:val="32"/>
          <w:highlight w:val="none"/>
        </w:rPr>
      </w:pPr>
    </w:p>
    <w:p w14:paraId="3C2FEA76">
      <w:pPr>
        <w:rPr>
          <w:rFonts w:hint="eastAsia"/>
          <w:color w:val="auto"/>
          <w:highlight w:val="none"/>
        </w:rPr>
      </w:pPr>
    </w:p>
    <w:p w14:paraId="57937D66">
      <w:pPr>
        <w:tabs>
          <w:tab w:val="left" w:pos="1260"/>
        </w:tabs>
        <w:autoSpaceDE w:val="0"/>
        <w:autoSpaceDN w:val="0"/>
        <w:adjustRightInd w:val="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第六章   资格审查与评标</w:t>
      </w:r>
    </w:p>
    <w:p w14:paraId="50D10016">
      <w:pPr>
        <w:pStyle w:val="21"/>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702514C4">
      <w:pPr>
        <w:pStyle w:val="21"/>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（一）</w:t>
      </w:r>
      <w:r>
        <w:rPr>
          <w:rFonts w:ascii="宋体" w:hAnsi="宋体" w:cs="仿宋_GB2312"/>
          <w:color w:val="auto"/>
          <w:sz w:val="21"/>
          <w:szCs w:val="21"/>
          <w:highlight w:val="none"/>
          <w:lang w:val="zh-CN"/>
        </w:rPr>
        <w:t>开标结束后，</w:t>
      </w:r>
      <w:r>
        <w:rPr>
          <w:rFonts w:hint="eastAsia" w:ascii="宋体" w:hAnsi="宋体" w:cs="仿宋_GB2312"/>
          <w:color w:val="auto"/>
          <w:sz w:val="21"/>
          <w:szCs w:val="21"/>
          <w:highlight w:val="none"/>
          <w:lang w:val="zh-CN"/>
        </w:rPr>
        <w:t>采购人依法对投标人资格进行审查</w:t>
      </w:r>
      <w:r>
        <w:rPr>
          <w:rFonts w:ascii="宋体" w:hAnsi="宋体" w:cs="仿宋_GB2312"/>
          <w:color w:val="auto"/>
          <w:sz w:val="21"/>
          <w:szCs w:val="21"/>
          <w:highlight w:val="none"/>
          <w:lang w:val="zh-CN"/>
        </w:rPr>
        <w:t>。</w:t>
      </w:r>
    </w:p>
    <w:p w14:paraId="6CF48E72">
      <w:pPr>
        <w:spacing w:line="360" w:lineRule="auto"/>
        <w:ind w:right="420" w:rightChars="200"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（二）资格证明材料（本栏所列内容为本项目的资格审查条件，如有一项不符合要求，则不能进入下一步评审）。</w:t>
      </w:r>
    </w:p>
    <w:p w14:paraId="59B64F29">
      <w:pPr>
        <w:spacing w:line="360" w:lineRule="auto"/>
        <w:ind w:right="420" w:rightChars="200"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（三）资格审查中所涉及的证书及材料，均须在电子投标文件中提供原件扫描件（或图片）。</w:t>
      </w:r>
    </w:p>
    <w:tbl>
      <w:tblPr>
        <w:tblStyle w:val="3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552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CF70EB0">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10" w:type="dxa"/>
            <w:vAlign w:val="center"/>
          </w:tcPr>
          <w:p w14:paraId="04D78849">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资格审查因素</w:t>
            </w:r>
          </w:p>
        </w:tc>
        <w:tc>
          <w:tcPr>
            <w:tcW w:w="5954" w:type="dxa"/>
            <w:vAlign w:val="center"/>
          </w:tcPr>
          <w:p w14:paraId="1C67392A">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7C40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60DB4B7">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410" w:type="dxa"/>
            <w:vAlign w:val="center"/>
          </w:tcPr>
          <w:p w14:paraId="17F9E984">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投标函</w:t>
            </w:r>
          </w:p>
        </w:tc>
        <w:tc>
          <w:tcPr>
            <w:tcW w:w="5954" w:type="dxa"/>
            <w:vAlign w:val="center"/>
          </w:tcPr>
          <w:p w14:paraId="74E23174">
            <w:pPr>
              <w:spacing w:line="360" w:lineRule="auto"/>
              <w:rPr>
                <w:rFonts w:ascii="宋体" w:hAnsi="宋体" w:eastAsia="宋体" w:cs="宋体"/>
                <w:b/>
                <w:color w:val="auto"/>
                <w:szCs w:val="21"/>
                <w:highlight w:val="none"/>
              </w:rPr>
            </w:pPr>
            <w:r>
              <w:rPr>
                <w:rFonts w:hint="eastAsia" w:ascii="宋体" w:hAnsi="宋体" w:eastAsia="宋体" w:cs="宋体"/>
                <w:bCs/>
                <w:color w:val="auto"/>
                <w:szCs w:val="21"/>
                <w:highlight w:val="none"/>
              </w:rPr>
              <w:t>参考招标文件第八章3.1格式填写</w:t>
            </w:r>
          </w:p>
        </w:tc>
      </w:tr>
      <w:tr w14:paraId="3037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2427D98">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2</w:t>
            </w:r>
          </w:p>
        </w:tc>
        <w:tc>
          <w:tcPr>
            <w:tcW w:w="2410" w:type="dxa"/>
            <w:vAlign w:val="center"/>
          </w:tcPr>
          <w:p w14:paraId="601DB6A0">
            <w:pPr>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禹州</w:t>
            </w:r>
            <w:r>
              <w:rPr>
                <w:rFonts w:cs="宋体" w:asciiTheme="minorEastAsia" w:hAnsiTheme="minorEastAsia"/>
                <w:b/>
                <w:color w:val="auto"/>
                <w:szCs w:val="21"/>
                <w:highlight w:val="none"/>
                <w:lang w:val="zh-CN"/>
              </w:rPr>
              <w:t>市政府采购</w:t>
            </w:r>
          </w:p>
          <w:p w14:paraId="6DD29486">
            <w:pPr>
              <w:spacing w:line="360" w:lineRule="auto"/>
              <w:jc w:val="center"/>
              <w:rPr>
                <w:rFonts w:cs="宋体" w:asciiTheme="minorEastAsia" w:hAnsiTheme="minorEastAsia"/>
                <w:b/>
                <w:color w:val="auto"/>
                <w:szCs w:val="21"/>
                <w:highlight w:val="none"/>
                <w:lang w:val="zh-CN"/>
              </w:rPr>
            </w:pPr>
            <w:r>
              <w:rPr>
                <w:rFonts w:cs="宋体" w:asciiTheme="minorEastAsia" w:hAnsiTheme="minorEastAsia"/>
                <w:b/>
                <w:color w:val="auto"/>
                <w:szCs w:val="21"/>
                <w:highlight w:val="none"/>
                <w:lang w:val="zh-CN"/>
              </w:rPr>
              <w:t>供应商信用承诺函</w:t>
            </w:r>
          </w:p>
        </w:tc>
        <w:tc>
          <w:tcPr>
            <w:tcW w:w="5954" w:type="dxa"/>
            <w:vAlign w:val="center"/>
          </w:tcPr>
          <w:p w14:paraId="3756BEFA">
            <w:pPr>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按照招标文件第八章3.</w:t>
            </w:r>
            <w:r>
              <w:rPr>
                <w:rFonts w:hint="eastAsia" w:cs="宋体" w:asciiTheme="minorEastAsia" w:hAnsiTheme="minorEastAsia"/>
                <w:bCs/>
                <w:color w:val="auto"/>
                <w:szCs w:val="21"/>
                <w:highlight w:val="none"/>
              </w:rPr>
              <w:t>4</w:t>
            </w:r>
            <w:r>
              <w:rPr>
                <w:rFonts w:hint="eastAsia" w:cs="宋体" w:asciiTheme="minorEastAsia" w:hAnsiTheme="minorEastAsia"/>
                <w:bCs/>
                <w:color w:val="auto"/>
                <w:szCs w:val="21"/>
                <w:highlight w:val="none"/>
                <w:lang w:val="zh-CN"/>
              </w:rPr>
              <w:t>格式填写</w:t>
            </w:r>
          </w:p>
        </w:tc>
      </w:tr>
      <w:tr w14:paraId="723D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628B64A">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2410" w:type="dxa"/>
            <w:vAlign w:val="center"/>
          </w:tcPr>
          <w:p w14:paraId="5B4ED0EE">
            <w:pPr>
              <w:spacing w:line="360" w:lineRule="auto"/>
              <w:jc w:val="center"/>
              <w:rPr>
                <w:rFonts w:asciiTheme="minorEastAsia" w:hAnsiTheme="minorEastAsia"/>
                <w:b/>
                <w:color w:val="auto"/>
                <w:szCs w:val="21"/>
                <w:highlight w:val="none"/>
              </w:rPr>
            </w:pPr>
            <w:r>
              <w:rPr>
                <w:rFonts w:hint="eastAsia" w:asciiTheme="minorEastAsia" w:hAnsiTheme="minorEastAsia"/>
                <w:b/>
                <w:bCs/>
                <w:color w:val="auto"/>
                <w:szCs w:val="21"/>
                <w:highlight w:val="none"/>
              </w:rPr>
              <w:t>中小企业</w:t>
            </w:r>
          </w:p>
        </w:tc>
        <w:tc>
          <w:tcPr>
            <w:tcW w:w="5954" w:type="dxa"/>
            <w:vAlign w:val="center"/>
          </w:tcPr>
          <w:p w14:paraId="2CE3F456">
            <w:pPr>
              <w:spacing w:line="360" w:lineRule="auto"/>
              <w:jc w:val="left"/>
              <w:rPr>
                <w:rFonts w:asciiTheme="minorEastAsia" w:hAnsiTheme="minorEastAsia"/>
                <w:bCs/>
                <w:color w:val="auto"/>
                <w:szCs w:val="21"/>
                <w:highlight w:val="none"/>
              </w:rPr>
            </w:pPr>
            <w:r>
              <w:rPr>
                <w:rFonts w:hint="eastAsia" w:asciiTheme="minorEastAsia" w:hAnsiTheme="minorEastAsia"/>
                <w:bCs/>
                <w:color w:val="auto"/>
                <w:szCs w:val="21"/>
                <w:highlight w:val="none"/>
              </w:rPr>
              <w:t>（1）中小企业出具《中小企业声明函》</w:t>
            </w:r>
          </w:p>
          <w:p w14:paraId="4032867C">
            <w:pPr>
              <w:spacing w:line="360" w:lineRule="auto"/>
              <w:jc w:val="left"/>
              <w:rPr>
                <w:rFonts w:hint="eastAsia" w:asciiTheme="minorEastAsia" w:hAnsiTheme="minorEastAsia" w:eastAsiaTheme="minorEastAsia"/>
                <w:bCs/>
                <w:color w:val="auto"/>
                <w:szCs w:val="21"/>
                <w:highlight w:val="none"/>
                <w:lang w:eastAsia="zh-CN"/>
              </w:rPr>
            </w:pPr>
            <w:r>
              <w:rPr>
                <w:rFonts w:hint="eastAsia" w:asciiTheme="minorEastAsia" w:hAnsiTheme="minorEastAsia"/>
                <w:bCs/>
                <w:color w:val="auto"/>
                <w:szCs w:val="21"/>
                <w:highlight w:val="none"/>
              </w:rPr>
              <w:t>（2）残疾人福利性单位出具《残疾人福利企业声明函》</w:t>
            </w:r>
          </w:p>
          <w:p w14:paraId="4F832CCC">
            <w:pPr>
              <w:spacing w:line="360" w:lineRule="auto"/>
              <w:jc w:val="left"/>
              <w:rPr>
                <w:rFonts w:hint="eastAsia" w:asciiTheme="minorEastAsia" w:hAnsiTheme="minorEastAsia"/>
                <w:bCs/>
                <w:color w:val="auto"/>
                <w:szCs w:val="21"/>
                <w:highlight w:val="none"/>
              </w:rPr>
            </w:pPr>
            <w:r>
              <w:rPr>
                <w:rFonts w:hint="eastAsia" w:asciiTheme="minorEastAsia" w:hAnsiTheme="minorEastAsia"/>
                <w:bCs/>
                <w:color w:val="auto"/>
                <w:szCs w:val="21"/>
                <w:highlight w:val="none"/>
                <w:lang w:val="en-US" w:eastAsia="zh-CN"/>
              </w:rPr>
              <w:t xml:space="preserve">（3）监狱企业提供由省级以上监狱管理局、戒毒管理局（含新 </w:t>
            </w:r>
          </w:p>
          <w:p w14:paraId="1C4E8E69">
            <w:pPr>
              <w:spacing w:line="360" w:lineRule="auto"/>
              <w:jc w:val="left"/>
              <w:rPr>
                <w:rFonts w:asciiTheme="minorEastAsia" w:hAnsiTheme="minorEastAsia"/>
                <w:bCs/>
                <w:color w:val="auto"/>
                <w:szCs w:val="21"/>
                <w:highlight w:val="none"/>
              </w:rPr>
            </w:pPr>
            <w:r>
              <w:rPr>
                <w:rFonts w:hint="eastAsia" w:asciiTheme="minorEastAsia" w:hAnsiTheme="minorEastAsia"/>
                <w:bCs/>
                <w:color w:val="auto"/>
                <w:szCs w:val="21"/>
                <w:highlight w:val="none"/>
                <w:lang w:val="en-US" w:eastAsia="zh-CN"/>
              </w:rPr>
              <w:t>疆生产建设兵团）出具的属于监狱企业的证明文件</w:t>
            </w:r>
          </w:p>
        </w:tc>
      </w:tr>
      <w:tr w14:paraId="7DDE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981F71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p>
        </w:tc>
        <w:tc>
          <w:tcPr>
            <w:tcW w:w="2410" w:type="dxa"/>
            <w:vAlign w:val="center"/>
          </w:tcPr>
          <w:p w14:paraId="74A98F80">
            <w:pPr>
              <w:spacing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投标人须具备的特殊</w:t>
            </w:r>
          </w:p>
          <w:p w14:paraId="6238BA03">
            <w:pPr>
              <w:spacing w:line="360" w:lineRule="auto"/>
              <w:jc w:val="center"/>
              <w:rPr>
                <w:rFonts w:hint="eastAsia" w:asciiTheme="minorEastAsia" w:hAnsiTheme="minorEastAsia"/>
                <w:b/>
                <w:bCs/>
                <w:color w:val="auto"/>
                <w:szCs w:val="21"/>
                <w:highlight w:val="none"/>
              </w:rPr>
            </w:pPr>
            <w:r>
              <w:rPr>
                <w:rFonts w:hint="eastAsia" w:ascii="宋体" w:hAnsi="宋体" w:eastAsia="宋体" w:cs="Times New Roman"/>
                <w:b/>
                <w:color w:val="auto"/>
                <w:szCs w:val="21"/>
                <w:highlight w:val="none"/>
              </w:rPr>
              <w:t>资质证书</w:t>
            </w:r>
          </w:p>
        </w:tc>
        <w:tc>
          <w:tcPr>
            <w:tcW w:w="5954" w:type="dxa"/>
            <w:vAlign w:val="center"/>
          </w:tcPr>
          <w:p w14:paraId="219B626C">
            <w:pPr>
              <w:spacing w:line="360" w:lineRule="auto"/>
              <w:jc w:val="left"/>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详见招标公告</w:t>
            </w:r>
          </w:p>
        </w:tc>
      </w:tr>
      <w:tr w14:paraId="6DD5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99362D2">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2410" w:type="dxa"/>
            <w:vAlign w:val="center"/>
          </w:tcPr>
          <w:p w14:paraId="3E51F150">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w:t>
            </w:r>
            <w:r>
              <w:rPr>
                <w:rFonts w:hint="eastAsia" w:ascii="宋体" w:hAnsi="宋体" w:eastAsia="宋体" w:cs="宋体"/>
                <w:b/>
                <w:color w:val="auto"/>
                <w:szCs w:val="21"/>
                <w:highlight w:val="none"/>
                <w:lang w:val="zh-CN"/>
              </w:rPr>
              <w:t>报价</w:t>
            </w:r>
          </w:p>
        </w:tc>
        <w:tc>
          <w:tcPr>
            <w:tcW w:w="5954" w:type="dxa"/>
          </w:tcPr>
          <w:p w14:paraId="155DB3BF">
            <w:pPr>
              <w:spacing w:line="360" w:lineRule="auto"/>
              <w:rPr>
                <w:rFonts w:ascii="宋体" w:hAnsi="宋体" w:eastAsia="宋体" w:cs="宋体"/>
                <w:b/>
                <w:bCs/>
                <w:color w:val="auto"/>
                <w:szCs w:val="21"/>
                <w:highlight w:val="none"/>
              </w:rPr>
            </w:pPr>
            <w:r>
              <w:rPr>
                <w:rFonts w:hint="eastAsia" w:ascii="宋体" w:hAnsi="宋体" w:eastAsia="宋体" w:cs="宋体"/>
                <w:color w:val="auto"/>
                <w:szCs w:val="21"/>
                <w:highlight w:val="none"/>
                <w:lang w:val="zh-CN"/>
              </w:rPr>
              <w:t>投标报价是否超出招标文件中规定的预算金额（最高限价），超出预算金额（最高限价）的投标无效。</w:t>
            </w:r>
          </w:p>
        </w:tc>
      </w:tr>
      <w:tr w14:paraId="5B6C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105398B">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2410" w:type="dxa"/>
            <w:vAlign w:val="center"/>
          </w:tcPr>
          <w:p w14:paraId="0C1133C6">
            <w:pPr>
              <w:spacing w:line="360" w:lineRule="auto"/>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投标承诺函</w:t>
            </w:r>
          </w:p>
        </w:tc>
        <w:tc>
          <w:tcPr>
            <w:tcW w:w="5954" w:type="dxa"/>
            <w:vAlign w:val="center"/>
          </w:tcPr>
          <w:p w14:paraId="0C965787">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投标人以投标承诺函的形式替代投标保证金。</w:t>
            </w:r>
          </w:p>
        </w:tc>
      </w:tr>
      <w:tr w14:paraId="51DC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42FADF2">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7</w:t>
            </w:r>
          </w:p>
        </w:tc>
        <w:tc>
          <w:tcPr>
            <w:tcW w:w="2410" w:type="dxa"/>
            <w:vAlign w:val="center"/>
          </w:tcPr>
          <w:p w14:paraId="0E95B7BC">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联合体协议</w:t>
            </w:r>
          </w:p>
        </w:tc>
        <w:tc>
          <w:tcPr>
            <w:tcW w:w="5954" w:type="dxa"/>
          </w:tcPr>
          <w:p w14:paraId="423A2AC3">
            <w:pPr>
              <w:spacing w:line="360" w:lineRule="auto"/>
              <w:rPr>
                <w:rFonts w:ascii="宋体" w:hAnsi="宋体" w:eastAsia="宋体" w:cs="宋体"/>
                <w:b/>
                <w:bCs/>
                <w:color w:val="auto"/>
                <w:szCs w:val="21"/>
                <w:highlight w:val="none"/>
              </w:rPr>
            </w:pPr>
            <w:r>
              <w:rPr>
                <w:rFonts w:hint="eastAsia" w:ascii="宋体" w:hAnsi="宋体" w:eastAsia="宋体" w:cs="宋体"/>
                <w:bCs/>
                <w:color w:val="auto"/>
                <w:szCs w:val="21"/>
                <w:highlight w:val="none"/>
              </w:rPr>
              <w:t>招标文件接受联合体投标且投标人为联合体的，投标人应提供本协议；否则无须提供。</w:t>
            </w:r>
          </w:p>
        </w:tc>
      </w:tr>
      <w:tr w14:paraId="0D51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0D7518D">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8</w:t>
            </w:r>
          </w:p>
        </w:tc>
        <w:tc>
          <w:tcPr>
            <w:tcW w:w="2410" w:type="dxa"/>
            <w:vAlign w:val="center"/>
          </w:tcPr>
          <w:p w14:paraId="58BFD003">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投标人身份证明及授权</w:t>
            </w:r>
          </w:p>
        </w:tc>
        <w:tc>
          <w:tcPr>
            <w:tcW w:w="5954" w:type="dxa"/>
          </w:tcPr>
          <w:p w14:paraId="644FC943">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（1）法定代表人身份证明或提供法定代表人授权委托书及被授权人身份证明。（法人投标提供）</w:t>
            </w:r>
          </w:p>
          <w:p w14:paraId="48F29551">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（2）单位负责人身份证明或提供单位负责人授权委托书及被授权人身份证明。（非法人投标提供）</w:t>
            </w:r>
          </w:p>
          <w:p w14:paraId="26E3B0F3">
            <w:pPr>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注：</w:t>
            </w:r>
          </w:p>
          <w:p w14:paraId="14F494BA">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①企业（银行、保险、石油石化、电力、电信等行业除外）、事业单位和社会团体投标人以法人身份参加投标的，法定代表人应与实际提交的“营业执照等证明文件”载明的一致。</w:t>
            </w:r>
          </w:p>
          <w:p w14:paraId="4C40D402">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4AC53253">
            <w:pPr>
              <w:spacing w:line="360" w:lineRule="auto"/>
              <w:contextualSpacing/>
              <w:rPr>
                <w:rFonts w:ascii="宋体" w:hAnsi="宋体" w:eastAsia="宋体" w:cs="宋体"/>
                <w:b/>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kern w:val="0"/>
                <w:szCs w:val="21"/>
                <w:highlight w:val="none"/>
              </w:rPr>
              <w:t>投标人为自然人的，无需填写法定代表人授权书。</w:t>
            </w:r>
          </w:p>
        </w:tc>
      </w:tr>
      <w:tr w14:paraId="2722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713E58">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9</w:t>
            </w:r>
          </w:p>
        </w:tc>
        <w:tc>
          <w:tcPr>
            <w:tcW w:w="2410" w:type="dxa"/>
            <w:vAlign w:val="center"/>
          </w:tcPr>
          <w:p w14:paraId="6ABF4E09">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单位负责人为同一人或者存在直接控股、管理关系的不同供应商，不得参加同一合同项下的政府采购活动</w:t>
            </w:r>
          </w:p>
        </w:tc>
        <w:tc>
          <w:tcPr>
            <w:tcW w:w="5954" w:type="dxa"/>
          </w:tcPr>
          <w:p w14:paraId="7877C46D">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投标人提供与参加本项目投标的其他供应商之间，单位负责人不为同一人并且不存在直接控股、管理关系承诺函（承诺函格式自拟）。</w:t>
            </w:r>
          </w:p>
          <w:p w14:paraId="07C3E9AE">
            <w:pPr>
              <w:spacing w:line="360" w:lineRule="auto"/>
              <w:rPr>
                <w:rFonts w:ascii="宋体" w:hAnsi="宋体" w:eastAsia="宋体" w:cs="宋体"/>
                <w:color w:val="auto"/>
                <w:szCs w:val="21"/>
                <w:highlight w:val="none"/>
                <w:lang w:val="zh-CN"/>
              </w:rPr>
            </w:pPr>
          </w:p>
        </w:tc>
      </w:tr>
      <w:tr w14:paraId="3D41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34DD673">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10</w:t>
            </w:r>
          </w:p>
        </w:tc>
        <w:tc>
          <w:tcPr>
            <w:tcW w:w="2410" w:type="dxa"/>
            <w:vAlign w:val="center"/>
          </w:tcPr>
          <w:p w14:paraId="4F0D428E">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为本项目提供整体设计、规范编制或者项目管理、监理、检测等服务的供应商不得参加本项目投标</w:t>
            </w:r>
          </w:p>
        </w:tc>
        <w:tc>
          <w:tcPr>
            <w:tcW w:w="5954" w:type="dxa"/>
          </w:tcPr>
          <w:p w14:paraId="7DF252D3">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bookmarkStart w:id="1" w:name="baidusnap2"/>
            <w:bookmarkEnd w:id="1"/>
            <w:r>
              <w:rPr>
                <w:rFonts w:hint="eastAsia" w:ascii="宋体" w:hAnsi="宋体" w:eastAsia="宋体" w:cs="宋体"/>
                <w:color w:val="auto"/>
                <w:szCs w:val="21"/>
                <w:highlight w:val="none"/>
                <w:lang w:val="zh-CN"/>
              </w:rPr>
              <w:t>提供未为本项目提供整体设计、</w:t>
            </w:r>
            <w:bookmarkStart w:id="2" w:name="baidusnap9"/>
            <w:bookmarkEnd w:id="2"/>
            <w:r>
              <w:rPr>
                <w:rFonts w:hint="eastAsia" w:ascii="宋体" w:hAnsi="宋体" w:eastAsia="宋体" w:cs="宋体"/>
                <w:color w:val="auto"/>
                <w:szCs w:val="21"/>
                <w:highlight w:val="none"/>
                <w:lang w:val="zh-CN"/>
              </w:rPr>
              <w:t>规范编制或者项目管理、监理、检测等服务承诺函（承诺函格式自拟）。</w:t>
            </w:r>
          </w:p>
          <w:p w14:paraId="16D6E698">
            <w:pPr>
              <w:spacing w:line="360" w:lineRule="auto"/>
              <w:rPr>
                <w:rFonts w:ascii="宋体" w:hAnsi="宋体" w:eastAsia="宋体" w:cs="宋体"/>
                <w:bCs/>
                <w:color w:val="auto"/>
                <w:szCs w:val="21"/>
                <w:highlight w:val="none"/>
              </w:rPr>
            </w:pPr>
          </w:p>
        </w:tc>
      </w:tr>
    </w:tbl>
    <w:p w14:paraId="16D8D27A">
      <w:pPr>
        <w:pStyle w:val="21"/>
        <w:spacing w:line="360" w:lineRule="auto"/>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二、评标</w:t>
      </w:r>
    </w:p>
    <w:p w14:paraId="05B37D6B">
      <w:pPr>
        <w:pStyle w:val="21"/>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（一）评标方法</w:t>
      </w:r>
    </w:p>
    <w:p w14:paraId="214335FC">
      <w:pPr>
        <w:pStyle w:val="21"/>
        <w:spacing w:line="360" w:lineRule="auto"/>
        <w:ind w:firstLine="420"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本项目采用综合评分法。总分为100分。</w:t>
      </w:r>
    </w:p>
    <w:p w14:paraId="639E49C3">
      <w:pPr>
        <w:pStyle w:val="21"/>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cs="仿宋_GB2312" w:asciiTheme="minorEastAsia" w:hAnsiTheme="minorEastAsia" w:eastAsiaTheme="minorEastAsia"/>
          <w:b/>
          <w:color w:val="auto"/>
          <w:sz w:val="21"/>
          <w:szCs w:val="21"/>
          <w:highlight w:val="none"/>
          <w:lang w:val="zh-CN"/>
        </w:rPr>
        <w:t>评标委员会负责具体评标事务，并独立履行下列职责</w:t>
      </w:r>
    </w:p>
    <w:p w14:paraId="4657FD0F">
      <w:pPr>
        <w:pStyle w:val="21"/>
        <w:spacing w:line="360" w:lineRule="auto"/>
        <w:ind w:firstLine="422" w:firstLineChars="200"/>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1、审查、评价投标文件是否符合招标文件的商务、技术等实质性要求；</w:t>
      </w:r>
    </w:p>
    <w:p w14:paraId="2A88764B">
      <w:pPr>
        <w:pStyle w:val="21"/>
        <w:spacing w:line="360" w:lineRule="auto"/>
        <w:ind w:firstLine="420" w:firstLineChars="200"/>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评标委员会对符合资格的投标人的投标文件进行符合性审查，以确定其是否满足招标文件的商务、技术等实质性要求。</w:t>
      </w:r>
    </w:p>
    <w:p w14:paraId="45B13C59">
      <w:pPr>
        <w:pStyle w:val="21"/>
        <w:spacing w:line="360" w:lineRule="auto"/>
        <w:ind w:firstLine="420" w:firstLineChars="200"/>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注：符合性审查中所涉及到的证书及材料，均应在电子投标文件中提供原件扫描件（或图片）。</w:t>
      </w:r>
    </w:p>
    <w:p w14:paraId="10E6BD8F">
      <w:pPr>
        <w:pStyle w:val="21"/>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2、要求投标人对投标文件有关事项作出澄清或者说明；</w:t>
      </w:r>
    </w:p>
    <w:p w14:paraId="6A0AB572">
      <w:pPr>
        <w:pStyle w:val="21"/>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5F911AF4">
      <w:pPr>
        <w:pStyle w:val="21"/>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51C8621D">
      <w:pPr>
        <w:pStyle w:val="21"/>
        <w:spacing w:line="360" w:lineRule="auto"/>
        <w:ind w:firstLine="465"/>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3、对投标文件进行比较和评价；</w:t>
      </w:r>
    </w:p>
    <w:p w14:paraId="4A6FC0E5">
      <w:pPr>
        <w:pStyle w:val="21"/>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EEA1113">
      <w:pPr>
        <w:pStyle w:val="21"/>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注：评标标准中所涉及到的证书及材料，均应在电子投标文件中提供原件扫描件（或图片）。</w:t>
      </w:r>
    </w:p>
    <w:p w14:paraId="45A961E5">
      <w:pPr>
        <w:pStyle w:val="21"/>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lang w:val="en-US" w:eastAsia="zh-CN"/>
        </w:rPr>
        <w:t>1</w:t>
      </w:r>
      <w:r>
        <w:rPr>
          <w:rFonts w:hint="eastAsia" w:ascii="宋体" w:hAnsi="宋体" w:cs="宋体"/>
          <w:b/>
          <w:color w:val="auto"/>
          <w:sz w:val="21"/>
          <w:szCs w:val="21"/>
          <w:highlight w:val="none"/>
        </w:rPr>
        <w:t>）强制采购节能产品和优先采购节能产品、优先采购环保产品</w:t>
      </w:r>
    </w:p>
    <w:p w14:paraId="00443506">
      <w:pPr>
        <w:pStyle w:val="21"/>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1）对《节能产品政府采购品目清单》所列的政府强制采购节能产品</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投标人投标文件中应提供具有国家确定的认证机构出具的、处于有效期之内的节能产品或环境标志产品认证证书，否则将承担其投标被视为非实质性响应投标的风险。</w:t>
      </w:r>
    </w:p>
    <w:p w14:paraId="6433C026">
      <w:pPr>
        <w:pStyle w:val="21"/>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BF7C22F">
      <w:pPr>
        <w:pStyle w:val="21"/>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6BB2CC1">
      <w:pPr>
        <w:keepNext w:val="0"/>
        <w:keepLines w:val="0"/>
        <w:widowControl/>
        <w:suppressLineNumbers w:val="0"/>
        <w:ind w:firstLine="422" w:firstLineChars="200"/>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w:t>
      </w:r>
      <w:r>
        <w:rPr>
          <w:rFonts w:hint="eastAsia" w:ascii="宋体" w:hAnsi="宋体" w:cs="宋体"/>
          <w:b/>
          <w:color w:val="auto"/>
          <w:sz w:val="21"/>
          <w:szCs w:val="21"/>
          <w:highlight w:val="none"/>
          <w:lang w:val="en-US" w:eastAsia="zh-CN"/>
        </w:rPr>
        <w:t>2</w:t>
      </w:r>
      <w:r>
        <w:rPr>
          <w:rFonts w:hint="eastAsia" w:ascii="宋体" w:hAnsi="宋体" w:cs="宋体"/>
          <w:b/>
          <w:color w:val="auto"/>
          <w:sz w:val="21"/>
          <w:szCs w:val="21"/>
          <w:highlight w:val="none"/>
          <w:lang w:val="zh-CN"/>
        </w:rPr>
        <w:t>）</w:t>
      </w:r>
      <w:r>
        <w:rPr>
          <w:rFonts w:hint="eastAsia" w:ascii="宋体" w:hAnsi="宋体" w:eastAsia="宋体" w:cs="宋体"/>
          <w:b/>
          <w:bCs/>
          <w:color w:val="auto"/>
          <w:kern w:val="0"/>
          <w:sz w:val="21"/>
          <w:szCs w:val="21"/>
          <w:highlight w:val="none"/>
          <w:lang w:val="en-US" w:eastAsia="zh-CN" w:bidi="ar"/>
        </w:rPr>
        <w:t>网络关键设备、网络安全专用产品要求</w:t>
      </w:r>
    </w:p>
    <w:p w14:paraId="2D7389A1">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DD4567C">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提供资料（下列资料任意一项）：</w:t>
      </w:r>
    </w:p>
    <w:p w14:paraId="7F5DE45E">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①网络关键设备和网络安全专用产品安全认证证书；</w:t>
      </w:r>
    </w:p>
    <w:p w14:paraId="5F16F97A">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②网络关键设备安全检测证书、网络安全专用产品安全检测证书；</w:t>
      </w:r>
    </w:p>
    <w:p w14:paraId="60AD10F9">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③计算机信息系统安全专用产品销售许可证；</w:t>
      </w:r>
    </w:p>
    <w:p w14:paraId="5CE94D67">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r>
        <w:rPr>
          <w:rFonts w:hint="eastAsia" w:ascii="宋体" w:hAnsi="宋体" w:eastAsia="宋体" w:cs="宋体"/>
          <w:b w:val="0"/>
          <w:bCs/>
          <w:color w:val="auto"/>
          <w:szCs w:val="21"/>
          <w:highlight w:val="none"/>
          <w:lang w:val="en-US" w:eastAsia="zh-CN"/>
        </w:rPr>
        <w:t xml:space="preserve">  </w:t>
      </w:r>
    </w:p>
    <w:p w14:paraId="2EC911E2">
      <w:pPr>
        <w:tabs>
          <w:tab w:val="left" w:pos="1260"/>
        </w:tabs>
        <w:autoSpaceDE w:val="0"/>
        <w:autoSpaceDN w:val="0"/>
        <w:spacing w:line="360" w:lineRule="auto"/>
        <w:ind w:firstLine="422" w:firstLineChars="200"/>
        <w:contextualSpacing/>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）投标无效情形</w:t>
      </w:r>
    </w:p>
    <w:p w14:paraId="2A86C160">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54C959D4">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2）符合性审查资料未按招标文件要求签署、盖章的；</w:t>
      </w:r>
    </w:p>
    <w:p w14:paraId="61FA6B47">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3）有下列情形之一的，视为投标人串通投标，其投标无效：</w:t>
      </w:r>
    </w:p>
    <w:p w14:paraId="42D7003D">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a.不同投标人的投标文件由同一单位或者个人编制；</w:t>
      </w:r>
    </w:p>
    <w:p w14:paraId="71869F70">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b.不同投标人委托同一单位或者个人办理投标事宜；</w:t>
      </w:r>
    </w:p>
    <w:p w14:paraId="05103D9C">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c.不同投标人的投标文件载明的项目管理成员或者联系人员为同一人；</w:t>
      </w:r>
    </w:p>
    <w:p w14:paraId="23B117FC">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d.不同投标人的投标文件异常一致或者投标报价呈规律性差异；</w:t>
      </w:r>
    </w:p>
    <w:p w14:paraId="6F44564C">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e.不同投标人的投标文件相互混装；</w:t>
      </w:r>
    </w:p>
    <w:p w14:paraId="137267CC">
      <w:pPr>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90374A">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5）法律法规和招标文件规定的其他无效情形。</w:t>
      </w:r>
    </w:p>
    <w:p w14:paraId="5308C082">
      <w:pPr>
        <w:pStyle w:val="21"/>
        <w:spacing w:line="360" w:lineRule="auto"/>
        <w:ind w:firstLine="422" w:firstLineChars="200"/>
        <w:contextualSpacing/>
        <w:rPr>
          <w:rFonts w:hint="eastAsia" w:cs="仿宋_GB2312" w:asciiTheme="minorEastAsia" w:hAnsiTheme="minorEastAsia" w:eastAsiaTheme="minorEastAsia"/>
          <w:b/>
          <w:color w:val="auto"/>
          <w:sz w:val="21"/>
          <w:szCs w:val="21"/>
          <w:highlight w:val="none"/>
          <w:lang w:val="en-US" w:eastAsia="zh-CN"/>
        </w:rPr>
      </w:pPr>
      <w:r>
        <w:rPr>
          <w:rFonts w:hint="eastAsia" w:cs="仿宋_GB2312" w:asciiTheme="minorEastAsia" w:hAnsiTheme="minorEastAsia" w:eastAsiaTheme="minorEastAsia"/>
          <w:b/>
          <w:color w:val="auto"/>
          <w:sz w:val="21"/>
          <w:szCs w:val="21"/>
          <w:highlight w:val="none"/>
          <w:lang w:val="zh-CN"/>
        </w:rPr>
        <w:t>（</w:t>
      </w:r>
      <w:r>
        <w:rPr>
          <w:rFonts w:hint="eastAsia" w:cs="仿宋_GB2312" w:asciiTheme="minorEastAsia" w:hAnsiTheme="minorEastAsia" w:eastAsiaTheme="minorEastAsia"/>
          <w:b/>
          <w:color w:val="auto"/>
          <w:sz w:val="21"/>
          <w:szCs w:val="21"/>
          <w:highlight w:val="none"/>
          <w:lang w:val="en-US" w:eastAsia="zh-CN"/>
        </w:rPr>
        <w:t>5</w:t>
      </w:r>
      <w:r>
        <w:rPr>
          <w:rFonts w:hint="eastAsia" w:cs="仿宋_GB2312" w:asciiTheme="minorEastAsia" w:hAnsiTheme="minorEastAsia" w:eastAsiaTheme="minorEastAsia"/>
          <w:b/>
          <w:color w:val="auto"/>
          <w:sz w:val="21"/>
          <w:szCs w:val="21"/>
          <w:highlight w:val="none"/>
          <w:lang w:val="zh-CN"/>
        </w:rPr>
        <w:t>）评标标准</w:t>
      </w:r>
    </w:p>
    <w:tbl>
      <w:tblPr>
        <w:tblStyle w:val="3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6840"/>
        <w:gridCol w:w="1074"/>
      </w:tblGrid>
      <w:tr w14:paraId="34D7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F23C65F">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分值构成</w:t>
            </w:r>
          </w:p>
          <w:p w14:paraId="68035D87">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(总分100分)</w:t>
            </w:r>
          </w:p>
        </w:tc>
        <w:tc>
          <w:tcPr>
            <w:tcW w:w="7914" w:type="dxa"/>
            <w:gridSpan w:val="2"/>
            <w:tcBorders>
              <w:top w:val="single" w:color="auto" w:sz="4" w:space="0"/>
              <w:left w:val="single" w:color="auto" w:sz="4" w:space="0"/>
              <w:bottom w:val="single" w:color="auto" w:sz="4" w:space="0"/>
              <w:right w:val="single" w:color="auto" w:sz="4" w:space="0"/>
            </w:tcBorders>
            <w:noWrap w:val="0"/>
            <w:vAlign w:val="center"/>
          </w:tcPr>
          <w:p w14:paraId="49B8DF1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价格得分：</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0分</w:t>
            </w:r>
          </w:p>
          <w:p w14:paraId="6684892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商务部分：</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lang w:val="zh-CN"/>
              </w:rPr>
              <w:t>分</w:t>
            </w:r>
          </w:p>
          <w:p w14:paraId="7D93AA9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技术部分：</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lang w:val="zh-CN"/>
              </w:rPr>
              <w:t>分</w:t>
            </w:r>
          </w:p>
        </w:tc>
      </w:tr>
      <w:tr w14:paraId="2792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99" w:type="dxa"/>
            <w:gridSpan w:val="3"/>
            <w:tcBorders>
              <w:top w:val="single" w:color="auto" w:sz="4" w:space="0"/>
              <w:left w:val="single" w:color="auto" w:sz="4" w:space="0"/>
              <w:bottom w:val="single" w:color="auto" w:sz="4" w:space="0"/>
              <w:right w:val="single" w:color="auto" w:sz="4" w:space="0"/>
            </w:tcBorders>
            <w:noWrap w:val="0"/>
            <w:vAlign w:val="center"/>
          </w:tcPr>
          <w:p w14:paraId="41485D05">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一、价格得分（满分</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0分）</w:t>
            </w:r>
          </w:p>
        </w:tc>
      </w:tr>
      <w:tr w14:paraId="7F17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C074891">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840" w:type="dxa"/>
            <w:tcBorders>
              <w:top w:val="single" w:color="auto" w:sz="4" w:space="0"/>
              <w:left w:val="single" w:color="auto" w:sz="4" w:space="0"/>
              <w:bottom w:val="single" w:color="auto" w:sz="4" w:space="0"/>
              <w:right w:val="single" w:color="auto" w:sz="4" w:space="0"/>
            </w:tcBorders>
            <w:noWrap w:val="0"/>
            <w:vAlign w:val="center"/>
          </w:tcPr>
          <w:p w14:paraId="60FE23C8">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CD8F51A">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5919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C84D95E">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投标报价</w:t>
            </w:r>
          </w:p>
        </w:tc>
        <w:tc>
          <w:tcPr>
            <w:tcW w:w="6840" w:type="dxa"/>
            <w:tcBorders>
              <w:top w:val="single" w:color="auto" w:sz="4" w:space="0"/>
              <w:left w:val="single" w:color="auto" w:sz="4" w:space="0"/>
              <w:bottom w:val="single" w:color="auto" w:sz="4" w:space="0"/>
              <w:right w:val="single" w:color="auto" w:sz="4" w:space="0"/>
            </w:tcBorders>
            <w:noWrap w:val="0"/>
            <w:vAlign w:val="center"/>
          </w:tcPr>
          <w:p w14:paraId="76A232C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投标报价得分采用低价优先法计算，即满足招标文件要求且投标价格最低的投标报价为评标基准价，其价格分为满分。其他供应商的价格分统一按照下列公式计算：投标报价得分=（评标基准价/投标报价）×</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0计算按四舍五入法则,保留小数点后两位。</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2ECCEAA">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0</w:t>
            </w:r>
          </w:p>
        </w:tc>
      </w:tr>
      <w:tr w14:paraId="7124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99" w:type="dxa"/>
            <w:gridSpan w:val="3"/>
            <w:tcBorders>
              <w:top w:val="single" w:color="auto" w:sz="4" w:space="0"/>
              <w:left w:val="single" w:color="auto" w:sz="4" w:space="0"/>
              <w:bottom w:val="single" w:color="auto" w:sz="4" w:space="0"/>
              <w:right w:val="single" w:color="auto" w:sz="4" w:space="0"/>
            </w:tcBorders>
            <w:noWrap w:val="0"/>
            <w:vAlign w:val="center"/>
          </w:tcPr>
          <w:p w14:paraId="24DB84B4">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二、商务部分（满分</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lang w:val="zh-CN"/>
              </w:rPr>
              <w:t>分）</w:t>
            </w:r>
          </w:p>
        </w:tc>
      </w:tr>
      <w:tr w14:paraId="1078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F388AE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840" w:type="dxa"/>
            <w:tcBorders>
              <w:top w:val="single" w:color="auto" w:sz="4" w:space="0"/>
              <w:left w:val="single" w:color="auto" w:sz="4" w:space="0"/>
              <w:bottom w:val="single" w:color="auto" w:sz="4" w:space="0"/>
              <w:right w:val="single" w:color="auto" w:sz="4" w:space="0"/>
            </w:tcBorders>
            <w:noWrap w:val="0"/>
            <w:vAlign w:val="center"/>
          </w:tcPr>
          <w:p w14:paraId="6D983BCB">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C102DA7">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668B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E7A1BD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业绩</w:t>
            </w:r>
          </w:p>
        </w:tc>
        <w:tc>
          <w:tcPr>
            <w:tcW w:w="6840" w:type="dxa"/>
            <w:tcBorders>
              <w:top w:val="single" w:color="auto" w:sz="4" w:space="0"/>
              <w:left w:val="nil"/>
              <w:bottom w:val="single" w:color="auto" w:sz="4" w:space="0"/>
              <w:right w:val="single" w:color="auto" w:sz="4" w:space="0"/>
            </w:tcBorders>
            <w:noWrap w:val="0"/>
            <w:vAlign w:val="center"/>
          </w:tcPr>
          <w:p w14:paraId="5B0F3B6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投标人自2021年1月1日以来具有类似业绩的每提供一份得5分，最高得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0分，不提供不得分。</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投标人为联合体的，联合体成员或牵头人业绩均可</w:t>
            </w:r>
            <w:r>
              <w:rPr>
                <w:rFonts w:hint="eastAsia" w:ascii="宋体" w:hAnsi="宋体" w:eastAsia="宋体" w:cs="宋体"/>
                <w:color w:val="auto"/>
                <w:szCs w:val="21"/>
                <w:highlight w:val="none"/>
                <w:lang w:val="zh-CN"/>
              </w:rPr>
              <w:t>）</w:t>
            </w:r>
          </w:p>
          <w:p w14:paraId="3D9718D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注：每份业绩须提供合同原件扫描件，以合同签订时间为准。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0C2EBF8">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10</w:t>
            </w:r>
          </w:p>
        </w:tc>
      </w:tr>
      <w:tr w14:paraId="1942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ADEE2A0">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bookmarkStart w:id="51" w:name="_GoBack" w:colFirst="0" w:colLast="0"/>
            <w:r>
              <w:rPr>
                <w:rFonts w:hint="eastAsia" w:ascii="宋体" w:hAnsi="宋体" w:eastAsia="宋体" w:cs="宋体"/>
                <w:color w:val="auto"/>
                <w:szCs w:val="21"/>
                <w:highlight w:val="none"/>
                <w:lang w:val="en-US" w:eastAsia="zh-CN"/>
              </w:rPr>
              <w:t>储存能力</w:t>
            </w:r>
          </w:p>
          <w:p w14:paraId="25F475DD">
            <w:pPr>
              <w:tabs>
                <w:tab w:val="left" w:pos="1260"/>
              </w:tabs>
              <w:autoSpaceDE w:val="0"/>
              <w:autoSpaceDN w:val="0"/>
              <w:spacing w:line="360" w:lineRule="auto"/>
              <w:ind w:firstLine="420" w:firstLineChars="200"/>
              <w:contextualSpacing/>
              <w:jc w:val="center"/>
              <w:rPr>
                <w:rFonts w:hint="eastAsia" w:ascii="宋体" w:hAnsi="宋体" w:eastAsia="宋体" w:cs="宋体"/>
                <w:color w:val="auto"/>
                <w:szCs w:val="21"/>
                <w:highlight w:val="none"/>
                <w:lang w:val="zh-CN"/>
              </w:rPr>
            </w:pPr>
          </w:p>
        </w:tc>
        <w:tc>
          <w:tcPr>
            <w:tcW w:w="6840" w:type="dxa"/>
            <w:tcBorders>
              <w:top w:val="single" w:color="auto" w:sz="4" w:space="0"/>
              <w:left w:val="nil"/>
              <w:bottom w:val="single" w:color="auto" w:sz="4" w:space="0"/>
              <w:right w:val="single" w:color="auto" w:sz="4" w:space="0"/>
            </w:tcBorders>
            <w:noWrap w:val="0"/>
            <w:vAlign w:val="center"/>
          </w:tcPr>
          <w:p w14:paraId="4EA4656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投标方应具备停产期间污泥继续接收能力。</w:t>
            </w:r>
            <w:r>
              <w:rPr>
                <w:rFonts w:hint="eastAsia" w:ascii="宋体" w:hAnsi="宋体" w:eastAsia="宋体" w:cs="宋体"/>
                <w:color w:val="auto"/>
                <w:szCs w:val="21"/>
                <w:highlight w:val="none"/>
                <w:lang w:val="en-US" w:eastAsia="zh-CN"/>
              </w:rPr>
              <w:t>具备污水处理厂</w:t>
            </w:r>
            <w:r>
              <w:rPr>
                <w:rFonts w:hint="eastAsia" w:ascii="宋体" w:hAnsi="宋体" w:eastAsia="宋体" w:cs="宋体"/>
                <w:color w:val="auto"/>
                <w:szCs w:val="21"/>
                <w:highlight w:val="none"/>
                <w:lang w:val="en-US" w:eastAsia="zh-CN"/>
              </w:rPr>
              <w:t>日产量 30 天以上的污泥储存条件，且储存场所应具备良好的防渗性能，贮存场所应全密闭，严禁污泥随意堆存。投标方提供相关储存场所证明材料（需提供相应的场地照片并做出承诺说明），提供完整</w:t>
            </w:r>
            <w:r>
              <w:rPr>
                <w:rFonts w:hint="eastAsia" w:ascii="宋体" w:hAnsi="宋体" w:eastAsia="宋体" w:cs="宋体"/>
                <w:color w:val="auto"/>
                <w:szCs w:val="21"/>
                <w:highlight w:val="none"/>
                <w:lang w:val="en-US" w:eastAsia="zh-CN"/>
              </w:rPr>
              <w:t>得 5分，</w:t>
            </w:r>
            <w:r>
              <w:rPr>
                <w:rFonts w:hint="eastAsia" w:ascii="宋体" w:hAnsi="宋体" w:eastAsia="宋体" w:cs="宋体"/>
                <w:color w:val="auto"/>
                <w:szCs w:val="21"/>
                <w:highlight w:val="none"/>
                <w:lang w:val="en-US" w:eastAsia="zh-CN"/>
              </w:rPr>
              <w:t>未提供不得分。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41BCFCA">
            <w:pPr>
              <w:tabs>
                <w:tab w:val="left" w:pos="1260"/>
              </w:tabs>
              <w:autoSpaceDE w:val="0"/>
              <w:autoSpaceDN w:val="0"/>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5分</w:t>
            </w:r>
          </w:p>
        </w:tc>
      </w:tr>
      <w:tr w14:paraId="073F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565A40E">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设备保障</w:t>
            </w:r>
          </w:p>
          <w:p w14:paraId="5DCCC1AF">
            <w:pPr>
              <w:tabs>
                <w:tab w:val="left" w:pos="1260"/>
              </w:tabs>
              <w:autoSpaceDE w:val="0"/>
              <w:autoSpaceDN w:val="0"/>
              <w:spacing w:line="360" w:lineRule="auto"/>
              <w:ind w:firstLine="420" w:firstLineChars="200"/>
              <w:contextualSpacing/>
              <w:jc w:val="center"/>
              <w:rPr>
                <w:rFonts w:hint="eastAsia" w:ascii="宋体" w:hAnsi="宋体" w:eastAsia="宋体" w:cs="宋体"/>
                <w:color w:val="auto"/>
                <w:szCs w:val="21"/>
                <w:highlight w:val="none"/>
                <w:lang w:val="zh-CN"/>
              </w:rPr>
            </w:pPr>
          </w:p>
        </w:tc>
        <w:tc>
          <w:tcPr>
            <w:tcW w:w="6840" w:type="dxa"/>
            <w:tcBorders>
              <w:top w:val="single" w:color="auto" w:sz="4" w:space="0"/>
              <w:left w:val="nil"/>
              <w:bottom w:val="single" w:color="auto" w:sz="4" w:space="0"/>
              <w:right w:val="single" w:color="auto" w:sz="4" w:space="0"/>
            </w:tcBorders>
            <w:noWrap w:val="0"/>
            <w:vAlign w:val="center"/>
          </w:tcPr>
          <w:p w14:paraId="563382C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投标人具有保障废弃污泥环保处理的必备设备。（</w:t>
            </w:r>
            <w:r>
              <w:rPr>
                <w:rFonts w:hint="eastAsia" w:ascii="宋体" w:hAnsi="宋体" w:eastAsia="宋体" w:cs="宋体"/>
                <w:color w:val="auto"/>
                <w:szCs w:val="21"/>
                <w:highlight w:val="none"/>
                <w:lang w:val="en-US" w:eastAsia="zh-CN"/>
              </w:rPr>
              <w:t xml:space="preserve"> 投标方需具有污泥深度脱水设备、特种工具车，包括但不限于叉车、装载机等其他设备</w:t>
            </w:r>
            <w:r>
              <w:rPr>
                <w:rFonts w:hint="eastAsia" w:ascii="宋体" w:hAnsi="宋体" w:eastAsia="宋体" w:cs="宋体"/>
                <w:color w:val="auto"/>
                <w:szCs w:val="21"/>
                <w:highlight w:val="none"/>
                <w:lang w:val="en-US" w:eastAsia="zh-CN"/>
              </w:rPr>
              <w:t>，需提供购置发票或租赁合同等证明材料。）每提供一台得 2 分，不提供不得分，满分10分。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348193C">
            <w:pPr>
              <w:tabs>
                <w:tab w:val="left" w:pos="1260"/>
              </w:tabs>
              <w:autoSpaceDE w:val="0"/>
              <w:autoSpaceDN w:val="0"/>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r>
      <w:bookmarkEnd w:id="51"/>
      <w:tr w14:paraId="79EF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99" w:type="dxa"/>
            <w:gridSpan w:val="3"/>
            <w:tcBorders>
              <w:top w:val="single" w:color="auto" w:sz="4" w:space="0"/>
              <w:left w:val="single" w:color="auto" w:sz="4" w:space="0"/>
              <w:bottom w:val="single" w:color="auto" w:sz="4" w:space="0"/>
              <w:right w:val="single" w:color="auto" w:sz="4" w:space="0"/>
            </w:tcBorders>
            <w:noWrap w:val="0"/>
            <w:vAlign w:val="center"/>
          </w:tcPr>
          <w:p w14:paraId="7A86EBE5">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三、技术部分（满分4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分）</w:t>
            </w:r>
          </w:p>
        </w:tc>
      </w:tr>
      <w:tr w14:paraId="3AC8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7DC87E5">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840" w:type="dxa"/>
            <w:tcBorders>
              <w:top w:val="single" w:color="auto" w:sz="4" w:space="0"/>
              <w:left w:val="single" w:color="auto" w:sz="4" w:space="0"/>
              <w:bottom w:val="single" w:color="auto" w:sz="4" w:space="0"/>
              <w:right w:val="single" w:color="auto" w:sz="4" w:space="0"/>
            </w:tcBorders>
            <w:noWrap w:val="0"/>
            <w:vAlign w:val="center"/>
          </w:tcPr>
          <w:p w14:paraId="072D0E5C">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8A5778D">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09C0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A6AD55F">
            <w:pPr>
              <w:tabs>
                <w:tab w:val="left" w:pos="1260"/>
              </w:tabs>
              <w:autoSpaceDE w:val="0"/>
              <w:autoSpaceDN w:val="0"/>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实施方案</w:t>
            </w:r>
          </w:p>
        </w:tc>
        <w:tc>
          <w:tcPr>
            <w:tcW w:w="6840" w:type="dxa"/>
            <w:tcBorders>
              <w:top w:val="single" w:color="auto" w:sz="4" w:space="0"/>
              <w:left w:val="single" w:color="auto" w:sz="4" w:space="0"/>
              <w:bottom w:val="single" w:color="auto" w:sz="4" w:space="0"/>
              <w:right w:val="single" w:color="auto" w:sz="4" w:space="0"/>
            </w:tcBorders>
            <w:noWrap w:val="0"/>
            <w:vAlign w:val="center"/>
          </w:tcPr>
          <w:p w14:paraId="1807E3E1">
            <w:pPr>
              <w:tabs>
                <w:tab w:val="left" w:pos="1260"/>
              </w:tabs>
              <w:autoSpaceDE w:val="0"/>
              <w:autoSpaceDN w:val="0"/>
              <w:spacing w:line="360" w:lineRule="auto"/>
              <w:ind w:firstLine="420" w:firstLineChars="200"/>
              <w:contextualSpacing/>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1、服务管理方案，包含服务管理的工作思路和方案，管理模式、管理机制、</w:t>
            </w:r>
            <w:r>
              <w:rPr>
                <w:rFonts w:hint="eastAsia" w:ascii="宋体" w:hAnsi="宋体" w:eastAsia="宋体" w:cs="宋体"/>
                <w:color w:val="auto"/>
                <w:szCs w:val="21"/>
                <w:highlight w:val="none"/>
                <w:lang w:val="en-US" w:eastAsia="zh-CN"/>
              </w:rPr>
              <w:t>焚烧技术、生物堆肥无害化处置</w:t>
            </w:r>
            <w:r>
              <w:rPr>
                <w:rFonts w:hint="eastAsia" w:ascii="宋体" w:hAnsi="宋体" w:eastAsia="宋体" w:cs="宋体"/>
                <w:color w:val="auto"/>
                <w:szCs w:val="21"/>
                <w:highlight w:val="none"/>
                <w:lang w:val="en-US" w:eastAsia="zh-CN"/>
              </w:rPr>
              <w:t>等。</w:t>
            </w:r>
          </w:p>
          <w:p w14:paraId="7FBDDB12">
            <w:pPr>
              <w:tabs>
                <w:tab w:val="left" w:pos="1260"/>
              </w:tabs>
              <w:autoSpaceDE w:val="0"/>
              <w:autoSpaceDN w:val="0"/>
              <w:spacing w:line="360" w:lineRule="auto"/>
              <w:ind w:firstLine="420" w:firstLineChars="200"/>
              <w:contextualSpacing/>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2、保证项目服务质量的措施和方案，包含质量管理目标、质量管理体系和职责，质量控制体系及措施等。</w:t>
            </w:r>
          </w:p>
          <w:p w14:paraId="06243ED7">
            <w:pPr>
              <w:tabs>
                <w:tab w:val="left" w:pos="1260"/>
              </w:tabs>
              <w:autoSpaceDE w:val="0"/>
              <w:autoSpaceDN w:val="0"/>
              <w:spacing w:line="360" w:lineRule="auto"/>
              <w:ind w:firstLine="420" w:firstLineChars="200"/>
              <w:contextualSpacing/>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3、安全保障措施，包含有安全生产管理目标、安全生产管理体系、责任体系，有安全生产管理制度和措施等。</w:t>
            </w:r>
          </w:p>
          <w:p w14:paraId="23CE396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4、应急预案，包含</w:t>
            </w:r>
            <w:r>
              <w:rPr>
                <w:rFonts w:hint="eastAsia" w:ascii="宋体" w:hAnsi="宋体" w:eastAsia="宋体" w:cs="宋体"/>
                <w:color w:val="auto"/>
                <w:szCs w:val="21"/>
                <w:highlight w:val="none"/>
                <w:lang w:val="zh-CN" w:eastAsia="zh-CN"/>
              </w:rPr>
              <w:t>目的、应急组织与职责、预防与预警、应急响应、保障措施</w:t>
            </w:r>
            <w:r>
              <w:rPr>
                <w:rFonts w:hint="eastAsia" w:ascii="宋体" w:hAnsi="宋体" w:eastAsia="宋体" w:cs="宋体"/>
                <w:color w:val="auto"/>
                <w:szCs w:val="21"/>
                <w:highlight w:val="none"/>
                <w:lang w:val="en-US" w:eastAsia="zh-CN"/>
              </w:rPr>
              <w:t>等。</w:t>
            </w:r>
          </w:p>
          <w:p w14:paraId="4A82C417">
            <w:pPr>
              <w:tabs>
                <w:tab w:val="left" w:pos="1260"/>
              </w:tabs>
              <w:autoSpaceDE w:val="0"/>
              <w:autoSpaceDN w:val="0"/>
              <w:spacing w:line="360" w:lineRule="auto"/>
              <w:ind w:firstLine="420" w:firstLineChars="200"/>
              <w:contextualSpacing/>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5、环境保护管理体系与措施，包含目标、组织机构与职责、措施与方法等。</w:t>
            </w:r>
          </w:p>
          <w:p w14:paraId="682FBE31">
            <w:pPr>
              <w:tabs>
                <w:tab w:val="left" w:pos="1260"/>
              </w:tabs>
              <w:autoSpaceDE w:val="0"/>
              <w:autoSpaceDN w:val="0"/>
              <w:spacing w:line="360" w:lineRule="auto"/>
              <w:ind w:firstLine="420" w:firstLineChars="200"/>
              <w:contextualSpacing/>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6、重点、难点分析及合理化建议</w:t>
            </w:r>
          </w:p>
          <w:p w14:paraId="43DBFD8C">
            <w:pPr>
              <w:tabs>
                <w:tab w:val="left" w:pos="1260"/>
              </w:tabs>
              <w:autoSpaceDE w:val="0"/>
              <w:autoSpaceDN w:val="0"/>
              <w:spacing w:line="360" w:lineRule="auto"/>
              <w:ind w:firstLine="420" w:firstLineChars="200"/>
              <w:contextualSpacing/>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每项内容全面详细可行的</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lang w:val="zh-CN"/>
              </w:rPr>
              <w:t>仅有简单描述的</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分，不提供的不得分。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B81DE65">
            <w:pPr>
              <w:tabs>
                <w:tab w:val="left" w:pos="1260"/>
              </w:tabs>
              <w:autoSpaceDE w:val="0"/>
              <w:autoSpaceDN w:val="0"/>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w:t>
            </w:r>
          </w:p>
        </w:tc>
      </w:tr>
      <w:tr w14:paraId="22F7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1EF2924">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服务承诺</w:t>
            </w:r>
          </w:p>
        </w:tc>
        <w:tc>
          <w:tcPr>
            <w:tcW w:w="6840" w:type="dxa"/>
            <w:tcBorders>
              <w:top w:val="single" w:color="auto" w:sz="4" w:space="0"/>
              <w:left w:val="nil"/>
              <w:bottom w:val="single" w:color="auto" w:sz="4" w:space="0"/>
              <w:right w:val="single" w:color="auto" w:sz="4" w:space="0"/>
            </w:tcBorders>
            <w:noWrap w:val="0"/>
            <w:vAlign w:val="center"/>
          </w:tcPr>
          <w:p w14:paraId="3AF553F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投标人有完整的</w:t>
            </w:r>
            <w:r>
              <w:rPr>
                <w:rFonts w:hint="eastAsia" w:ascii="宋体" w:hAnsi="宋体" w:eastAsia="宋体" w:cs="宋体"/>
                <w:color w:val="auto"/>
                <w:szCs w:val="21"/>
                <w:highlight w:val="none"/>
                <w:lang w:val="en-US" w:eastAsia="zh-CN"/>
              </w:rPr>
              <w:t>后期</w:t>
            </w:r>
            <w:r>
              <w:rPr>
                <w:rFonts w:hint="eastAsia" w:ascii="宋体" w:hAnsi="宋体" w:eastAsia="宋体" w:cs="宋体"/>
                <w:color w:val="auto"/>
                <w:szCs w:val="21"/>
                <w:highlight w:val="none"/>
                <w:lang w:val="zh-CN" w:eastAsia="zh-CN"/>
              </w:rPr>
              <w:t>服务承诺：①服务响应承诺②具体的违约责任承诺</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val="zh-CN" w:eastAsia="zh-CN"/>
              </w:rPr>
              <w:t>针对性保证措施③对采</w:t>
            </w:r>
            <w:r>
              <w:rPr>
                <w:rFonts w:hint="eastAsia" w:ascii="宋体" w:hAnsi="宋体" w:eastAsia="宋体" w:cs="宋体"/>
                <w:color w:val="auto"/>
                <w:szCs w:val="21"/>
                <w:highlight w:val="none"/>
                <w:lang w:val="en-US" w:eastAsia="zh-CN"/>
              </w:rPr>
              <w:t>购人作出除招标文件约定外的其他服务承诺。每项</w:t>
            </w:r>
            <w:r>
              <w:rPr>
                <w:rFonts w:hint="eastAsia" w:ascii="宋体" w:hAnsi="宋体" w:eastAsia="宋体" w:cs="宋体"/>
                <w:color w:val="auto"/>
                <w:szCs w:val="21"/>
                <w:highlight w:val="none"/>
                <w:lang w:val="zh-CN" w:eastAsia="zh-CN"/>
              </w:rPr>
              <w:t>内容全面详细可行的得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分，仅有简单描述</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分，不提供的不得分。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8CF7FB2">
            <w:pPr>
              <w:tabs>
                <w:tab w:val="left" w:pos="1260"/>
              </w:tabs>
              <w:autoSpaceDE w:val="0"/>
              <w:autoSpaceDN w:val="0"/>
              <w:ind w:firstLine="0" w:firstLineChars="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p>
        </w:tc>
      </w:tr>
    </w:tbl>
    <w:p w14:paraId="5FA1E2F1">
      <w:pPr>
        <w:spacing w:line="360" w:lineRule="auto"/>
        <w:rPr>
          <w:rFonts w:hint="eastAsia" w:cs="仿宋_GB2312" w:asciiTheme="minorEastAsia" w:hAnsiTheme="minorEastAsia"/>
          <w:b/>
          <w:color w:val="auto"/>
          <w:szCs w:val="21"/>
          <w:highlight w:val="none"/>
          <w:lang w:val="zh-CN"/>
        </w:rPr>
      </w:pPr>
    </w:p>
    <w:p w14:paraId="054F4DE9">
      <w:pPr>
        <w:pStyle w:val="21"/>
        <w:spacing w:line="360" w:lineRule="auto"/>
        <w:ind w:firstLine="211" w:firstLineChars="100"/>
        <w:contextualSpacing/>
        <w:jc w:val="both"/>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w:t>
      </w:r>
      <w:r>
        <w:rPr>
          <w:rFonts w:hint="eastAsia" w:cs="仿宋_GB2312" w:asciiTheme="minorEastAsia" w:hAnsiTheme="minorEastAsia" w:eastAsiaTheme="minorEastAsia"/>
          <w:b/>
          <w:color w:val="auto"/>
          <w:sz w:val="21"/>
          <w:szCs w:val="21"/>
          <w:highlight w:val="none"/>
          <w:lang w:val="en-US" w:eastAsia="zh-CN"/>
        </w:rPr>
        <w:t>6</w:t>
      </w:r>
      <w:r>
        <w:rPr>
          <w:rFonts w:hint="eastAsia" w:cs="仿宋_GB2312" w:asciiTheme="minorEastAsia" w:hAnsiTheme="minorEastAsia" w:eastAsiaTheme="minorEastAsia"/>
          <w:b/>
          <w:color w:val="auto"/>
          <w:sz w:val="21"/>
          <w:szCs w:val="21"/>
          <w:highlight w:val="none"/>
          <w:lang w:val="zh-CN"/>
        </w:rPr>
        <w:t>）</w:t>
      </w:r>
      <w:r>
        <w:rPr>
          <w:rFonts w:cs="仿宋_GB2312" w:asciiTheme="minorEastAsia" w:hAnsiTheme="minorEastAsia" w:eastAsiaTheme="minorEastAsia"/>
          <w:b/>
          <w:color w:val="auto"/>
          <w:sz w:val="21"/>
          <w:szCs w:val="21"/>
          <w:highlight w:val="none"/>
          <w:lang w:val="zh-CN"/>
        </w:rPr>
        <w:t>评标结果汇总完成后，除下列情形外，任何人不得修改评标结果：</w:t>
      </w:r>
    </w:p>
    <w:p w14:paraId="733BBC5D">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1） </w:t>
      </w:r>
      <w:r>
        <w:rPr>
          <w:rFonts w:cs="仿宋_GB2312" w:asciiTheme="minorEastAsia" w:hAnsiTheme="minorEastAsia"/>
          <w:color w:val="auto"/>
          <w:szCs w:val="21"/>
          <w:highlight w:val="none"/>
          <w:lang w:val="zh-CN"/>
        </w:rPr>
        <w:t>分值汇总计算错误的；</w:t>
      </w:r>
    </w:p>
    <w:p w14:paraId="012674DC">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2） </w:t>
      </w:r>
      <w:r>
        <w:rPr>
          <w:rFonts w:cs="仿宋_GB2312" w:asciiTheme="minorEastAsia" w:hAnsiTheme="minorEastAsia"/>
          <w:color w:val="auto"/>
          <w:szCs w:val="21"/>
          <w:highlight w:val="none"/>
          <w:lang w:val="zh-CN"/>
        </w:rPr>
        <w:t>分项评分超出评分标准范围的；</w:t>
      </w:r>
    </w:p>
    <w:p w14:paraId="7ED8E401">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3） </w:t>
      </w:r>
      <w:r>
        <w:rPr>
          <w:rFonts w:cs="仿宋_GB2312" w:asciiTheme="minorEastAsia" w:hAnsiTheme="minorEastAsia"/>
          <w:color w:val="auto"/>
          <w:szCs w:val="21"/>
          <w:highlight w:val="none"/>
          <w:lang w:val="zh-CN"/>
        </w:rPr>
        <w:t>评标委员会成员对客观评审因素评分不一致的；</w:t>
      </w:r>
    </w:p>
    <w:p w14:paraId="0099D50D">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4） </w:t>
      </w:r>
      <w:r>
        <w:rPr>
          <w:rFonts w:cs="仿宋_GB2312" w:asciiTheme="minorEastAsia" w:hAnsiTheme="minorEastAsia"/>
          <w:color w:val="auto"/>
          <w:szCs w:val="21"/>
          <w:highlight w:val="none"/>
          <w:lang w:val="zh-CN"/>
        </w:rPr>
        <w:t>经评标委员会认定评分畸高、畸低的。</w:t>
      </w:r>
    </w:p>
    <w:p w14:paraId="5B2973C1">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65592EF">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投标人对本条第一款情形提出质疑的，采购人或者采购代理机构可以组织原评标委员会进行重新评审，重新评审改变评标结果的，应当书面报告本级财政部门。</w:t>
      </w:r>
    </w:p>
    <w:p w14:paraId="4A89CAC3">
      <w:pPr>
        <w:wordWrap w:val="0"/>
        <w:spacing w:line="360" w:lineRule="auto"/>
        <w:ind w:firstLine="422"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b/>
          <w:bCs/>
          <w:color w:val="auto"/>
          <w:szCs w:val="21"/>
          <w:highlight w:val="none"/>
          <w:lang w:val="zh-CN"/>
        </w:rPr>
        <w:t>（</w:t>
      </w:r>
      <w:r>
        <w:rPr>
          <w:rFonts w:hint="eastAsia" w:cs="仿宋_GB2312" w:asciiTheme="minorEastAsia" w:hAnsiTheme="minorEastAsia"/>
          <w:b/>
          <w:bCs/>
          <w:color w:val="auto"/>
          <w:szCs w:val="21"/>
          <w:highlight w:val="none"/>
          <w:lang w:val="en-US" w:eastAsia="zh-CN"/>
        </w:rPr>
        <w:t>7</w:t>
      </w:r>
      <w:r>
        <w:rPr>
          <w:rFonts w:hint="eastAsia" w:cs="仿宋_GB2312" w:asciiTheme="minorEastAsia" w:hAnsiTheme="minorEastAsia"/>
          <w:b/>
          <w:bCs/>
          <w:color w:val="auto"/>
          <w:szCs w:val="21"/>
          <w:highlight w:val="none"/>
          <w:lang w:val="zh-CN"/>
        </w:rPr>
        <w:t>）按照《</w:t>
      </w:r>
      <w:r>
        <w:rPr>
          <w:rFonts w:hint="eastAsia" w:cs="仿宋_GB2312" w:asciiTheme="minorEastAsia" w:hAnsiTheme="minorEastAsia"/>
          <w:color w:val="auto"/>
          <w:szCs w:val="21"/>
          <w:highlight w:val="none"/>
          <w:lang w:val="zh-CN"/>
        </w:rPr>
        <w:t>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46ED6EAC">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w:t>
      </w:r>
      <w:r>
        <w:rPr>
          <w:rFonts w:hint="eastAsia" w:cs="仿宋_GB2312" w:asciiTheme="minorEastAsia" w:hAnsiTheme="minorEastAsia"/>
          <w:b/>
          <w:color w:val="auto"/>
          <w:szCs w:val="21"/>
          <w:highlight w:val="none"/>
          <w:lang w:val="en-US" w:eastAsia="zh-CN"/>
        </w:rPr>
        <w:t>8</w:t>
      </w:r>
      <w:r>
        <w:rPr>
          <w:rFonts w:hint="eastAsia" w:cs="仿宋_GB2312" w:asciiTheme="minorEastAsia" w:hAnsiTheme="minorEastAsia"/>
          <w:b/>
          <w:color w:val="auto"/>
          <w:szCs w:val="21"/>
          <w:highlight w:val="none"/>
          <w:lang w:val="zh-CN"/>
        </w:rPr>
        <w:t>）</w:t>
      </w:r>
      <w:r>
        <w:rPr>
          <w:rFonts w:cs="仿宋_GB2312" w:asciiTheme="minorEastAsia" w:hAnsiTheme="minorEastAsia"/>
          <w:b/>
          <w:color w:val="auto"/>
          <w:szCs w:val="21"/>
          <w:highlight w:val="none"/>
          <w:lang w:val="zh-CN"/>
        </w:rPr>
        <w:t>评标委员会</w:t>
      </w:r>
      <w:r>
        <w:rPr>
          <w:rFonts w:hint="eastAsia" w:cs="仿宋_GB2312" w:asciiTheme="minorEastAsia" w:hAnsiTheme="minorEastAsia"/>
          <w:b/>
          <w:color w:val="auto"/>
          <w:szCs w:val="21"/>
          <w:highlight w:val="none"/>
          <w:lang w:val="zh-CN"/>
        </w:rPr>
        <w:t>争议处理</w:t>
      </w:r>
    </w:p>
    <w:p w14:paraId="4C5242C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7A1F2BEB">
      <w:pPr>
        <w:spacing w:line="360" w:lineRule="auto"/>
        <w:ind w:firstLine="420" w:firstLineChars="200"/>
        <w:contextualSpacing/>
        <w:rPr>
          <w:rFonts w:hint="eastAsia" w:eastAsiaTheme="minorEastAsia"/>
          <w:color w:val="auto"/>
          <w:highlight w:val="none"/>
          <w:lang w:val="en-US" w:eastAsia="zh-CN"/>
        </w:rPr>
      </w:pPr>
      <w:r>
        <w:rPr>
          <w:rFonts w:cs="仿宋_GB2312" w:asciiTheme="minorEastAsia" w:hAnsiTheme="minorEastAsia"/>
          <w:bCs/>
          <w:color w:val="auto"/>
          <w:szCs w:val="21"/>
          <w:highlight w:val="none"/>
          <w:lang w:val="zh-CN"/>
        </w:rPr>
        <w:t>确定中标候选人名单，以及根据采购人委托直接确定中标人</w:t>
      </w:r>
      <w:r>
        <w:rPr>
          <w:rFonts w:cs="仿宋_GB2312" w:asciiTheme="minorEastAsia" w:hAnsiTheme="minorEastAsia"/>
          <w:color w:val="auto"/>
          <w:szCs w:val="21"/>
          <w:highlight w:val="none"/>
          <w:lang w:val="zh-CN"/>
        </w:rPr>
        <w:t>。</w:t>
      </w:r>
    </w:p>
    <w:p w14:paraId="5466373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87B8BCA">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color w:val="auto"/>
          <w:kern w:val="0"/>
          <w:sz w:val="32"/>
          <w:szCs w:val="32"/>
          <w:highlight w:val="none"/>
        </w:rPr>
      </w:pPr>
    </w:p>
    <w:p w14:paraId="72FCB3B7">
      <w:pPr>
        <w:pStyle w:val="14"/>
        <w:rPr>
          <w:rFonts w:hint="eastAsia" w:cs="宋体" w:asciiTheme="majorEastAsia" w:hAnsiTheme="majorEastAsia" w:eastAsiaTheme="majorEastAsia"/>
          <w:b/>
          <w:color w:val="auto"/>
          <w:kern w:val="0"/>
          <w:sz w:val="32"/>
          <w:szCs w:val="32"/>
          <w:highlight w:val="none"/>
        </w:rPr>
      </w:pPr>
    </w:p>
    <w:p w14:paraId="1DB5FDEA">
      <w:pPr>
        <w:pStyle w:val="16"/>
        <w:rPr>
          <w:rFonts w:hint="eastAsia" w:cs="宋体" w:asciiTheme="majorEastAsia" w:hAnsiTheme="majorEastAsia" w:eastAsiaTheme="majorEastAsia"/>
          <w:b/>
          <w:color w:val="auto"/>
          <w:kern w:val="0"/>
          <w:sz w:val="32"/>
          <w:szCs w:val="32"/>
          <w:highlight w:val="none"/>
        </w:rPr>
      </w:pPr>
    </w:p>
    <w:p w14:paraId="444D25FE">
      <w:pPr>
        <w:rPr>
          <w:rFonts w:hint="eastAsia" w:cs="宋体" w:asciiTheme="majorEastAsia" w:hAnsiTheme="majorEastAsia" w:eastAsiaTheme="majorEastAsia"/>
          <w:b/>
          <w:color w:val="auto"/>
          <w:kern w:val="0"/>
          <w:sz w:val="32"/>
          <w:szCs w:val="32"/>
          <w:highlight w:val="none"/>
        </w:rPr>
      </w:pPr>
    </w:p>
    <w:p w14:paraId="165D33DD">
      <w:pPr>
        <w:pStyle w:val="2"/>
        <w:rPr>
          <w:rFonts w:hint="eastAsia" w:cs="宋体" w:asciiTheme="majorEastAsia" w:hAnsiTheme="majorEastAsia" w:eastAsiaTheme="majorEastAsia"/>
          <w:b/>
          <w:color w:val="auto"/>
          <w:kern w:val="0"/>
          <w:sz w:val="32"/>
          <w:szCs w:val="32"/>
          <w:highlight w:val="none"/>
        </w:rPr>
      </w:pPr>
    </w:p>
    <w:p w14:paraId="0152A922">
      <w:pPr>
        <w:rPr>
          <w:rFonts w:hint="eastAsia" w:cs="宋体" w:asciiTheme="majorEastAsia" w:hAnsiTheme="majorEastAsia" w:eastAsiaTheme="majorEastAsia"/>
          <w:b/>
          <w:color w:val="auto"/>
          <w:kern w:val="0"/>
          <w:sz w:val="32"/>
          <w:szCs w:val="32"/>
          <w:highlight w:val="none"/>
        </w:rPr>
      </w:pPr>
    </w:p>
    <w:p w14:paraId="242DFA40">
      <w:pPr>
        <w:pStyle w:val="2"/>
        <w:rPr>
          <w:rFonts w:hint="eastAsia" w:cs="宋体" w:asciiTheme="majorEastAsia" w:hAnsiTheme="majorEastAsia" w:eastAsiaTheme="majorEastAsia"/>
          <w:b/>
          <w:color w:val="auto"/>
          <w:kern w:val="0"/>
          <w:sz w:val="32"/>
          <w:szCs w:val="32"/>
          <w:highlight w:val="none"/>
        </w:rPr>
      </w:pPr>
    </w:p>
    <w:p w14:paraId="5EE386A8">
      <w:pPr>
        <w:rPr>
          <w:rFonts w:hint="eastAsia" w:cs="宋体" w:asciiTheme="majorEastAsia" w:hAnsiTheme="majorEastAsia" w:eastAsiaTheme="majorEastAsia"/>
          <w:b/>
          <w:color w:val="auto"/>
          <w:kern w:val="0"/>
          <w:sz w:val="32"/>
          <w:szCs w:val="32"/>
          <w:highlight w:val="none"/>
        </w:rPr>
      </w:pPr>
    </w:p>
    <w:p w14:paraId="6BCA9366">
      <w:pPr>
        <w:pStyle w:val="2"/>
        <w:rPr>
          <w:rFonts w:hint="eastAsia" w:cs="宋体" w:asciiTheme="majorEastAsia" w:hAnsiTheme="majorEastAsia" w:eastAsiaTheme="majorEastAsia"/>
          <w:b/>
          <w:color w:val="auto"/>
          <w:kern w:val="0"/>
          <w:sz w:val="32"/>
          <w:szCs w:val="32"/>
          <w:highlight w:val="none"/>
        </w:rPr>
      </w:pPr>
    </w:p>
    <w:p w14:paraId="15D0B56B">
      <w:pPr>
        <w:rPr>
          <w:rFonts w:hint="eastAsia" w:cs="宋体" w:asciiTheme="majorEastAsia" w:hAnsiTheme="majorEastAsia" w:eastAsiaTheme="majorEastAsia"/>
          <w:b/>
          <w:color w:val="auto"/>
          <w:kern w:val="0"/>
          <w:sz w:val="32"/>
          <w:szCs w:val="32"/>
          <w:highlight w:val="none"/>
        </w:rPr>
      </w:pPr>
    </w:p>
    <w:p w14:paraId="033AF14F">
      <w:pPr>
        <w:pStyle w:val="2"/>
        <w:rPr>
          <w:rFonts w:hint="eastAsia" w:cs="宋体" w:asciiTheme="majorEastAsia" w:hAnsiTheme="majorEastAsia" w:eastAsiaTheme="majorEastAsia"/>
          <w:b/>
          <w:color w:val="auto"/>
          <w:kern w:val="0"/>
          <w:sz w:val="32"/>
          <w:szCs w:val="32"/>
          <w:highlight w:val="none"/>
        </w:rPr>
      </w:pPr>
    </w:p>
    <w:p w14:paraId="000F31E3">
      <w:pPr>
        <w:rPr>
          <w:rFonts w:hint="eastAsia" w:cs="宋体" w:asciiTheme="majorEastAsia" w:hAnsiTheme="majorEastAsia" w:eastAsiaTheme="majorEastAsia"/>
          <w:b/>
          <w:color w:val="auto"/>
          <w:kern w:val="0"/>
          <w:sz w:val="32"/>
          <w:szCs w:val="32"/>
          <w:highlight w:val="none"/>
        </w:rPr>
      </w:pPr>
    </w:p>
    <w:p w14:paraId="54E32249">
      <w:pPr>
        <w:pStyle w:val="2"/>
        <w:rPr>
          <w:rFonts w:hint="eastAsia" w:cs="宋体" w:asciiTheme="majorEastAsia" w:hAnsiTheme="majorEastAsia" w:eastAsiaTheme="majorEastAsia"/>
          <w:b/>
          <w:color w:val="auto"/>
          <w:kern w:val="0"/>
          <w:sz w:val="32"/>
          <w:szCs w:val="32"/>
          <w:highlight w:val="none"/>
        </w:rPr>
      </w:pPr>
    </w:p>
    <w:p w14:paraId="09A8CFB4">
      <w:pPr>
        <w:rPr>
          <w:rFonts w:hint="eastAsia" w:cs="宋体" w:asciiTheme="majorEastAsia" w:hAnsiTheme="majorEastAsia" w:eastAsiaTheme="majorEastAsia"/>
          <w:b/>
          <w:color w:val="auto"/>
          <w:kern w:val="0"/>
          <w:sz w:val="32"/>
          <w:szCs w:val="32"/>
          <w:highlight w:val="none"/>
        </w:rPr>
      </w:pPr>
    </w:p>
    <w:p w14:paraId="136C2AC5">
      <w:pPr>
        <w:pStyle w:val="2"/>
        <w:rPr>
          <w:rFonts w:hint="eastAsia" w:cs="宋体" w:asciiTheme="majorEastAsia" w:hAnsiTheme="majorEastAsia" w:eastAsiaTheme="majorEastAsia"/>
          <w:b/>
          <w:color w:val="auto"/>
          <w:kern w:val="0"/>
          <w:sz w:val="32"/>
          <w:szCs w:val="32"/>
          <w:highlight w:val="none"/>
        </w:rPr>
      </w:pPr>
    </w:p>
    <w:p w14:paraId="5262F8E7">
      <w:pPr>
        <w:rPr>
          <w:rFonts w:hint="eastAsia" w:cs="宋体" w:asciiTheme="majorEastAsia" w:hAnsiTheme="majorEastAsia" w:eastAsiaTheme="majorEastAsia"/>
          <w:b/>
          <w:color w:val="auto"/>
          <w:kern w:val="0"/>
          <w:sz w:val="32"/>
          <w:szCs w:val="32"/>
          <w:highlight w:val="none"/>
        </w:rPr>
      </w:pPr>
    </w:p>
    <w:p w14:paraId="3AF194FA">
      <w:pPr>
        <w:pStyle w:val="2"/>
        <w:rPr>
          <w:rFonts w:hint="eastAsia" w:cs="宋体" w:asciiTheme="majorEastAsia" w:hAnsiTheme="majorEastAsia" w:eastAsiaTheme="majorEastAsia"/>
          <w:b/>
          <w:color w:val="auto"/>
          <w:kern w:val="0"/>
          <w:sz w:val="32"/>
          <w:szCs w:val="32"/>
          <w:highlight w:val="none"/>
        </w:rPr>
      </w:pPr>
    </w:p>
    <w:p w14:paraId="6FA1D1E1">
      <w:pPr>
        <w:rPr>
          <w:rFonts w:hint="eastAsia" w:cs="宋体" w:asciiTheme="majorEastAsia" w:hAnsiTheme="majorEastAsia" w:eastAsiaTheme="majorEastAsia"/>
          <w:b/>
          <w:color w:val="auto"/>
          <w:kern w:val="0"/>
          <w:sz w:val="32"/>
          <w:szCs w:val="32"/>
          <w:highlight w:val="none"/>
        </w:rPr>
      </w:pPr>
    </w:p>
    <w:p w14:paraId="5BE38014">
      <w:pPr>
        <w:pStyle w:val="2"/>
        <w:rPr>
          <w:rFonts w:hint="eastAsia" w:cs="宋体" w:asciiTheme="majorEastAsia" w:hAnsiTheme="majorEastAsia" w:eastAsiaTheme="majorEastAsia"/>
          <w:b/>
          <w:color w:val="auto"/>
          <w:kern w:val="0"/>
          <w:sz w:val="32"/>
          <w:szCs w:val="32"/>
          <w:highlight w:val="none"/>
        </w:rPr>
      </w:pPr>
    </w:p>
    <w:p w14:paraId="6AD934F9">
      <w:pPr>
        <w:rPr>
          <w:rFonts w:hint="eastAsia" w:cs="宋体" w:asciiTheme="majorEastAsia" w:hAnsiTheme="majorEastAsia" w:eastAsiaTheme="majorEastAsia"/>
          <w:b/>
          <w:color w:val="auto"/>
          <w:kern w:val="0"/>
          <w:sz w:val="32"/>
          <w:szCs w:val="32"/>
          <w:highlight w:val="none"/>
        </w:rPr>
      </w:pPr>
    </w:p>
    <w:p w14:paraId="50C3FF8B">
      <w:pPr>
        <w:pStyle w:val="2"/>
        <w:rPr>
          <w:rFonts w:hint="eastAsia" w:cs="宋体" w:asciiTheme="majorEastAsia" w:hAnsiTheme="majorEastAsia" w:eastAsiaTheme="majorEastAsia"/>
          <w:b/>
          <w:color w:val="auto"/>
          <w:kern w:val="0"/>
          <w:sz w:val="32"/>
          <w:szCs w:val="32"/>
          <w:highlight w:val="none"/>
        </w:rPr>
      </w:pPr>
    </w:p>
    <w:p w14:paraId="59E18D24">
      <w:pPr>
        <w:rPr>
          <w:rFonts w:hint="eastAsia" w:cs="宋体" w:asciiTheme="majorEastAsia" w:hAnsiTheme="majorEastAsia" w:eastAsiaTheme="majorEastAsia"/>
          <w:b/>
          <w:color w:val="auto"/>
          <w:kern w:val="0"/>
          <w:sz w:val="32"/>
          <w:szCs w:val="32"/>
          <w:highlight w:val="none"/>
        </w:rPr>
      </w:pPr>
    </w:p>
    <w:p w14:paraId="1E5F1F76">
      <w:pPr>
        <w:pStyle w:val="2"/>
        <w:rPr>
          <w:rFonts w:hint="eastAsia"/>
          <w:color w:val="auto"/>
          <w:highlight w:val="none"/>
        </w:rPr>
      </w:pPr>
    </w:p>
    <w:p w14:paraId="30D14A53">
      <w:pPr>
        <w:rPr>
          <w:rFonts w:hint="eastAsia" w:cs="宋体" w:asciiTheme="majorEastAsia" w:hAnsiTheme="majorEastAsia" w:eastAsiaTheme="majorEastAsia"/>
          <w:b/>
          <w:color w:val="auto"/>
          <w:kern w:val="0"/>
          <w:sz w:val="32"/>
          <w:szCs w:val="32"/>
          <w:highlight w:val="none"/>
        </w:rPr>
      </w:pPr>
    </w:p>
    <w:p w14:paraId="487BF5A2">
      <w:pPr>
        <w:pStyle w:val="14"/>
        <w:rPr>
          <w:rFonts w:hint="eastAsia"/>
          <w:color w:val="auto"/>
          <w:highlight w:val="none"/>
        </w:rPr>
      </w:pPr>
    </w:p>
    <w:p w14:paraId="06B60009">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第七章 合同条款及格式</w:t>
      </w:r>
    </w:p>
    <w:p w14:paraId="609CDB05">
      <w:pPr>
        <w:spacing w:line="360" w:lineRule="auto"/>
        <w:jc w:val="center"/>
        <w:rPr>
          <w:rFonts w:ascii="宋体" w:hAnsi="宋体" w:eastAsia="微软雅黑"/>
          <w:color w:val="auto"/>
          <w:highlight w:val="none"/>
          <w:u w:val="single"/>
        </w:rPr>
      </w:pPr>
      <w:r>
        <w:rPr>
          <w:rFonts w:hint="eastAsia" w:ascii="宋体" w:hAnsi="宋体" w:cs="微软雅黑"/>
          <w:b/>
          <w:bCs/>
          <w:color w:val="auto"/>
          <w:szCs w:val="21"/>
          <w:highlight w:val="none"/>
        </w:rPr>
        <w:t>（此合同仅供参考</w:t>
      </w:r>
      <w:r>
        <w:rPr>
          <w:rFonts w:hint="eastAsia" w:ascii="宋体" w:hAnsi="宋体" w:cs="微软雅黑"/>
          <w:b/>
          <w:bCs/>
          <w:color w:val="auto"/>
          <w:szCs w:val="21"/>
          <w:highlight w:val="none"/>
          <w:lang w:eastAsia="zh-CN"/>
        </w:rPr>
        <w:t>，</w:t>
      </w:r>
      <w:r>
        <w:rPr>
          <w:rFonts w:hint="eastAsia" w:ascii="宋体" w:hAnsi="宋体" w:cs="微软雅黑"/>
          <w:b/>
          <w:bCs/>
          <w:color w:val="auto"/>
          <w:szCs w:val="21"/>
          <w:highlight w:val="none"/>
        </w:rPr>
        <w:t>以最终采购人与中标人</w:t>
      </w:r>
      <w:r>
        <w:rPr>
          <w:rFonts w:hint="eastAsia" w:ascii="宋体" w:hAnsi="宋体" w:cs="微软雅黑"/>
          <w:b/>
          <w:bCs/>
          <w:color w:val="auto"/>
          <w:szCs w:val="21"/>
          <w:highlight w:val="none"/>
          <w:lang w:eastAsia="zh-CN"/>
        </w:rPr>
        <w:t>签订的</w:t>
      </w:r>
      <w:r>
        <w:rPr>
          <w:rFonts w:hint="eastAsia" w:ascii="宋体" w:hAnsi="宋体" w:cs="微软雅黑"/>
          <w:b/>
          <w:bCs/>
          <w:color w:val="auto"/>
          <w:szCs w:val="21"/>
          <w:highlight w:val="none"/>
        </w:rPr>
        <w:t>合同条款为准）</w:t>
      </w:r>
    </w:p>
    <w:p w14:paraId="0F35A9B6">
      <w:pPr>
        <w:pStyle w:val="95"/>
        <w:keepNext w:val="0"/>
        <w:keepLines w:val="0"/>
        <w:widowControl w:val="0"/>
        <w:shd w:val="clear" w:color="auto" w:fill="auto"/>
        <w:bidi w:val="0"/>
        <w:spacing w:before="0" w:after="600" w:line="240" w:lineRule="auto"/>
        <w:ind w:left="0" w:right="0" w:firstLine="0"/>
        <w:jc w:val="right"/>
        <w:rPr>
          <w:color w:val="auto"/>
          <w:highlight w:val="none"/>
        </w:rPr>
      </w:pPr>
      <w:r>
        <w:rPr>
          <w:color w:val="auto"/>
          <w:spacing w:val="0"/>
          <w:w w:val="100"/>
          <w:position w:val="0"/>
          <w:highlight w:val="none"/>
        </w:rPr>
        <w:t>本合同□是/□否中小企业预留合同</w:t>
      </w:r>
    </w:p>
    <w:p w14:paraId="7C3465D1">
      <w:pPr>
        <w:pStyle w:val="96"/>
        <w:keepNext/>
        <w:keepLines/>
        <w:widowControl w:val="0"/>
        <w:shd w:val="clear" w:color="auto" w:fill="auto"/>
        <w:bidi w:val="0"/>
        <w:spacing w:before="0" w:after="540" w:line="240" w:lineRule="auto"/>
        <w:ind w:left="0" w:right="0" w:firstLine="0"/>
        <w:jc w:val="center"/>
        <w:rPr>
          <w:rFonts w:hint="eastAsia" w:ascii="宋体" w:hAnsi="宋体" w:eastAsia="宋体" w:cs="宋体"/>
          <w:color w:val="auto"/>
          <w:sz w:val="21"/>
          <w:szCs w:val="21"/>
          <w:highlight w:val="none"/>
        </w:rPr>
      </w:pPr>
      <w:bookmarkStart w:id="3" w:name="bookmark60"/>
      <w:bookmarkStart w:id="4" w:name="bookmark61"/>
      <w:bookmarkStart w:id="5" w:name="bookmark59"/>
      <w:r>
        <w:rPr>
          <w:rFonts w:hint="eastAsia" w:ascii="宋体" w:hAnsi="宋体" w:eastAsia="宋体" w:cs="宋体"/>
          <w:color w:val="auto"/>
          <w:spacing w:val="0"/>
          <w:w w:val="100"/>
          <w:position w:val="0"/>
          <w:sz w:val="21"/>
          <w:szCs w:val="21"/>
          <w:highlight w:val="none"/>
        </w:rPr>
        <w:t>政府采购服务合同（范本）</w:t>
      </w:r>
      <w:bookmarkEnd w:id="3"/>
      <w:bookmarkEnd w:id="4"/>
      <w:bookmarkEnd w:id="5"/>
    </w:p>
    <w:p w14:paraId="2D4BDD7C">
      <w:pPr>
        <w:pStyle w:val="97"/>
        <w:keepNext w:val="0"/>
        <w:keepLines w:val="0"/>
        <w:widowControl w:val="0"/>
        <w:shd w:val="clear" w:color="auto" w:fill="auto"/>
        <w:tabs>
          <w:tab w:val="left" w:pos="4622"/>
        </w:tabs>
        <w:bidi w:val="0"/>
        <w:spacing w:before="0" w:after="0" w:line="398"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合同编号：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p w14:paraId="3CE2111E">
      <w:pPr>
        <w:pStyle w:val="97"/>
        <w:keepNext w:val="0"/>
        <w:keepLines w:val="0"/>
        <w:widowControl w:val="0"/>
        <w:shd w:val="clear" w:color="auto" w:fill="auto"/>
        <w:tabs>
          <w:tab w:val="left" w:pos="4008"/>
          <w:tab w:val="left" w:leader="underscore" w:pos="4618"/>
        </w:tabs>
        <w:bidi w:val="0"/>
        <w:spacing w:before="0" w:after="0" w:line="398"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签订地：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0"/>
          <w:w w:val="100"/>
          <w:position w:val="0"/>
          <w:sz w:val="21"/>
          <w:szCs w:val="21"/>
          <w:highlight w:val="none"/>
        </w:rPr>
        <w:tab/>
      </w:r>
    </w:p>
    <w:p w14:paraId="45560FAC">
      <w:pPr>
        <w:pStyle w:val="97"/>
        <w:keepNext w:val="0"/>
        <w:keepLines w:val="0"/>
        <w:widowControl w:val="0"/>
        <w:shd w:val="clear" w:color="auto" w:fill="auto"/>
        <w:tabs>
          <w:tab w:val="left" w:pos="4598"/>
        </w:tabs>
        <w:bidi w:val="0"/>
        <w:spacing w:before="0" w:after="0" w:line="398"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甲方（采购人）：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p w14:paraId="6FC6E748">
      <w:pPr>
        <w:pStyle w:val="97"/>
        <w:keepNext w:val="0"/>
        <w:keepLines w:val="0"/>
        <w:widowControl w:val="0"/>
        <w:shd w:val="clear" w:color="auto" w:fill="auto"/>
        <w:tabs>
          <w:tab w:val="left" w:pos="4627"/>
        </w:tabs>
        <w:bidi w:val="0"/>
        <w:spacing w:before="0" w:after="0" w:line="398"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住所地：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p w14:paraId="47C339BE">
      <w:pPr>
        <w:pStyle w:val="97"/>
        <w:keepNext w:val="0"/>
        <w:keepLines w:val="0"/>
        <w:widowControl w:val="0"/>
        <w:shd w:val="clear" w:color="auto" w:fill="auto"/>
        <w:tabs>
          <w:tab w:val="left" w:pos="4608"/>
        </w:tabs>
        <w:bidi w:val="0"/>
        <w:spacing w:before="0" w:after="0" w:line="398"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乙方（中标人）：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p w14:paraId="5479F651">
      <w:pPr>
        <w:pStyle w:val="97"/>
        <w:keepNext w:val="0"/>
        <w:keepLines w:val="0"/>
        <w:widowControl w:val="0"/>
        <w:shd w:val="clear" w:color="auto" w:fill="auto"/>
        <w:tabs>
          <w:tab w:val="left" w:pos="4627"/>
        </w:tabs>
        <w:bidi w:val="0"/>
        <w:spacing w:before="0" w:after="0" w:line="398"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住所地：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p w14:paraId="44DEB175">
      <w:pPr>
        <w:pStyle w:val="97"/>
        <w:keepNext w:val="0"/>
        <w:keepLines w:val="0"/>
        <w:widowControl w:val="0"/>
        <w:shd w:val="clear" w:color="auto" w:fill="auto"/>
        <w:bidi w:val="0"/>
        <w:spacing w:before="0" w:after="0" w:line="398" w:lineRule="exact"/>
        <w:ind w:left="0" w:right="0" w:firstLine="50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乙方于</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年</w:t>
      </w:r>
      <w:r>
        <w:rPr>
          <w:rFonts w:hint="eastAsia" w:ascii="宋体" w:hAnsi="宋体" w:eastAsia="宋体" w:cs="宋体"/>
          <w:color w:val="auto"/>
          <w:spacing w:val="0"/>
          <w:w w:val="100"/>
          <w:position w:val="0"/>
          <w:sz w:val="21"/>
          <w:szCs w:val="21"/>
          <w:highlight w:val="none"/>
          <w:u w:val="single"/>
          <w:lang w:val="en-US" w:eastAsia="zh-CN" w:bidi="zh-CN"/>
        </w:rPr>
        <w:t xml:space="preserve">   </w:t>
      </w:r>
      <w:r>
        <w:rPr>
          <w:rFonts w:hint="eastAsia" w:ascii="宋体" w:hAnsi="宋体" w:eastAsia="宋体" w:cs="宋体"/>
          <w:color w:val="auto"/>
          <w:spacing w:val="0"/>
          <w:w w:val="100"/>
          <w:position w:val="0"/>
          <w:sz w:val="21"/>
          <w:szCs w:val="21"/>
          <w:highlight w:val="none"/>
        </w:rPr>
        <w:t>月</w:t>
      </w:r>
      <w:r>
        <w:rPr>
          <w:rFonts w:hint="eastAsia" w:ascii="宋体" w:hAnsi="宋体" w:eastAsia="宋体" w:cs="宋体"/>
          <w:color w:val="auto"/>
          <w:spacing w:val="0"/>
          <w:w w:val="100"/>
          <w:position w:val="0"/>
          <w:sz w:val="21"/>
          <w:szCs w:val="21"/>
          <w:highlight w:val="none"/>
          <w:u w:val="single"/>
          <w:lang w:val="en-US" w:eastAsia="zh-CN" w:bidi="zh-CN"/>
        </w:rPr>
        <w:t xml:space="preserve">   </w:t>
      </w:r>
      <w:r>
        <w:rPr>
          <w:rFonts w:hint="eastAsia" w:ascii="宋体" w:hAnsi="宋体" w:eastAsia="宋体" w:cs="宋体"/>
          <w:color w:val="auto"/>
          <w:spacing w:val="0"/>
          <w:w w:val="100"/>
          <w:position w:val="0"/>
          <w:sz w:val="21"/>
          <w:szCs w:val="21"/>
          <w:highlight w:val="none"/>
        </w:rPr>
        <w:t xml:space="preserve">日参加了 </w:t>
      </w:r>
      <w:r>
        <w:rPr>
          <w:rFonts w:hint="eastAsia" w:ascii="宋体" w:hAnsi="宋体" w:eastAsia="宋体" w:cs="宋体"/>
          <w:color w:val="auto"/>
          <w:spacing w:val="0"/>
          <w:w w:val="100"/>
          <w:position w:val="0"/>
          <w:sz w:val="21"/>
          <w:szCs w:val="21"/>
          <w:highlight w:val="none"/>
          <w:u w:val="single"/>
        </w:rPr>
        <w:t>（</w:t>
      </w:r>
      <w:r>
        <w:rPr>
          <w:rFonts w:hint="eastAsia" w:ascii="宋体" w:hAnsi="宋体" w:eastAsia="宋体" w:cs="宋体"/>
          <w:color w:val="auto"/>
          <w:spacing w:val="0"/>
          <w:w w:val="100"/>
          <w:position w:val="0"/>
          <w:sz w:val="21"/>
          <w:szCs w:val="21"/>
          <w:highlight w:val="none"/>
          <w:u w:val="single"/>
          <w:lang w:eastAsia="zh-CN"/>
        </w:rPr>
        <w:t>采</w:t>
      </w:r>
      <w:r>
        <w:rPr>
          <w:rFonts w:hint="eastAsia" w:ascii="宋体" w:hAnsi="宋体" w:eastAsia="宋体" w:cs="宋体"/>
          <w:color w:val="auto"/>
          <w:spacing w:val="0"/>
          <w:w w:val="100"/>
          <w:position w:val="0"/>
          <w:sz w:val="21"/>
          <w:szCs w:val="21"/>
          <w:highlight w:val="none"/>
          <w:u w:val="single"/>
        </w:rPr>
        <w:t>购代理机构）</w:t>
      </w:r>
      <w:r>
        <w:rPr>
          <w:rFonts w:hint="eastAsia" w:ascii="宋体" w:hAnsi="宋体" w:eastAsia="宋体" w:cs="宋体"/>
          <w:color w:val="auto"/>
          <w:spacing w:val="0"/>
          <w:w w:val="100"/>
          <w:position w:val="0"/>
          <w:sz w:val="21"/>
          <w:szCs w:val="21"/>
          <w:highlight w:val="none"/>
        </w:rPr>
        <w:t>组织的“</w:t>
      </w:r>
      <w:r>
        <w:rPr>
          <w:rFonts w:hint="eastAsia" w:ascii="宋体" w:hAnsi="宋体" w:eastAsia="宋体" w:cs="宋体"/>
          <w:color w:val="auto"/>
          <w:spacing w:val="0"/>
          <w:w w:val="100"/>
          <w:position w:val="0"/>
          <w:sz w:val="21"/>
          <w:szCs w:val="21"/>
          <w:highlight w:val="none"/>
          <w:u w:val="single"/>
        </w:rPr>
        <w:t>（项目名称及项目编号）</w:t>
      </w:r>
      <w:r>
        <w:rPr>
          <w:rFonts w:hint="eastAsia" w:ascii="宋体" w:hAnsi="宋体" w:eastAsia="宋体" w:cs="宋体"/>
          <w:color w:val="auto"/>
          <w:spacing w:val="0"/>
          <w:w w:val="100"/>
          <w:position w:val="0"/>
          <w:sz w:val="21"/>
          <w:szCs w:val="21"/>
          <w:highlight w:val="none"/>
          <w:lang w:val="en-US" w:eastAsia="en-US" w:bidi="en-US"/>
        </w:rPr>
        <w:t>"</w:t>
      </w:r>
      <w:r>
        <w:rPr>
          <w:rFonts w:hint="eastAsia" w:ascii="宋体" w:hAnsi="宋体" w:eastAsia="宋体" w:cs="宋体"/>
          <w:color w:val="auto"/>
          <w:spacing w:val="0"/>
          <w:w w:val="100"/>
          <w:position w:val="0"/>
          <w:sz w:val="21"/>
          <w:szCs w:val="21"/>
          <w:highlight w:val="none"/>
        </w:rPr>
        <w:t>政府</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购活动，经评标委）会评审确定乙方为</w:t>
      </w:r>
      <w:r>
        <w:rPr>
          <w:rFonts w:hint="eastAsia" w:ascii="宋体" w:hAnsi="宋体" w:eastAsia="宋体" w:cs="宋体"/>
          <w:color w:val="auto"/>
          <w:spacing w:val="0"/>
          <w:w w:val="100"/>
          <w:position w:val="0"/>
          <w:sz w:val="21"/>
          <w:szCs w:val="21"/>
          <w:highlight w:val="none"/>
          <w:u w:val="single"/>
        </w:rPr>
        <w:t>（包及包名称）</w:t>
      </w:r>
      <w:r>
        <w:rPr>
          <w:rFonts w:hint="eastAsia" w:ascii="宋体" w:hAnsi="宋体" w:eastAsia="宋体" w:cs="宋体"/>
          <w:color w:val="auto"/>
          <w:spacing w:val="0"/>
          <w:w w:val="100"/>
          <w:position w:val="0"/>
          <w:sz w:val="21"/>
          <w:szCs w:val="21"/>
          <w:highlight w:val="none"/>
        </w:rPr>
        <w:t>中标人，按照《中华人民共和国民法典</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中华人民共和国政府</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购法》和相关的法律法规规定，以及招标文件规定，经甲乙双方协商一致，签订本政府</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购合同。</w:t>
      </w:r>
    </w:p>
    <w:p w14:paraId="01EE7204">
      <w:pPr>
        <w:pStyle w:val="97"/>
        <w:keepNext w:val="0"/>
        <w:keepLines w:val="0"/>
        <w:widowControl w:val="0"/>
        <w:shd w:val="clear" w:color="auto" w:fill="auto"/>
        <w:bidi w:val="0"/>
        <w:spacing w:before="0" w:after="0" w:line="398"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第一条合同标的</w:t>
      </w:r>
    </w:p>
    <w:p w14:paraId="0708651A">
      <w:pPr>
        <w:pStyle w:val="97"/>
        <w:keepNext w:val="0"/>
        <w:keepLines w:val="0"/>
        <w:widowControl w:val="0"/>
        <w:shd w:val="clear" w:color="auto" w:fill="auto"/>
        <w:bidi w:val="0"/>
        <w:spacing w:before="0" w:after="0" w:line="398"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服务名称：</w:t>
      </w:r>
    </w:p>
    <w:p w14:paraId="14FA188C">
      <w:pPr>
        <w:pStyle w:val="97"/>
        <w:keepNext w:val="0"/>
        <w:keepLines w:val="0"/>
        <w:widowControl w:val="0"/>
        <w:shd w:val="clear" w:color="auto" w:fill="auto"/>
        <w:tabs>
          <w:tab w:val="left" w:leader="dot" w:pos="2573"/>
        </w:tabs>
        <w:bidi w:val="0"/>
        <w:spacing w:before="0" w:after="0" w:line="398"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服务内容：</w:t>
      </w:r>
      <w:r>
        <w:rPr>
          <w:rFonts w:hint="eastAsia" w:ascii="宋体" w:hAnsi="宋体" w:eastAsia="宋体" w:cs="宋体"/>
          <w:color w:val="auto"/>
          <w:spacing w:val="0"/>
          <w:w w:val="100"/>
          <w:position w:val="0"/>
          <w:sz w:val="21"/>
          <w:szCs w:val="21"/>
          <w:highlight w:val="none"/>
          <w:lang w:val="en-US" w:eastAsia="en-US" w:bidi="en-US"/>
        </w:rPr>
        <w:tab/>
      </w:r>
    </w:p>
    <w:p w14:paraId="0B293030">
      <w:pPr>
        <w:pStyle w:val="97"/>
        <w:keepNext w:val="0"/>
        <w:keepLines w:val="0"/>
        <w:widowControl w:val="0"/>
        <w:shd w:val="clear" w:color="auto" w:fill="auto"/>
        <w:tabs>
          <w:tab w:val="left" w:leader="dot" w:pos="2098"/>
        </w:tabs>
        <w:bidi w:val="0"/>
        <w:spacing w:before="0" w:after="0" w:line="398"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技术标准：</w:t>
      </w:r>
      <w:r>
        <w:rPr>
          <w:rFonts w:hint="eastAsia" w:ascii="宋体" w:hAnsi="宋体" w:eastAsia="宋体" w:cs="宋体"/>
          <w:color w:val="auto"/>
          <w:spacing w:val="0"/>
          <w:w w:val="100"/>
          <w:position w:val="0"/>
          <w:sz w:val="21"/>
          <w:szCs w:val="21"/>
          <w:highlight w:val="none"/>
          <w:lang w:val="en-US" w:eastAsia="en-US" w:bidi="en-US"/>
        </w:rPr>
        <w:tab/>
      </w:r>
    </w:p>
    <w:p w14:paraId="247377F0">
      <w:pPr>
        <w:pStyle w:val="97"/>
        <w:keepNext w:val="0"/>
        <w:keepLines w:val="0"/>
        <w:widowControl w:val="0"/>
        <w:shd w:val="clear" w:color="auto" w:fill="auto"/>
        <w:bidi w:val="0"/>
        <w:spacing w:before="0" w:after="0" w:line="398" w:lineRule="exact"/>
        <w:ind w:left="0" w:right="0" w:firstLine="480"/>
        <w:jc w:val="left"/>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第二条合同总金额</w:t>
      </w:r>
    </w:p>
    <w:p w14:paraId="3B67AA37">
      <w:pPr>
        <w:pStyle w:val="97"/>
        <w:keepNext w:val="0"/>
        <w:keepLines w:val="0"/>
        <w:widowControl w:val="0"/>
        <w:shd w:val="clear" w:color="auto" w:fill="auto"/>
        <w:tabs>
          <w:tab w:val="left" w:pos="5218"/>
          <w:tab w:val="left" w:pos="6639"/>
        </w:tabs>
        <w:bidi w:val="0"/>
        <w:spacing w:before="0" w:after="0" w:line="392" w:lineRule="exact"/>
        <w:ind w:left="0" w:right="0" w:firstLine="50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合同总金额为人民币（大写）：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0"/>
          <w:w w:val="100"/>
          <w:position w:val="0"/>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0"/>
          <w:w w:val="100"/>
          <w:position w:val="0"/>
          <w:sz w:val="21"/>
          <w:szCs w:val="21"/>
          <w:highlight w:val="none"/>
        </w:rPr>
        <w:t>）</w:t>
      </w:r>
    </w:p>
    <w:p w14:paraId="076BAB82">
      <w:pPr>
        <w:pStyle w:val="97"/>
        <w:keepNext w:val="0"/>
        <w:keepLines w:val="0"/>
        <w:widowControl w:val="0"/>
        <w:shd w:val="clear" w:color="auto" w:fill="auto"/>
        <w:tabs>
          <w:tab w:val="left" w:leader="dot" w:pos="5875"/>
        </w:tabs>
        <w:bidi w:val="0"/>
        <w:spacing w:before="0" w:after="0" w:line="392" w:lineRule="exact"/>
        <w:ind w:left="0" w:right="0" w:firstLine="50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此价格为合同执行不变价，不因国家政策变化而变化，该价款包括了货物及与之配套的设计、制造、正版软件、检验、包装、运输、保险、税费以及安装、 组织验收、培训、技术服务（包括技术资料、图纸提供等）、质保期服务等全部价款，除此之外，甲方不再向乙方支付其他任何费用。</w:t>
      </w:r>
      <w:r>
        <w:rPr>
          <w:rFonts w:hint="eastAsia" w:ascii="宋体" w:hAnsi="宋体" w:eastAsia="宋体" w:cs="宋体"/>
          <w:color w:val="auto"/>
          <w:spacing w:val="0"/>
          <w:w w:val="100"/>
          <w:position w:val="0"/>
          <w:sz w:val="21"/>
          <w:szCs w:val="21"/>
          <w:highlight w:val="none"/>
          <w:lang w:val="en-US" w:eastAsia="en-US" w:bidi="en-US"/>
        </w:rPr>
        <w:tab/>
      </w:r>
    </w:p>
    <w:p w14:paraId="59945360">
      <w:pPr>
        <w:pStyle w:val="97"/>
        <w:keepNext w:val="0"/>
        <w:keepLines w:val="0"/>
        <w:widowControl w:val="0"/>
        <w:shd w:val="clear" w:color="auto" w:fill="auto"/>
        <w:bidi w:val="0"/>
        <w:spacing w:before="0" w:after="160" w:line="392" w:lineRule="exact"/>
        <w:ind w:left="0" w:right="0" w:firstLine="50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第三条服务交付</w:t>
      </w:r>
    </w:p>
    <w:p w14:paraId="1309FA9C">
      <w:pPr>
        <w:pStyle w:val="97"/>
        <w:keepNext w:val="0"/>
        <w:keepLines w:val="0"/>
        <w:widowControl w:val="0"/>
        <w:shd w:val="clear" w:color="auto" w:fill="auto"/>
        <w:tabs>
          <w:tab w:val="left" w:pos="878"/>
        </w:tabs>
        <w:bidi w:val="0"/>
        <w:spacing w:before="0" w:after="0" w:line="372" w:lineRule="auto"/>
        <w:ind w:left="0" w:right="0" w:firstLine="500"/>
        <w:jc w:val="both"/>
        <w:rPr>
          <w:rFonts w:hint="eastAsia" w:ascii="宋体" w:hAnsi="宋体" w:eastAsia="宋体" w:cs="宋体"/>
          <w:color w:val="auto"/>
          <w:sz w:val="21"/>
          <w:szCs w:val="21"/>
          <w:highlight w:val="none"/>
        </w:rPr>
      </w:pPr>
      <w:bookmarkStart w:id="6" w:name="bookmark62"/>
      <w:r>
        <w:rPr>
          <w:rFonts w:hint="eastAsia" w:ascii="宋体" w:hAnsi="宋体" w:eastAsia="宋体" w:cs="宋体"/>
          <w:color w:val="auto"/>
          <w:spacing w:val="0"/>
          <w:w w:val="100"/>
          <w:position w:val="0"/>
          <w:sz w:val="21"/>
          <w:szCs w:val="21"/>
          <w:highlight w:val="none"/>
        </w:rPr>
        <w:t>1</w:t>
      </w:r>
      <w:bookmarkEnd w:id="6"/>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交付日期：</w:t>
      </w:r>
    </w:p>
    <w:p w14:paraId="72E85251">
      <w:pPr>
        <w:pStyle w:val="97"/>
        <w:keepNext w:val="0"/>
        <w:keepLines w:val="0"/>
        <w:widowControl w:val="0"/>
        <w:shd w:val="clear" w:color="auto" w:fill="auto"/>
        <w:tabs>
          <w:tab w:val="left" w:pos="892"/>
          <w:tab w:val="left" w:leader="dot" w:pos="2478"/>
        </w:tabs>
        <w:bidi w:val="0"/>
        <w:spacing w:before="0" w:after="0" w:line="372" w:lineRule="auto"/>
        <w:ind w:left="0" w:right="0" w:firstLine="500"/>
        <w:jc w:val="both"/>
        <w:rPr>
          <w:rFonts w:hint="eastAsia" w:ascii="宋体" w:hAnsi="宋体" w:eastAsia="宋体" w:cs="宋体"/>
          <w:color w:val="auto"/>
          <w:sz w:val="21"/>
          <w:szCs w:val="21"/>
          <w:highlight w:val="none"/>
        </w:rPr>
      </w:pPr>
      <w:bookmarkStart w:id="7" w:name="bookmark63"/>
      <w:r>
        <w:rPr>
          <w:rFonts w:hint="eastAsia" w:ascii="宋体" w:hAnsi="宋体" w:eastAsia="宋体" w:cs="宋体"/>
          <w:color w:val="auto"/>
          <w:spacing w:val="0"/>
          <w:w w:val="100"/>
          <w:position w:val="0"/>
          <w:sz w:val="21"/>
          <w:szCs w:val="21"/>
          <w:highlight w:val="none"/>
        </w:rPr>
        <w:t>2</w:t>
      </w:r>
      <w:bookmarkEnd w:id="7"/>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交付地点</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en-US" w:bidi="en-US"/>
        </w:rPr>
        <w:tab/>
      </w:r>
    </w:p>
    <w:p w14:paraId="51F16B31">
      <w:pPr>
        <w:pStyle w:val="97"/>
        <w:keepNext w:val="0"/>
        <w:keepLines w:val="0"/>
        <w:widowControl w:val="0"/>
        <w:shd w:val="clear" w:color="auto" w:fill="auto"/>
        <w:bidi w:val="0"/>
        <w:spacing w:before="0" w:after="0" w:line="391" w:lineRule="exact"/>
        <w:ind w:left="0" w:right="0" w:firstLine="50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第四条交付验收</w:t>
      </w:r>
    </w:p>
    <w:p w14:paraId="762961BC">
      <w:pPr>
        <w:pStyle w:val="97"/>
        <w:keepNext w:val="0"/>
        <w:keepLines w:val="0"/>
        <w:widowControl w:val="0"/>
        <w:shd w:val="clear" w:color="auto" w:fill="auto"/>
        <w:bidi w:val="0"/>
        <w:spacing w:before="0" w:after="80" w:line="391" w:lineRule="exact"/>
        <w:ind w:left="0" w:right="0" w:firstLine="500"/>
        <w:jc w:val="both"/>
        <w:rPr>
          <w:rFonts w:hint="eastAsia" w:ascii="宋体" w:hAnsi="宋体" w:eastAsia="宋体" w:cs="宋体"/>
          <w:color w:val="auto"/>
          <w:sz w:val="21"/>
          <w:szCs w:val="21"/>
          <w:highlight w:val="none"/>
        </w:rPr>
        <w:sectPr>
          <w:footerReference r:id="rId5" w:type="default"/>
          <w:footnotePr>
            <w:numFmt w:val="decimal"/>
          </w:footnotePr>
          <w:pgSz w:w="11900" w:h="16840"/>
          <w:pgMar w:top="1559" w:right="1680" w:bottom="1361" w:left="1709" w:header="1131" w:footer="964" w:gutter="0"/>
          <w:pgNumType w:fmt="decimal" w:start="5"/>
          <w:cols w:space="0" w:num="1"/>
          <w:rtlGutter w:val="0"/>
          <w:docGrid w:linePitch="360" w:charSpace="0"/>
        </w:sectPr>
      </w:pPr>
      <w:r>
        <w:rPr>
          <w:rFonts w:hint="eastAsia" w:ascii="宋体" w:hAnsi="宋体" w:eastAsia="宋体" w:cs="宋体"/>
          <w:color w:val="auto"/>
          <w:spacing w:val="0"/>
          <w:w w:val="100"/>
          <w:position w:val="0"/>
          <w:sz w:val="21"/>
          <w:szCs w:val="21"/>
          <w:highlight w:val="none"/>
        </w:rPr>
        <w:t>1、甲方应当根据国家、行业验收标准，以及合同约定验收方案，明确验收时间、方式、程序和内容等事项，组成验收小组，在收到乙方项目验收建议之日起1 个工作日内，对采购项目进行实质性验收（验收建议有明显不当的除外）。乙方应对提交的服务成果</w:t>
      </w:r>
    </w:p>
    <w:p w14:paraId="7A1CFF01">
      <w:pPr>
        <w:pStyle w:val="97"/>
        <w:keepNext w:val="0"/>
        <w:keepLines w:val="0"/>
        <w:widowControl w:val="0"/>
        <w:shd w:val="clear" w:color="auto" w:fill="auto"/>
        <w:bidi w:val="0"/>
        <w:spacing w:before="0" w:after="0" w:line="400" w:lineRule="exact"/>
        <w:ind w:left="0" w:right="0" w:firstLine="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作出全面检查和整理，并列出清单，作为甲方验收和使用技术条件依据，清单应随提交的服务成果交给甲方。</w:t>
      </w:r>
    </w:p>
    <w:p w14:paraId="523BE096">
      <w:pPr>
        <w:pStyle w:val="97"/>
        <w:keepNext w:val="0"/>
        <w:keepLines w:val="0"/>
        <w:widowControl w:val="0"/>
        <w:shd w:val="clear" w:color="auto" w:fill="auto"/>
        <w:tabs>
          <w:tab w:val="left" w:pos="848"/>
        </w:tabs>
        <w:bidi w:val="0"/>
        <w:spacing w:before="0" w:after="0" w:line="400" w:lineRule="exact"/>
        <w:ind w:left="0" w:right="0" w:firstLine="480"/>
        <w:jc w:val="both"/>
        <w:rPr>
          <w:rFonts w:hint="eastAsia" w:ascii="宋体" w:hAnsi="宋体" w:eastAsia="宋体" w:cs="宋体"/>
          <w:color w:val="auto"/>
          <w:sz w:val="21"/>
          <w:szCs w:val="21"/>
          <w:highlight w:val="none"/>
        </w:rPr>
      </w:pPr>
      <w:bookmarkStart w:id="8" w:name="bookmark64"/>
      <w:r>
        <w:rPr>
          <w:rFonts w:hint="eastAsia" w:ascii="宋体" w:hAnsi="宋体" w:eastAsia="宋体" w:cs="宋体"/>
          <w:color w:val="auto"/>
          <w:spacing w:val="0"/>
          <w:w w:val="100"/>
          <w:position w:val="0"/>
          <w:sz w:val="21"/>
          <w:szCs w:val="21"/>
          <w:highlight w:val="none"/>
        </w:rPr>
        <w:t>2</w:t>
      </w:r>
      <w:bookmarkEnd w:id="8"/>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对大型或复杂的政府</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购项目，甲方应当邀请国家认可的质量检测机构参与验收工作，并出具验收报告，相关费用负担由甲乙双方约定。</w:t>
      </w:r>
    </w:p>
    <w:p w14:paraId="46E39E81">
      <w:pPr>
        <w:pStyle w:val="97"/>
        <w:keepNext w:val="0"/>
        <w:keepLines w:val="0"/>
        <w:widowControl w:val="0"/>
        <w:shd w:val="clear" w:color="auto" w:fill="auto"/>
        <w:tabs>
          <w:tab w:val="left" w:pos="862"/>
        </w:tabs>
        <w:bidi w:val="0"/>
        <w:spacing w:before="0" w:after="0" w:line="400" w:lineRule="exact"/>
        <w:ind w:left="0" w:right="0" w:firstLine="480"/>
        <w:jc w:val="both"/>
        <w:rPr>
          <w:rFonts w:hint="eastAsia" w:ascii="宋体" w:hAnsi="宋体" w:eastAsia="宋体" w:cs="宋体"/>
          <w:color w:val="auto"/>
          <w:sz w:val="21"/>
          <w:szCs w:val="21"/>
          <w:highlight w:val="none"/>
        </w:rPr>
      </w:pPr>
      <w:bookmarkStart w:id="9" w:name="bookmark65"/>
      <w:r>
        <w:rPr>
          <w:rFonts w:hint="eastAsia" w:ascii="宋体" w:hAnsi="宋体" w:eastAsia="宋体" w:cs="宋体"/>
          <w:color w:val="auto"/>
          <w:spacing w:val="0"/>
          <w:w w:val="100"/>
          <w:position w:val="0"/>
          <w:sz w:val="21"/>
          <w:szCs w:val="21"/>
          <w:highlight w:val="none"/>
        </w:rPr>
        <w:t>3</w:t>
      </w:r>
      <w:bookmarkEnd w:id="9"/>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乙方在指定地点提交服务成果后，甲乙双方应依据招标文件、投标文件等文件材料的要求共同验收，并且出具书面验收报告，履约验收报告应当依法依规及时在</w:t>
      </w:r>
      <w:r>
        <w:rPr>
          <w:rFonts w:hint="eastAsia" w:ascii="宋体" w:hAnsi="宋体" w:eastAsia="宋体" w:cs="宋体"/>
          <w:color w:val="auto"/>
          <w:spacing w:val="0"/>
          <w:w w:val="100"/>
          <w:position w:val="0"/>
          <w:sz w:val="21"/>
          <w:szCs w:val="21"/>
          <w:highlight w:val="none"/>
          <w:lang w:eastAsia="zh-CN"/>
        </w:rPr>
        <w:t>河南省</w:t>
      </w:r>
      <w:r>
        <w:rPr>
          <w:rFonts w:hint="eastAsia" w:ascii="宋体" w:hAnsi="宋体" w:eastAsia="宋体" w:cs="宋体"/>
          <w:color w:val="auto"/>
          <w:spacing w:val="0"/>
          <w:w w:val="100"/>
          <w:position w:val="0"/>
          <w:sz w:val="21"/>
          <w:szCs w:val="21"/>
          <w:highlight w:val="none"/>
        </w:rPr>
        <w:t>政府采购网公开发布。</w:t>
      </w:r>
    </w:p>
    <w:p w14:paraId="75A51973">
      <w:pPr>
        <w:pStyle w:val="97"/>
        <w:keepNext w:val="0"/>
        <w:keepLines w:val="0"/>
        <w:widowControl w:val="0"/>
        <w:shd w:val="clear" w:color="auto" w:fill="auto"/>
        <w:tabs>
          <w:tab w:val="left" w:pos="853"/>
          <w:tab w:val="left" w:pos="5846"/>
        </w:tabs>
        <w:bidi w:val="0"/>
        <w:spacing w:before="0" w:after="0" w:line="400" w:lineRule="exact"/>
        <w:ind w:left="0" w:right="0" w:firstLine="480"/>
        <w:jc w:val="both"/>
        <w:rPr>
          <w:rFonts w:hint="eastAsia" w:ascii="宋体" w:hAnsi="宋体" w:eastAsia="宋体" w:cs="宋体"/>
          <w:color w:val="auto"/>
          <w:sz w:val="21"/>
          <w:szCs w:val="21"/>
          <w:highlight w:val="none"/>
        </w:rPr>
      </w:pPr>
      <w:bookmarkStart w:id="10" w:name="bookmark66"/>
      <w:r>
        <w:rPr>
          <w:rFonts w:hint="eastAsia" w:ascii="宋体" w:hAnsi="宋体" w:eastAsia="宋体" w:cs="宋体"/>
          <w:color w:val="auto"/>
          <w:spacing w:val="0"/>
          <w:w w:val="100"/>
          <w:position w:val="0"/>
          <w:sz w:val="21"/>
          <w:szCs w:val="21"/>
          <w:highlight w:val="none"/>
        </w:rPr>
        <w:t>4</w:t>
      </w:r>
      <w:bookmarkEnd w:id="10"/>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根据财政部等三部门《关于印发</w:t>
      </w:r>
      <w:r>
        <w:rPr>
          <w:rFonts w:hint="eastAsia" w:ascii="宋体" w:hAnsi="宋体" w:eastAsia="宋体" w:cs="宋体"/>
          <w:color w:val="auto"/>
          <w:spacing w:val="0"/>
          <w:w w:val="100"/>
          <w:position w:val="0"/>
          <w:sz w:val="21"/>
          <w:szCs w:val="21"/>
          <w:highlight w:val="none"/>
          <w:lang w:val="zh-CN" w:eastAsia="zh-CN" w:bidi="zh-CN"/>
        </w:rPr>
        <w:t>〈商</w:t>
      </w:r>
      <w:r>
        <w:rPr>
          <w:rFonts w:hint="eastAsia" w:ascii="宋体" w:hAnsi="宋体" w:eastAsia="宋体" w:cs="宋体"/>
          <w:color w:val="auto"/>
          <w:spacing w:val="0"/>
          <w:w w:val="100"/>
          <w:position w:val="0"/>
          <w:sz w:val="21"/>
          <w:szCs w:val="21"/>
          <w:highlight w:val="none"/>
        </w:rPr>
        <w:t>品包装政府采购需求标准（试行）〉、〈 快递包装政府采购需求标准（试行）〉的通知》规定，</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购文件对商品包装和快递包装提出具体要求的，对乙方所提供包装的履约验收要求（必要时要求乙方在履约验收环节出具检测报告）：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0"/>
          <w:w w:val="100"/>
          <w:position w:val="0"/>
          <w:sz w:val="21"/>
          <w:szCs w:val="21"/>
          <w:highlight w:val="none"/>
        </w:rPr>
        <w:t>……</w:t>
      </w:r>
    </w:p>
    <w:p w14:paraId="29E0656D">
      <w:pPr>
        <w:pStyle w:val="97"/>
        <w:keepNext w:val="0"/>
        <w:keepLines w:val="0"/>
        <w:widowControl w:val="0"/>
        <w:shd w:val="clear" w:color="auto" w:fill="auto"/>
        <w:bidi w:val="0"/>
        <w:spacing w:before="0" w:after="140" w:line="400"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第五条权利瑕疵担当</w:t>
      </w:r>
    </w:p>
    <w:p w14:paraId="516F514C">
      <w:pPr>
        <w:pStyle w:val="97"/>
        <w:keepNext w:val="0"/>
        <w:keepLines w:val="0"/>
        <w:widowControl w:val="0"/>
        <w:numPr>
          <w:ilvl w:val="0"/>
          <w:numId w:val="14"/>
        </w:numPr>
        <w:shd w:val="clear" w:color="auto" w:fill="auto"/>
        <w:tabs>
          <w:tab w:val="left" w:pos="819"/>
        </w:tabs>
        <w:bidi w:val="0"/>
        <w:spacing w:before="0" w:after="0"/>
        <w:ind w:left="0" w:right="0" w:firstLine="480"/>
        <w:jc w:val="both"/>
        <w:rPr>
          <w:rFonts w:hint="eastAsia" w:ascii="宋体" w:hAnsi="宋体" w:eastAsia="宋体" w:cs="宋体"/>
          <w:color w:val="auto"/>
          <w:sz w:val="21"/>
          <w:szCs w:val="21"/>
          <w:highlight w:val="none"/>
        </w:rPr>
      </w:pPr>
      <w:bookmarkStart w:id="11" w:name="bookmark67"/>
      <w:bookmarkEnd w:id="11"/>
      <w:r>
        <w:rPr>
          <w:rFonts w:hint="eastAsia" w:ascii="宋体" w:hAnsi="宋体" w:eastAsia="宋体" w:cs="宋体"/>
          <w:color w:val="auto"/>
          <w:spacing w:val="0"/>
          <w:w w:val="100"/>
          <w:position w:val="0"/>
          <w:sz w:val="21"/>
          <w:szCs w:val="21"/>
          <w:highlight w:val="none"/>
        </w:rPr>
        <w:t>乙方保证对其出售的标的物享有合法的权利；</w:t>
      </w:r>
    </w:p>
    <w:p w14:paraId="4FAE5329">
      <w:pPr>
        <w:pStyle w:val="97"/>
        <w:keepNext w:val="0"/>
        <w:keepLines w:val="0"/>
        <w:widowControl w:val="0"/>
        <w:numPr>
          <w:ilvl w:val="0"/>
          <w:numId w:val="14"/>
        </w:numPr>
        <w:shd w:val="clear" w:color="auto" w:fill="auto"/>
        <w:tabs>
          <w:tab w:val="left" w:pos="824"/>
        </w:tabs>
        <w:bidi w:val="0"/>
        <w:spacing w:before="0" w:after="0" w:line="400" w:lineRule="exact"/>
        <w:ind w:left="0" w:right="0" w:firstLine="480"/>
        <w:jc w:val="both"/>
        <w:rPr>
          <w:rFonts w:hint="eastAsia" w:ascii="宋体" w:hAnsi="宋体" w:eastAsia="宋体" w:cs="宋体"/>
          <w:color w:val="auto"/>
          <w:sz w:val="21"/>
          <w:szCs w:val="21"/>
          <w:highlight w:val="none"/>
        </w:rPr>
      </w:pPr>
      <w:bookmarkStart w:id="12" w:name="bookmark68"/>
      <w:bookmarkEnd w:id="12"/>
      <w:r>
        <w:rPr>
          <w:rFonts w:hint="eastAsia" w:ascii="宋体" w:hAnsi="宋体" w:eastAsia="宋体" w:cs="宋体"/>
          <w:color w:val="auto"/>
          <w:spacing w:val="0"/>
          <w:w w:val="100"/>
          <w:position w:val="0"/>
          <w:sz w:val="21"/>
          <w:szCs w:val="21"/>
          <w:highlight w:val="none"/>
        </w:rPr>
        <w:t>乙方应保证在其出售的标的物上不存在任何未曾向甲方透露的担保物权，如抵押权、质押权、留置权等；</w:t>
      </w:r>
    </w:p>
    <w:p w14:paraId="4076250F">
      <w:pPr>
        <w:pStyle w:val="97"/>
        <w:keepNext w:val="0"/>
        <w:keepLines w:val="0"/>
        <w:widowControl w:val="0"/>
        <w:numPr>
          <w:ilvl w:val="0"/>
          <w:numId w:val="14"/>
        </w:numPr>
        <w:shd w:val="clear" w:color="auto" w:fill="auto"/>
        <w:tabs>
          <w:tab w:val="left" w:pos="819"/>
        </w:tabs>
        <w:bidi w:val="0"/>
        <w:spacing w:before="0" w:after="140" w:line="400" w:lineRule="exact"/>
        <w:ind w:left="0" w:right="0" w:firstLine="480"/>
        <w:jc w:val="both"/>
        <w:rPr>
          <w:rFonts w:hint="eastAsia" w:ascii="宋体" w:hAnsi="宋体" w:eastAsia="宋体" w:cs="宋体"/>
          <w:color w:val="auto"/>
          <w:sz w:val="21"/>
          <w:szCs w:val="21"/>
          <w:highlight w:val="none"/>
        </w:rPr>
      </w:pPr>
      <w:bookmarkStart w:id="13" w:name="bookmark69"/>
      <w:bookmarkEnd w:id="13"/>
      <w:r>
        <w:rPr>
          <w:rFonts w:hint="eastAsia" w:ascii="宋体" w:hAnsi="宋体" w:eastAsia="宋体" w:cs="宋体"/>
          <w:color w:val="auto"/>
          <w:spacing w:val="0"/>
          <w:w w:val="100"/>
          <w:position w:val="0"/>
          <w:sz w:val="21"/>
          <w:szCs w:val="21"/>
          <w:highlight w:val="none"/>
        </w:rPr>
        <w:t>乙方应保证其所出售的标的物没有侵害任何第三人的知识产权和商业秘密等权利；</w:t>
      </w:r>
    </w:p>
    <w:p w14:paraId="0A2D07A8">
      <w:pPr>
        <w:pStyle w:val="97"/>
        <w:keepNext w:val="0"/>
        <w:keepLines w:val="0"/>
        <w:widowControl w:val="0"/>
        <w:numPr>
          <w:ilvl w:val="0"/>
          <w:numId w:val="14"/>
        </w:numPr>
        <w:shd w:val="clear" w:color="auto" w:fill="auto"/>
        <w:tabs>
          <w:tab w:val="left" w:pos="834"/>
        </w:tabs>
        <w:bidi w:val="0"/>
        <w:spacing w:before="0" w:after="0"/>
        <w:ind w:left="0" w:right="0" w:firstLine="480"/>
        <w:jc w:val="both"/>
        <w:rPr>
          <w:rFonts w:hint="eastAsia" w:ascii="宋体" w:hAnsi="宋体" w:eastAsia="宋体" w:cs="宋体"/>
          <w:color w:val="auto"/>
          <w:sz w:val="21"/>
          <w:szCs w:val="21"/>
          <w:highlight w:val="none"/>
        </w:rPr>
      </w:pPr>
      <w:bookmarkStart w:id="14" w:name="bookmark70"/>
      <w:bookmarkEnd w:id="14"/>
      <w:r>
        <w:rPr>
          <w:rFonts w:hint="eastAsia" w:ascii="宋体" w:hAnsi="宋体" w:eastAsia="宋体" w:cs="宋体"/>
          <w:color w:val="auto"/>
          <w:spacing w:val="0"/>
          <w:w w:val="100"/>
          <w:position w:val="0"/>
          <w:sz w:val="21"/>
          <w:szCs w:val="21"/>
          <w:highlight w:val="none"/>
        </w:rPr>
        <w:t>如甲方使用该标的物构成上述侵权的，则由乙方承担全部责任。</w:t>
      </w:r>
    </w:p>
    <w:p w14:paraId="17180BF0">
      <w:pPr>
        <w:pStyle w:val="97"/>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第六条所有权归属</w:t>
      </w:r>
    </w:p>
    <w:p w14:paraId="5D3B063D">
      <w:pPr>
        <w:pStyle w:val="97"/>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乙方将服务成果交付甲方，并且经甲乙双方共同验收合格后所有权转移给甲方，在所有权转移之前，标的物损毁、灭失的风险归乙方，乙方保证所交付的服务成果的所有权完全属于乙方且无任何抵押、查封等产</w:t>
      </w:r>
      <w:r>
        <w:rPr>
          <w:rFonts w:hint="eastAsia" w:ascii="宋体" w:hAnsi="宋体" w:eastAsia="宋体" w:cs="宋体"/>
          <w:color w:val="auto"/>
          <w:spacing w:val="0"/>
          <w:w w:val="100"/>
          <w:position w:val="0"/>
          <w:sz w:val="21"/>
          <w:szCs w:val="21"/>
          <w:highlight w:val="none"/>
          <w:lang w:eastAsia="zh-CN"/>
        </w:rPr>
        <w:t>权</w:t>
      </w:r>
      <w:r>
        <w:rPr>
          <w:rFonts w:hint="eastAsia" w:ascii="宋体" w:hAnsi="宋体" w:eastAsia="宋体" w:cs="宋体"/>
          <w:color w:val="auto"/>
          <w:spacing w:val="0"/>
          <w:w w:val="100"/>
          <w:position w:val="0"/>
          <w:sz w:val="21"/>
          <w:szCs w:val="21"/>
          <w:highlight w:val="none"/>
        </w:rPr>
        <w:t>瑕疵。</w:t>
      </w:r>
    </w:p>
    <w:p w14:paraId="4C5AFA37">
      <w:pPr>
        <w:pStyle w:val="97"/>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如乙方交付的服务成果有产权瑕疵的，视为乙方违约，乙方须向甲方支付_%的违约金；如果合同总金额价款已经支付完毕或者开始支付合同价款时才发现产权有瑕疵的，乙方仍须支付上述违约金并且赔偿甲方由此所遭受的一切损失。</w:t>
      </w:r>
    </w:p>
    <w:p w14:paraId="50337504">
      <w:pPr>
        <w:pStyle w:val="97"/>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第七条包装、装运及运输</w:t>
      </w:r>
    </w:p>
    <w:p w14:paraId="6886FA19">
      <w:pPr>
        <w:pStyle w:val="97"/>
        <w:keepNext w:val="0"/>
        <w:keepLines w:val="0"/>
        <w:widowControl w:val="0"/>
        <w:shd w:val="clear" w:color="auto" w:fill="auto"/>
        <w:tabs>
          <w:tab w:val="left" w:pos="862"/>
        </w:tabs>
        <w:bidi w:val="0"/>
        <w:spacing w:before="0" w:after="140" w:line="400" w:lineRule="exact"/>
        <w:ind w:left="0" w:right="0" w:firstLine="480"/>
        <w:jc w:val="both"/>
        <w:rPr>
          <w:rFonts w:hint="eastAsia" w:ascii="宋体" w:hAnsi="宋体" w:eastAsia="宋体" w:cs="宋体"/>
          <w:color w:val="auto"/>
          <w:sz w:val="21"/>
          <w:szCs w:val="21"/>
          <w:highlight w:val="none"/>
        </w:rPr>
      </w:pPr>
      <w:bookmarkStart w:id="15" w:name="bookmark71"/>
      <w:r>
        <w:rPr>
          <w:rFonts w:hint="eastAsia" w:ascii="宋体" w:hAnsi="宋体" w:eastAsia="宋体" w:cs="宋体"/>
          <w:color w:val="auto"/>
          <w:spacing w:val="0"/>
          <w:w w:val="100"/>
          <w:position w:val="0"/>
          <w:sz w:val="21"/>
          <w:szCs w:val="21"/>
          <w:highlight w:val="none"/>
        </w:rPr>
        <w:t>1</w:t>
      </w:r>
      <w:bookmarkEnd w:id="15"/>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乙方负责包装、装运和运输，由于不适当的包装、装运和运输造成任何损坏均由乙方负责。</w:t>
      </w:r>
    </w:p>
    <w:p w14:paraId="050EB69F">
      <w:pPr>
        <w:pStyle w:val="97"/>
        <w:keepNext w:val="0"/>
        <w:keepLines w:val="0"/>
        <w:widowControl w:val="0"/>
        <w:shd w:val="clear" w:color="auto" w:fill="auto"/>
        <w:tabs>
          <w:tab w:val="left" w:pos="872"/>
        </w:tabs>
        <w:bidi w:val="0"/>
        <w:spacing w:before="0" w:after="0"/>
        <w:ind w:left="0" w:right="0" w:firstLine="480"/>
        <w:jc w:val="both"/>
        <w:rPr>
          <w:rFonts w:hint="eastAsia" w:ascii="宋体" w:hAnsi="宋体" w:eastAsia="宋体" w:cs="宋体"/>
          <w:color w:val="auto"/>
          <w:sz w:val="21"/>
          <w:szCs w:val="21"/>
          <w:highlight w:val="none"/>
        </w:rPr>
      </w:pPr>
      <w:bookmarkStart w:id="16" w:name="bookmark72"/>
      <w:r>
        <w:rPr>
          <w:rFonts w:hint="eastAsia" w:ascii="宋体" w:hAnsi="宋体" w:eastAsia="宋体" w:cs="宋体"/>
          <w:color w:val="auto"/>
          <w:spacing w:val="0"/>
          <w:w w:val="100"/>
          <w:position w:val="0"/>
          <w:sz w:val="21"/>
          <w:szCs w:val="21"/>
          <w:highlight w:val="none"/>
        </w:rPr>
        <w:t>2</w:t>
      </w:r>
      <w:bookmarkEnd w:id="16"/>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包装费、运费及相关费用已包含在合同总金额内。</w:t>
      </w:r>
    </w:p>
    <w:p w14:paraId="4904DBD0">
      <w:pPr>
        <w:pStyle w:val="97"/>
        <w:keepNext w:val="0"/>
        <w:keepLines w:val="0"/>
        <w:widowControl w:val="0"/>
        <w:shd w:val="clear" w:color="auto" w:fill="auto"/>
        <w:tabs>
          <w:tab w:val="left" w:pos="867"/>
        </w:tabs>
        <w:bidi w:val="0"/>
        <w:spacing w:before="0" w:after="0" w:line="400" w:lineRule="exact"/>
        <w:ind w:left="0" w:right="0" w:firstLine="480"/>
        <w:jc w:val="both"/>
        <w:rPr>
          <w:rFonts w:hint="eastAsia" w:ascii="宋体" w:hAnsi="宋体" w:eastAsia="宋体" w:cs="宋体"/>
          <w:color w:val="auto"/>
          <w:sz w:val="21"/>
          <w:szCs w:val="21"/>
          <w:highlight w:val="none"/>
        </w:rPr>
      </w:pPr>
      <w:bookmarkStart w:id="17" w:name="bookmark73"/>
      <w:r>
        <w:rPr>
          <w:rFonts w:hint="eastAsia" w:ascii="宋体" w:hAnsi="宋体" w:eastAsia="宋体" w:cs="宋体"/>
          <w:color w:val="auto"/>
          <w:spacing w:val="0"/>
          <w:w w:val="100"/>
          <w:position w:val="0"/>
          <w:sz w:val="21"/>
          <w:szCs w:val="21"/>
          <w:highlight w:val="none"/>
        </w:rPr>
        <w:t>3</w:t>
      </w:r>
      <w:bookmarkEnd w:id="17"/>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根据财政部等三部门《关于印发</w:t>
      </w:r>
      <w:r>
        <w:rPr>
          <w:rFonts w:hint="eastAsia" w:ascii="宋体" w:hAnsi="宋体" w:eastAsia="宋体" w:cs="宋体"/>
          <w:color w:val="auto"/>
          <w:spacing w:val="0"/>
          <w:w w:val="100"/>
          <w:position w:val="0"/>
          <w:sz w:val="21"/>
          <w:szCs w:val="21"/>
          <w:highlight w:val="none"/>
          <w:lang w:val="zh-CN" w:eastAsia="zh-CN" w:bidi="zh-CN"/>
        </w:rPr>
        <w:t>〈商</w:t>
      </w:r>
      <w:r>
        <w:rPr>
          <w:rFonts w:hint="eastAsia" w:ascii="宋体" w:hAnsi="宋体" w:eastAsia="宋体" w:cs="宋体"/>
          <w:color w:val="auto"/>
          <w:spacing w:val="0"/>
          <w:w w:val="100"/>
          <w:position w:val="0"/>
          <w:sz w:val="21"/>
          <w:szCs w:val="21"/>
          <w:highlight w:val="none"/>
        </w:rPr>
        <w:t>品包装政府</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购需求标准（试行）＞、〈 快递包装政府</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购需求标准（试行）〉的通知》规定，对乙方提出的具体包装要求：</w:t>
      </w:r>
    </w:p>
    <w:p w14:paraId="6303AE72">
      <w:pPr>
        <w:pStyle w:val="97"/>
        <w:keepNext w:val="0"/>
        <w:keepLines w:val="0"/>
        <w:widowControl w:val="0"/>
        <w:shd w:val="clear" w:color="auto" w:fill="auto"/>
        <w:bidi w:val="0"/>
        <w:spacing w:before="0" w:after="140" w:line="400" w:lineRule="exact"/>
        <w:ind w:left="0" w:right="0" w:firstLine="46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第八条款项支付</w:t>
      </w:r>
    </w:p>
    <w:p w14:paraId="39251A5B">
      <w:pPr>
        <w:pStyle w:val="97"/>
        <w:keepNext w:val="0"/>
        <w:keepLines w:val="0"/>
        <w:widowControl w:val="0"/>
        <w:shd w:val="clear" w:color="auto" w:fill="auto"/>
        <w:tabs>
          <w:tab w:val="left" w:pos="842"/>
        </w:tabs>
        <w:bidi w:val="0"/>
        <w:spacing w:before="0" w:after="0"/>
        <w:ind w:left="0" w:right="0" w:firstLine="460"/>
        <w:jc w:val="both"/>
        <w:rPr>
          <w:rFonts w:hint="eastAsia" w:ascii="宋体" w:hAnsi="宋体" w:eastAsia="宋体" w:cs="宋体"/>
          <w:color w:val="auto"/>
          <w:sz w:val="21"/>
          <w:szCs w:val="21"/>
          <w:highlight w:val="none"/>
        </w:rPr>
      </w:pPr>
      <w:bookmarkStart w:id="18" w:name="bookmark74"/>
      <w:r>
        <w:rPr>
          <w:rFonts w:hint="eastAsia" w:ascii="宋体" w:hAnsi="宋体" w:eastAsia="宋体" w:cs="宋体"/>
          <w:color w:val="auto"/>
          <w:spacing w:val="0"/>
          <w:w w:val="100"/>
          <w:position w:val="0"/>
          <w:sz w:val="21"/>
          <w:szCs w:val="21"/>
          <w:highlight w:val="none"/>
        </w:rPr>
        <w:t>1</w:t>
      </w:r>
      <w:bookmarkEnd w:id="18"/>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服务成果交付甲方，经甲乙双方共同验收合格后由甲方负责办理支付手续。</w:t>
      </w:r>
    </w:p>
    <w:p w14:paraId="52BD720D">
      <w:pPr>
        <w:pStyle w:val="97"/>
        <w:keepNext w:val="0"/>
        <w:keepLines w:val="0"/>
        <w:widowControl w:val="0"/>
        <w:shd w:val="clear" w:color="auto" w:fill="auto"/>
        <w:tabs>
          <w:tab w:val="left" w:pos="392"/>
        </w:tabs>
        <w:bidi w:val="0"/>
        <w:spacing w:before="0" w:after="160"/>
        <w:ind w:left="0" w:right="0" w:firstLine="460"/>
        <w:jc w:val="both"/>
        <w:rPr>
          <w:rFonts w:hint="eastAsia" w:ascii="宋体" w:hAnsi="宋体" w:eastAsia="宋体" w:cs="宋体"/>
          <w:color w:val="auto"/>
          <w:sz w:val="21"/>
          <w:szCs w:val="21"/>
          <w:highlight w:val="none"/>
        </w:rPr>
      </w:pPr>
      <w:bookmarkStart w:id="19" w:name="bookmark75"/>
      <w:r>
        <w:rPr>
          <w:rFonts w:hint="eastAsia" w:ascii="宋体" w:hAnsi="宋体" w:eastAsia="宋体" w:cs="宋体"/>
          <w:color w:val="auto"/>
          <w:spacing w:val="0"/>
          <w:w w:val="100"/>
          <w:position w:val="0"/>
          <w:sz w:val="21"/>
          <w:szCs w:val="21"/>
          <w:highlight w:val="none"/>
        </w:rPr>
        <w:t>2</w:t>
      </w:r>
      <w:bookmarkEnd w:id="19"/>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允许并鼓励乙方提供电子发票，甲方自收到发票之日起2个工作日内支付 资金，并不得附加未经约定的其他条件。</w:t>
      </w:r>
    </w:p>
    <w:p w14:paraId="0199AD37">
      <w:pPr>
        <w:pStyle w:val="97"/>
        <w:keepNext w:val="0"/>
        <w:keepLines w:val="0"/>
        <w:widowControl w:val="0"/>
        <w:shd w:val="clear" w:color="auto" w:fill="auto"/>
        <w:bidi w:val="0"/>
        <w:spacing w:before="0" w:after="0" w:line="382" w:lineRule="auto"/>
        <w:ind w:left="0" w:right="0" w:firstLine="480"/>
        <w:jc w:val="both"/>
        <w:rPr>
          <w:rFonts w:hint="eastAsia" w:ascii="宋体" w:hAnsi="宋体" w:eastAsia="宋体" w:cs="宋体"/>
          <w:color w:val="auto"/>
          <w:sz w:val="21"/>
          <w:szCs w:val="21"/>
          <w:highlight w:val="none"/>
        </w:rPr>
      </w:pPr>
      <w:bookmarkStart w:id="20" w:name="bookmark76"/>
      <w:r>
        <w:rPr>
          <w:rFonts w:hint="eastAsia" w:ascii="宋体" w:hAnsi="宋体" w:eastAsia="宋体" w:cs="宋体"/>
          <w:color w:val="auto"/>
          <w:spacing w:val="0"/>
          <w:w w:val="100"/>
          <w:position w:val="0"/>
          <w:sz w:val="21"/>
          <w:szCs w:val="21"/>
          <w:highlight w:val="none"/>
        </w:rPr>
        <w:t>3</w:t>
      </w:r>
      <w:bookmarkEnd w:id="20"/>
      <w:r>
        <w:rPr>
          <w:rFonts w:hint="eastAsia" w:ascii="宋体" w:hAnsi="宋体" w:eastAsia="宋体" w:cs="宋体"/>
          <w:color w:val="auto"/>
          <w:spacing w:val="0"/>
          <w:w w:val="100"/>
          <w:position w:val="0"/>
          <w:sz w:val="21"/>
          <w:szCs w:val="21"/>
          <w:highlight w:val="none"/>
        </w:rPr>
        <w:t>、付款方式</w:t>
      </w:r>
    </w:p>
    <w:p w14:paraId="6DE01A84">
      <w:pPr>
        <w:pStyle w:val="97"/>
        <w:keepNext w:val="0"/>
        <w:keepLines w:val="0"/>
        <w:widowControl w:val="0"/>
        <w:shd w:val="clear" w:color="auto" w:fill="auto"/>
        <w:tabs>
          <w:tab w:val="left" w:leader="dot" w:pos="2088"/>
        </w:tabs>
        <w:bidi w:val="0"/>
        <w:spacing w:before="0" w:after="0" w:line="401"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3.1</w:t>
      </w:r>
      <w:r>
        <w:rPr>
          <w:rFonts w:hint="eastAsia" w:ascii="宋体" w:hAnsi="宋体" w:eastAsia="宋体" w:cs="宋体"/>
          <w:color w:val="auto"/>
          <w:spacing w:val="0"/>
          <w:w w:val="100"/>
          <w:position w:val="0"/>
          <w:sz w:val="21"/>
          <w:szCs w:val="21"/>
          <w:highlight w:val="none"/>
        </w:rPr>
        <w:t>预付款比例：</w:t>
      </w:r>
      <w:r>
        <w:rPr>
          <w:rFonts w:hint="eastAsia" w:ascii="宋体" w:hAnsi="宋体" w:eastAsia="宋体" w:cs="宋体"/>
          <w:color w:val="auto"/>
          <w:spacing w:val="0"/>
          <w:w w:val="100"/>
          <w:position w:val="0"/>
          <w:sz w:val="21"/>
          <w:szCs w:val="21"/>
          <w:highlight w:val="none"/>
          <w:u w:val="single"/>
          <w:lang w:val="en-US" w:eastAsia="zh-CN" w:bidi="zh-CN"/>
        </w:rPr>
        <w:t xml:space="preserve">  </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于政府采购合同签订生效并具备实施条件后2个工作日内支付。</w:t>
      </w:r>
      <w:r>
        <w:rPr>
          <w:rFonts w:hint="eastAsia" w:ascii="宋体" w:hAnsi="宋体" w:eastAsia="宋体" w:cs="宋体"/>
          <w:color w:val="auto"/>
          <w:spacing w:val="0"/>
          <w:w w:val="100"/>
          <w:position w:val="0"/>
          <w:sz w:val="21"/>
          <w:szCs w:val="21"/>
          <w:highlight w:val="none"/>
          <w:lang w:val="en-US" w:eastAsia="en-US" w:bidi="en-US"/>
        </w:rPr>
        <w:tab/>
      </w:r>
    </w:p>
    <w:p w14:paraId="1A249BE7">
      <w:pPr>
        <w:pStyle w:val="97"/>
        <w:keepNext w:val="0"/>
        <w:keepLines w:val="0"/>
        <w:widowControl w:val="0"/>
        <w:shd w:val="clear" w:color="auto" w:fill="auto"/>
        <w:bidi w:val="0"/>
        <w:spacing w:before="0" w:after="0" w:line="401"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第九条履约保证金</w:t>
      </w:r>
    </w:p>
    <w:p w14:paraId="1477B23D">
      <w:pPr>
        <w:pStyle w:val="97"/>
        <w:keepNext w:val="0"/>
        <w:keepLines w:val="0"/>
        <w:widowControl w:val="0"/>
        <w:shd w:val="clear" w:color="auto" w:fill="auto"/>
        <w:bidi w:val="0"/>
        <w:spacing w:before="0" w:after="0" w:line="401" w:lineRule="exact"/>
        <w:ind w:left="460" w:right="0" w:firstLine="20"/>
        <w:jc w:val="both"/>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根据许昌市优化政府采购营商环境要求，项目不收取履约保证金。 </w:t>
      </w:r>
    </w:p>
    <w:p w14:paraId="124898A1">
      <w:pPr>
        <w:pStyle w:val="97"/>
        <w:keepNext w:val="0"/>
        <w:keepLines w:val="0"/>
        <w:widowControl w:val="0"/>
        <w:shd w:val="clear" w:color="auto" w:fill="auto"/>
        <w:bidi w:val="0"/>
        <w:spacing w:before="0" w:after="0" w:line="401" w:lineRule="exact"/>
        <w:ind w:left="460" w:right="0" w:firstLine="2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第十条售后服务及承诺</w:t>
      </w:r>
    </w:p>
    <w:p w14:paraId="6B1D1B7C">
      <w:pPr>
        <w:pStyle w:val="97"/>
        <w:keepNext w:val="0"/>
        <w:keepLines w:val="0"/>
        <w:widowControl w:val="0"/>
        <w:shd w:val="clear" w:color="auto" w:fill="auto"/>
        <w:tabs>
          <w:tab w:val="left" w:pos="843"/>
          <w:tab w:val="left" w:pos="6134"/>
        </w:tabs>
        <w:bidi w:val="0"/>
        <w:spacing w:before="0" w:after="0" w:line="401" w:lineRule="exact"/>
        <w:ind w:left="0" w:right="0" w:firstLine="480"/>
        <w:jc w:val="both"/>
        <w:rPr>
          <w:rFonts w:hint="eastAsia" w:ascii="宋体" w:hAnsi="宋体" w:eastAsia="宋体" w:cs="宋体"/>
          <w:color w:val="auto"/>
          <w:sz w:val="21"/>
          <w:szCs w:val="21"/>
          <w:highlight w:val="none"/>
        </w:rPr>
      </w:pPr>
      <w:bookmarkStart w:id="21" w:name="bookmark77"/>
      <w:r>
        <w:rPr>
          <w:rFonts w:hint="eastAsia" w:ascii="宋体" w:hAnsi="宋体" w:eastAsia="宋体" w:cs="宋体"/>
          <w:color w:val="auto"/>
          <w:spacing w:val="0"/>
          <w:w w:val="100"/>
          <w:position w:val="0"/>
          <w:sz w:val="21"/>
          <w:szCs w:val="21"/>
          <w:highlight w:val="none"/>
        </w:rPr>
        <w:t>1</w:t>
      </w:r>
      <w:bookmarkEnd w:id="21"/>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服务质量保证期限自提交服务验收合格之日起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0"/>
          <w:w w:val="100"/>
          <w:position w:val="0"/>
          <w:sz w:val="21"/>
          <w:szCs w:val="21"/>
          <w:highlight w:val="none"/>
        </w:rPr>
        <w:t>年，在质量保证期内， 乙方应对服务出现的问题负责处理并承担一切费用，并且赔偿甲方的损失。</w:t>
      </w:r>
    </w:p>
    <w:p w14:paraId="5E44DE4E">
      <w:pPr>
        <w:pStyle w:val="97"/>
        <w:keepNext w:val="0"/>
        <w:keepLines w:val="0"/>
        <w:widowControl w:val="0"/>
        <w:shd w:val="clear" w:color="auto" w:fill="auto"/>
        <w:tabs>
          <w:tab w:val="left" w:pos="867"/>
        </w:tabs>
        <w:bidi w:val="0"/>
        <w:spacing w:before="0" w:after="0" w:line="401" w:lineRule="exact"/>
        <w:ind w:left="0" w:right="0" w:firstLine="480"/>
        <w:jc w:val="both"/>
        <w:rPr>
          <w:rFonts w:hint="eastAsia" w:ascii="宋体" w:hAnsi="宋体" w:eastAsia="宋体" w:cs="宋体"/>
          <w:color w:val="auto"/>
          <w:sz w:val="21"/>
          <w:szCs w:val="21"/>
          <w:highlight w:val="none"/>
        </w:rPr>
      </w:pPr>
      <w:bookmarkStart w:id="22" w:name="bookmark78"/>
      <w:r>
        <w:rPr>
          <w:rFonts w:hint="eastAsia" w:ascii="宋体" w:hAnsi="宋体" w:eastAsia="宋体" w:cs="宋体"/>
          <w:color w:val="auto"/>
          <w:spacing w:val="0"/>
          <w:w w:val="100"/>
          <w:position w:val="0"/>
          <w:sz w:val="21"/>
          <w:szCs w:val="21"/>
          <w:highlight w:val="none"/>
        </w:rPr>
        <w:t>2</w:t>
      </w:r>
      <w:bookmarkEnd w:id="22"/>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乙方有完善的服务体系，有能力提供持续的、本地化售后服务。</w:t>
      </w:r>
    </w:p>
    <w:p w14:paraId="0C631438">
      <w:pPr>
        <w:pStyle w:val="97"/>
        <w:keepNext w:val="0"/>
        <w:keepLines w:val="0"/>
        <w:widowControl w:val="0"/>
        <w:shd w:val="clear" w:color="auto" w:fill="auto"/>
        <w:tabs>
          <w:tab w:val="left" w:pos="862"/>
        </w:tabs>
        <w:bidi w:val="0"/>
        <w:spacing w:before="0" w:after="0" w:line="401" w:lineRule="exact"/>
        <w:ind w:left="0" w:right="0" w:firstLine="480"/>
        <w:jc w:val="both"/>
        <w:rPr>
          <w:rFonts w:hint="eastAsia" w:ascii="宋体" w:hAnsi="宋体" w:eastAsia="宋体" w:cs="宋体"/>
          <w:color w:val="auto"/>
          <w:sz w:val="21"/>
          <w:szCs w:val="21"/>
          <w:highlight w:val="none"/>
        </w:rPr>
      </w:pPr>
      <w:bookmarkStart w:id="23" w:name="bookmark79"/>
      <w:r>
        <w:rPr>
          <w:rFonts w:hint="eastAsia" w:ascii="宋体" w:hAnsi="宋体" w:eastAsia="宋体" w:cs="宋体"/>
          <w:color w:val="auto"/>
          <w:spacing w:val="0"/>
          <w:w w:val="100"/>
          <w:position w:val="0"/>
          <w:sz w:val="21"/>
          <w:szCs w:val="21"/>
          <w:highlight w:val="none"/>
        </w:rPr>
        <w:t>3</w:t>
      </w:r>
      <w:bookmarkEnd w:id="23"/>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乙方负责系统安装和调试以及操作人员培训，并制定详细的培训计划，使操作人员能独立进行管理、操作、维护和故障处理等工作，做好相关记录及</w:t>
      </w:r>
      <w:r>
        <w:rPr>
          <w:rFonts w:hint="eastAsia" w:ascii="宋体" w:hAnsi="宋体" w:eastAsia="宋体" w:cs="宋体"/>
          <w:color w:val="auto"/>
          <w:spacing w:val="0"/>
          <w:w w:val="100"/>
          <w:position w:val="0"/>
          <w:sz w:val="21"/>
          <w:szCs w:val="21"/>
          <w:highlight w:val="none"/>
          <w:lang w:eastAsia="zh-CN"/>
        </w:rPr>
        <w:t>技术</w:t>
      </w:r>
      <w:r>
        <w:rPr>
          <w:rFonts w:hint="eastAsia" w:ascii="宋体" w:hAnsi="宋体" w:eastAsia="宋体" w:cs="宋体"/>
          <w:color w:val="auto"/>
          <w:spacing w:val="0"/>
          <w:w w:val="100"/>
          <w:position w:val="0"/>
          <w:sz w:val="21"/>
          <w:szCs w:val="21"/>
          <w:highlight w:val="none"/>
        </w:rPr>
        <w:t xml:space="preserve"> 文档收集整理，待验收后移交。</w:t>
      </w:r>
    </w:p>
    <w:p w14:paraId="2EF1BF7F">
      <w:pPr>
        <w:pStyle w:val="97"/>
        <w:keepNext w:val="0"/>
        <w:keepLines w:val="0"/>
        <w:widowControl w:val="0"/>
        <w:shd w:val="clear" w:color="auto" w:fill="auto"/>
        <w:tabs>
          <w:tab w:val="left" w:pos="877"/>
        </w:tabs>
        <w:bidi w:val="0"/>
        <w:spacing w:before="0" w:after="0" w:line="401" w:lineRule="exact"/>
        <w:ind w:left="0" w:right="0" w:firstLine="480"/>
        <w:jc w:val="both"/>
        <w:rPr>
          <w:rFonts w:hint="eastAsia" w:ascii="宋体" w:hAnsi="宋体" w:eastAsia="宋体" w:cs="宋体"/>
          <w:color w:val="auto"/>
          <w:spacing w:val="0"/>
          <w:w w:val="100"/>
          <w:position w:val="0"/>
          <w:sz w:val="21"/>
          <w:szCs w:val="21"/>
          <w:highlight w:val="none"/>
        </w:rPr>
      </w:pPr>
      <w:bookmarkStart w:id="24" w:name="bookmark80"/>
      <w:r>
        <w:rPr>
          <w:rFonts w:hint="eastAsia" w:ascii="宋体" w:hAnsi="宋体" w:eastAsia="宋体" w:cs="宋体"/>
          <w:color w:val="auto"/>
          <w:spacing w:val="0"/>
          <w:w w:val="100"/>
          <w:position w:val="0"/>
          <w:sz w:val="21"/>
          <w:szCs w:val="21"/>
          <w:highlight w:val="none"/>
        </w:rPr>
        <w:t>4</w:t>
      </w:r>
      <w:bookmarkEnd w:id="24"/>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服务范围：负责招标文件所涉及到的所有服务。</w:t>
      </w:r>
    </w:p>
    <w:p w14:paraId="398C9233">
      <w:pPr>
        <w:pStyle w:val="97"/>
        <w:keepNext w:val="0"/>
        <w:keepLines w:val="0"/>
        <w:widowControl w:val="0"/>
        <w:shd w:val="clear" w:color="auto" w:fill="auto"/>
        <w:tabs>
          <w:tab w:val="left" w:pos="877"/>
        </w:tabs>
        <w:bidi w:val="0"/>
        <w:spacing w:before="0" w:after="0" w:line="401"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w:t>
      </w:r>
    </w:p>
    <w:p w14:paraId="0875146B">
      <w:pPr>
        <w:pStyle w:val="97"/>
        <w:keepNext w:val="0"/>
        <w:keepLines w:val="0"/>
        <w:widowControl w:val="0"/>
        <w:shd w:val="clear" w:color="auto" w:fill="auto"/>
        <w:bidi w:val="0"/>
        <w:spacing w:before="0" w:after="0" w:line="401"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第十一条知识产权</w:t>
      </w:r>
    </w:p>
    <w:p w14:paraId="62FF3125">
      <w:pPr>
        <w:pStyle w:val="97"/>
        <w:keepNext w:val="0"/>
        <w:keepLines w:val="0"/>
        <w:widowControl w:val="0"/>
        <w:shd w:val="clear" w:color="auto" w:fill="auto"/>
        <w:tabs>
          <w:tab w:val="left" w:pos="862"/>
        </w:tabs>
        <w:bidi w:val="0"/>
        <w:spacing w:before="0" w:after="0" w:line="401" w:lineRule="exact"/>
        <w:ind w:left="0" w:right="0" w:firstLine="480"/>
        <w:jc w:val="both"/>
        <w:rPr>
          <w:rFonts w:hint="eastAsia" w:ascii="宋体" w:hAnsi="宋体" w:eastAsia="宋体" w:cs="宋体"/>
          <w:color w:val="auto"/>
          <w:sz w:val="21"/>
          <w:szCs w:val="21"/>
          <w:highlight w:val="none"/>
        </w:rPr>
      </w:pPr>
      <w:bookmarkStart w:id="25" w:name="bookmark81"/>
      <w:r>
        <w:rPr>
          <w:rFonts w:hint="eastAsia" w:ascii="宋体" w:hAnsi="宋体" w:eastAsia="宋体" w:cs="宋体"/>
          <w:color w:val="auto"/>
          <w:spacing w:val="0"/>
          <w:w w:val="100"/>
          <w:position w:val="0"/>
          <w:sz w:val="21"/>
          <w:szCs w:val="21"/>
          <w:highlight w:val="none"/>
        </w:rPr>
        <w:t>1</w:t>
      </w:r>
      <w:bookmarkEnd w:id="25"/>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乙方保证，甲方在享受服务或者服务的任何一部分时，免受第三方提出的侵犯其专利权、商标权或其他知识产权的起诉。如发生此类纠纷，由乙方承担一切责任；如因此给甲方造成损失的，乙方负责全额赔偿。</w:t>
      </w:r>
    </w:p>
    <w:p w14:paraId="5D2EF8AD">
      <w:pPr>
        <w:pStyle w:val="97"/>
        <w:keepNext w:val="0"/>
        <w:keepLines w:val="0"/>
        <w:widowControl w:val="0"/>
        <w:shd w:val="clear" w:color="auto" w:fill="auto"/>
        <w:tabs>
          <w:tab w:val="left" w:pos="858"/>
          <w:tab w:val="left" w:leader="dot" w:pos="1848"/>
        </w:tabs>
        <w:bidi w:val="0"/>
        <w:spacing w:before="0" w:after="0" w:line="401" w:lineRule="exact"/>
        <w:ind w:left="0" w:right="0" w:firstLine="480"/>
        <w:jc w:val="both"/>
        <w:rPr>
          <w:rFonts w:hint="eastAsia" w:ascii="宋体" w:hAnsi="宋体" w:eastAsia="宋体" w:cs="宋体"/>
          <w:color w:val="auto"/>
          <w:sz w:val="21"/>
          <w:szCs w:val="21"/>
          <w:highlight w:val="none"/>
        </w:rPr>
      </w:pPr>
      <w:bookmarkStart w:id="26" w:name="bookmark82"/>
      <w:r>
        <w:rPr>
          <w:rFonts w:hint="eastAsia" w:ascii="宋体" w:hAnsi="宋体" w:eastAsia="宋体" w:cs="宋体"/>
          <w:color w:val="auto"/>
          <w:spacing w:val="0"/>
          <w:w w:val="100"/>
          <w:position w:val="0"/>
          <w:sz w:val="21"/>
          <w:szCs w:val="21"/>
          <w:highlight w:val="none"/>
        </w:rPr>
        <w:t>2</w:t>
      </w:r>
      <w:bookmarkEnd w:id="26"/>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乙方为执行本合同而提供的技术资料或者其他相关资料、软件等由甲方永久免费使用。</w:t>
      </w:r>
      <w:r>
        <w:rPr>
          <w:rFonts w:hint="eastAsia" w:ascii="宋体" w:hAnsi="宋体" w:eastAsia="宋体" w:cs="宋体"/>
          <w:color w:val="auto"/>
          <w:spacing w:val="0"/>
          <w:w w:val="100"/>
          <w:position w:val="0"/>
          <w:sz w:val="21"/>
          <w:szCs w:val="21"/>
          <w:highlight w:val="none"/>
          <w:lang w:val="en-US" w:eastAsia="en-US" w:bidi="en-US"/>
        </w:rPr>
        <w:tab/>
      </w:r>
    </w:p>
    <w:p w14:paraId="66B3BF5E">
      <w:pPr>
        <w:pStyle w:val="97"/>
        <w:keepNext w:val="0"/>
        <w:keepLines w:val="0"/>
        <w:widowControl w:val="0"/>
        <w:shd w:val="clear" w:color="auto" w:fill="auto"/>
        <w:bidi w:val="0"/>
        <w:spacing w:before="0" w:after="160" w:line="400"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第十二条甲方责任</w:t>
      </w:r>
    </w:p>
    <w:p w14:paraId="78426DD6">
      <w:pPr>
        <w:pStyle w:val="97"/>
        <w:keepNext w:val="0"/>
        <w:keepLines w:val="0"/>
        <w:widowControl w:val="0"/>
        <w:shd w:val="clear" w:color="auto" w:fill="auto"/>
        <w:tabs>
          <w:tab w:val="left" w:pos="853"/>
        </w:tabs>
        <w:bidi w:val="0"/>
        <w:spacing w:before="0" w:after="0"/>
        <w:ind w:left="0" w:right="0" w:firstLine="480"/>
        <w:jc w:val="both"/>
        <w:rPr>
          <w:rFonts w:hint="eastAsia" w:ascii="宋体" w:hAnsi="宋体" w:eastAsia="宋体" w:cs="宋体"/>
          <w:color w:val="auto"/>
          <w:sz w:val="21"/>
          <w:szCs w:val="21"/>
          <w:highlight w:val="none"/>
        </w:rPr>
      </w:pPr>
      <w:bookmarkStart w:id="27" w:name="bookmark83"/>
      <w:r>
        <w:rPr>
          <w:rFonts w:hint="eastAsia" w:ascii="宋体" w:hAnsi="宋体" w:eastAsia="宋体" w:cs="宋体"/>
          <w:color w:val="auto"/>
          <w:spacing w:val="0"/>
          <w:w w:val="100"/>
          <w:position w:val="0"/>
          <w:sz w:val="21"/>
          <w:szCs w:val="21"/>
          <w:highlight w:val="none"/>
        </w:rPr>
        <w:t>1</w:t>
      </w:r>
      <w:bookmarkEnd w:id="27"/>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及时办理付款手续。</w:t>
      </w:r>
    </w:p>
    <w:p w14:paraId="1DEDA753">
      <w:pPr>
        <w:pStyle w:val="97"/>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highlight w:val="none"/>
        </w:rPr>
      </w:pPr>
      <w:bookmarkStart w:id="28" w:name="bookmark84"/>
      <w:r>
        <w:rPr>
          <w:rFonts w:hint="eastAsia" w:ascii="宋体" w:hAnsi="宋体" w:eastAsia="宋体" w:cs="宋体"/>
          <w:color w:val="auto"/>
          <w:spacing w:val="0"/>
          <w:w w:val="100"/>
          <w:position w:val="0"/>
          <w:sz w:val="21"/>
          <w:szCs w:val="21"/>
          <w:highlight w:val="none"/>
        </w:rPr>
        <w:t>2</w:t>
      </w:r>
      <w:bookmarkEnd w:id="28"/>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负责提供工作场地，协助乙方办理有关事宜。</w:t>
      </w:r>
    </w:p>
    <w:p w14:paraId="380BD042">
      <w:pPr>
        <w:pStyle w:val="97"/>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pacing w:val="0"/>
          <w:w w:val="100"/>
          <w:position w:val="0"/>
          <w:sz w:val="21"/>
          <w:szCs w:val="21"/>
          <w:highlight w:val="none"/>
        </w:rPr>
      </w:pPr>
      <w:bookmarkStart w:id="29" w:name="bookmark85"/>
      <w:r>
        <w:rPr>
          <w:rFonts w:hint="eastAsia" w:ascii="宋体" w:hAnsi="宋体" w:eastAsia="宋体" w:cs="宋体"/>
          <w:color w:val="auto"/>
          <w:spacing w:val="0"/>
          <w:w w:val="100"/>
          <w:position w:val="0"/>
          <w:sz w:val="21"/>
          <w:szCs w:val="21"/>
          <w:highlight w:val="none"/>
        </w:rPr>
        <w:t>3</w:t>
      </w:r>
      <w:bookmarkEnd w:id="29"/>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对合同条款及所知悉的乙方商业秘密负有保密义务。</w:t>
      </w:r>
    </w:p>
    <w:p w14:paraId="40043192">
      <w:pPr>
        <w:pStyle w:val="97"/>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w:t>
      </w:r>
    </w:p>
    <w:p w14:paraId="0128E379">
      <w:pPr>
        <w:pStyle w:val="97"/>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第十三条乙方责任</w:t>
      </w:r>
    </w:p>
    <w:p w14:paraId="4928A89C">
      <w:pPr>
        <w:pStyle w:val="97"/>
        <w:keepNext w:val="0"/>
        <w:keepLines w:val="0"/>
        <w:widowControl w:val="0"/>
        <w:shd w:val="clear" w:color="auto" w:fill="auto"/>
        <w:tabs>
          <w:tab w:val="left" w:pos="853"/>
        </w:tabs>
        <w:bidi w:val="0"/>
        <w:spacing w:before="0" w:after="0" w:line="400" w:lineRule="exact"/>
        <w:ind w:left="0" w:right="0" w:firstLine="480"/>
        <w:jc w:val="both"/>
        <w:rPr>
          <w:rFonts w:hint="eastAsia" w:ascii="宋体" w:hAnsi="宋体" w:eastAsia="宋体" w:cs="宋体"/>
          <w:color w:val="auto"/>
          <w:sz w:val="21"/>
          <w:szCs w:val="21"/>
          <w:highlight w:val="none"/>
        </w:rPr>
      </w:pPr>
      <w:bookmarkStart w:id="30" w:name="bookmark86"/>
      <w:r>
        <w:rPr>
          <w:rFonts w:hint="eastAsia" w:ascii="宋体" w:hAnsi="宋体" w:eastAsia="宋体" w:cs="宋体"/>
          <w:color w:val="auto"/>
          <w:spacing w:val="0"/>
          <w:w w:val="100"/>
          <w:position w:val="0"/>
          <w:sz w:val="21"/>
          <w:szCs w:val="21"/>
          <w:highlight w:val="none"/>
        </w:rPr>
        <w:t>1</w:t>
      </w:r>
      <w:bookmarkEnd w:id="30"/>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保证所提供服务为投标文件承诺服务，符合相关法律法规规定并且满足甲方的需求，保证其配套项目部件为全新的未使用的且符合相关的质量要求。</w:t>
      </w:r>
    </w:p>
    <w:p w14:paraId="0B587BF4">
      <w:pPr>
        <w:pStyle w:val="97"/>
        <w:keepNext w:val="0"/>
        <w:keepLines w:val="0"/>
        <w:widowControl w:val="0"/>
        <w:shd w:val="clear" w:color="auto" w:fill="auto"/>
        <w:tabs>
          <w:tab w:val="left" w:pos="843"/>
        </w:tabs>
        <w:bidi w:val="0"/>
        <w:spacing w:before="0" w:after="0" w:line="400" w:lineRule="exact"/>
        <w:ind w:left="0" w:right="0" w:firstLine="480"/>
        <w:jc w:val="both"/>
        <w:rPr>
          <w:rFonts w:hint="eastAsia" w:ascii="宋体" w:hAnsi="宋体" w:eastAsia="宋体" w:cs="宋体"/>
          <w:color w:val="auto"/>
          <w:sz w:val="21"/>
          <w:szCs w:val="21"/>
          <w:highlight w:val="none"/>
        </w:rPr>
      </w:pPr>
      <w:bookmarkStart w:id="31" w:name="bookmark87"/>
      <w:r>
        <w:rPr>
          <w:rFonts w:hint="eastAsia" w:ascii="宋体" w:hAnsi="宋体" w:eastAsia="宋体" w:cs="宋体"/>
          <w:color w:val="auto"/>
          <w:spacing w:val="0"/>
          <w:w w:val="100"/>
          <w:position w:val="0"/>
          <w:sz w:val="21"/>
          <w:szCs w:val="21"/>
          <w:highlight w:val="none"/>
        </w:rPr>
        <w:t>2</w:t>
      </w:r>
      <w:bookmarkEnd w:id="31"/>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保证所提供服务的售后服务，严格依据投标文件及相关承诺，对服务以及与之配套的项目进行保修、维护等服务。</w:t>
      </w:r>
    </w:p>
    <w:p w14:paraId="103DE9CD">
      <w:pPr>
        <w:pStyle w:val="97"/>
        <w:keepNext w:val="0"/>
        <w:keepLines w:val="0"/>
        <w:widowControl w:val="0"/>
        <w:shd w:val="clear" w:color="auto" w:fill="auto"/>
        <w:tabs>
          <w:tab w:val="left" w:pos="834"/>
          <w:tab w:val="left" w:leader="dot" w:pos="1814"/>
        </w:tabs>
        <w:bidi w:val="0"/>
        <w:spacing w:before="0" w:after="0" w:line="400" w:lineRule="exact"/>
        <w:ind w:left="0" w:right="0" w:firstLine="480"/>
        <w:jc w:val="both"/>
        <w:rPr>
          <w:rFonts w:hint="eastAsia" w:ascii="宋体" w:hAnsi="宋体" w:eastAsia="宋体" w:cs="宋体"/>
          <w:color w:val="auto"/>
          <w:sz w:val="21"/>
          <w:szCs w:val="21"/>
          <w:highlight w:val="none"/>
        </w:rPr>
      </w:pPr>
      <w:bookmarkStart w:id="32" w:name="bookmark88"/>
      <w:r>
        <w:rPr>
          <w:rFonts w:hint="eastAsia" w:ascii="宋体" w:hAnsi="宋体" w:eastAsia="宋体" w:cs="宋体"/>
          <w:color w:val="auto"/>
          <w:spacing w:val="0"/>
          <w:w w:val="100"/>
          <w:position w:val="0"/>
          <w:sz w:val="21"/>
          <w:szCs w:val="21"/>
          <w:highlight w:val="none"/>
        </w:rPr>
        <w:t>3</w:t>
      </w:r>
      <w:bookmarkEnd w:id="32"/>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保证其</w:t>
      </w:r>
      <w:r>
        <w:rPr>
          <w:rFonts w:hint="eastAsia" w:ascii="宋体" w:hAnsi="宋体" w:eastAsia="宋体" w:cs="宋体"/>
          <w:color w:val="auto"/>
          <w:spacing w:val="0"/>
          <w:w w:val="100"/>
          <w:position w:val="0"/>
          <w:sz w:val="21"/>
          <w:szCs w:val="21"/>
          <w:highlight w:val="none"/>
          <w:lang w:eastAsia="zh-CN"/>
        </w:rPr>
        <w:t>所提</w:t>
      </w:r>
      <w:r>
        <w:rPr>
          <w:rFonts w:hint="eastAsia" w:ascii="宋体" w:hAnsi="宋体" w:eastAsia="宋体" w:cs="宋体"/>
          <w:color w:val="auto"/>
          <w:spacing w:val="0"/>
          <w:w w:val="100"/>
          <w:position w:val="0"/>
          <w:sz w:val="21"/>
          <w:szCs w:val="21"/>
          <w:highlight w:val="none"/>
        </w:rPr>
        <w:t>供服务不存在侵犯第三方知识产权的行为，否则由此产生的损失由乙方承担。</w:t>
      </w:r>
      <w:r>
        <w:rPr>
          <w:rFonts w:hint="eastAsia" w:ascii="宋体" w:hAnsi="宋体" w:eastAsia="宋体" w:cs="宋体"/>
          <w:color w:val="auto"/>
          <w:spacing w:val="0"/>
          <w:w w:val="100"/>
          <w:position w:val="0"/>
          <w:sz w:val="21"/>
          <w:szCs w:val="21"/>
          <w:highlight w:val="none"/>
          <w:lang w:val="en-US" w:eastAsia="en-US" w:bidi="en-US"/>
        </w:rPr>
        <w:tab/>
      </w:r>
    </w:p>
    <w:p w14:paraId="073E0342">
      <w:pPr>
        <w:pStyle w:val="97"/>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第十四条违约责任</w:t>
      </w:r>
    </w:p>
    <w:p w14:paraId="5FA0EB93">
      <w:pPr>
        <w:pStyle w:val="97"/>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highlight w:val="none"/>
        </w:rPr>
      </w:pPr>
      <w:bookmarkStart w:id="33" w:name="bookmark89"/>
      <w:r>
        <w:rPr>
          <w:rFonts w:hint="eastAsia" w:ascii="宋体" w:hAnsi="宋体" w:eastAsia="宋体" w:cs="宋体"/>
          <w:color w:val="auto"/>
          <w:spacing w:val="0"/>
          <w:w w:val="100"/>
          <w:position w:val="0"/>
          <w:sz w:val="21"/>
          <w:szCs w:val="21"/>
          <w:highlight w:val="none"/>
        </w:rPr>
        <w:t>1</w:t>
      </w:r>
      <w:bookmarkEnd w:id="33"/>
      <w:r>
        <w:rPr>
          <w:rFonts w:hint="eastAsia" w:ascii="宋体" w:hAnsi="宋体" w:eastAsia="宋体" w:cs="宋体"/>
          <w:color w:val="auto"/>
          <w:spacing w:val="0"/>
          <w:w w:val="100"/>
          <w:position w:val="0"/>
          <w:sz w:val="21"/>
          <w:szCs w:val="21"/>
          <w:highlight w:val="none"/>
        </w:rPr>
        <w:t>、乙方</w:t>
      </w:r>
      <w:r>
        <w:rPr>
          <w:rFonts w:hint="eastAsia" w:ascii="宋体" w:hAnsi="宋体" w:eastAsia="宋体" w:cs="宋体"/>
          <w:color w:val="auto"/>
          <w:spacing w:val="0"/>
          <w:w w:val="100"/>
          <w:position w:val="0"/>
          <w:sz w:val="21"/>
          <w:szCs w:val="21"/>
          <w:highlight w:val="none"/>
          <w:lang w:eastAsia="zh-CN"/>
        </w:rPr>
        <w:t>所提</w:t>
      </w:r>
      <w:r>
        <w:rPr>
          <w:rFonts w:hint="eastAsia" w:ascii="宋体" w:hAnsi="宋体" w:eastAsia="宋体" w:cs="宋体"/>
          <w:color w:val="auto"/>
          <w:spacing w:val="0"/>
          <w:w w:val="100"/>
          <w:position w:val="0"/>
          <w:sz w:val="21"/>
          <w:szCs w:val="21"/>
          <w:highlight w:val="none"/>
        </w:rPr>
        <w:t>供服务成果及与之配套项目等不符合合同约定标准，甲方有权拒收。 同时，乙方向甲方支付合同总金额</w:t>
      </w:r>
      <w:r>
        <w:rPr>
          <w:rFonts w:hint="eastAsia" w:ascii="宋体" w:hAnsi="宋体" w:eastAsia="宋体" w:cs="宋体"/>
          <w:color w:val="auto"/>
          <w:spacing w:val="0"/>
          <w:w w:val="100"/>
          <w:position w:val="0"/>
          <w:sz w:val="21"/>
          <w:szCs w:val="21"/>
          <w:highlight w:val="none"/>
          <w:u w:val="single"/>
          <w:lang w:val="en-US" w:eastAsia="zh-CN" w:bidi="zh-CN"/>
        </w:rPr>
        <w:t xml:space="preserve">   </w:t>
      </w:r>
      <w:r>
        <w:rPr>
          <w:rFonts w:hint="eastAsia" w:ascii="宋体" w:hAnsi="宋体" w:eastAsia="宋体" w:cs="宋体"/>
          <w:color w:val="auto"/>
          <w:spacing w:val="0"/>
          <w:w w:val="100"/>
          <w:position w:val="0"/>
          <w:sz w:val="21"/>
          <w:szCs w:val="21"/>
          <w:highlight w:val="none"/>
        </w:rPr>
        <w:t>%的违约金。</w:t>
      </w:r>
    </w:p>
    <w:p w14:paraId="4894E524">
      <w:pPr>
        <w:pStyle w:val="97"/>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highlight w:val="none"/>
        </w:rPr>
      </w:pPr>
      <w:bookmarkStart w:id="34" w:name="bookmark90"/>
      <w:r>
        <w:rPr>
          <w:rFonts w:hint="eastAsia" w:ascii="宋体" w:hAnsi="宋体" w:eastAsia="宋体" w:cs="宋体"/>
          <w:color w:val="auto"/>
          <w:spacing w:val="0"/>
          <w:w w:val="100"/>
          <w:position w:val="0"/>
          <w:sz w:val="21"/>
          <w:szCs w:val="21"/>
          <w:highlight w:val="none"/>
          <w:lang w:val="zh-CN" w:eastAsia="zh-CN" w:bidi="zh-CN"/>
        </w:rPr>
        <w:t>2</w:t>
      </w:r>
      <w:bookmarkEnd w:id="34"/>
      <w:r>
        <w:rPr>
          <w:rFonts w:hint="eastAsia" w:ascii="宋体" w:hAnsi="宋体" w:eastAsia="宋体" w:cs="宋体"/>
          <w:color w:val="auto"/>
          <w:spacing w:val="0"/>
          <w:w w:val="100"/>
          <w:position w:val="0"/>
          <w:sz w:val="21"/>
          <w:szCs w:val="21"/>
          <w:highlight w:val="none"/>
          <w:lang w:val="zh-CN" w:eastAsia="zh-CN" w:bidi="zh-CN"/>
        </w:rPr>
        <w:t>、</w:t>
      </w:r>
      <w:r>
        <w:rPr>
          <w:rFonts w:hint="eastAsia" w:ascii="宋体" w:hAnsi="宋体" w:eastAsia="宋体" w:cs="宋体"/>
          <w:color w:val="auto"/>
          <w:spacing w:val="0"/>
          <w:w w:val="100"/>
          <w:position w:val="0"/>
          <w:sz w:val="21"/>
          <w:szCs w:val="21"/>
          <w:highlight w:val="none"/>
          <w:lang w:val="zh-CN" w:eastAsia="zh-CN" w:bidi="zh-CN"/>
        </w:rPr>
        <w:tab/>
      </w:r>
      <w:r>
        <w:rPr>
          <w:rFonts w:hint="eastAsia" w:ascii="宋体" w:hAnsi="宋体" w:eastAsia="宋体" w:cs="宋体"/>
          <w:color w:val="auto"/>
          <w:spacing w:val="0"/>
          <w:w w:val="100"/>
          <w:position w:val="0"/>
          <w:sz w:val="21"/>
          <w:szCs w:val="21"/>
          <w:highlight w:val="none"/>
        </w:rPr>
        <w:t>乙方不能交付服务成果时，乙方向甲方支付合同总金额_%的违约金。</w:t>
      </w:r>
    </w:p>
    <w:p w14:paraId="00EC0172">
      <w:pPr>
        <w:pStyle w:val="97"/>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highlight w:val="none"/>
        </w:rPr>
      </w:pPr>
      <w:bookmarkStart w:id="35" w:name="bookmark91"/>
      <w:r>
        <w:rPr>
          <w:rFonts w:hint="eastAsia" w:ascii="宋体" w:hAnsi="宋体" w:eastAsia="宋体" w:cs="宋体"/>
          <w:color w:val="auto"/>
          <w:spacing w:val="0"/>
          <w:w w:val="100"/>
          <w:position w:val="0"/>
          <w:sz w:val="21"/>
          <w:szCs w:val="21"/>
          <w:highlight w:val="none"/>
        </w:rPr>
        <w:t>3</w:t>
      </w:r>
      <w:bookmarkEnd w:id="35"/>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乙方逾期交付服务成果时，每逾</w:t>
      </w:r>
      <w:r>
        <w:rPr>
          <w:rFonts w:hint="eastAsia" w:ascii="宋体" w:hAnsi="宋体" w:eastAsia="宋体" w:cs="宋体"/>
          <w:color w:val="auto"/>
          <w:spacing w:val="0"/>
          <w:w w:val="100"/>
          <w:position w:val="0"/>
          <w:sz w:val="21"/>
          <w:szCs w:val="21"/>
          <w:highlight w:val="none"/>
          <w:lang w:val="zh-CN" w:eastAsia="zh-CN" w:bidi="zh-CN"/>
        </w:rPr>
        <w:t>—</w:t>
      </w:r>
      <w:r>
        <w:rPr>
          <w:rFonts w:hint="eastAsia" w:ascii="宋体" w:hAnsi="宋体" w:eastAsia="宋体" w:cs="宋体"/>
          <w:color w:val="auto"/>
          <w:spacing w:val="0"/>
          <w:w w:val="100"/>
          <w:position w:val="0"/>
          <w:sz w:val="21"/>
          <w:szCs w:val="21"/>
          <w:highlight w:val="none"/>
        </w:rPr>
        <w:t>日乙方向甲方支付合同总金额</w:t>
      </w:r>
      <w:r>
        <w:rPr>
          <w:rFonts w:hint="eastAsia" w:ascii="宋体" w:hAnsi="宋体" w:eastAsia="宋体" w:cs="宋体"/>
          <w:color w:val="auto"/>
          <w:spacing w:val="0"/>
          <w:w w:val="100"/>
          <w:position w:val="0"/>
          <w:sz w:val="21"/>
          <w:szCs w:val="21"/>
          <w:highlight w:val="none"/>
          <w:lang w:val="en-US" w:eastAsia="en-US" w:bidi="en-US"/>
        </w:rPr>
        <w:t>_%o</w:t>
      </w:r>
      <w:r>
        <w:rPr>
          <w:rFonts w:hint="eastAsia" w:ascii="宋体" w:hAnsi="宋体" w:eastAsia="宋体" w:cs="宋体"/>
          <w:color w:val="auto"/>
          <w:spacing w:val="0"/>
          <w:w w:val="100"/>
          <w:position w:val="0"/>
          <w:sz w:val="21"/>
          <w:szCs w:val="21"/>
          <w:highlight w:val="none"/>
        </w:rPr>
        <w:t>的滞纳金。逾期交付超过</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甲方有权决定是否继续履行合同，如甲方决定终止履行合同的，乙方向甲方支付合同总金额</w:t>
      </w:r>
      <w:r>
        <w:rPr>
          <w:rFonts w:hint="eastAsia" w:ascii="宋体" w:hAnsi="宋体" w:eastAsia="宋体" w:cs="宋体"/>
          <w:color w:val="auto"/>
          <w:spacing w:val="0"/>
          <w:w w:val="100"/>
          <w:position w:val="0"/>
          <w:sz w:val="21"/>
          <w:szCs w:val="21"/>
          <w:highlight w:val="none"/>
          <w:u w:val="single"/>
          <w:lang w:val="en-US" w:eastAsia="zh-CN" w:bidi="zh-CN"/>
        </w:rPr>
        <w:t xml:space="preserve">   </w:t>
      </w:r>
      <w:r>
        <w:rPr>
          <w:rFonts w:hint="eastAsia" w:ascii="宋体" w:hAnsi="宋体" w:eastAsia="宋体" w:cs="宋体"/>
          <w:color w:val="auto"/>
          <w:spacing w:val="0"/>
          <w:w w:val="100"/>
          <w:position w:val="0"/>
          <w:sz w:val="21"/>
          <w:szCs w:val="21"/>
          <w:highlight w:val="none"/>
        </w:rPr>
        <w:t>%的违约金，并且赔偿甲方因此所 遭受的损失。</w:t>
      </w:r>
    </w:p>
    <w:p w14:paraId="0BDE2805">
      <w:pPr>
        <w:pStyle w:val="97"/>
        <w:keepNext w:val="0"/>
        <w:keepLines w:val="0"/>
        <w:widowControl w:val="0"/>
        <w:numPr>
          <w:ilvl w:val="0"/>
          <w:numId w:val="15"/>
        </w:numPr>
        <w:shd w:val="clear" w:color="auto" w:fill="auto"/>
        <w:tabs>
          <w:tab w:val="left" w:pos="867"/>
        </w:tabs>
        <w:bidi w:val="0"/>
        <w:spacing w:before="0" w:after="140" w:line="400" w:lineRule="exact"/>
        <w:ind w:left="0" w:right="0" w:firstLine="480"/>
        <w:jc w:val="both"/>
        <w:rPr>
          <w:rFonts w:hint="eastAsia" w:ascii="宋体" w:hAnsi="宋体" w:eastAsia="宋体" w:cs="宋体"/>
          <w:color w:val="auto"/>
          <w:sz w:val="21"/>
          <w:szCs w:val="21"/>
          <w:highlight w:val="none"/>
        </w:rPr>
      </w:pPr>
      <w:bookmarkStart w:id="36" w:name="bookmark92"/>
      <w:bookmarkEnd w:id="36"/>
      <w:r>
        <w:rPr>
          <w:rFonts w:hint="eastAsia" w:ascii="宋体" w:hAnsi="宋体" w:eastAsia="宋体" w:cs="宋体"/>
          <w:color w:val="auto"/>
          <w:spacing w:val="0"/>
          <w:w w:val="100"/>
          <w:position w:val="0"/>
          <w:sz w:val="21"/>
          <w:szCs w:val="21"/>
          <w:highlight w:val="none"/>
        </w:rPr>
        <w:t>甲方逾期退还履约保证金的违约责任：采购人延迟退还供应商缴纳的履约保证金的，应当支付逾期利息。双方对逾期利息的利率有约定的，约定利率不得低于合同订立时</w:t>
      </w:r>
      <w:r>
        <w:rPr>
          <w:rFonts w:hint="eastAsia" w:ascii="宋体" w:hAnsi="宋体" w:eastAsia="宋体" w:cs="宋体"/>
          <w:color w:val="auto"/>
          <w:spacing w:val="0"/>
          <w:w w:val="100"/>
          <w:position w:val="0"/>
          <w:sz w:val="21"/>
          <w:szCs w:val="21"/>
          <w:highlight w:val="none"/>
          <w:lang w:val="zh-CN" w:eastAsia="zh-CN" w:bidi="zh-CN"/>
        </w:rPr>
        <w:t>—年期</w:t>
      </w:r>
      <w:r>
        <w:rPr>
          <w:rFonts w:hint="eastAsia" w:ascii="宋体" w:hAnsi="宋体" w:eastAsia="宋体" w:cs="宋体"/>
          <w:color w:val="auto"/>
          <w:spacing w:val="0"/>
          <w:w w:val="100"/>
          <w:position w:val="0"/>
          <w:sz w:val="21"/>
          <w:szCs w:val="21"/>
          <w:highlight w:val="none"/>
        </w:rPr>
        <w:t>贷款市场报价利率；未作约定的，按照每日利率</w:t>
      </w:r>
      <w:r>
        <w:rPr>
          <w:rFonts w:hint="eastAsia" w:ascii="宋体" w:hAnsi="宋体" w:eastAsia="宋体" w:cs="宋体"/>
          <w:color w:val="auto"/>
          <w:spacing w:val="0"/>
          <w:w w:val="100"/>
          <w:position w:val="0"/>
          <w:sz w:val="21"/>
          <w:szCs w:val="21"/>
          <w:highlight w:val="none"/>
          <w:u w:val="single"/>
          <w:lang w:val="en-US" w:eastAsia="zh-CN" w:bidi="zh-CN"/>
        </w:rPr>
        <w:t xml:space="preserve">   </w:t>
      </w:r>
      <w:r>
        <w:rPr>
          <w:rFonts w:hint="eastAsia" w:ascii="宋体" w:hAnsi="宋体" w:eastAsia="宋体" w:cs="宋体"/>
          <w:color w:val="auto"/>
          <w:spacing w:val="0"/>
          <w:w w:val="100"/>
          <w:position w:val="0"/>
          <w:sz w:val="21"/>
          <w:szCs w:val="21"/>
          <w:highlight w:val="none"/>
        </w:rPr>
        <w:t>支付逾期利息。</w:t>
      </w:r>
    </w:p>
    <w:p w14:paraId="6F2E8C52">
      <w:pPr>
        <w:pStyle w:val="97"/>
        <w:keepNext w:val="0"/>
        <w:keepLines w:val="0"/>
        <w:widowControl w:val="0"/>
        <w:numPr>
          <w:ilvl w:val="0"/>
          <w:numId w:val="15"/>
        </w:numPr>
        <w:shd w:val="clear" w:color="auto" w:fill="auto"/>
        <w:tabs>
          <w:tab w:val="left" w:pos="843"/>
          <w:tab w:val="left" w:pos="5501"/>
        </w:tabs>
        <w:bidi w:val="0"/>
        <w:spacing w:before="0" w:after="0" w:line="382" w:lineRule="auto"/>
        <w:ind w:left="0" w:right="0" w:firstLine="480"/>
        <w:jc w:val="both"/>
        <w:rPr>
          <w:rFonts w:hint="eastAsia" w:ascii="宋体" w:hAnsi="宋体" w:eastAsia="宋体" w:cs="宋体"/>
          <w:color w:val="auto"/>
          <w:sz w:val="21"/>
          <w:szCs w:val="21"/>
          <w:highlight w:val="none"/>
        </w:rPr>
      </w:pPr>
      <w:bookmarkStart w:id="37" w:name="bookmark93"/>
      <w:bookmarkEnd w:id="37"/>
      <w:r>
        <w:rPr>
          <w:rFonts w:hint="eastAsia" w:ascii="宋体" w:hAnsi="宋体" w:eastAsia="宋体" w:cs="宋体"/>
          <w:color w:val="auto"/>
          <w:spacing w:val="0"/>
          <w:w w:val="100"/>
          <w:position w:val="0"/>
          <w:sz w:val="21"/>
          <w:szCs w:val="21"/>
          <w:highlight w:val="none"/>
        </w:rPr>
        <w:t>甲方逾期支付资金的违约责任：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0"/>
          <w:w w:val="100"/>
          <w:position w:val="0"/>
          <w:sz w:val="21"/>
          <w:szCs w:val="21"/>
          <w:highlight w:val="none"/>
        </w:rPr>
        <w:t>。</w:t>
      </w:r>
    </w:p>
    <w:p w14:paraId="2ED82E89">
      <w:pPr>
        <w:pStyle w:val="97"/>
        <w:keepNext w:val="0"/>
        <w:keepLines w:val="0"/>
        <w:widowControl w:val="0"/>
        <w:numPr>
          <w:ilvl w:val="0"/>
          <w:numId w:val="15"/>
        </w:numPr>
        <w:shd w:val="clear" w:color="auto" w:fill="auto"/>
        <w:tabs>
          <w:tab w:val="left" w:pos="823"/>
          <w:tab w:val="left" w:pos="4301"/>
        </w:tabs>
        <w:bidi w:val="0"/>
        <w:spacing w:before="0" w:after="0" w:line="402" w:lineRule="exact"/>
        <w:ind w:left="0" w:right="0" w:firstLine="480"/>
        <w:jc w:val="both"/>
        <w:rPr>
          <w:rFonts w:hint="eastAsia" w:ascii="宋体" w:hAnsi="宋体" w:eastAsia="宋体" w:cs="宋体"/>
          <w:color w:val="auto"/>
          <w:sz w:val="21"/>
          <w:szCs w:val="21"/>
          <w:highlight w:val="none"/>
        </w:rPr>
      </w:pPr>
      <w:bookmarkStart w:id="38" w:name="bookmark94"/>
      <w:bookmarkEnd w:id="38"/>
      <w:r>
        <w:rPr>
          <w:rFonts w:hint="eastAsia" w:ascii="宋体" w:hAnsi="宋体" w:eastAsia="宋体" w:cs="宋体"/>
          <w:color w:val="auto"/>
          <w:spacing w:val="0"/>
          <w:w w:val="100"/>
          <w:position w:val="0"/>
          <w:sz w:val="21"/>
          <w:szCs w:val="21"/>
          <w:highlight w:val="none"/>
        </w:rPr>
        <w:t>因甲方原因导致变更、中止或者终止政府采购合同的，甲方对供应商受到的损失予以赔偿或者补偿：</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i/>
          <w:iCs/>
          <w:color w:val="auto"/>
          <w:spacing w:val="0"/>
          <w:w w:val="100"/>
          <w:position w:val="0"/>
          <w:sz w:val="21"/>
          <w:szCs w:val="21"/>
          <w:highlight w:val="none"/>
        </w:rPr>
        <w:t>。</w:t>
      </w:r>
    </w:p>
    <w:p w14:paraId="133DAFEA">
      <w:pPr>
        <w:pStyle w:val="97"/>
        <w:keepNext w:val="0"/>
        <w:keepLines w:val="0"/>
        <w:widowControl w:val="0"/>
        <w:shd w:val="clear" w:color="auto" w:fill="auto"/>
        <w:tabs>
          <w:tab w:val="left" w:pos="872"/>
          <w:tab w:val="left" w:leader="dot" w:pos="6302"/>
        </w:tabs>
        <w:bidi w:val="0"/>
        <w:spacing w:before="0" w:after="0" w:line="402" w:lineRule="exact"/>
        <w:ind w:left="0" w:right="0" w:firstLine="480"/>
        <w:jc w:val="both"/>
        <w:rPr>
          <w:rFonts w:hint="eastAsia" w:ascii="宋体" w:hAnsi="宋体" w:eastAsia="宋体" w:cs="宋体"/>
          <w:color w:val="auto"/>
          <w:sz w:val="21"/>
          <w:szCs w:val="21"/>
          <w:highlight w:val="none"/>
        </w:rPr>
      </w:pPr>
      <w:bookmarkStart w:id="39" w:name="bookmark95"/>
      <w:r>
        <w:rPr>
          <w:rFonts w:hint="eastAsia" w:ascii="宋体" w:hAnsi="宋体" w:eastAsia="宋体" w:cs="宋体"/>
          <w:color w:val="auto"/>
          <w:spacing w:val="0"/>
          <w:w w:val="100"/>
          <w:position w:val="0"/>
          <w:sz w:val="21"/>
          <w:szCs w:val="21"/>
          <w:highlight w:val="none"/>
        </w:rPr>
        <w:t>7</w:t>
      </w:r>
      <w:bookmarkEnd w:id="39"/>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因甲方过错而给乙方造成的损失，由甲方负担。</w:t>
      </w:r>
    </w:p>
    <w:p w14:paraId="28214926">
      <w:pPr>
        <w:pStyle w:val="97"/>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第十五条不可抗力</w:t>
      </w:r>
    </w:p>
    <w:p w14:paraId="720556B6">
      <w:pPr>
        <w:pStyle w:val="97"/>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66646720">
      <w:pPr>
        <w:pStyle w:val="97"/>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第十六条保密</w:t>
      </w:r>
    </w:p>
    <w:p w14:paraId="6320973A">
      <w:pPr>
        <w:pStyle w:val="97"/>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乙方在合同履行期间知悉甲方的工作秘密（包括相关业务信息），不得透露或以其他方式提供给合同双方以外的其他方（包括乙方内部与本合同无关的任何人 员），乙方的保密责任不因本合同的终止而终止。</w:t>
      </w:r>
    </w:p>
    <w:p w14:paraId="50603A8A">
      <w:pPr>
        <w:pStyle w:val="97"/>
        <w:keepNext w:val="0"/>
        <w:keepLines w:val="0"/>
        <w:widowControl w:val="0"/>
        <w:shd w:val="clear" w:color="auto" w:fill="auto"/>
        <w:bidi w:val="0"/>
        <w:spacing w:before="0" w:after="0" w:line="402" w:lineRule="exact"/>
        <w:ind w:left="455" w:leftChars="198" w:right="0" w:hanging="39" w:hangingChars="19"/>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乙方违反本合同所规定的保密义务，应按照本合同总金额的_%支付违约金。 </w:t>
      </w:r>
    </w:p>
    <w:p w14:paraId="0F5527DC">
      <w:pPr>
        <w:pStyle w:val="97"/>
        <w:keepNext w:val="0"/>
        <w:keepLines w:val="0"/>
        <w:widowControl w:val="0"/>
        <w:shd w:val="clear" w:color="auto" w:fill="auto"/>
        <w:bidi w:val="0"/>
        <w:spacing w:before="0" w:after="0" w:line="402" w:lineRule="exact"/>
        <w:ind w:left="455" w:leftChars="198" w:right="0" w:hanging="39" w:hangingChars="19"/>
        <w:jc w:val="left"/>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第十七条争议解决</w:t>
      </w:r>
    </w:p>
    <w:p w14:paraId="6E2F5A2E">
      <w:pPr>
        <w:pStyle w:val="97"/>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甲乙双方在合同履行中发生争议，应通过协商解决。如协商不成，可以向合同签订地法院提起诉讼。</w:t>
      </w:r>
    </w:p>
    <w:p w14:paraId="01751A88">
      <w:pPr>
        <w:pStyle w:val="97"/>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第十八条合同生效及其他</w:t>
      </w:r>
    </w:p>
    <w:p w14:paraId="475F12EB">
      <w:pPr>
        <w:pStyle w:val="97"/>
        <w:keepNext w:val="0"/>
        <w:keepLines w:val="0"/>
        <w:widowControl w:val="0"/>
        <w:shd w:val="clear" w:color="auto" w:fill="auto"/>
        <w:tabs>
          <w:tab w:val="left" w:pos="862"/>
        </w:tabs>
        <w:bidi w:val="0"/>
        <w:spacing w:before="0" w:after="0" w:line="402" w:lineRule="exact"/>
        <w:ind w:left="0" w:right="0" w:firstLine="480"/>
        <w:jc w:val="both"/>
        <w:rPr>
          <w:rFonts w:hint="eastAsia" w:ascii="宋体" w:hAnsi="宋体" w:eastAsia="宋体" w:cs="宋体"/>
          <w:color w:val="auto"/>
          <w:sz w:val="21"/>
          <w:szCs w:val="21"/>
          <w:highlight w:val="none"/>
        </w:rPr>
      </w:pPr>
      <w:bookmarkStart w:id="40" w:name="bookmark96"/>
      <w:r>
        <w:rPr>
          <w:rFonts w:hint="eastAsia" w:ascii="宋体" w:hAnsi="宋体" w:eastAsia="宋体" w:cs="宋体"/>
          <w:color w:val="auto"/>
          <w:spacing w:val="0"/>
          <w:w w:val="100"/>
          <w:position w:val="0"/>
          <w:sz w:val="21"/>
          <w:szCs w:val="21"/>
          <w:highlight w:val="none"/>
        </w:rPr>
        <w:t>1</w:t>
      </w:r>
      <w:bookmarkEnd w:id="40"/>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除招标文件规定且甲方事先书面同意外，乙方不得部分或者全部转让、分 包履行其应履行的合同项下的义务。</w:t>
      </w:r>
    </w:p>
    <w:p w14:paraId="763B97D2">
      <w:pPr>
        <w:pStyle w:val="97"/>
        <w:keepNext w:val="0"/>
        <w:keepLines w:val="0"/>
        <w:widowControl w:val="0"/>
        <w:shd w:val="clear" w:color="auto" w:fill="auto"/>
        <w:tabs>
          <w:tab w:val="left" w:pos="877"/>
        </w:tabs>
        <w:bidi w:val="0"/>
        <w:spacing w:before="0" w:after="0" w:line="402" w:lineRule="exact"/>
        <w:ind w:left="0" w:right="0" w:firstLine="480"/>
        <w:jc w:val="both"/>
        <w:rPr>
          <w:rFonts w:hint="eastAsia" w:ascii="宋体" w:hAnsi="宋体" w:eastAsia="宋体" w:cs="宋体"/>
          <w:color w:val="auto"/>
          <w:sz w:val="21"/>
          <w:szCs w:val="21"/>
          <w:highlight w:val="none"/>
        </w:rPr>
      </w:pPr>
      <w:bookmarkStart w:id="41" w:name="bookmark97"/>
      <w:r>
        <w:rPr>
          <w:rFonts w:hint="eastAsia" w:ascii="宋体" w:hAnsi="宋体" w:eastAsia="宋体" w:cs="宋体"/>
          <w:color w:val="auto"/>
          <w:spacing w:val="0"/>
          <w:w w:val="100"/>
          <w:position w:val="0"/>
          <w:sz w:val="21"/>
          <w:szCs w:val="21"/>
          <w:highlight w:val="none"/>
        </w:rPr>
        <w:t>2</w:t>
      </w:r>
      <w:bookmarkEnd w:id="41"/>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合同由甲、乙双方法定代表人（或者被授权代表）签字并加盖单位公章。</w:t>
      </w:r>
    </w:p>
    <w:p w14:paraId="728610AD">
      <w:pPr>
        <w:pStyle w:val="97"/>
        <w:keepNext w:val="0"/>
        <w:keepLines w:val="0"/>
        <w:widowControl w:val="0"/>
        <w:shd w:val="clear" w:color="auto" w:fill="auto"/>
        <w:tabs>
          <w:tab w:val="left" w:pos="877"/>
          <w:tab w:val="left" w:leader="dot" w:pos="5578"/>
        </w:tabs>
        <w:bidi w:val="0"/>
        <w:spacing w:before="0" w:after="0" w:line="402" w:lineRule="exact"/>
        <w:ind w:left="0" w:right="0" w:firstLine="480"/>
        <w:jc w:val="both"/>
        <w:rPr>
          <w:rFonts w:hint="eastAsia" w:ascii="宋体" w:hAnsi="宋体" w:eastAsia="宋体" w:cs="宋体"/>
          <w:color w:val="auto"/>
          <w:sz w:val="21"/>
          <w:szCs w:val="21"/>
          <w:highlight w:val="none"/>
        </w:rPr>
      </w:pPr>
      <w:bookmarkStart w:id="42" w:name="bookmark98"/>
      <w:r>
        <w:rPr>
          <w:rFonts w:hint="eastAsia" w:ascii="宋体" w:hAnsi="宋体" w:eastAsia="宋体" w:cs="宋体"/>
          <w:color w:val="auto"/>
          <w:spacing w:val="0"/>
          <w:w w:val="100"/>
          <w:position w:val="0"/>
          <w:sz w:val="21"/>
          <w:szCs w:val="21"/>
          <w:highlight w:val="none"/>
        </w:rPr>
        <w:t>3</w:t>
      </w:r>
      <w:bookmarkEnd w:id="42"/>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本合同一式</w:t>
      </w:r>
      <w:r>
        <w:rPr>
          <w:rFonts w:hint="eastAsia" w:ascii="宋体" w:hAnsi="宋体" w:eastAsia="宋体" w:cs="宋体"/>
          <w:color w:val="auto"/>
          <w:spacing w:val="0"/>
          <w:w w:val="100"/>
          <w:position w:val="0"/>
          <w:sz w:val="21"/>
          <w:szCs w:val="21"/>
          <w:highlight w:val="none"/>
          <w:lang w:val="zh-CN" w:eastAsia="zh-CN" w:bidi="zh-CN"/>
        </w:rPr>
        <w:t>—份，</w:t>
      </w:r>
      <w:r>
        <w:rPr>
          <w:rFonts w:hint="eastAsia" w:ascii="宋体" w:hAnsi="宋体" w:eastAsia="宋体" w:cs="宋体"/>
          <w:color w:val="auto"/>
          <w:spacing w:val="0"/>
          <w:w w:val="100"/>
          <w:position w:val="0"/>
          <w:sz w:val="21"/>
          <w:szCs w:val="21"/>
          <w:highlight w:val="none"/>
        </w:rPr>
        <w:t>甲方</w:t>
      </w:r>
      <w:r>
        <w:rPr>
          <w:rFonts w:hint="eastAsia" w:ascii="宋体" w:hAnsi="宋体" w:eastAsia="宋体" w:cs="宋体"/>
          <w:color w:val="auto"/>
          <w:spacing w:val="0"/>
          <w:w w:val="100"/>
          <w:position w:val="0"/>
          <w:sz w:val="21"/>
          <w:szCs w:val="21"/>
          <w:highlight w:val="none"/>
          <w:lang w:val="zh-CN" w:eastAsia="zh-CN" w:bidi="zh-CN"/>
        </w:rPr>
        <w:t>—份，</w:t>
      </w:r>
      <w:r>
        <w:rPr>
          <w:rFonts w:hint="eastAsia" w:ascii="宋体" w:hAnsi="宋体" w:eastAsia="宋体" w:cs="宋体"/>
          <w:color w:val="auto"/>
          <w:spacing w:val="0"/>
          <w:w w:val="100"/>
          <w:position w:val="0"/>
          <w:sz w:val="21"/>
          <w:szCs w:val="21"/>
          <w:highlight w:val="none"/>
        </w:rPr>
        <w:t>乙方</w:t>
      </w:r>
      <w:r>
        <w:rPr>
          <w:rFonts w:hint="eastAsia" w:ascii="宋体" w:hAnsi="宋体" w:eastAsia="宋体" w:cs="宋体"/>
          <w:color w:val="auto"/>
          <w:spacing w:val="0"/>
          <w:w w:val="100"/>
          <w:position w:val="0"/>
          <w:sz w:val="21"/>
          <w:szCs w:val="21"/>
          <w:highlight w:val="none"/>
          <w:lang w:val="zh-CN" w:eastAsia="zh-CN" w:bidi="zh-CN"/>
        </w:rPr>
        <w:t>—份。</w:t>
      </w:r>
    </w:p>
    <w:p w14:paraId="2B05E500">
      <w:pPr>
        <w:pStyle w:val="97"/>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第十九条服务期限</w:t>
      </w:r>
    </w:p>
    <w:p w14:paraId="3ECCFE3B">
      <w:pPr>
        <w:pStyle w:val="97"/>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highlight w:val="none"/>
        </w:rPr>
        <w:sectPr>
          <w:footerReference r:id="rId6" w:type="default"/>
          <w:footerReference r:id="rId7" w:type="even"/>
          <w:footnotePr>
            <w:numFmt w:val="decimal"/>
          </w:footnotePr>
          <w:type w:val="continuous"/>
          <w:pgSz w:w="11900" w:h="16840"/>
          <w:pgMar w:top="1559" w:right="1680" w:bottom="1358" w:left="1709" w:header="1131" w:footer="1111" w:gutter="0"/>
          <w:pgNumType w:fmt="decimal"/>
          <w:cols w:space="720" w:num="1"/>
          <w:rtlGutter w:val="0"/>
          <w:docGrid w:linePitch="360" w:charSpace="0"/>
        </w:sectPr>
      </w:pPr>
      <w:r>
        <w:rPr>
          <w:rFonts w:hint="eastAsia" w:ascii="宋体" w:hAnsi="宋体" w:eastAsia="宋体" w:cs="宋体"/>
          <w:color w:val="auto"/>
          <w:spacing w:val="0"/>
          <w:w w:val="100"/>
          <w:position w:val="0"/>
          <w:sz w:val="21"/>
          <w:szCs w:val="21"/>
          <w:highlight w:val="none"/>
        </w:rPr>
        <w:t>本合同服务期限为</w:t>
      </w:r>
      <w:r>
        <w:rPr>
          <w:rFonts w:hint="eastAsia" w:ascii="宋体" w:hAnsi="宋体" w:eastAsia="宋体" w:cs="宋体"/>
          <w:color w:val="auto"/>
          <w:spacing w:val="0"/>
          <w:w w:val="100"/>
          <w:position w:val="0"/>
          <w:sz w:val="21"/>
          <w:szCs w:val="21"/>
          <w:highlight w:val="none"/>
          <w:lang w:val="zh-CN" w:eastAsia="zh-CN" w:bidi="zh-CN"/>
        </w:rPr>
        <w:t>—年；</w:t>
      </w:r>
      <w:r>
        <w:rPr>
          <w:rFonts w:hint="eastAsia" w:ascii="宋体" w:hAnsi="宋体" w:eastAsia="宋体" w:cs="宋体"/>
          <w:color w:val="auto"/>
          <w:spacing w:val="0"/>
          <w:w w:val="100"/>
          <w:position w:val="0"/>
          <w:sz w:val="21"/>
          <w:szCs w:val="21"/>
          <w:highlight w:val="none"/>
        </w:rPr>
        <w:t>服务期限自</w:t>
      </w:r>
      <w:r>
        <w:rPr>
          <w:rFonts w:hint="eastAsia" w:ascii="宋体" w:hAnsi="宋体" w:eastAsia="宋体" w:cs="宋体"/>
          <w:color w:val="auto"/>
          <w:spacing w:val="0"/>
          <w:w w:val="100"/>
          <w:position w:val="0"/>
          <w:sz w:val="21"/>
          <w:szCs w:val="21"/>
          <w:highlight w:val="none"/>
          <w:lang w:val="zh-CN" w:eastAsia="zh-CN" w:bidi="zh-CN"/>
        </w:rPr>
        <w:t>—</w:t>
      </w:r>
      <w:r>
        <w:rPr>
          <w:rFonts w:hint="eastAsia" w:ascii="宋体" w:hAnsi="宋体" w:eastAsia="宋体" w:cs="宋体"/>
          <w:color w:val="auto"/>
          <w:spacing w:val="0"/>
          <w:w w:val="100"/>
          <w:position w:val="0"/>
          <w:sz w:val="21"/>
          <w:szCs w:val="21"/>
          <w:highlight w:val="none"/>
        </w:rPr>
        <w:t>年</w:t>
      </w:r>
      <w:r>
        <w:rPr>
          <w:rFonts w:hint="eastAsia" w:ascii="宋体" w:hAnsi="宋体" w:eastAsia="宋体" w:cs="宋体"/>
          <w:color w:val="auto"/>
          <w:spacing w:val="0"/>
          <w:w w:val="100"/>
          <w:position w:val="0"/>
          <w:sz w:val="21"/>
          <w:szCs w:val="21"/>
          <w:highlight w:val="none"/>
          <w:lang w:val="zh-CN" w:eastAsia="zh-CN" w:bidi="zh-CN"/>
        </w:rPr>
        <w:t>—</w:t>
      </w:r>
      <w:r>
        <w:rPr>
          <w:rFonts w:hint="eastAsia" w:ascii="宋体" w:hAnsi="宋体" w:eastAsia="宋体" w:cs="宋体"/>
          <w:color w:val="auto"/>
          <w:spacing w:val="0"/>
          <w:w w:val="100"/>
          <w:position w:val="0"/>
          <w:sz w:val="21"/>
          <w:szCs w:val="21"/>
          <w:highlight w:val="none"/>
        </w:rPr>
        <w:t>月</w:t>
      </w:r>
      <w:r>
        <w:rPr>
          <w:rFonts w:hint="eastAsia" w:ascii="宋体" w:hAnsi="宋体" w:eastAsia="宋体" w:cs="宋体"/>
          <w:color w:val="auto"/>
          <w:spacing w:val="0"/>
          <w:w w:val="100"/>
          <w:position w:val="0"/>
          <w:sz w:val="21"/>
          <w:szCs w:val="21"/>
          <w:highlight w:val="none"/>
          <w:lang w:val="zh-CN" w:eastAsia="zh-CN" w:bidi="zh-CN"/>
        </w:rPr>
        <w:t>—</w:t>
      </w:r>
      <w:r>
        <w:rPr>
          <w:rFonts w:hint="eastAsia" w:ascii="宋体" w:hAnsi="宋体" w:eastAsia="宋体" w:cs="宋体"/>
          <w:color w:val="auto"/>
          <w:spacing w:val="0"/>
          <w:w w:val="100"/>
          <w:position w:val="0"/>
          <w:sz w:val="21"/>
          <w:szCs w:val="21"/>
          <w:highlight w:val="none"/>
        </w:rPr>
        <w:t>日起至</w:t>
      </w:r>
      <w:r>
        <w:rPr>
          <w:rFonts w:hint="eastAsia" w:ascii="宋体" w:hAnsi="宋体" w:eastAsia="宋体" w:cs="宋体"/>
          <w:color w:val="auto"/>
          <w:spacing w:val="0"/>
          <w:w w:val="100"/>
          <w:position w:val="0"/>
          <w:sz w:val="21"/>
          <w:szCs w:val="21"/>
          <w:highlight w:val="none"/>
          <w:lang w:val="zh-CN" w:eastAsia="zh-CN" w:bidi="zh-CN"/>
        </w:rPr>
        <w:t>—</w:t>
      </w:r>
      <w:r>
        <w:rPr>
          <w:rFonts w:hint="eastAsia" w:ascii="宋体" w:hAnsi="宋体" w:eastAsia="宋体" w:cs="宋体"/>
          <w:color w:val="auto"/>
          <w:spacing w:val="0"/>
          <w:w w:val="100"/>
          <w:position w:val="0"/>
          <w:sz w:val="21"/>
          <w:szCs w:val="21"/>
          <w:highlight w:val="none"/>
        </w:rPr>
        <w:t>年</w:t>
      </w:r>
      <w:r>
        <w:rPr>
          <w:rFonts w:hint="eastAsia" w:ascii="宋体" w:hAnsi="宋体" w:eastAsia="宋体" w:cs="宋体"/>
          <w:color w:val="auto"/>
          <w:spacing w:val="0"/>
          <w:w w:val="100"/>
          <w:position w:val="0"/>
          <w:sz w:val="21"/>
          <w:szCs w:val="21"/>
          <w:highlight w:val="none"/>
          <w:lang w:val="zh-CN" w:eastAsia="zh-CN" w:bidi="zh-CN"/>
        </w:rPr>
        <w:t>—</w:t>
      </w:r>
      <w:r>
        <w:rPr>
          <w:rFonts w:hint="eastAsia" w:ascii="宋体" w:hAnsi="宋体" w:eastAsia="宋体" w:cs="宋体"/>
          <w:color w:val="auto"/>
          <w:spacing w:val="0"/>
          <w:w w:val="100"/>
          <w:position w:val="0"/>
          <w:sz w:val="21"/>
          <w:szCs w:val="21"/>
          <w:highlight w:val="none"/>
        </w:rPr>
        <w:t>月 日止。本合同期限届满，如需续签，根据《政府采购目录》有关规定，经财政部门批准，双方可以根据法律及各项规定另行签订书面合同。</w:t>
      </w:r>
    </w:p>
    <w:p w14:paraId="480915D5">
      <w:pPr>
        <w:pStyle w:val="97"/>
        <w:keepNext w:val="0"/>
        <w:keepLines w:val="0"/>
        <w:widowControl w:val="0"/>
        <w:shd w:val="clear" w:color="auto" w:fill="auto"/>
        <w:bidi w:val="0"/>
        <w:spacing w:before="0" w:after="0" w:line="399" w:lineRule="exact"/>
        <w:ind w:left="0" w:right="0" w:firstLine="46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第二十条政府采购合同融资</w:t>
      </w:r>
    </w:p>
    <w:p w14:paraId="413EF515">
      <w:pPr>
        <w:pStyle w:val="97"/>
        <w:keepNext w:val="0"/>
        <w:keepLines w:val="0"/>
        <w:widowControl w:val="0"/>
        <w:numPr>
          <w:ilvl w:val="0"/>
          <w:numId w:val="16"/>
        </w:numPr>
        <w:shd w:val="clear" w:color="auto" w:fill="auto"/>
        <w:tabs>
          <w:tab w:val="left" w:pos="791"/>
        </w:tabs>
        <w:bidi w:val="0"/>
        <w:spacing w:before="0" w:after="0" w:line="399" w:lineRule="exact"/>
        <w:ind w:left="0" w:right="0" w:firstLine="460"/>
        <w:jc w:val="both"/>
        <w:rPr>
          <w:rFonts w:hint="eastAsia" w:ascii="宋体" w:hAnsi="宋体" w:eastAsia="宋体" w:cs="宋体"/>
          <w:color w:val="auto"/>
          <w:sz w:val="21"/>
          <w:szCs w:val="21"/>
          <w:highlight w:val="none"/>
        </w:rPr>
      </w:pPr>
      <w:bookmarkStart w:id="43" w:name="bookmark99"/>
      <w:bookmarkEnd w:id="43"/>
      <w:r>
        <w:rPr>
          <w:rFonts w:hint="eastAsia" w:ascii="宋体" w:hAnsi="宋体" w:eastAsia="宋体" w:cs="宋体"/>
          <w:color w:val="auto"/>
          <w:spacing w:val="0"/>
          <w:w w:val="100"/>
          <w:position w:val="0"/>
          <w:sz w:val="21"/>
          <w:szCs w:val="21"/>
          <w:highlight w:val="none"/>
        </w:rPr>
        <w:t>政府采购合同签订前开展融资业务的。中标（成交）供应商持政府采购中标（成交）通知书提前与金融机构进行合同融资商洽，双方达成融资意向后，中标（成交）供应商与</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购人签订政府</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购合同，合同中供应商的银行账户要与合 同融资的回款账户一致。中标（成交）供应商和贷款金融机构要及时将政府采购 合同作为融资质押的信息告知</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购人。采购人要从严加强合同付款账户管理，未经贷款银行同意，不随意更改合同付款账户。</w:t>
      </w:r>
    </w:p>
    <w:p w14:paraId="7BE854B1">
      <w:pPr>
        <w:pStyle w:val="97"/>
        <w:keepNext w:val="0"/>
        <w:keepLines w:val="0"/>
        <w:widowControl w:val="0"/>
        <w:numPr>
          <w:ilvl w:val="0"/>
          <w:numId w:val="16"/>
        </w:numPr>
        <w:shd w:val="clear" w:color="auto" w:fill="auto"/>
        <w:tabs>
          <w:tab w:val="left" w:pos="800"/>
        </w:tabs>
        <w:bidi w:val="0"/>
        <w:spacing w:before="0" w:after="0" w:line="399" w:lineRule="exact"/>
        <w:ind w:left="0" w:right="0" w:firstLine="460"/>
        <w:jc w:val="both"/>
        <w:rPr>
          <w:rFonts w:hint="eastAsia" w:ascii="宋体" w:hAnsi="宋体" w:eastAsia="宋体" w:cs="宋体"/>
          <w:color w:val="auto"/>
          <w:sz w:val="21"/>
          <w:szCs w:val="21"/>
          <w:highlight w:val="none"/>
        </w:rPr>
      </w:pPr>
      <w:bookmarkStart w:id="44" w:name="bookmark100"/>
      <w:bookmarkEnd w:id="44"/>
      <w:r>
        <w:rPr>
          <w:rFonts w:hint="eastAsia" w:ascii="宋体" w:hAnsi="宋体" w:eastAsia="宋体" w:cs="宋体"/>
          <w:color w:val="auto"/>
          <w:spacing w:val="0"/>
          <w:w w:val="100"/>
          <w:position w:val="0"/>
          <w:sz w:val="21"/>
          <w:szCs w:val="21"/>
          <w:highlight w:val="none"/>
        </w:rPr>
        <w:t>政府</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购合同签订后开展融资的账户管理。在合同履约期间，中标（成交）供应商持已签订的政府</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购合同向金融机构申请合同融资，可能出现政府采</w:t>
      </w:r>
      <w:r>
        <w:rPr>
          <w:rFonts w:hint="eastAsia" w:ascii="宋体" w:hAnsi="宋体" w:eastAsia="宋体" w:cs="宋体"/>
          <w:color w:val="auto"/>
          <w:spacing w:val="0"/>
          <w:w w:val="100"/>
          <w:position w:val="0"/>
          <w:sz w:val="21"/>
          <w:szCs w:val="21"/>
          <w:highlight w:val="none"/>
          <w:lang w:eastAsia="zh-CN"/>
        </w:rPr>
        <w:t>购合</w:t>
      </w:r>
      <w:r>
        <w:rPr>
          <w:rFonts w:hint="eastAsia" w:ascii="宋体" w:hAnsi="宋体" w:eastAsia="宋体" w:cs="宋体"/>
          <w:color w:val="auto"/>
          <w:spacing w:val="0"/>
          <w:w w:val="100"/>
          <w:position w:val="0"/>
          <w:sz w:val="21"/>
          <w:szCs w:val="21"/>
          <w:highlight w:val="none"/>
        </w:rPr>
        <w:t>同中供应商收款的银行账户与拟贷款银行回款账户不一致的情形。为支持供应商通过政府</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购合同成功获得银行贷款，采购人应积极协助供应商及时变更政府</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购合同中的供应商收款银行账户，保障供应商收款的银行账户与拟贷款银行回款账户一致。</w:t>
      </w:r>
    </w:p>
    <w:p w14:paraId="616DA410">
      <w:pPr>
        <w:pStyle w:val="97"/>
        <w:keepNext w:val="0"/>
        <w:keepLines w:val="0"/>
        <w:widowControl w:val="0"/>
        <w:numPr>
          <w:ilvl w:val="0"/>
          <w:numId w:val="16"/>
        </w:numPr>
        <w:shd w:val="clear" w:color="auto" w:fill="auto"/>
        <w:tabs>
          <w:tab w:val="left" w:pos="800"/>
        </w:tabs>
        <w:bidi w:val="0"/>
        <w:spacing w:before="0" w:after="0" w:line="399" w:lineRule="exact"/>
        <w:ind w:left="0" w:right="0" w:firstLine="460"/>
        <w:jc w:val="both"/>
        <w:rPr>
          <w:rFonts w:hint="eastAsia" w:ascii="宋体" w:hAnsi="宋体" w:eastAsia="宋体" w:cs="宋体"/>
          <w:color w:val="auto"/>
          <w:sz w:val="21"/>
          <w:szCs w:val="21"/>
          <w:highlight w:val="none"/>
        </w:rPr>
      </w:pPr>
      <w:bookmarkStart w:id="45" w:name="bookmark101"/>
      <w:bookmarkEnd w:id="45"/>
      <w:r>
        <w:rPr>
          <w:rFonts w:hint="eastAsia" w:ascii="宋体" w:hAnsi="宋体" w:eastAsia="宋体" w:cs="宋体"/>
          <w:color w:val="auto"/>
          <w:spacing w:val="0"/>
          <w:w w:val="100"/>
          <w:position w:val="0"/>
          <w:sz w:val="21"/>
          <w:szCs w:val="21"/>
          <w:highlight w:val="none"/>
        </w:rPr>
        <w:t>当中标（成交）供应商成功获取银行贷款后，采购人还应根据信息公开要 求，加强合同账户及资金支付管理，确保合同资金准确支付到贷款银行确认的回款账户。采购人不得不经贷款银行同意擅自更改合同账户、非法支付项目资金，造成不良后果的，将承担相应法律责任。</w:t>
      </w:r>
    </w:p>
    <w:p w14:paraId="292D0912">
      <w:pPr>
        <w:pStyle w:val="97"/>
        <w:keepNext w:val="0"/>
        <w:keepLines w:val="0"/>
        <w:widowControl w:val="0"/>
        <w:shd w:val="clear" w:color="auto" w:fill="auto"/>
        <w:bidi w:val="0"/>
        <w:spacing w:before="0" w:after="0" w:line="399" w:lineRule="exact"/>
        <w:ind w:left="0" w:right="0" w:firstLine="460"/>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第二十一条下列文件为本合同不可分割部分</w:t>
      </w:r>
    </w:p>
    <w:p w14:paraId="38849522">
      <w:pPr>
        <w:pStyle w:val="97"/>
        <w:keepNext w:val="0"/>
        <w:keepLines w:val="0"/>
        <w:widowControl w:val="0"/>
        <w:shd w:val="clear" w:color="auto" w:fill="auto"/>
        <w:tabs>
          <w:tab w:val="left" w:pos="814"/>
        </w:tabs>
        <w:bidi w:val="0"/>
        <w:spacing w:before="0" w:after="120" w:line="399" w:lineRule="exact"/>
        <w:ind w:left="0" w:right="0" w:firstLine="460"/>
        <w:jc w:val="both"/>
        <w:rPr>
          <w:rFonts w:hint="eastAsia" w:ascii="宋体" w:hAnsi="宋体" w:eastAsia="宋体" w:cs="宋体"/>
          <w:color w:val="auto"/>
          <w:sz w:val="21"/>
          <w:szCs w:val="21"/>
          <w:highlight w:val="none"/>
        </w:rPr>
      </w:pPr>
      <w:bookmarkStart w:id="46" w:name="bookmark102"/>
      <w:r>
        <w:rPr>
          <w:rFonts w:hint="eastAsia" w:ascii="宋体" w:hAnsi="宋体" w:eastAsia="宋体" w:cs="宋体"/>
          <w:color w:val="auto"/>
          <w:spacing w:val="0"/>
          <w:w w:val="100"/>
          <w:position w:val="0"/>
          <w:sz w:val="21"/>
          <w:szCs w:val="21"/>
          <w:highlight w:val="none"/>
        </w:rPr>
        <w:t>1</w:t>
      </w:r>
      <w:bookmarkEnd w:id="46"/>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政府</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购招标文件（包括澄清、修改）；</w:t>
      </w:r>
    </w:p>
    <w:p w14:paraId="4FD4A78B">
      <w:pPr>
        <w:pStyle w:val="97"/>
        <w:keepNext w:val="0"/>
        <w:keepLines w:val="0"/>
        <w:widowControl w:val="0"/>
        <w:shd w:val="clear" w:color="auto" w:fill="auto"/>
        <w:tabs>
          <w:tab w:val="left" w:pos="828"/>
        </w:tabs>
        <w:bidi w:val="0"/>
        <w:spacing w:before="0" w:after="0"/>
        <w:ind w:left="0" w:right="0" w:firstLine="460"/>
        <w:jc w:val="both"/>
        <w:rPr>
          <w:rFonts w:hint="eastAsia" w:ascii="宋体" w:hAnsi="宋体" w:eastAsia="宋体" w:cs="宋体"/>
          <w:color w:val="auto"/>
          <w:sz w:val="21"/>
          <w:szCs w:val="21"/>
          <w:highlight w:val="none"/>
        </w:rPr>
      </w:pPr>
      <w:bookmarkStart w:id="47" w:name="bookmark103"/>
      <w:r>
        <w:rPr>
          <w:rFonts w:hint="eastAsia" w:ascii="宋体" w:hAnsi="宋体" w:eastAsia="宋体" w:cs="宋体"/>
          <w:color w:val="auto"/>
          <w:spacing w:val="0"/>
          <w:w w:val="100"/>
          <w:position w:val="0"/>
          <w:sz w:val="21"/>
          <w:szCs w:val="21"/>
          <w:highlight w:val="none"/>
        </w:rPr>
        <w:t>2</w:t>
      </w:r>
      <w:bookmarkEnd w:id="47"/>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乙方投标文件；</w:t>
      </w:r>
    </w:p>
    <w:p w14:paraId="65443326">
      <w:pPr>
        <w:pStyle w:val="97"/>
        <w:keepNext w:val="0"/>
        <w:keepLines w:val="0"/>
        <w:widowControl w:val="0"/>
        <w:shd w:val="clear" w:color="auto" w:fill="auto"/>
        <w:tabs>
          <w:tab w:val="left" w:pos="828"/>
        </w:tabs>
        <w:bidi w:val="0"/>
        <w:spacing w:before="0" w:after="0" w:line="399" w:lineRule="exact"/>
        <w:ind w:left="0" w:right="0" w:firstLine="460"/>
        <w:jc w:val="both"/>
        <w:rPr>
          <w:rFonts w:hint="eastAsia" w:ascii="宋体" w:hAnsi="宋体" w:eastAsia="宋体" w:cs="宋体"/>
          <w:color w:val="auto"/>
          <w:sz w:val="21"/>
          <w:szCs w:val="21"/>
          <w:highlight w:val="none"/>
        </w:rPr>
      </w:pPr>
      <w:bookmarkStart w:id="48" w:name="bookmark104"/>
      <w:r>
        <w:rPr>
          <w:rFonts w:hint="eastAsia" w:ascii="宋体" w:hAnsi="宋体" w:eastAsia="宋体" w:cs="宋体"/>
          <w:color w:val="auto"/>
          <w:spacing w:val="0"/>
          <w:w w:val="100"/>
          <w:position w:val="0"/>
          <w:sz w:val="21"/>
          <w:szCs w:val="21"/>
          <w:highlight w:val="none"/>
        </w:rPr>
        <w:t>3</w:t>
      </w:r>
      <w:bookmarkEnd w:id="48"/>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中标（成交）通知书；</w:t>
      </w:r>
    </w:p>
    <w:p w14:paraId="46447C93">
      <w:pPr>
        <w:pStyle w:val="97"/>
        <w:keepNext w:val="0"/>
        <w:keepLines w:val="0"/>
        <w:widowControl w:val="0"/>
        <w:shd w:val="clear" w:color="auto" w:fill="auto"/>
        <w:tabs>
          <w:tab w:val="left" w:pos="833"/>
        </w:tabs>
        <w:bidi w:val="0"/>
        <w:spacing w:before="0" w:after="0" w:line="399" w:lineRule="exact"/>
        <w:ind w:left="0" w:right="0" w:firstLine="460"/>
        <w:jc w:val="both"/>
        <w:rPr>
          <w:rFonts w:hint="eastAsia" w:ascii="宋体" w:hAnsi="宋体" w:eastAsia="宋体" w:cs="宋体"/>
          <w:color w:val="auto"/>
          <w:sz w:val="21"/>
          <w:szCs w:val="21"/>
          <w:highlight w:val="none"/>
        </w:rPr>
      </w:pPr>
      <w:bookmarkStart w:id="49" w:name="bookmark105"/>
      <w:r>
        <w:rPr>
          <w:rFonts w:hint="eastAsia" w:ascii="宋体" w:hAnsi="宋体" w:eastAsia="宋体" w:cs="宋体"/>
          <w:color w:val="auto"/>
          <w:spacing w:val="0"/>
          <w:w w:val="100"/>
          <w:position w:val="0"/>
          <w:sz w:val="21"/>
          <w:szCs w:val="21"/>
          <w:highlight w:val="none"/>
        </w:rPr>
        <w:t>4</w:t>
      </w:r>
      <w:bookmarkEnd w:id="49"/>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中标人在评标过程中做出的有关澄清、说明、承诺或者补正文件；</w:t>
      </w:r>
    </w:p>
    <w:p w14:paraId="0D5F61B2">
      <w:pPr>
        <w:pStyle w:val="97"/>
        <w:keepNext w:val="0"/>
        <w:keepLines w:val="0"/>
        <w:widowControl w:val="0"/>
        <w:shd w:val="clear" w:color="auto" w:fill="auto"/>
        <w:tabs>
          <w:tab w:val="left" w:pos="833"/>
        </w:tabs>
        <w:bidi w:val="0"/>
        <w:spacing w:before="0" w:after="0" w:line="399" w:lineRule="exact"/>
        <w:ind w:left="0" w:right="0" w:firstLine="460"/>
        <w:jc w:val="both"/>
        <w:rPr>
          <w:rFonts w:hint="eastAsia" w:ascii="宋体" w:hAnsi="宋体" w:eastAsia="宋体" w:cs="宋体"/>
          <w:color w:val="auto"/>
          <w:sz w:val="21"/>
          <w:szCs w:val="21"/>
          <w:highlight w:val="none"/>
        </w:rPr>
        <w:sectPr>
          <w:footerReference r:id="rId8" w:type="default"/>
          <w:footerReference r:id="rId9" w:type="even"/>
          <w:footnotePr>
            <w:numFmt w:val="decimal"/>
          </w:footnotePr>
          <w:type w:val="continuous"/>
          <w:pgSz w:w="11900" w:h="16840"/>
          <w:pgMar w:top="1559" w:right="1680" w:bottom="1358" w:left="1709" w:header="1131" w:footer="1128" w:gutter="0"/>
          <w:pgNumType w:fmt="decimal"/>
          <w:cols w:space="720" w:num="1"/>
          <w:rtlGutter w:val="0"/>
          <w:docGrid w:linePitch="360" w:charSpace="0"/>
        </w:sectPr>
      </w:pPr>
      <w:bookmarkStart w:id="50" w:name="bookmark106"/>
      <w:r>
        <w:rPr>
          <w:rFonts w:hint="eastAsia" w:ascii="宋体" w:hAnsi="宋体" w:eastAsia="宋体" w:cs="宋体"/>
          <w:color w:val="auto"/>
          <w:spacing w:val="0"/>
          <w:w w:val="100"/>
          <w:position w:val="0"/>
          <w:sz w:val="21"/>
          <w:szCs w:val="21"/>
          <w:highlight w:val="none"/>
        </w:rPr>
        <w:t>5</w:t>
      </w:r>
      <w:bookmarkEnd w:id="50"/>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政府</w:t>
      </w:r>
      <w:r>
        <w:rPr>
          <w:rFonts w:hint="eastAsia" w:ascii="宋体" w:hAnsi="宋体" w:eastAsia="宋体" w:cs="宋体"/>
          <w:color w:val="auto"/>
          <w:spacing w:val="0"/>
          <w:w w:val="100"/>
          <w:position w:val="0"/>
          <w:sz w:val="21"/>
          <w:szCs w:val="21"/>
          <w:highlight w:val="none"/>
          <w:lang w:eastAsia="zh-CN"/>
        </w:rPr>
        <w:t>采</w:t>
      </w:r>
      <w:r>
        <w:rPr>
          <w:rFonts w:hint="eastAsia" w:ascii="宋体" w:hAnsi="宋体" w:eastAsia="宋体" w:cs="宋体"/>
          <w:color w:val="auto"/>
          <w:spacing w:val="0"/>
          <w:w w:val="100"/>
          <w:position w:val="0"/>
          <w:sz w:val="21"/>
          <w:szCs w:val="21"/>
          <w:highlight w:val="none"/>
        </w:rPr>
        <w:t>购委托协议书。</w:t>
      </w:r>
    </w:p>
    <w:p w14:paraId="189DFAA2">
      <w:pPr>
        <w:widowControl w:val="0"/>
        <w:spacing w:line="1" w:lineRule="exact"/>
        <w:rPr>
          <w:rFonts w:hint="eastAsia" w:ascii="宋体" w:hAnsi="宋体" w:eastAsia="宋体" w:cs="宋体"/>
          <w:color w:val="auto"/>
          <w:sz w:val="21"/>
          <w:szCs w:val="21"/>
          <w:highlight w:val="none"/>
        </w:rPr>
        <w:sectPr>
          <w:footnotePr>
            <w:numFmt w:val="decimal"/>
          </w:footnotePr>
          <w:type w:val="continuous"/>
          <w:pgSz w:w="11900" w:h="16840"/>
          <w:pgMar w:top="1734" w:right="0" w:bottom="1734" w:left="0" w:header="0" w:footer="3" w:gutter="0"/>
          <w:pgNumType w:fmt="decimal"/>
          <w:cols w:space="720" w:num="1"/>
          <w:rtlGutter w:val="0"/>
          <w:docGrid w:linePitch="360" w:charSpace="0"/>
        </w:sectPr>
      </w:pPr>
    </w:p>
    <w:p w14:paraId="461D8FD5">
      <w:pPr>
        <w:pStyle w:val="97"/>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甲 方：</w:t>
      </w:r>
    </w:p>
    <w:p w14:paraId="2D972FCA">
      <w:pPr>
        <w:pStyle w:val="97"/>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单位名称（公章）：</w:t>
      </w:r>
    </w:p>
    <w:p w14:paraId="53C2899D">
      <w:pPr>
        <w:pStyle w:val="97"/>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法定代表人（被授权代表）签字</w:t>
      </w:r>
      <w:r>
        <w:rPr>
          <w:rFonts w:hint="eastAsia" w:ascii="宋体" w:hAnsi="宋体" w:eastAsia="宋体" w:cs="宋体"/>
          <w:color w:val="auto"/>
          <w:spacing w:val="0"/>
          <w:w w:val="100"/>
          <w:position w:val="0"/>
          <w:sz w:val="21"/>
          <w:szCs w:val="21"/>
          <w:highlight w:val="none"/>
          <w:lang w:eastAsia="zh-CN"/>
        </w:rPr>
        <w:t>：</w:t>
      </w:r>
    </w:p>
    <w:p w14:paraId="5FF89A65">
      <w:pPr>
        <w:pStyle w:val="97"/>
        <w:keepNext w:val="0"/>
        <w:keepLines w:val="0"/>
        <w:widowControl w:val="0"/>
        <w:shd w:val="clear" w:color="auto" w:fill="auto"/>
        <w:bidi w:val="0"/>
        <w:spacing w:before="0" w:after="540" w:line="24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电 话：</w:t>
      </w:r>
    </w:p>
    <w:p w14:paraId="5B08F72E">
      <w:pPr>
        <w:pStyle w:val="97"/>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年 月 日</w:t>
      </w:r>
    </w:p>
    <w:p w14:paraId="3D65C2D2">
      <w:pPr>
        <w:pStyle w:val="97"/>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乙 方：</w:t>
      </w:r>
    </w:p>
    <w:p w14:paraId="0DE7898B">
      <w:pPr>
        <w:pStyle w:val="97"/>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单位名称（公章）：</w:t>
      </w:r>
    </w:p>
    <w:p w14:paraId="4DD4DB1B">
      <w:pPr>
        <w:pStyle w:val="97"/>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法定代表人（被授权代表）签字</w:t>
      </w:r>
      <w:r>
        <w:rPr>
          <w:rFonts w:hint="eastAsia" w:ascii="宋体" w:hAnsi="宋体" w:eastAsia="宋体" w:cs="宋体"/>
          <w:color w:val="auto"/>
          <w:spacing w:val="0"/>
          <w:w w:val="100"/>
          <w:position w:val="0"/>
          <w:sz w:val="21"/>
          <w:szCs w:val="21"/>
          <w:highlight w:val="none"/>
          <w:lang w:eastAsia="zh-CN"/>
        </w:rPr>
        <w:t>：</w:t>
      </w:r>
    </w:p>
    <w:p w14:paraId="3963D65E">
      <w:pPr>
        <w:pStyle w:val="97"/>
        <w:keepNext w:val="0"/>
        <w:keepLines w:val="0"/>
        <w:widowControl w:val="0"/>
        <w:shd w:val="clear" w:color="auto" w:fill="auto"/>
        <w:bidi w:val="0"/>
        <w:spacing w:before="0" w:after="540" w:line="240" w:lineRule="auto"/>
        <w:ind w:left="0" w:right="0" w:firstLine="0"/>
        <w:jc w:val="left"/>
        <w:rPr>
          <w:color w:val="auto"/>
          <w:highlight w:val="none"/>
        </w:rPr>
      </w:pPr>
      <w:r>
        <w:rPr>
          <w:color w:val="auto"/>
          <w:spacing w:val="0"/>
          <w:w w:val="100"/>
          <w:position w:val="0"/>
          <w:highlight w:val="none"/>
        </w:rPr>
        <w:t>电 话：</w:t>
      </w:r>
    </w:p>
    <w:p w14:paraId="7D5C8219">
      <w:pPr>
        <w:pStyle w:val="97"/>
        <w:keepNext w:val="0"/>
        <w:keepLines w:val="0"/>
        <w:widowControl w:val="0"/>
        <w:shd w:val="clear" w:color="auto" w:fill="auto"/>
        <w:bidi w:val="0"/>
        <w:spacing w:before="0" w:after="140" w:line="240" w:lineRule="auto"/>
        <w:ind w:left="0" w:right="0" w:firstLine="0"/>
        <w:jc w:val="left"/>
        <w:rPr>
          <w:color w:val="auto"/>
          <w:highlight w:val="none"/>
        </w:rPr>
        <w:sectPr>
          <w:footnotePr>
            <w:numFmt w:val="decimal"/>
          </w:footnotePr>
          <w:type w:val="continuous"/>
          <w:pgSz w:w="11900" w:h="16840"/>
          <w:pgMar w:top="1734" w:right="1791" w:bottom="1734" w:left="2189" w:header="0" w:footer="3" w:gutter="0"/>
          <w:pgNumType w:fmt="decimal"/>
          <w:cols w:space="1171" w:num="2"/>
          <w:rtlGutter w:val="0"/>
          <w:docGrid w:linePitch="360" w:charSpace="0"/>
        </w:sectPr>
      </w:pPr>
      <w:r>
        <w:rPr>
          <w:color w:val="auto"/>
          <w:spacing w:val="0"/>
          <w:w w:val="100"/>
          <w:position w:val="0"/>
          <w:highlight w:val="none"/>
        </w:rPr>
        <w:t>年 月 日</w:t>
      </w:r>
    </w:p>
    <w:p w14:paraId="0D3296F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第八章投标文件有关格式</w:t>
      </w:r>
    </w:p>
    <w:p w14:paraId="4155F75D">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57DF4A54">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1.以下的投标文件格式为通用的格式，投标人在制作投标文件时应以招标文件内容要求为准，选择相应的投标文件格式。</w:t>
      </w:r>
    </w:p>
    <w:p w14:paraId="041BFC2A">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353C3C4F">
      <w:pPr>
        <w:pStyle w:val="30"/>
        <w:rPr>
          <w:color w:val="auto"/>
          <w:highlight w:val="none"/>
          <w:lang w:val="zh-CN"/>
        </w:rPr>
      </w:pPr>
    </w:p>
    <w:p w14:paraId="73BC8C36">
      <w:pPr>
        <w:pStyle w:val="2"/>
        <w:rPr>
          <w:color w:val="auto"/>
          <w:highlight w:val="none"/>
          <w:lang w:val="zh-CN"/>
        </w:rPr>
      </w:pPr>
    </w:p>
    <w:p w14:paraId="1CFE7B30">
      <w:pPr>
        <w:rPr>
          <w:color w:val="auto"/>
          <w:highlight w:val="none"/>
          <w:lang w:val="zh-CN"/>
        </w:rPr>
      </w:pPr>
    </w:p>
    <w:p w14:paraId="1AF5FCBE">
      <w:pPr>
        <w:pStyle w:val="14"/>
        <w:rPr>
          <w:color w:val="auto"/>
          <w:highlight w:val="none"/>
          <w:lang w:val="zh-CN"/>
        </w:rPr>
      </w:pPr>
    </w:p>
    <w:p w14:paraId="7D0F5F2B">
      <w:pPr>
        <w:pStyle w:val="27"/>
        <w:rPr>
          <w:color w:val="auto"/>
          <w:highlight w:val="none"/>
          <w:lang w:val="zh-CN"/>
        </w:rPr>
      </w:pPr>
    </w:p>
    <w:p w14:paraId="298D65E4">
      <w:pPr>
        <w:pStyle w:val="27"/>
        <w:rPr>
          <w:color w:val="auto"/>
          <w:highlight w:val="none"/>
          <w:lang w:val="zh-CN"/>
        </w:rPr>
      </w:pPr>
    </w:p>
    <w:p w14:paraId="7BA82B8B">
      <w:pPr>
        <w:pStyle w:val="27"/>
        <w:rPr>
          <w:color w:val="auto"/>
          <w:highlight w:val="none"/>
          <w:lang w:val="zh-CN"/>
        </w:rPr>
      </w:pPr>
    </w:p>
    <w:p w14:paraId="04B4D70C">
      <w:pPr>
        <w:pStyle w:val="27"/>
        <w:rPr>
          <w:color w:val="auto"/>
          <w:highlight w:val="none"/>
          <w:lang w:val="zh-CN"/>
        </w:rPr>
      </w:pPr>
    </w:p>
    <w:p w14:paraId="067F1D0D">
      <w:pPr>
        <w:pStyle w:val="27"/>
        <w:rPr>
          <w:color w:val="auto"/>
          <w:highlight w:val="none"/>
          <w:lang w:val="zh-CN"/>
        </w:rPr>
      </w:pPr>
    </w:p>
    <w:p w14:paraId="604E480C">
      <w:pPr>
        <w:pStyle w:val="27"/>
        <w:rPr>
          <w:color w:val="auto"/>
          <w:highlight w:val="none"/>
          <w:lang w:val="zh-CN"/>
        </w:rPr>
      </w:pPr>
    </w:p>
    <w:p w14:paraId="4152DA2B">
      <w:pPr>
        <w:pStyle w:val="27"/>
        <w:rPr>
          <w:color w:val="auto"/>
          <w:highlight w:val="none"/>
          <w:lang w:val="zh-CN"/>
        </w:rPr>
      </w:pPr>
    </w:p>
    <w:p w14:paraId="56B3C49B">
      <w:pPr>
        <w:pStyle w:val="27"/>
        <w:rPr>
          <w:color w:val="auto"/>
          <w:highlight w:val="none"/>
          <w:lang w:val="zh-CN"/>
        </w:rPr>
      </w:pPr>
    </w:p>
    <w:p w14:paraId="5CD069E4">
      <w:pPr>
        <w:pStyle w:val="27"/>
        <w:rPr>
          <w:color w:val="auto"/>
          <w:highlight w:val="none"/>
          <w:lang w:val="zh-CN"/>
        </w:rPr>
      </w:pPr>
    </w:p>
    <w:p w14:paraId="3BBED7F8">
      <w:pPr>
        <w:pStyle w:val="27"/>
        <w:rPr>
          <w:color w:val="auto"/>
          <w:highlight w:val="none"/>
          <w:lang w:val="zh-CN"/>
        </w:rPr>
      </w:pPr>
    </w:p>
    <w:p w14:paraId="3D06C568">
      <w:pPr>
        <w:pStyle w:val="27"/>
        <w:rPr>
          <w:color w:val="auto"/>
          <w:highlight w:val="none"/>
          <w:lang w:val="zh-CN"/>
        </w:rPr>
      </w:pPr>
    </w:p>
    <w:p w14:paraId="242DBC25">
      <w:pPr>
        <w:pStyle w:val="69"/>
        <w:numPr>
          <w:ilvl w:val="0"/>
          <w:numId w:val="0"/>
        </w:numPr>
        <w:tabs>
          <w:tab w:val="left" w:pos="660"/>
        </w:tabs>
        <w:snapToGrid w:val="0"/>
        <w:spacing w:before="0" w:line="400" w:lineRule="exact"/>
        <w:jc w:val="center"/>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31"/>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CEE2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892680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47C338B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21ACACA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投标人应答</w:t>
            </w:r>
          </w:p>
          <w:p w14:paraId="272348E5">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1DAF68A2">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投标文件中所在页码</w:t>
            </w:r>
          </w:p>
        </w:tc>
        <w:tc>
          <w:tcPr>
            <w:tcW w:w="2018" w:type="dxa"/>
            <w:vAlign w:val="center"/>
          </w:tcPr>
          <w:p w14:paraId="42D97203">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4E232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FE0050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0E1E6571">
            <w:pPr>
              <w:pStyle w:val="2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投标人应答索引表</w:t>
            </w:r>
          </w:p>
        </w:tc>
        <w:tc>
          <w:tcPr>
            <w:tcW w:w="1559" w:type="dxa"/>
            <w:vAlign w:val="center"/>
          </w:tcPr>
          <w:p w14:paraId="7CF6CC11">
            <w:pPr>
              <w:snapToGrid w:val="0"/>
              <w:spacing w:line="400" w:lineRule="exact"/>
              <w:jc w:val="center"/>
              <w:rPr>
                <w:rFonts w:ascii="宋体" w:hAnsi="宋体" w:cs="微软雅黑"/>
                <w:color w:val="auto"/>
                <w:szCs w:val="21"/>
                <w:highlight w:val="none"/>
              </w:rPr>
            </w:pPr>
          </w:p>
        </w:tc>
        <w:tc>
          <w:tcPr>
            <w:tcW w:w="1560" w:type="dxa"/>
            <w:vAlign w:val="center"/>
          </w:tcPr>
          <w:p w14:paraId="21DE2A79">
            <w:pPr>
              <w:snapToGrid w:val="0"/>
              <w:spacing w:line="400" w:lineRule="exact"/>
              <w:rPr>
                <w:rFonts w:ascii="宋体" w:hAnsi="宋体" w:cs="微软雅黑"/>
                <w:color w:val="auto"/>
                <w:szCs w:val="21"/>
                <w:highlight w:val="none"/>
              </w:rPr>
            </w:pPr>
          </w:p>
        </w:tc>
        <w:tc>
          <w:tcPr>
            <w:tcW w:w="2018" w:type="dxa"/>
            <w:vAlign w:val="center"/>
          </w:tcPr>
          <w:p w14:paraId="721D1F86">
            <w:pPr>
              <w:snapToGrid w:val="0"/>
              <w:spacing w:line="400" w:lineRule="exact"/>
              <w:rPr>
                <w:rFonts w:ascii="宋体" w:hAnsi="宋体" w:cs="微软雅黑"/>
                <w:color w:val="auto"/>
                <w:szCs w:val="21"/>
                <w:highlight w:val="none"/>
              </w:rPr>
            </w:pPr>
          </w:p>
        </w:tc>
      </w:tr>
      <w:tr w14:paraId="3B5D2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4EC16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5CB1DDE6">
            <w:pPr>
              <w:pStyle w:val="21"/>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开标一览表</w:t>
            </w:r>
          </w:p>
        </w:tc>
        <w:tc>
          <w:tcPr>
            <w:tcW w:w="1559" w:type="dxa"/>
            <w:vAlign w:val="center"/>
          </w:tcPr>
          <w:p w14:paraId="0C8F6ADF">
            <w:pPr>
              <w:snapToGrid w:val="0"/>
              <w:spacing w:line="400" w:lineRule="exact"/>
              <w:jc w:val="center"/>
              <w:rPr>
                <w:rFonts w:ascii="宋体" w:hAnsi="宋体" w:cs="微软雅黑"/>
                <w:color w:val="auto"/>
                <w:szCs w:val="21"/>
                <w:highlight w:val="none"/>
              </w:rPr>
            </w:pPr>
          </w:p>
        </w:tc>
        <w:tc>
          <w:tcPr>
            <w:tcW w:w="1560" w:type="dxa"/>
            <w:vAlign w:val="center"/>
          </w:tcPr>
          <w:p w14:paraId="40FBFAE4">
            <w:pPr>
              <w:snapToGrid w:val="0"/>
              <w:spacing w:line="400" w:lineRule="exact"/>
              <w:rPr>
                <w:rFonts w:ascii="宋体" w:hAnsi="宋体" w:cs="微软雅黑"/>
                <w:color w:val="auto"/>
                <w:szCs w:val="21"/>
                <w:highlight w:val="none"/>
              </w:rPr>
            </w:pPr>
          </w:p>
        </w:tc>
        <w:tc>
          <w:tcPr>
            <w:tcW w:w="2018" w:type="dxa"/>
            <w:vAlign w:val="center"/>
          </w:tcPr>
          <w:p w14:paraId="4745FF83">
            <w:pPr>
              <w:snapToGrid w:val="0"/>
              <w:spacing w:line="400" w:lineRule="exact"/>
              <w:rPr>
                <w:rFonts w:ascii="宋体" w:hAnsi="宋体" w:cs="微软雅黑"/>
                <w:color w:val="auto"/>
                <w:szCs w:val="21"/>
                <w:highlight w:val="none"/>
              </w:rPr>
            </w:pPr>
          </w:p>
        </w:tc>
      </w:tr>
      <w:tr w14:paraId="04CD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B40857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2B46488D">
            <w:pPr>
              <w:pStyle w:val="2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投标函</w:t>
            </w:r>
          </w:p>
        </w:tc>
        <w:tc>
          <w:tcPr>
            <w:tcW w:w="1559" w:type="dxa"/>
            <w:vAlign w:val="center"/>
          </w:tcPr>
          <w:p w14:paraId="6E56E706">
            <w:pPr>
              <w:snapToGrid w:val="0"/>
              <w:spacing w:line="400" w:lineRule="exact"/>
              <w:jc w:val="center"/>
              <w:rPr>
                <w:rFonts w:ascii="宋体" w:hAnsi="宋体" w:cs="微软雅黑"/>
                <w:color w:val="auto"/>
                <w:szCs w:val="21"/>
                <w:highlight w:val="none"/>
              </w:rPr>
            </w:pPr>
          </w:p>
        </w:tc>
        <w:tc>
          <w:tcPr>
            <w:tcW w:w="1560" w:type="dxa"/>
            <w:vAlign w:val="center"/>
          </w:tcPr>
          <w:p w14:paraId="05816144">
            <w:pPr>
              <w:snapToGrid w:val="0"/>
              <w:spacing w:line="400" w:lineRule="exact"/>
              <w:rPr>
                <w:rFonts w:ascii="宋体" w:hAnsi="宋体" w:cs="微软雅黑"/>
                <w:color w:val="auto"/>
                <w:szCs w:val="21"/>
                <w:highlight w:val="none"/>
              </w:rPr>
            </w:pPr>
          </w:p>
        </w:tc>
        <w:tc>
          <w:tcPr>
            <w:tcW w:w="2018" w:type="dxa"/>
            <w:vAlign w:val="center"/>
          </w:tcPr>
          <w:p w14:paraId="7C48AFB7">
            <w:pPr>
              <w:snapToGrid w:val="0"/>
              <w:spacing w:line="400" w:lineRule="exact"/>
              <w:rPr>
                <w:rFonts w:ascii="宋体" w:hAnsi="宋体" w:cs="微软雅黑"/>
                <w:color w:val="auto"/>
                <w:szCs w:val="21"/>
                <w:highlight w:val="none"/>
              </w:rPr>
            </w:pPr>
          </w:p>
        </w:tc>
      </w:tr>
      <w:tr w14:paraId="27BB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123998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5EDD8F21">
            <w:pPr>
              <w:pStyle w:val="21"/>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59" w:type="dxa"/>
            <w:vAlign w:val="center"/>
          </w:tcPr>
          <w:p w14:paraId="4E802936">
            <w:pPr>
              <w:snapToGrid w:val="0"/>
              <w:spacing w:line="400" w:lineRule="exact"/>
              <w:jc w:val="center"/>
              <w:rPr>
                <w:rFonts w:ascii="宋体" w:hAnsi="宋体" w:cs="微软雅黑"/>
                <w:color w:val="auto"/>
                <w:szCs w:val="21"/>
                <w:highlight w:val="none"/>
              </w:rPr>
            </w:pPr>
          </w:p>
        </w:tc>
        <w:tc>
          <w:tcPr>
            <w:tcW w:w="1560" w:type="dxa"/>
            <w:vAlign w:val="center"/>
          </w:tcPr>
          <w:p w14:paraId="1B518114">
            <w:pPr>
              <w:snapToGrid w:val="0"/>
              <w:spacing w:line="400" w:lineRule="exact"/>
              <w:rPr>
                <w:rFonts w:ascii="宋体" w:hAnsi="宋体" w:cs="微软雅黑"/>
                <w:color w:val="auto"/>
                <w:szCs w:val="21"/>
                <w:highlight w:val="none"/>
              </w:rPr>
            </w:pPr>
          </w:p>
        </w:tc>
        <w:tc>
          <w:tcPr>
            <w:tcW w:w="2018" w:type="dxa"/>
            <w:vAlign w:val="center"/>
          </w:tcPr>
          <w:p w14:paraId="27801C36">
            <w:pPr>
              <w:snapToGrid w:val="0"/>
              <w:spacing w:line="400" w:lineRule="exact"/>
              <w:rPr>
                <w:rFonts w:ascii="宋体" w:hAnsi="宋体" w:cs="微软雅黑"/>
                <w:color w:val="auto"/>
                <w:szCs w:val="21"/>
                <w:highlight w:val="none"/>
              </w:rPr>
            </w:pPr>
          </w:p>
        </w:tc>
      </w:tr>
      <w:tr w14:paraId="351E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E621E2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4087E454">
            <w:pPr>
              <w:pStyle w:val="21"/>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34923AAE">
            <w:pPr>
              <w:snapToGrid w:val="0"/>
              <w:spacing w:line="400" w:lineRule="exact"/>
              <w:jc w:val="center"/>
              <w:rPr>
                <w:rFonts w:ascii="宋体" w:hAnsi="宋体" w:cs="微软雅黑"/>
                <w:color w:val="auto"/>
                <w:szCs w:val="21"/>
                <w:highlight w:val="none"/>
              </w:rPr>
            </w:pPr>
          </w:p>
        </w:tc>
        <w:tc>
          <w:tcPr>
            <w:tcW w:w="1560" w:type="dxa"/>
            <w:vAlign w:val="center"/>
          </w:tcPr>
          <w:p w14:paraId="1936A2E9">
            <w:pPr>
              <w:snapToGrid w:val="0"/>
              <w:spacing w:line="400" w:lineRule="exact"/>
              <w:rPr>
                <w:rFonts w:ascii="宋体" w:hAnsi="宋体" w:cs="微软雅黑"/>
                <w:color w:val="auto"/>
                <w:szCs w:val="21"/>
                <w:highlight w:val="none"/>
              </w:rPr>
            </w:pPr>
          </w:p>
        </w:tc>
        <w:tc>
          <w:tcPr>
            <w:tcW w:w="2018" w:type="dxa"/>
            <w:vAlign w:val="center"/>
          </w:tcPr>
          <w:p w14:paraId="09B216B7">
            <w:pPr>
              <w:snapToGrid w:val="0"/>
              <w:spacing w:line="400" w:lineRule="exact"/>
              <w:rPr>
                <w:rFonts w:ascii="宋体" w:hAnsi="宋体" w:cs="微软雅黑"/>
                <w:color w:val="auto"/>
                <w:szCs w:val="21"/>
                <w:highlight w:val="none"/>
              </w:rPr>
            </w:pPr>
          </w:p>
        </w:tc>
      </w:tr>
      <w:tr w14:paraId="65634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93CC2B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7C9C282B">
            <w:pPr>
              <w:pStyle w:val="21"/>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投标承诺函</w:t>
            </w:r>
          </w:p>
        </w:tc>
        <w:tc>
          <w:tcPr>
            <w:tcW w:w="1559" w:type="dxa"/>
            <w:vAlign w:val="center"/>
          </w:tcPr>
          <w:p w14:paraId="3B0E2A7B">
            <w:pPr>
              <w:snapToGrid w:val="0"/>
              <w:spacing w:line="400" w:lineRule="exact"/>
              <w:jc w:val="center"/>
              <w:rPr>
                <w:rFonts w:ascii="宋体" w:hAnsi="宋体" w:cs="微软雅黑"/>
                <w:color w:val="auto"/>
                <w:szCs w:val="21"/>
                <w:highlight w:val="none"/>
              </w:rPr>
            </w:pPr>
          </w:p>
        </w:tc>
        <w:tc>
          <w:tcPr>
            <w:tcW w:w="1560" w:type="dxa"/>
            <w:vAlign w:val="center"/>
          </w:tcPr>
          <w:p w14:paraId="28304C5A">
            <w:pPr>
              <w:snapToGrid w:val="0"/>
              <w:spacing w:line="400" w:lineRule="exact"/>
              <w:rPr>
                <w:rFonts w:ascii="宋体" w:hAnsi="宋体" w:cs="微软雅黑"/>
                <w:color w:val="auto"/>
                <w:szCs w:val="21"/>
                <w:highlight w:val="none"/>
              </w:rPr>
            </w:pPr>
          </w:p>
        </w:tc>
        <w:tc>
          <w:tcPr>
            <w:tcW w:w="2018" w:type="dxa"/>
            <w:vAlign w:val="center"/>
          </w:tcPr>
          <w:p w14:paraId="4D308079">
            <w:pPr>
              <w:snapToGrid w:val="0"/>
              <w:spacing w:line="400" w:lineRule="exact"/>
              <w:rPr>
                <w:rFonts w:ascii="宋体" w:hAnsi="宋体" w:cs="微软雅黑"/>
                <w:color w:val="auto"/>
                <w:szCs w:val="21"/>
                <w:highlight w:val="none"/>
              </w:rPr>
            </w:pPr>
          </w:p>
        </w:tc>
      </w:tr>
      <w:tr w14:paraId="30735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757B8B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4ED229FE">
            <w:pPr>
              <w:pStyle w:val="2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75162D4A">
            <w:pPr>
              <w:jc w:val="center"/>
              <w:rPr>
                <w:color w:val="auto"/>
                <w:szCs w:val="21"/>
                <w:highlight w:val="none"/>
              </w:rPr>
            </w:pPr>
          </w:p>
        </w:tc>
        <w:tc>
          <w:tcPr>
            <w:tcW w:w="1560" w:type="dxa"/>
            <w:vAlign w:val="center"/>
          </w:tcPr>
          <w:p w14:paraId="33E6B53B">
            <w:pPr>
              <w:snapToGrid w:val="0"/>
              <w:spacing w:line="400" w:lineRule="exact"/>
              <w:rPr>
                <w:rFonts w:ascii="宋体" w:hAnsi="宋体" w:cs="微软雅黑"/>
                <w:color w:val="auto"/>
                <w:szCs w:val="21"/>
                <w:highlight w:val="none"/>
              </w:rPr>
            </w:pPr>
          </w:p>
        </w:tc>
        <w:tc>
          <w:tcPr>
            <w:tcW w:w="2018" w:type="dxa"/>
            <w:vAlign w:val="center"/>
          </w:tcPr>
          <w:p w14:paraId="0769D0B1">
            <w:pPr>
              <w:snapToGrid w:val="0"/>
              <w:spacing w:line="400" w:lineRule="exact"/>
              <w:rPr>
                <w:rFonts w:ascii="宋体" w:hAnsi="宋体" w:cs="微软雅黑"/>
                <w:color w:val="auto"/>
                <w:szCs w:val="21"/>
                <w:highlight w:val="none"/>
              </w:rPr>
            </w:pPr>
          </w:p>
        </w:tc>
      </w:tr>
      <w:tr w14:paraId="36DEF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05AFB16">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8</w:t>
            </w:r>
          </w:p>
        </w:tc>
        <w:tc>
          <w:tcPr>
            <w:tcW w:w="3751" w:type="dxa"/>
            <w:vAlign w:val="center"/>
          </w:tcPr>
          <w:p w14:paraId="32CF5CD8">
            <w:pPr>
              <w:pStyle w:val="21"/>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559" w:type="dxa"/>
            <w:vAlign w:val="center"/>
          </w:tcPr>
          <w:p w14:paraId="3D8E345D">
            <w:pPr>
              <w:jc w:val="center"/>
              <w:rPr>
                <w:color w:val="auto"/>
                <w:szCs w:val="21"/>
                <w:highlight w:val="none"/>
              </w:rPr>
            </w:pPr>
          </w:p>
        </w:tc>
        <w:tc>
          <w:tcPr>
            <w:tcW w:w="1560" w:type="dxa"/>
            <w:vAlign w:val="center"/>
          </w:tcPr>
          <w:p w14:paraId="26B05F24">
            <w:pPr>
              <w:snapToGrid w:val="0"/>
              <w:spacing w:line="400" w:lineRule="exact"/>
              <w:rPr>
                <w:rFonts w:ascii="宋体" w:hAnsi="宋体" w:cs="微软雅黑"/>
                <w:color w:val="auto"/>
                <w:szCs w:val="21"/>
                <w:highlight w:val="none"/>
              </w:rPr>
            </w:pPr>
          </w:p>
        </w:tc>
        <w:tc>
          <w:tcPr>
            <w:tcW w:w="2018" w:type="dxa"/>
            <w:vAlign w:val="center"/>
          </w:tcPr>
          <w:p w14:paraId="51C2C574">
            <w:pPr>
              <w:snapToGrid w:val="0"/>
              <w:spacing w:line="400" w:lineRule="exact"/>
              <w:rPr>
                <w:rFonts w:ascii="宋体" w:hAnsi="宋体" w:cs="微软雅黑"/>
                <w:color w:val="auto"/>
                <w:szCs w:val="21"/>
                <w:highlight w:val="none"/>
              </w:rPr>
            </w:pPr>
          </w:p>
        </w:tc>
      </w:tr>
      <w:tr w14:paraId="7116A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A81E674">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9</w:t>
            </w:r>
          </w:p>
        </w:tc>
        <w:tc>
          <w:tcPr>
            <w:tcW w:w="3751" w:type="dxa"/>
            <w:vAlign w:val="center"/>
          </w:tcPr>
          <w:p w14:paraId="50BC2543">
            <w:pPr>
              <w:pStyle w:val="21"/>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1B59D908">
            <w:pPr>
              <w:jc w:val="center"/>
              <w:rPr>
                <w:color w:val="auto"/>
                <w:szCs w:val="21"/>
                <w:highlight w:val="none"/>
              </w:rPr>
            </w:pPr>
          </w:p>
        </w:tc>
        <w:tc>
          <w:tcPr>
            <w:tcW w:w="1560" w:type="dxa"/>
            <w:vAlign w:val="center"/>
          </w:tcPr>
          <w:p w14:paraId="0C80654E">
            <w:pPr>
              <w:snapToGrid w:val="0"/>
              <w:spacing w:line="400" w:lineRule="exact"/>
              <w:rPr>
                <w:rFonts w:ascii="宋体" w:hAnsi="宋体" w:cs="微软雅黑"/>
                <w:color w:val="auto"/>
                <w:szCs w:val="21"/>
                <w:highlight w:val="none"/>
              </w:rPr>
            </w:pPr>
          </w:p>
        </w:tc>
        <w:tc>
          <w:tcPr>
            <w:tcW w:w="2018" w:type="dxa"/>
            <w:vAlign w:val="center"/>
          </w:tcPr>
          <w:p w14:paraId="6BF6DA0B">
            <w:pPr>
              <w:snapToGrid w:val="0"/>
              <w:spacing w:line="400" w:lineRule="exact"/>
              <w:rPr>
                <w:rFonts w:ascii="宋体" w:hAnsi="宋体" w:cs="微软雅黑"/>
                <w:color w:val="auto"/>
                <w:szCs w:val="21"/>
                <w:highlight w:val="none"/>
              </w:rPr>
            </w:pPr>
          </w:p>
        </w:tc>
      </w:tr>
      <w:tr w14:paraId="1ABE9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E43C37">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10</w:t>
            </w:r>
          </w:p>
        </w:tc>
        <w:tc>
          <w:tcPr>
            <w:tcW w:w="3751" w:type="dxa"/>
            <w:vAlign w:val="center"/>
          </w:tcPr>
          <w:p w14:paraId="6C31E402">
            <w:pPr>
              <w:pStyle w:val="21"/>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投标人未为本项目提供整体设计、规范编制或者项目管理、监理、检测等服务承诺函</w:t>
            </w:r>
          </w:p>
        </w:tc>
        <w:tc>
          <w:tcPr>
            <w:tcW w:w="1559" w:type="dxa"/>
            <w:vAlign w:val="center"/>
          </w:tcPr>
          <w:p w14:paraId="33D19B5B">
            <w:pPr>
              <w:jc w:val="center"/>
              <w:rPr>
                <w:color w:val="auto"/>
                <w:szCs w:val="21"/>
                <w:highlight w:val="none"/>
              </w:rPr>
            </w:pPr>
          </w:p>
        </w:tc>
        <w:tc>
          <w:tcPr>
            <w:tcW w:w="1560" w:type="dxa"/>
            <w:vAlign w:val="center"/>
          </w:tcPr>
          <w:p w14:paraId="60CF2547">
            <w:pPr>
              <w:snapToGrid w:val="0"/>
              <w:spacing w:line="400" w:lineRule="exact"/>
              <w:rPr>
                <w:rFonts w:ascii="宋体" w:hAnsi="宋体" w:cs="微软雅黑"/>
                <w:color w:val="auto"/>
                <w:szCs w:val="21"/>
                <w:highlight w:val="none"/>
              </w:rPr>
            </w:pPr>
          </w:p>
        </w:tc>
        <w:tc>
          <w:tcPr>
            <w:tcW w:w="2018" w:type="dxa"/>
            <w:vAlign w:val="center"/>
          </w:tcPr>
          <w:p w14:paraId="287DE71F">
            <w:pPr>
              <w:snapToGrid w:val="0"/>
              <w:spacing w:line="400" w:lineRule="exact"/>
              <w:rPr>
                <w:rFonts w:ascii="宋体" w:hAnsi="宋体" w:cs="微软雅黑"/>
                <w:color w:val="auto"/>
                <w:szCs w:val="21"/>
                <w:highlight w:val="none"/>
              </w:rPr>
            </w:pPr>
          </w:p>
        </w:tc>
      </w:tr>
      <w:tr w14:paraId="6C6FF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BF672FB">
            <w:pPr>
              <w:adjustRightInd w:val="0"/>
              <w:snapToGrid w:val="0"/>
              <w:spacing w:line="400" w:lineRule="exact"/>
              <w:jc w:val="center"/>
              <w:textAlignment w:val="baseline"/>
              <w:rPr>
                <w:rFonts w:hint="eastAsia" w:ascii="宋体" w:hAnsi="宋体" w:cs="微软雅黑" w:eastAsiaTheme="minorEastAsia"/>
                <w:color w:val="auto"/>
                <w:kern w:val="2"/>
                <w:sz w:val="21"/>
                <w:szCs w:val="21"/>
                <w:highlight w:val="none"/>
                <w:lang w:val="zh-CN" w:eastAsia="zh-CN" w:bidi="ar-SA"/>
              </w:rPr>
            </w:pPr>
            <w:r>
              <w:rPr>
                <w:rFonts w:hint="eastAsia" w:ascii="宋体" w:hAnsi="宋体" w:cs="微软雅黑"/>
                <w:color w:val="auto"/>
                <w:szCs w:val="21"/>
                <w:highlight w:val="none"/>
              </w:rPr>
              <w:t>11</w:t>
            </w:r>
          </w:p>
        </w:tc>
        <w:tc>
          <w:tcPr>
            <w:tcW w:w="3751" w:type="dxa"/>
            <w:vAlign w:val="center"/>
          </w:tcPr>
          <w:p w14:paraId="4FA1C1B4">
            <w:pPr>
              <w:pStyle w:val="21"/>
              <w:kinsoku w:val="0"/>
              <w:overflowPunct w:val="0"/>
              <w:autoSpaceDE w:val="0"/>
              <w:autoSpaceDN w:val="0"/>
              <w:spacing w:line="320" w:lineRule="exact"/>
              <w:rPr>
                <w:rFonts w:hint="eastAsia"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分项报价表</w:t>
            </w:r>
          </w:p>
        </w:tc>
        <w:tc>
          <w:tcPr>
            <w:tcW w:w="1559" w:type="dxa"/>
            <w:vAlign w:val="center"/>
          </w:tcPr>
          <w:p w14:paraId="30EED97E">
            <w:pPr>
              <w:jc w:val="center"/>
              <w:rPr>
                <w:color w:val="auto"/>
                <w:szCs w:val="21"/>
                <w:highlight w:val="none"/>
              </w:rPr>
            </w:pPr>
          </w:p>
        </w:tc>
        <w:tc>
          <w:tcPr>
            <w:tcW w:w="1560" w:type="dxa"/>
            <w:vAlign w:val="center"/>
          </w:tcPr>
          <w:p w14:paraId="280CA8DF">
            <w:pPr>
              <w:snapToGrid w:val="0"/>
              <w:spacing w:line="400" w:lineRule="exact"/>
              <w:rPr>
                <w:rFonts w:ascii="宋体" w:hAnsi="宋体" w:cs="微软雅黑"/>
                <w:color w:val="auto"/>
                <w:szCs w:val="21"/>
                <w:highlight w:val="none"/>
              </w:rPr>
            </w:pPr>
          </w:p>
        </w:tc>
        <w:tc>
          <w:tcPr>
            <w:tcW w:w="2018" w:type="dxa"/>
            <w:vAlign w:val="center"/>
          </w:tcPr>
          <w:p w14:paraId="32354777">
            <w:pPr>
              <w:snapToGrid w:val="0"/>
              <w:spacing w:line="400" w:lineRule="exact"/>
              <w:rPr>
                <w:rFonts w:ascii="宋体" w:hAnsi="宋体" w:cs="微软雅黑"/>
                <w:color w:val="auto"/>
                <w:szCs w:val="21"/>
                <w:highlight w:val="none"/>
              </w:rPr>
            </w:pPr>
          </w:p>
        </w:tc>
      </w:tr>
      <w:tr w14:paraId="30860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D7CC0D">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12</w:t>
            </w:r>
          </w:p>
        </w:tc>
        <w:tc>
          <w:tcPr>
            <w:tcW w:w="3751" w:type="dxa"/>
            <w:shd w:val="clear" w:color="auto" w:fill="auto"/>
            <w:vAlign w:val="center"/>
          </w:tcPr>
          <w:p w14:paraId="5D70A98A">
            <w:pPr>
              <w:pStyle w:val="21"/>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技术方案（实施方案）</w:t>
            </w:r>
          </w:p>
        </w:tc>
        <w:tc>
          <w:tcPr>
            <w:tcW w:w="1559" w:type="dxa"/>
            <w:vAlign w:val="center"/>
          </w:tcPr>
          <w:p w14:paraId="4F5DF0FC">
            <w:pPr>
              <w:jc w:val="center"/>
              <w:rPr>
                <w:color w:val="auto"/>
                <w:szCs w:val="21"/>
                <w:highlight w:val="none"/>
              </w:rPr>
            </w:pPr>
          </w:p>
        </w:tc>
        <w:tc>
          <w:tcPr>
            <w:tcW w:w="1560" w:type="dxa"/>
            <w:vAlign w:val="center"/>
          </w:tcPr>
          <w:p w14:paraId="2D2FDEC2">
            <w:pPr>
              <w:snapToGrid w:val="0"/>
              <w:spacing w:line="400" w:lineRule="exact"/>
              <w:rPr>
                <w:rFonts w:ascii="宋体" w:hAnsi="宋体" w:cs="微软雅黑"/>
                <w:color w:val="auto"/>
                <w:szCs w:val="21"/>
                <w:highlight w:val="none"/>
              </w:rPr>
            </w:pPr>
          </w:p>
        </w:tc>
        <w:tc>
          <w:tcPr>
            <w:tcW w:w="2018" w:type="dxa"/>
            <w:vAlign w:val="center"/>
          </w:tcPr>
          <w:p w14:paraId="0A979BCB">
            <w:pPr>
              <w:snapToGrid w:val="0"/>
              <w:spacing w:line="400" w:lineRule="exact"/>
              <w:rPr>
                <w:rFonts w:ascii="宋体" w:hAnsi="宋体" w:cs="微软雅黑"/>
                <w:color w:val="auto"/>
                <w:szCs w:val="21"/>
                <w:highlight w:val="none"/>
              </w:rPr>
            </w:pPr>
          </w:p>
        </w:tc>
      </w:tr>
      <w:tr w14:paraId="7522B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8D5BCA">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13</w:t>
            </w:r>
          </w:p>
        </w:tc>
        <w:tc>
          <w:tcPr>
            <w:tcW w:w="3751" w:type="dxa"/>
            <w:shd w:val="clear" w:color="auto" w:fill="auto"/>
            <w:vAlign w:val="center"/>
          </w:tcPr>
          <w:p w14:paraId="2CD1BAF1">
            <w:pPr>
              <w:pStyle w:val="21"/>
              <w:kinsoku w:val="0"/>
              <w:overflowPunct w:val="0"/>
              <w:autoSpaceDE w:val="0"/>
              <w:autoSpaceDN w:val="0"/>
              <w:spacing w:line="320" w:lineRule="exact"/>
              <w:rPr>
                <w:rFonts w:hint="eastAsia"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服务</w:t>
            </w:r>
            <w:r>
              <w:rPr>
                <w:rFonts w:hint="eastAsia" w:hAnsi="宋体" w:cs="微软雅黑"/>
                <w:bCs/>
                <w:color w:val="auto"/>
                <w:kern w:val="0"/>
                <w:sz w:val="21"/>
                <w:szCs w:val="21"/>
                <w:highlight w:val="none"/>
                <w:lang w:val="en-US" w:eastAsia="zh-CN"/>
              </w:rPr>
              <w:t>承诺</w:t>
            </w:r>
          </w:p>
        </w:tc>
        <w:tc>
          <w:tcPr>
            <w:tcW w:w="1559" w:type="dxa"/>
            <w:vAlign w:val="center"/>
          </w:tcPr>
          <w:p w14:paraId="0E8184E9">
            <w:pPr>
              <w:jc w:val="center"/>
              <w:rPr>
                <w:color w:val="auto"/>
                <w:szCs w:val="21"/>
                <w:highlight w:val="none"/>
              </w:rPr>
            </w:pPr>
          </w:p>
        </w:tc>
        <w:tc>
          <w:tcPr>
            <w:tcW w:w="1560" w:type="dxa"/>
            <w:tcBorders>
              <w:top w:val="single" w:color="auto" w:sz="4" w:space="0"/>
            </w:tcBorders>
            <w:vAlign w:val="center"/>
          </w:tcPr>
          <w:p w14:paraId="4A41640E">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478C1D65">
            <w:pPr>
              <w:snapToGrid w:val="0"/>
              <w:spacing w:line="400" w:lineRule="exact"/>
              <w:rPr>
                <w:rFonts w:ascii="宋体" w:hAnsi="宋体" w:cs="微软雅黑"/>
                <w:color w:val="auto"/>
                <w:szCs w:val="21"/>
                <w:highlight w:val="none"/>
              </w:rPr>
            </w:pPr>
          </w:p>
        </w:tc>
      </w:tr>
      <w:tr w14:paraId="299C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C41CEB">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14</w:t>
            </w:r>
          </w:p>
        </w:tc>
        <w:tc>
          <w:tcPr>
            <w:tcW w:w="3751" w:type="dxa"/>
            <w:shd w:val="clear" w:color="auto" w:fill="auto"/>
            <w:vAlign w:val="center"/>
          </w:tcPr>
          <w:p w14:paraId="199A5EE5">
            <w:pPr>
              <w:pStyle w:val="21"/>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业绩情况表</w:t>
            </w:r>
          </w:p>
        </w:tc>
        <w:tc>
          <w:tcPr>
            <w:tcW w:w="1559" w:type="dxa"/>
            <w:vAlign w:val="center"/>
          </w:tcPr>
          <w:p w14:paraId="7003EA5C">
            <w:pPr>
              <w:jc w:val="center"/>
              <w:rPr>
                <w:color w:val="auto"/>
                <w:szCs w:val="21"/>
                <w:highlight w:val="none"/>
              </w:rPr>
            </w:pPr>
          </w:p>
        </w:tc>
        <w:tc>
          <w:tcPr>
            <w:tcW w:w="1560" w:type="dxa"/>
            <w:vAlign w:val="center"/>
          </w:tcPr>
          <w:p w14:paraId="457EC834">
            <w:pPr>
              <w:snapToGrid w:val="0"/>
              <w:spacing w:line="400" w:lineRule="exact"/>
              <w:rPr>
                <w:rFonts w:ascii="宋体" w:hAnsi="宋体" w:cs="微软雅黑"/>
                <w:color w:val="auto"/>
                <w:szCs w:val="21"/>
                <w:highlight w:val="none"/>
              </w:rPr>
            </w:pPr>
          </w:p>
        </w:tc>
        <w:tc>
          <w:tcPr>
            <w:tcW w:w="2018" w:type="dxa"/>
            <w:vAlign w:val="center"/>
          </w:tcPr>
          <w:p w14:paraId="56228CD9">
            <w:pPr>
              <w:snapToGrid w:val="0"/>
              <w:spacing w:line="400" w:lineRule="exact"/>
              <w:rPr>
                <w:rFonts w:ascii="宋体" w:hAnsi="宋体" w:cs="微软雅黑"/>
                <w:color w:val="auto"/>
                <w:szCs w:val="21"/>
                <w:highlight w:val="none"/>
              </w:rPr>
            </w:pPr>
          </w:p>
        </w:tc>
      </w:tr>
      <w:tr w14:paraId="0A271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22F6DCC">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15</w:t>
            </w:r>
          </w:p>
        </w:tc>
        <w:tc>
          <w:tcPr>
            <w:tcW w:w="3751" w:type="dxa"/>
            <w:shd w:val="clear" w:color="auto" w:fill="auto"/>
            <w:vAlign w:val="center"/>
          </w:tcPr>
          <w:p w14:paraId="4E7552DF">
            <w:pPr>
              <w:pStyle w:val="21"/>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中小企业声明函</w:t>
            </w:r>
          </w:p>
        </w:tc>
        <w:tc>
          <w:tcPr>
            <w:tcW w:w="1559" w:type="dxa"/>
            <w:vAlign w:val="center"/>
          </w:tcPr>
          <w:p w14:paraId="5934C396">
            <w:pPr>
              <w:jc w:val="center"/>
              <w:rPr>
                <w:color w:val="auto"/>
                <w:szCs w:val="21"/>
                <w:highlight w:val="none"/>
              </w:rPr>
            </w:pPr>
          </w:p>
        </w:tc>
        <w:tc>
          <w:tcPr>
            <w:tcW w:w="1560" w:type="dxa"/>
            <w:vAlign w:val="center"/>
          </w:tcPr>
          <w:p w14:paraId="39E3E2EF">
            <w:pPr>
              <w:snapToGrid w:val="0"/>
              <w:spacing w:line="400" w:lineRule="exact"/>
              <w:rPr>
                <w:rFonts w:ascii="宋体" w:hAnsi="宋体" w:cs="微软雅黑"/>
                <w:color w:val="auto"/>
                <w:szCs w:val="21"/>
                <w:highlight w:val="none"/>
              </w:rPr>
            </w:pPr>
          </w:p>
        </w:tc>
        <w:tc>
          <w:tcPr>
            <w:tcW w:w="2018" w:type="dxa"/>
            <w:vAlign w:val="center"/>
          </w:tcPr>
          <w:p w14:paraId="41C9C89C">
            <w:pPr>
              <w:snapToGrid w:val="0"/>
              <w:spacing w:line="400" w:lineRule="exact"/>
              <w:rPr>
                <w:rFonts w:ascii="宋体" w:hAnsi="宋体" w:cs="微软雅黑"/>
                <w:color w:val="auto"/>
                <w:szCs w:val="21"/>
                <w:highlight w:val="none"/>
              </w:rPr>
            </w:pPr>
          </w:p>
        </w:tc>
      </w:tr>
      <w:tr w14:paraId="6435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D751B3">
            <w:pPr>
              <w:adjustRightInd w:val="0"/>
              <w:snapToGrid w:val="0"/>
              <w:spacing w:line="400" w:lineRule="exact"/>
              <w:jc w:val="center"/>
              <w:textAlignment w:val="baseline"/>
              <w:rPr>
                <w:rFonts w:hint="default"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lang w:val="en-US" w:eastAsia="zh-CN"/>
              </w:rPr>
              <w:t>16</w:t>
            </w:r>
          </w:p>
        </w:tc>
        <w:tc>
          <w:tcPr>
            <w:tcW w:w="3751" w:type="dxa"/>
            <w:shd w:val="clear" w:color="auto" w:fill="auto"/>
            <w:vAlign w:val="center"/>
          </w:tcPr>
          <w:p w14:paraId="77EC7011">
            <w:pPr>
              <w:pStyle w:val="21"/>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559" w:type="dxa"/>
            <w:vAlign w:val="center"/>
          </w:tcPr>
          <w:p w14:paraId="2AE0709F">
            <w:pPr>
              <w:jc w:val="center"/>
              <w:rPr>
                <w:color w:val="auto"/>
                <w:szCs w:val="21"/>
                <w:highlight w:val="none"/>
              </w:rPr>
            </w:pPr>
          </w:p>
        </w:tc>
        <w:tc>
          <w:tcPr>
            <w:tcW w:w="1560" w:type="dxa"/>
            <w:vAlign w:val="center"/>
          </w:tcPr>
          <w:p w14:paraId="0941C238">
            <w:pPr>
              <w:snapToGrid w:val="0"/>
              <w:spacing w:line="400" w:lineRule="exact"/>
              <w:rPr>
                <w:rFonts w:ascii="宋体" w:hAnsi="宋体" w:cs="微软雅黑"/>
                <w:color w:val="auto"/>
                <w:szCs w:val="21"/>
                <w:highlight w:val="none"/>
              </w:rPr>
            </w:pPr>
          </w:p>
        </w:tc>
        <w:tc>
          <w:tcPr>
            <w:tcW w:w="2018" w:type="dxa"/>
            <w:vAlign w:val="center"/>
          </w:tcPr>
          <w:p w14:paraId="1C35F00E">
            <w:pPr>
              <w:snapToGrid w:val="0"/>
              <w:spacing w:line="400" w:lineRule="exact"/>
              <w:rPr>
                <w:rFonts w:ascii="宋体" w:hAnsi="宋体" w:cs="微软雅黑"/>
                <w:color w:val="auto"/>
                <w:szCs w:val="21"/>
                <w:highlight w:val="none"/>
              </w:rPr>
            </w:pPr>
          </w:p>
        </w:tc>
      </w:tr>
      <w:tr w14:paraId="07DAA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262A32">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17</w:t>
            </w:r>
          </w:p>
        </w:tc>
        <w:tc>
          <w:tcPr>
            <w:tcW w:w="3751" w:type="dxa"/>
            <w:shd w:val="clear" w:color="auto" w:fill="auto"/>
            <w:vAlign w:val="center"/>
          </w:tcPr>
          <w:p w14:paraId="18A084EA">
            <w:pPr>
              <w:pStyle w:val="21"/>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监狱企业证明文件</w:t>
            </w:r>
          </w:p>
        </w:tc>
        <w:tc>
          <w:tcPr>
            <w:tcW w:w="1559" w:type="dxa"/>
            <w:vAlign w:val="center"/>
          </w:tcPr>
          <w:p w14:paraId="73B87D1C">
            <w:pPr>
              <w:jc w:val="center"/>
              <w:rPr>
                <w:color w:val="auto"/>
                <w:szCs w:val="21"/>
                <w:highlight w:val="none"/>
              </w:rPr>
            </w:pPr>
          </w:p>
        </w:tc>
        <w:tc>
          <w:tcPr>
            <w:tcW w:w="1560" w:type="dxa"/>
            <w:vAlign w:val="center"/>
          </w:tcPr>
          <w:p w14:paraId="0759094A">
            <w:pPr>
              <w:snapToGrid w:val="0"/>
              <w:spacing w:line="400" w:lineRule="exact"/>
              <w:rPr>
                <w:rFonts w:ascii="宋体" w:hAnsi="宋体" w:cs="微软雅黑"/>
                <w:color w:val="auto"/>
                <w:szCs w:val="21"/>
                <w:highlight w:val="none"/>
              </w:rPr>
            </w:pPr>
          </w:p>
        </w:tc>
        <w:tc>
          <w:tcPr>
            <w:tcW w:w="2018" w:type="dxa"/>
            <w:vAlign w:val="center"/>
          </w:tcPr>
          <w:p w14:paraId="4DE8D2A1">
            <w:pPr>
              <w:snapToGrid w:val="0"/>
              <w:spacing w:line="400" w:lineRule="exact"/>
              <w:rPr>
                <w:rFonts w:ascii="宋体" w:hAnsi="宋体" w:cs="微软雅黑"/>
                <w:color w:val="auto"/>
                <w:szCs w:val="21"/>
                <w:highlight w:val="none"/>
              </w:rPr>
            </w:pPr>
          </w:p>
        </w:tc>
      </w:tr>
      <w:tr w14:paraId="1C7F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76709B7">
            <w:pPr>
              <w:adjustRightInd w:val="0"/>
              <w:snapToGrid w:val="0"/>
              <w:spacing w:line="400" w:lineRule="exact"/>
              <w:jc w:val="center"/>
              <w:textAlignment w:val="baseline"/>
              <w:rPr>
                <w:rFonts w:hint="default"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kern w:val="2"/>
                <w:sz w:val="21"/>
                <w:szCs w:val="21"/>
                <w:highlight w:val="none"/>
                <w:lang w:val="en-US" w:eastAsia="zh-CN" w:bidi="ar-SA"/>
              </w:rPr>
              <w:t>18</w:t>
            </w:r>
          </w:p>
        </w:tc>
        <w:tc>
          <w:tcPr>
            <w:tcW w:w="3751" w:type="dxa"/>
            <w:vAlign w:val="center"/>
          </w:tcPr>
          <w:p w14:paraId="031B9696">
            <w:pPr>
              <w:pStyle w:val="2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559" w:type="dxa"/>
            <w:vAlign w:val="center"/>
          </w:tcPr>
          <w:p w14:paraId="4905A59F">
            <w:pPr>
              <w:jc w:val="center"/>
              <w:rPr>
                <w:color w:val="auto"/>
                <w:szCs w:val="21"/>
                <w:highlight w:val="none"/>
              </w:rPr>
            </w:pPr>
          </w:p>
        </w:tc>
        <w:tc>
          <w:tcPr>
            <w:tcW w:w="1560" w:type="dxa"/>
            <w:vAlign w:val="center"/>
          </w:tcPr>
          <w:p w14:paraId="7E29E066">
            <w:pPr>
              <w:snapToGrid w:val="0"/>
              <w:spacing w:line="400" w:lineRule="exact"/>
              <w:rPr>
                <w:rFonts w:ascii="宋体" w:hAnsi="宋体" w:cs="微软雅黑"/>
                <w:color w:val="auto"/>
                <w:szCs w:val="21"/>
                <w:highlight w:val="none"/>
              </w:rPr>
            </w:pPr>
          </w:p>
        </w:tc>
        <w:tc>
          <w:tcPr>
            <w:tcW w:w="2018" w:type="dxa"/>
            <w:vAlign w:val="center"/>
          </w:tcPr>
          <w:p w14:paraId="63B27EB1">
            <w:pPr>
              <w:snapToGrid w:val="0"/>
              <w:spacing w:line="400" w:lineRule="exact"/>
              <w:rPr>
                <w:rFonts w:ascii="宋体" w:hAnsi="宋体" w:cs="微软雅黑"/>
                <w:color w:val="auto"/>
                <w:szCs w:val="21"/>
                <w:highlight w:val="none"/>
              </w:rPr>
            </w:pPr>
          </w:p>
        </w:tc>
      </w:tr>
    </w:tbl>
    <w:p w14:paraId="0ABDE911">
      <w:pPr>
        <w:pStyle w:val="21"/>
        <w:spacing w:line="360" w:lineRule="auto"/>
        <w:jc w:val="both"/>
        <w:rPr>
          <w:rFonts w:asciiTheme="majorEastAsia" w:hAnsiTheme="majorEastAsia" w:eastAsiaTheme="majorEastAsia"/>
          <w:b/>
          <w:snapToGrid w:val="0"/>
          <w:color w:val="auto"/>
          <w:kern w:val="0"/>
          <w:sz w:val="28"/>
          <w:szCs w:val="28"/>
          <w:highlight w:val="none"/>
        </w:rPr>
      </w:pPr>
    </w:p>
    <w:p w14:paraId="5E9EE2E4">
      <w:pPr>
        <w:pStyle w:val="21"/>
        <w:spacing w:line="360" w:lineRule="auto"/>
        <w:rPr>
          <w:rFonts w:asciiTheme="majorEastAsia" w:hAnsiTheme="majorEastAsia" w:eastAsiaTheme="majorEastAsia"/>
          <w:b/>
          <w:snapToGrid w:val="0"/>
          <w:color w:val="auto"/>
          <w:kern w:val="0"/>
          <w:sz w:val="28"/>
          <w:szCs w:val="28"/>
          <w:highlight w:val="none"/>
        </w:rPr>
      </w:pPr>
    </w:p>
    <w:p w14:paraId="62BF9695">
      <w:pPr>
        <w:pStyle w:val="21"/>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二、开标一览表</w:t>
      </w:r>
    </w:p>
    <w:p w14:paraId="7D1DEA71">
      <w:pPr>
        <w:autoSpaceDE w:val="0"/>
        <w:autoSpaceDN w:val="0"/>
        <w:adjustRightIn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7FB3CBDF">
      <w:pPr>
        <w:autoSpaceDE w:val="0"/>
        <w:autoSpaceDN w:val="0"/>
        <w:adjustRightInd w:val="0"/>
        <w:spacing w:line="360" w:lineRule="auto"/>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rPr>
        <w:t xml:space="preserve">项目名称：                                             </w:t>
      </w:r>
      <w:r>
        <w:rPr>
          <w:rFonts w:hint="eastAsia" w:asciiTheme="minorEastAsia" w:hAnsiTheme="minorEastAsia"/>
          <w:color w:val="auto"/>
          <w:szCs w:val="21"/>
          <w:highlight w:val="none"/>
          <w:lang w:eastAsia="zh-CN"/>
        </w:rPr>
        <w:t>单位：元</w:t>
      </w:r>
      <w:r>
        <w:rPr>
          <w:rFonts w:hint="eastAsia" w:asciiTheme="minorEastAsia" w:hAnsiTheme="minorEastAsia"/>
          <w:color w:val="auto"/>
          <w:szCs w:val="21"/>
          <w:highlight w:val="none"/>
          <w:lang w:val="en-US" w:eastAsia="zh-CN"/>
        </w:rPr>
        <w:t>/吨</w:t>
      </w:r>
    </w:p>
    <w:tbl>
      <w:tblPr>
        <w:tblStyle w:val="31"/>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14:paraId="0D00262F">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14:paraId="0ED8007A">
            <w:pPr>
              <w:autoSpaceDE w:val="0"/>
              <w:autoSpaceDN w:val="0"/>
              <w:adjustRightInd w:val="0"/>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标段</w:t>
            </w:r>
          </w:p>
        </w:tc>
        <w:tc>
          <w:tcPr>
            <w:tcW w:w="2268" w:type="dxa"/>
            <w:tcBorders>
              <w:top w:val="single" w:color="auto" w:sz="6" w:space="0"/>
              <w:left w:val="single" w:color="auto" w:sz="6" w:space="0"/>
              <w:bottom w:val="single" w:color="auto" w:sz="6" w:space="0"/>
              <w:right w:val="single" w:color="auto" w:sz="6" w:space="0"/>
            </w:tcBorders>
            <w:shd w:val="clear" w:color="auto" w:fill="auto"/>
            <w:vAlign w:val="center"/>
          </w:tcPr>
          <w:p w14:paraId="674B330E">
            <w:pPr>
              <w:autoSpaceDE w:val="0"/>
              <w:autoSpaceDN w:val="0"/>
              <w:adjustRightInd w:val="0"/>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项目名称</w:t>
            </w:r>
          </w:p>
        </w:tc>
        <w:tc>
          <w:tcPr>
            <w:tcW w:w="2694" w:type="dxa"/>
            <w:tcBorders>
              <w:top w:val="single" w:color="auto" w:sz="6" w:space="0"/>
              <w:left w:val="single" w:color="auto" w:sz="6" w:space="0"/>
              <w:bottom w:val="single" w:color="auto" w:sz="6" w:space="0"/>
              <w:right w:val="single" w:color="auto" w:sz="6" w:space="0"/>
            </w:tcBorders>
            <w:shd w:val="clear" w:color="auto" w:fill="auto"/>
            <w:vAlign w:val="center"/>
          </w:tcPr>
          <w:p w14:paraId="1825AB2C">
            <w:pPr>
              <w:autoSpaceDE w:val="0"/>
              <w:autoSpaceDN w:val="0"/>
              <w:adjustRightInd w:val="0"/>
              <w:spacing w:line="360" w:lineRule="auto"/>
              <w:jc w:val="center"/>
              <w:rPr>
                <w:rFonts w:hint="eastAsia" w:asciiTheme="minorEastAsia" w:hAnsiTheme="minorEastAsia" w:eastAsiaTheme="minorEastAsia"/>
                <w:b/>
                <w:color w:val="auto"/>
                <w:szCs w:val="21"/>
                <w:highlight w:val="none"/>
                <w:lang w:eastAsia="zh-CN"/>
              </w:rPr>
            </w:pPr>
            <w:r>
              <w:rPr>
                <w:rFonts w:hint="eastAsia" w:asciiTheme="minorEastAsia" w:hAnsiTheme="minorEastAsia"/>
                <w:b/>
                <w:color w:val="auto"/>
                <w:szCs w:val="21"/>
                <w:highlight w:val="none"/>
                <w:lang w:val="en-US" w:eastAsia="zh-CN"/>
              </w:rPr>
              <w:t>单</w:t>
            </w:r>
            <w:r>
              <w:rPr>
                <w:rFonts w:hint="eastAsia" w:asciiTheme="minorEastAsia" w:hAnsiTheme="minorEastAsia"/>
                <w:b/>
                <w:color w:val="auto"/>
                <w:szCs w:val="21"/>
                <w:highlight w:val="none"/>
                <w:lang w:eastAsia="zh-CN"/>
              </w:rPr>
              <w:t>价</w:t>
            </w:r>
          </w:p>
        </w:tc>
        <w:tc>
          <w:tcPr>
            <w:tcW w:w="1984" w:type="dxa"/>
            <w:tcBorders>
              <w:top w:val="single" w:color="auto" w:sz="6" w:space="0"/>
              <w:left w:val="single" w:color="auto" w:sz="4" w:space="0"/>
              <w:bottom w:val="single" w:color="auto" w:sz="6" w:space="0"/>
              <w:right w:val="single" w:color="auto" w:sz="4" w:space="0"/>
            </w:tcBorders>
            <w:shd w:val="clear" w:color="auto" w:fill="auto"/>
            <w:vAlign w:val="center"/>
          </w:tcPr>
          <w:p w14:paraId="170B8CA5">
            <w:pPr>
              <w:autoSpaceDE w:val="0"/>
              <w:autoSpaceDN w:val="0"/>
              <w:adjustRightInd w:val="0"/>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合同履行期限</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14:paraId="2E87824A">
            <w:pPr>
              <w:autoSpaceDE w:val="0"/>
              <w:autoSpaceDN w:val="0"/>
              <w:adjustRightInd w:val="0"/>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备注</w:t>
            </w:r>
          </w:p>
        </w:tc>
      </w:tr>
      <w:tr w14:paraId="36273D72">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1B53079A">
            <w:pPr>
              <w:autoSpaceDE w:val="0"/>
              <w:autoSpaceDN w:val="0"/>
              <w:adjustRightInd w:val="0"/>
              <w:spacing w:line="360" w:lineRule="auto"/>
              <w:rPr>
                <w:rFonts w:asciiTheme="minorEastAsia" w:hAnsiTheme="minorEastAsia"/>
                <w:color w:val="auto"/>
                <w:szCs w:val="21"/>
                <w:highlight w:val="none"/>
              </w:rPr>
            </w:pPr>
          </w:p>
        </w:tc>
        <w:tc>
          <w:tcPr>
            <w:tcW w:w="2268" w:type="dxa"/>
            <w:tcBorders>
              <w:top w:val="single" w:color="auto" w:sz="6" w:space="0"/>
              <w:left w:val="single" w:color="auto" w:sz="6" w:space="0"/>
              <w:bottom w:val="single" w:color="auto" w:sz="6" w:space="0"/>
              <w:right w:val="single" w:color="auto" w:sz="6" w:space="0"/>
            </w:tcBorders>
            <w:vAlign w:val="center"/>
          </w:tcPr>
          <w:p w14:paraId="7C867ADE">
            <w:pPr>
              <w:autoSpaceDE w:val="0"/>
              <w:autoSpaceDN w:val="0"/>
              <w:adjustRightInd w:val="0"/>
              <w:spacing w:line="360" w:lineRule="auto"/>
              <w:rPr>
                <w:rFonts w:asciiTheme="minorEastAsia" w:hAnsiTheme="minorEastAsia"/>
                <w:color w:val="auto"/>
                <w:szCs w:val="21"/>
                <w:highlight w:val="none"/>
              </w:rPr>
            </w:pPr>
          </w:p>
        </w:tc>
        <w:tc>
          <w:tcPr>
            <w:tcW w:w="2694" w:type="dxa"/>
            <w:tcBorders>
              <w:top w:val="single" w:color="auto" w:sz="6" w:space="0"/>
              <w:left w:val="single" w:color="auto" w:sz="6" w:space="0"/>
              <w:bottom w:val="single" w:color="auto" w:sz="6" w:space="0"/>
              <w:right w:val="single" w:color="auto" w:sz="6" w:space="0"/>
            </w:tcBorders>
            <w:vAlign w:val="center"/>
          </w:tcPr>
          <w:p w14:paraId="58114F4F">
            <w:pPr>
              <w:autoSpaceDE w:val="0"/>
              <w:autoSpaceDN w:val="0"/>
              <w:adjustRightInd w:val="0"/>
              <w:spacing w:line="360" w:lineRule="auto"/>
              <w:rPr>
                <w:rFonts w:hint="eastAsia"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eastAsia="zh-CN"/>
              </w:rPr>
              <w:t>大写：</w:t>
            </w:r>
            <w:r>
              <w:rPr>
                <w:rFonts w:hint="eastAsia" w:asciiTheme="minorEastAsia" w:hAnsiTheme="minorEastAsia"/>
                <w:color w:val="auto"/>
                <w:szCs w:val="21"/>
                <w:highlight w:val="none"/>
                <w:lang w:val="en-US" w:eastAsia="zh-CN"/>
              </w:rPr>
              <w:t xml:space="preserve">          </w:t>
            </w:r>
            <w:r>
              <w:rPr>
                <w:rFonts w:hint="eastAsia" w:asciiTheme="minorEastAsia" w:hAnsiTheme="minorEastAsia"/>
                <w:color w:val="auto"/>
                <w:szCs w:val="21"/>
                <w:highlight w:val="none"/>
                <w:lang w:eastAsia="zh-CN"/>
              </w:rPr>
              <w:t>小写：</w:t>
            </w:r>
          </w:p>
        </w:tc>
        <w:tc>
          <w:tcPr>
            <w:tcW w:w="1984" w:type="dxa"/>
            <w:tcBorders>
              <w:top w:val="single" w:color="auto" w:sz="6" w:space="0"/>
              <w:left w:val="single" w:color="auto" w:sz="4" w:space="0"/>
              <w:bottom w:val="single" w:color="auto" w:sz="6" w:space="0"/>
              <w:right w:val="single" w:color="auto" w:sz="4" w:space="0"/>
            </w:tcBorders>
            <w:vAlign w:val="center"/>
          </w:tcPr>
          <w:p w14:paraId="679CD9D6">
            <w:pPr>
              <w:autoSpaceDE w:val="0"/>
              <w:autoSpaceDN w:val="0"/>
              <w:adjustRightInd w:val="0"/>
              <w:spacing w:line="360" w:lineRule="auto"/>
              <w:rPr>
                <w:rFonts w:asciiTheme="minorEastAsia" w:hAnsiTheme="minorEastAsia"/>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46E8B3BD">
            <w:pPr>
              <w:autoSpaceDE w:val="0"/>
              <w:autoSpaceDN w:val="0"/>
              <w:adjustRightInd w:val="0"/>
              <w:spacing w:line="360" w:lineRule="auto"/>
              <w:rPr>
                <w:rFonts w:asciiTheme="minorEastAsia" w:hAnsiTheme="minorEastAsia"/>
                <w:color w:val="auto"/>
                <w:szCs w:val="21"/>
                <w:highlight w:val="none"/>
              </w:rPr>
            </w:pPr>
          </w:p>
        </w:tc>
      </w:tr>
    </w:tbl>
    <w:p w14:paraId="5B7B47BA">
      <w:pPr>
        <w:autoSpaceDE w:val="0"/>
        <w:autoSpaceDN w:val="0"/>
        <w:adjustRightIn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投标人名称：</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（公章）：</w:t>
      </w:r>
    </w:p>
    <w:p w14:paraId="140B8EBA">
      <w:pPr>
        <w:autoSpaceDE w:val="0"/>
        <w:autoSpaceDN w:val="0"/>
        <w:adjustRightIn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投标人法定代表人（或授权代表）签字：</w:t>
      </w:r>
    </w:p>
    <w:p w14:paraId="7308B2F9">
      <w:pPr>
        <w:autoSpaceDE w:val="0"/>
        <w:autoSpaceDN w:val="0"/>
        <w:adjustRightIn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日期：</w:t>
      </w:r>
    </w:p>
    <w:p w14:paraId="69053D3E">
      <w:pPr>
        <w:autoSpaceDE w:val="0"/>
        <w:autoSpaceDN w:val="0"/>
        <w:adjustRightInd w:val="0"/>
        <w:spacing w:line="360" w:lineRule="auto"/>
        <w:rPr>
          <w:rFonts w:ascii="宋体" w:cs="宋体"/>
          <w:color w:val="auto"/>
          <w:sz w:val="24"/>
          <w:highlight w:val="none"/>
          <w:lang w:val="zh-CN"/>
        </w:rPr>
      </w:pPr>
    </w:p>
    <w:p w14:paraId="1763624B">
      <w:pPr>
        <w:autoSpaceDE w:val="0"/>
        <w:autoSpaceDN w:val="0"/>
        <w:adjustRightInd w:val="0"/>
        <w:spacing w:line="360" w:lineRule="auto"/>
        <w:rPr>
          <w:rFonts w:ascii="宋体" w:cs="宋体"/>
          <w:color w:val="auto"/>
          <w:sz w:val="24"/>
          <w:highlight w:val="none"/>
          <w:lang w:val="zh-CN"/>
        </w:rPr>
      </w:pPr>
    </w:p>
    <w:p w14:paraId="6FBAD369">
      <w:pPr>
        <w:autoSpaceDE w:val="0"/>
        <w:autoSpaceDN w:val="0"/>
        <w:adjustRightInd w:val="0"/>
        <w:spacing w:line="360" w:lineRule="auto"/>
        <w:rPr>
          <w:rFonts w:ascii="宋体" w:cs="宋体"/>
          <w:color w:val="auto"/>
          <w:sz w:val="24"/>
          <w:highlight w:val="none"/>
          <w:lang w:val="zh-CN"/>
        </w:rPr>
      </w:pPr>
    </w:p>
    <w:p w14:paraId="74E1AFCE">
      <w:pPr>
        <w:autoSpaceDE w:val="0"/>
        <w:autoSpaceDN w:val="0"/>
        <w:adjustRightInd w:val="0"/>
        <w:spacing w:line="360" w:lineRule="auto"/>
        <w:rPr>
          <w:rFonts w:ascii="宋体" w:cs="宋体"/>
          <w:color w:val="auto"/>
          <w:sz w:val="24"/>
          <w:highlight w:val="none"/>
          <w:lang w:val="zh-CN"/>
        </w:rPr>
      </w:pPr>
    </w:p>
    <w:p w14:paraId="446C4433">
      <w:pPr>
        <w:autoSpaceDE w:val="0"/>
        <w:autoSpaceDN w:val="0"/>
        <w:adjustRightInd w:val="0"/>
        <w:spacing w:line="360" w:lineRule="auto"/>
        <w:rPr>
          <w:rFonts w:ascii="宋体" w:cs="宋体"/>
          <w:color w:val="auto"/>
          <w:sz w:val="24"/>
          <w:highlight w:val="none"/>
          <w:lang w:val="zh-CN"/>
        </w:rPr>
      </w:pPr>
    </w:p>
    <w:p w14:paraId="59C8FED0">
      <w:pPr>
        <w:autoSpaceDE w:val="0"/>
        <w:autoSpaceDN w:val="0"/>
        <w:adjustRightInd w:val="0"/>
        <w:spacing w:line="360" w:lineRule="auto"/>
        <w:rPr>
          <w:rFonts w:ascii="宋体" w:cs="宋体"/>
          <w:color w:val="auto"/>
          <w:sz w:val="24"/>
          <w:highlight w:val="none"/>
          <w:lang w:val="zh-CN"/>
        </w:rPr>
      </w:pPr>
    </w:p>
    <w:p w14:paraId="7F29CA9D">
      <w:pPr>
        <w:autoSpaceDE w:val="0"/>
        <w:autoSpaceDN w:val="0"/>
        <w:adjustRightInd w:val="0"/>
        <w:spacing w:line="360" w:lineRule="auto"/>
        <w:rPr>
          <w:rFonts w:ascii="宋体" w:cs="宋体"/>
          <w:color w:val="auto"/>
          <w:sz w:val="24"/>
          <w:highlight w:val="none"/>
          <w:lang w:val="zh-CN"/>
        </w:rPr>
      </w:pPr>
    </w:p>
    <w:p w14:paraId="3ECA8C5C">
      <w:pPr>
        <w:autoSpaceDE w:val="0"/>
        <w:autoSpaceDN w:val="0"/>
        <w:adjustRightInd w:val="0"/>
        <w:spacing w:line="360" w:lineRule="auto"/>
        <w:rPr>
          <w:rFonts w:ascii="宋体" w:cs="宋体"/>
          <w:color w:val="auto"/>
          <w:sz w:val="24"/>
          <w:highlight w:val="none"/>
          <w:lang w:val="zh-CN"/>
        </w:rPr>
      </w:pPr>
    </w:p>
    <w:p w14:paraId="71FF7A5D">
      <w:pPr>
        <w:autoSpaceDE w:val="0"/>
        <w:autoSpaceDN w:val="0"/>
        <w:adjustRightInd w:val="0"/>
        <w:spacing w:line="360" w:lineRule="auto"/>
        <w:rPr>
          <w:rFonts w:ascii="宋体" w:cs="宋体"/>
          <w:color w:val="auto"/>
          <w:sz w:val="24"/>
          <w:highlight w:val="none"/>
          <w:lang w:val="zh-CN"/>
        </w:rPr>
      </w:pPr>
    </w:p>
    <w:p w14:paraId="2274C5D0">
      <w:pPr>
        <w:pStyle w:val="30"/>
        <w:ind w:firstLine="340"/>
        <w:rPr>
          <w:color w:val="auto"/>
          <w:highlight w:val="none"/>
          <w:lang w:val="zh-CN"/>
        </w:rPr>
      </w:pPr>
    </w:p>
    <w:p w14:paraId="2E9F7894">
      <w:pPr>
        <w:pStyle w:val="2"/>
        <w:ind w:firstLine="480"/>
        <w:rPr>
          <w:color w:val="auto"/>
          <w:highlight w:val="none"/>
          <w:lang w:val="zh-CN"/>
        </w:rPr>
      </w:pPr>
    </w:p>
    <w:p w14:paraId="4A8EEC3B">
      <w:pPr>
        <w:rPr>
          <w:color w:val="auto"/>
          <w:highlight w:val="none"/>
          <w:lang w:val="zh-CN"/>
        </w:rPr>
      </w:pPr>
    </w:p>
    <w:p w14:paraId="1964DAC8">
      <w:pPr>
        <w:pStyle w:val="14"/>
        <w:rPr>
          <w:color w:val="auto"/>
          <w:highlight w:val="none"/>
          <w:lang w:val="zh-CN"/>
        </w:rPr>
      </w:pPr>
    </w:p>
    <w:p w14:paraId="3E9D0437">
      <w:pPr>
        <w:autoSpaceDE w:val="0"/>
        <w:autoSpaceDN w:val="0"/>
        <w:adjustRightInd w:val="0"/>
        <w:spacing w:line="360" w:lineRule="auto"/>
        <w:rPr>
          <w:rFonts w:cs="黑体" w:asciiTheme="minorEastAsia" w:hAnsiTheme="minorEastAsia"/>
          <w:b/>
          <w:bCs/>
          <w:color w:val="auto"/>
          <w:sz w:val="44"/>
          <w:szCs w:val="44"/>
          <w:highlight w:val="none"/>
          <w:lang w:val="zh-CN"/>
        </w:rPr>
      </w:pPr>
    </w:p>
    <w:p w14:paraId="143BE27E">
      <w:pPr>
        <w:pStyle w:val="14"/>
        <w:rPr>
          <w:color w:val="auto"/>
          <w:highlight w:val="none"/>
          <w:lang w:val="zh-CN"/>
        </w:rPr>
      </w:pPr>
    </w:p>
    <w:p w14:paraId="09D38106">
      <w:pPr>
        <w:pStyle w:val="39"/>
        <w:rPr>
          <w:color w:val="auto"/>
          <w:highlight w:val="none"/>
          <w:lang w:val="zh-CN"/>
        </w:rPr>
      </w:pPr>
    </w:p>
    <w:p w14:paraId="26B75428">
      <w:pPr>
        <w:pStyle w:val="39"/>
        <w:rPr>
          <w:color w:val="auto"/>
          <w:highlight w:val="none"/>
          <w:lang w:val="zh-CN"/>
        </w:rPr>
      </w:pPr>
    </w:p>
    <w:p w14:paraId="1BA6C8E6">
      <w:pPr>
        <w:autoSpaceDE w:val="0"/>
        <w:autoSpaceDN w:val="0"/>
        <w:adjustRightInd w:val="0"/>
        <w:spacing w:line="360" w:lineRule="auto"/>
        <w:jc w:val="center"/>
        <w:rPr>
          <w:rFonts w:asciiTheme="majorEastAsia" w:hAnsiTheme="majorEastAsia" w:eastAsiaTheme="majorEastAsia"/>
          <w:b/>
          <w:snapToGrid w:val="0"/>
          <w:color w:val="auto"/>
          <w:kern w:val="0"/>
          <w:sz w:val="36"/>
          <w:szCs w:val="36"/>
          <w:highlight w:val="none"/>
        </w:rPr>
      </w:pPr>
      <w:r>
        <w:rPr>
          <w:rFonts w:hint="eastAsia" w:cs="黑体" w:asciiTheme="minorEastAsia" w:hAnsiTheme="minorEastAsia"/>
          <w:b/>
          <w:bCs/>
          <w:color w:val="auto"/>
          <w:sz w:val="28"/>
          <w:szCs w:val="28"/>
          <w:highlight w:val="none"/>
          <w:lang w:val="zh-CN"/>
        </w:rPr>
        <w:t>三、资格审查相关材料</w:t>
      </w:r>
    </w:p>
    <w:p w14:paraId="14F2A5BF">
      <w:pPr>
        <w:pStyle w:val="21"/>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Cs w:val="24"/>
          <w:highlight w:val="none"/>
        </w:rPr>
        <w:t>3.1投标函</w:t>
      </w:r>
    </w:p>
    <w:p w14:paraId="0A9A00D0">
      <w:pPr>
        <w:pStyle w:val="21"/>
        <w:adjustRightInd w:val="0"/>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致：</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（采购人）</w:t>
      </w:r>
    </w:p>
    <w:p w14:paraId="6AE80B8A">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根据贵方</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（项目名称</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rPr>
        <w:t>招标编号）采购的招标公告及投标邀请，</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（姓名和职务）被正式授权并代表投标人</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（投标人名称、地址）提交。</w:t>
      </w:r>
    </w:p>
    <w:p w14:paraId="15108C8C">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u w:val="single"/>
        </w:rPr>
      </w:pPr>
      <w:r>
        <w:rPr>
          <w:rFonts w:hint="eastAsia" w:asciiTheme="minorEastAsia" w:hAnsiTheme="minorEastAsia" w:eastAsiaTheme="minorEastAsia"/>
          <w:color w:val="auto"/>
          <w:sz w:val="21"/>
          <w:szCs w:val="21"/>
          <w:highlight w:val="none"/>
        </w:rPr>
        <w:t>拟投入</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rPr>
        <w:t>项目名称</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rPr>
        <w:t>的项目负责人姓名：</w:t>
      </w:r>
      <w:r>
        <w:rPr>
          <w:rFonts w:hint="eastAsia" w:asciiTheme="minorEastAsia" w:hAnsiTheme="minorEastAsia" w:eastAsiaTheme="minorEastAsia"/>
          <w:color w:val="auto"/>
          <w:sz w:val="21"/>
          <w:szCs w:val="21"/>
          <w:highlight w:val="none"/>
          <w:u w:val="single"/>
        </w:rPr>
        <w:t xml:space="preserve">                </w:t>
      </w:r>
    </w:p>
    <w:p w14:paraId="06B26449">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我方确认收到贵方提供的</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（项目名称</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rPr>
        <w:t>招标编号）招标文件的全部内容。</w:t>
      </w:r>
    </w:p>
    <w:p w14:paraId="3F6CA502">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75D66A0C">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我方已完全明白招标文件的所有条款要求，并申明如下：</w:t>
      </w:r>
    </w:p>
    <w:p w14:paraId="66AB27AD">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一、按招标文件提供的全部货物与相关服务详见《开标一览表》。</w:t>
      </w:r>
    </w:p>
    <w:p w14:paraId="1A1C58BF">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4B415779">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三、我方明白并同意，在规定的开标日之后，投标有效期之内撤销投标的，则我方承担违背投标承诺的责任追究。</w:t>
      </w:r>
    </w:p>
    <w:p w14:paraId="2B9011F2">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四、我方同意按照贵方可能提出的要求而提供与投标有关的</w:t>
      </w:r>
      <w:r>
        <w:rPr>
          <w:rFonts w:hint="eastAsia" w:asciiTheme="minorEastAsia" w:hAnsiTheme="minorEastAsia" w:eastAsiaTheme="minorEastAsia"/>
          <w:color w:val="auto"/>
          <w:sz w:val="21"/>
          <w:szCs w:val="21"/>
          <w:highlight w:val="none"/>
          <w:lang w:eastAsia="zh-CN"/>
        </w:rPr>
        <w:t>任何其他</w:t>
      </w:r>
      <w:r>
        <w:rPr>
          <w:rFonts w:hint="eastAsia" w:asciiTheme="minorEastAsia" w:hAnsiTheme="minorEastAsia" w:eastAsiaTheme="minorEastAsia"/>
          <w:color w:val="auto"/>
          <w:sz w:val="21"/>
          <w:szCs w:val="21"/>
          <w:highlight w:val="none"/>
        </w:rPr>
        <w:t>数据、信息或资料。</w:t>
      </w:r>
    </w:p>
    <w:p w14:paraId="55C21199">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五、我方理解贵方不一定接受最低投标价或任何贵方可能收到的投标。</w:t>
      </w:r>
    </w:p>
    <w:p w14:paraId="1B54747B">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六、我方如果中标，将保证履行招标文件及其澄清、修改文件（如果有）中的全部责任和义务，按质、按量、按期完成《项目需求》及《合同书》中的全部任务。</w:t>
      </w:r>
    </w:p>
    <w:p w14:paraId="2931447D">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七、我方在此保证所提交的所有文件和全部说明是真实的和正确的。</w:t>
      </w:r>
    </w:p>
    <w:p w14:paraId="3F203BF6">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2BD01701">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九、我方具备《</w:t>
      </w:r>
      <w:r>
        <w:rPr>
          <w:rFonts w:hint="eastAsia" w:asciiTheme="minorEastAsia" w:hAnsiTheme="minorEastAsia" w:eastAsiaTheme="minorEastAsia"/>
          <w:color w:val="auto"/>
          <w:sz w:val="21"/>
          <w:szCs w:val="21"/>
          <w:highlight w:val="none"/>
          <w:lang w:val="en-US" w:eastAsia="zh-CN"/>
        </w:rPr>
        <w:t>中华人民共和国</w:t>
      </w:r>
      <w:r>
        <w:rPr>
          <w:rFonts w:hint="eastAsia" w:asciiTheme="minorEastAsia" w:hAnsiTheme="minorEastAsia" w:eastAsiaTheme="minorEastAsia"/>
          <w:color w:val="auto"/>
          <w:sz w:val="21"/>
          <w:szCs w:val="21"/>
          <w:highlight w:val="none"/>
        </w:rPr>
        <w:t>政府采购法》第二十二条规定的条件；承诺如下：</w:t>
      </w:r>
    </w:p>
    <w:p w14:paraId="0B85353B">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56AF7AFD">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 我方已依法缴纳了各项税费及社会保险费用，如有需要，可随时向采购人提供近三个月内的相关缴费证明，以便核查。</w:t>
      </w:r>
    </w:p>
    <w:p w14:paraId="77731E63">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 我方已依法建立健全的财务会计制度，如有需要，可随时向采购人提供相关证明材料，以便核查。</w:t>
      </w:r>
    </w:p>
    <w:p w14:paraId="7224C940">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 参加政府采购活动前三年内，在经营活动中没有重大违法记录。</w:t>
      </w:r>
    </w:p>
    <w:p w14:paraId="7295E4B3">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 符合法律、行政法规规定的其他条件。</w:t>
      </w:r>
    </w:p>
    <w:p w14:paraId="5ABFA0D5">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以上内容如有虚假或与事实不符的，评审委员会可将我方</w:t>
      </w:r>
      <w:r>
        <w:rPr>
          <w:rFonts w:hint="eastAsia" w:asciiTheme="minorEastAsia" w:hAnsiTheme="minorEastAsia" w:eastAsiaTheme="minorEastAsia"/>
          <w:color w:val="auto"/>
          <w:sz w:val="21"/>
          <w:szCs w:val="21"/>
          <w:highlight w:val="none"/>
          <w:lang w:eastAsia="zh-CN"/>
        </w:rPr>
        <w:t>作</w:t>
      </w:r>
      <w:r>
        <w:rPr>
          <w:rFonts w:hint="eastAsia" w:asciiTheme="minorEastAsia" w:hAnsiTheme="minorEastAsia" w:eastAsiaTheme="minorEastAsia"/>
          <w:color w:val="auto"/>
          <w:sz w:val="21"/>
          <w:szCs w:val="21"/>
          <w:highlight w:val="none"/>
        </w:rPr>
        <w:t>无效投标处理，我方愿意承担相应的法律责任。</w:t>
      </w:r>
    </w:p>
    <w:p w14:paraId="2051BDCC">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3CB16F72">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十一、我方对在本函及投标文件中所作的所有承诺承担法律责任。</w:t>
      </w:r>
    </w:p>
    <w:p w14:paraId="38B9E6E6">
      <w:pPr>
        <w:pStyle w:val="21"/>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十二、若我方中标，愿意按</w:t>
      </w:r>
      <w:r>
        <w:rPr>
          <w:rFonts w:hint="eastAsia" w:asciiTheme="minorEastAsia" w:hAnsiTheme="minorEastAsia" w:eastAsiaTheme="minorEastAsia"/>
          <w:color w:val="auto"/>
          <w:sz w:val="21"/>
          <w:szCs w:val="21"/>
          <w:highlight w:val="none"/>
          <w:lang w:eastAsia="zh-CN"/>
        </w:rPr>
        <w:t>豫招协</w:t>
      </w:r>
      <w:r>
        <w:rPr>
          <w:rFonts w:hint="eastAsia" w:asciiTheme="minorEastAsia" w:hAnsiTheme="minorEastAsia" w:eastAsiaTheme="minorEastAsia"/>
          <w:color w:val="auto"/>
          <w:sz w:val="21"/>
          <w:szCs w:val="21"/>
          <w:highlight w:val="none"/>
        </w:rPr>
        <w:t>〔20</w:t>
      </w:r>
      <w:r>
        <w:rPr>
          <w:rFonts w:hint="eastAsia" w:asciiTheme="minorEastAsia" w:hAnsiTheme="minorEastAsia" w:eastAsiaTheme="minorEastAsia"/>
          <w:color w:val="auto"/>
          <w:sz w:val="21"/>
          <w:szCs w:val="21"/>
          <w:highlight w:val="none"/>
          <w:lang w:val="en-US" w:eastAsia="zh-CN"/>
        </w:rPr>
        <w:t>23</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002</w:t>
      </w:r>
      <w:r>
        <w:rPr>
          <w:rFonts w:hint="eastAsia" w:asciiTheme="minorEastAsia" w:hAnsiTheme="minorEastAsia" w:eastAsiaTheme="minorEastAsia"/>
          <w:color w:val="auto"/>
          <w:sz w:val="21"/>
          <w:szCs w:val="21"/>
          <w:highlight w:val="none"/>
        </w:rPr>
        <w:t>规定向代理机构支付招标代理服务费。</w:t>
      </w:r>
    </w:p>
    <w:p w14:paraId="0E08170C">
      <w:pPr>
        <w:pStyle w:val="21"/>
        <w:adjustRightInd w:val="0"/>
        <w:snapToGrid w:val="0"/>
        <w:spacing w:line="360" w:lineRule="auto"/>
        <w:rPr>
          <w:rFonts w:asciiTheme="minorEastAsia" w:hAnsiTheme="minorEastAsia" w:eastAsiaTheme="minorEastAsia"/>
          <w:color w:val="auto"/>
          <w:sz w:val="21"/>
          <w:szCs w:val="21"/>
          <w:highlight w:val="none"/>
        </w:rPr>
      </w:pPr>
    </w:p>
    <w:p w14:paraId="0684D017">
      <w:pPr>
        <w:pStyle w:val="21"/>
        <w:adjustRightInd w:val="0"/>
        <w:snapToGrid w:val="0"/>
        <w:spacing w:line="360" w:lineRule="auto"/>
        <w:rPr>
          <w:rFonts w:asciiTheme="minorEastAsia" w:hAnsiTheme="minorEastAsia" w:eastAsiaTheme="minorEastAsia"/>
          <w:color w:val="auto"/>
          <w:sz w:val="21"/>
          <w:szCs w:val="21"/>
          <w:highlight w:val="none"/>
        </w:rPr>
      </w:pPr>
    </w:p>
    <w:p w14:paraId="1E97F33D">
      <w:pPr>
        <w:adjustRightInd w:val="0"/>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所有与本招标有关的一切正式往来请寄：</w:t>
      </w:r>
    </w:p>
    <w:p w14:paraId="7EEECE65">
      <w:pPr>
        <w:adjustRightInd w:val="0"/>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地    址</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rPr>
        <w:t xml:space="preserve">  邮政编码</w:t>
      </w:r>
      <w:r>
        <w:rPr>
          <w:rFonts w:hint="eastAsia" w:asciiTheme="minorEastAsia" w:hAnsiTheme="minorEastAsia"/>
          <w:color w:val="auto"/>
          <w:szCs w:val="21"/>
          <w:highlight w:val="none"/>
          <w:lang w:eastAsia="zh-CN"/>
        </w:rPr>
        <w:t>：</w:t>
      </w:r>
    </w:p>
    <w:p w14:paraId="2FB3BD30">
      <w:pPr>
        <w:adjustRightInd w:val="0"/>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电    话</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rPr>
        <w:t xml:space="preserve">  传    真</w:t>
      </w:r>
      <w:r>
        <w:rPr>
          <w:rFonts w:hint="eastAsia" w:asciiTheme="minorEastAsia" w:hAnsiTheme="minorEastAsia"/>
          <w:color w:val="auto"/>
          <w:szCs w:val="21"/>
          <w:highlight w:val="none"/>
          <w:lang w:eastAsia="zh-CN"/>
        </w:rPr>
        <w:t>：</w:t>
      </w:r>
    </w:p>
    <w:p w14:paraId="23D9C1F6">
      <w:pPr>
        <w:adjustRightInd w:val="0"/>
        <w:snapToGrid w:val="0"/>
        <w:spacing w:line="360" w:lineRule="auto"/>
        <w:rPr>
          <w:rFonts w:asciiTheme="minorEastAsia" w:hAnsiTheme="minorEastAsia"/>
          <w:color w:val="auto"/>
          <w:szCs w:val="21"/>
          <w:highlight w:val="none"/>
          <w:u w:val="single"/>
        </w:rPr>
      </w:pPr>
      <w:r>
        <w:rPr>
          <w:rFonts w:hint="eastAsia" w:asciiTheme="minorEastAsia" w:hAnsiTheme="minorEastAsia"/>
          <w:color w:val="auto"/>
          <w:szCs w:val="21"/>
          <w:highlight w:val="none"/>
        </w:rPr>
        <w:t>投标人代表姓名</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rPr>
        <w:t xml:space="preserve">  职    务</w:t>
      </w:r>
      <w:r>
        <w:rPr>
          <w:rFonts w:hint="eastAsia" w:asciiTheme="minorEastAsia" w:hAnsiTheme="minorEastAsia"/>
          <w:color w:val="auto"/>
          <w:szCs w:val="21"/>
          <w:highlight w:val="none"/>
          <w:lang w:eastAsia="zh-CN"/>
        </w:rPr>
        <w:t>：</w:t>
      </w:r>
    </w:p>
    <w:p w14:paraId="4F2BAB25">
      <w:pPr>
        <w:adjustRightInd w:val="0"/>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投标人法定代表人（或法定代表人授权代表）签字或盖章：</w:t>
      </w:r>
    </w:p>
    <w:p w14:paraId="337FAD93">
      <w:pPr>
        <w:adjustRightInd w:val="0"/>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投标人名称（盖章）：</w:t>
      </w:r>
    </w:p>
    <w:p w14:paraId="0C8303D7">
      <w:pPr>
        <w:adjustRightInd w:val="0"/>
        <w:snapToGrid w:val="0"/>
        <w:spacing w:line="360" w:lineRule="auto"/>
        <w:rPr>
          <w:rFonts w:cs="宋体" w:asciiTheme="minorEastAsia" w:hAnsiTheme="minorEastAsia"/>
          <w:color w:val="auto"/>
          <w:szCs w:val="21"/>
          <w:highlight w:val="none"/>
          <w:u w:val="single"/>
        </w:rPr>
      </w:pPr>
    </w:p>
    <w:p w14:paraId="044B2C63">
      <w:pPr>
        <w:adjustRightInd w:val="0"/>
        <w:snapToGrid w:val="0"/>
        <w:spacing w:line="360" w:lineRule="auto"/>
        <w:rPr>
          <w:rFonts w:cs="宋体" w:asciiTheme="minorEastAsia" w:hAnsiTheme="minorEastAsia"/>
          <w:color w:val="auto"/>
          <w:szCs w:val="21"/>
          <w:highlight w:val="none"/>
          <w:u w:val="single"/>
        </w:rPr>
      </w:pPr>
    </w:p>
    <w:p w14:paraId="6B95ABC0">
      <w:pPr>
        <w:adjustRightInd w:val="0"/>
        <w:snapToGrid w:val="0"/>
        <w:spacing w:line="360" w:lineRule="auto"/>
        <w:rPr>
          <w:rFonts w:cs="宋体" w:asciiTheme="minorEastAsia" w:hAnsiTheme="minorEastAsia"/>
          <w:color w:val="auto"/>
          <w:szCs w:val="21"/>
          <w:highlight w:val="none"/>
          <w:u w:val="single"/>
        </w:rPr>
      </w:pPr>
    </w:p>
    <w:p w14:paraId="68338C5F">
      <w:pPr>
        <w:spacing w:line="480" w:lineRule="exact"/>
        <w:jc w:val="center"/>
        <w:rPr>
          <w:rFonts w:asciiTheme="majorEastAsia" w:hAnsiTheme="majorEastAsia" w:eastAsiaTheme="majorEastAsia"/>
          <w:b/>
          <w:bCs/>
          <w:color w:val="auto"/>
          <w:sz w:val="24"/>
          <w:szCs w:val="24"/>
          <w:highlight w:val="none"/>
        </w:rPr>
      </w:pPr>
    </w:p>
    <w:p w14:paraId="39D90390">
      <w:pPr>
        <w:pStyle w:val="2"/>
        <w:ind w:firstLine="480"/>
        <w:rPr>
          <w:rFonts w:hint="eastAsia"/>
          <w:color w:val="auto"/>
          <w:highlight w:val="none"/>
        </w:rPr>
      </w:pPr>
    </w:p>
    <w:p w14:paraId="7C8ADE13">
      <w:pPr>
        <w:rPr>
          <w:rFonts w:hint="eastAsia"/>
          <w:color w:val="auto"/>
          <w:highlight w:val="none"/>
        </w:rPr>
      </w:pPr>
    </w:p>
    <w:p w14:paraId="100CA346">
      <w:pPr>
        <w:pStyle w:val="30"/>
        <w:ind w:firstLine="340"/>
        <w:rPr>
          <w:rFonts w:hint="eastAsia"/>
          <w:color w:val="auto"/>
          <w:highlight w:val="none"/>
        </w:rPr>
      </w:pPr>
    </w:p>
    <w:p w14:paraId="1D5286AD">
      <w:pPr>
        <w:pStyle w:val="2"/>
        <w:rPr>
          <w:rFonts w:hint="eastAsia"/>
          <w:color w:val="auto"/>
          <w:highlight w:val="none"/>
        </w:rPr>
      </w:pPr>
    </w:p>
    <w:p w14:paraId="1147425C">
      <w:pPr>
        <w:pStyle w:val="2"/>
        <w:rPr>
          <w:rFonts w:hint="eastAsia"/>
          <w:color w:val="auto"/>
          <w:highlight w:val="none"/>
        </w:rPr>
      </w:pPr>
    </w:p>
    <w:p w14:paraId="383139DE">
      <w:pPr>
        <w:pStyle w:val="30"/>
        <w:ind w:left="0" w:leftChars="0" w:firstLine="0" w:firstLineChars="0"/>
        <w:rPr>
          <w:color w:val="auto"/>
          <w:highlight w:val="none"/>
        </w:rPr>
      </w:pPr>
    </w:p>
    <w:p w14:paraId="3A60CCF4">
      <w:pPr>
        <w:spacing w:line="480" w:lineRule="exact"/>
        <w:jc w:val="center"/>
        <w:rPr>
          <w:rFonts w:ascii="宋体" w:hAnsi="宋体"/>
          <w:color w:val="auto"/>
          <w:sz w:val="24"/>
          <w:szCs w:val="24"/>
          <w:highlight w:val="none"/>
        </w:rPr>
      </w:pPr>
      <w:r>
        <w:rPr>
          <w:rFonts w:hint="eastAsia" w:asciiTheme="majorEastAsia" w:hAnsiTheme="majorEastAsia" w:eastAsiaTheme="majorEastAsia"/>
          <w:b/>
          <w:bCs/>
          <w:color w:val="auto"/>
          <w:sz w:val="24"/>
          <w:szCs w:val="24"/>
          <w:highlight w:val="none"/>
        </w:rPr>
        <w:t>3.2法定代表人（单位负责人）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06733960">
      <w:pPr>
        <w:pStyle w:val="61"/>
        <w:spacing w:line="480" w:lineRule="auto"/>
        <w:ind w:firstLine="472" w:firstLineChars="225"/>
        <w:jc w:val="left"/>
        <w:rPr>
          <w:rFonts w:asciiTheme="minorEastAsia" w:hAnsiTheme="minorEastAsia"/>
          <w:color w:val="auto"/>
          <w:sz w:val="21"/>
          <w:szCs w:val="21"/>
          <w:highlight w:val="none"/>
          <w:u w:val="singl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1B0A5266">
      <w:pPr>
        <w:pStyle w:val="61"/>
        <w:spacing w:line="480" w:lineRule="auto"/>
        <w:ind w:firstLine="472" w:firstLineChars="225"/>
        <w:jc w:val="left"/>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地址：</w:t>
      </w:r>
    </w:p>
    <w:p w14:paraId="164E873A">
      <w:pPr>
        <w:pStyle w:val="61"/>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w:t>
      </w:r>
    </w:p>
    <w:p w14:paraId="01810E7A">
      <w:pPr>
        <w:pStyle w:val="61"/>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投</w:t>
      </w:r>
      <w:r>
        <w:rPr>
          <w:rFonts w:asciiTheme="minorEastAsia" w:hAnsiTheme="minorEastAsia"/>
          <w:i/>
          <w:snapToGrid w:val="0"/>
          <w:color w:val="auto"/>
          <w:sz w:val="21"/>
          <w:szCs w:val="21"/>
          <w:highlight w:val="none"/>
          <w:u w:val="single"/>
        </w:rPr>
        <w:t>标</w:t>
      </w:r>
      <w:r>
        <w:rPr>
          <w:rFonts w:hint="eastAsia" w:asciiTheme="minorEastAsia" w:hAnsiTheme="minorEastAsia"/>
          <w:i/>
          <w:snapToGrid w:val="0"/>
          <w:color w:val="auto"/>
          <w:sz w:val="21"/>
          <w:szCs w:val="21"/>
          <w:highlight w:val="none"/>
          <w:u w:val="single"/>
        </w:rPr>
        <w:t>人名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加贵方招</w:t>
      </w:r>
      <w:r>
        <w:rPr>
          <w:rFonts w:asciiTheme="minorEastAsia" w:hAnsiTheme="minorEastAsia"/>
          <w:color w:val="auto"/>
          <w:sz w:val="21"/>
          <w:szCs w:val="21"/>
          <w:highlight w:val="none"/>
        </w:rPr>
        <w:t>标编号为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公</w:t>
      </w:r>
      <w:r>
        <w:rPr>
          <w:rFonts w:asciiTheme="minorEastAsia" w:hAnsiTheme="minorEastAsia"/>
          <w:color w:val="auto"/>
          <w:sz w:val="21"/>
          <w:szCs w:val="21"/>
          <w:highlight w:val="none"/>
        </w:rPr>
        <w:t>开</w:t>
      </w:r>
      <w:r>
        <w:rPr>
          <w:rFonts w:hint="eastAsia" w:asciiTheme="minorEastAsia" w:hAnsiTheme="minorEastAsia"/>
          <w:color w:val="auto"/>
          <w:sz w:val="21"/>
          <w:szCs w:val="21"/>
          <w:highlight w:val="none"/>
        </w:rPr>
        <w:t>招</w:t>
      </w:r>
      <w:r>
        <w:rPr>
          <w:rFonts w:asciiTheme="minorEastAsia" w:hAnsiTheme="minorEastAsia"/>
          <w:color w:val="auto"/>
          <w:sz w:val="21"/>
          <w:szCs w:val="21"/>
          <w:highlight w:val="none"/>
        </w:rPr>
        <w:t>标项目</w:t>
      </w:r>
      <w:r>
        <w:rPr>
          <w:rFonts w:hint="eastAsia" w:asciiTheme="minorEastAsia" w:hAnsiTheme="minorEastAsia"/>
          <w:color w:val="auto"/>
          <w:sz w:val="21"/>
          <w:szCs w:val="21"/>
          <w:highlight w:val="none"/>
        </w:rPr>
        <w:t>的投</w:t>
      </w:r>
      <w:r>
        <w:rPr>
          <w:rFonts w:asciiTheme="minorEastAsia" w:hAnsiTheme="minorEastAsia"/>
          <w:color w:val="auto"/>
          <w:sz w:val="21"/>
          <w:szCs w:val="21"/>
          <w:highlight w:val="none"/>
        </w:rPr>
        <w:t>标报价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的投</w:t>
      </w:r>
      <w:r>
        <w:rPr>
          <w:rFonts w:asciiTheme="minorEastAsia" w:hAnsiTheme="minorEastAsia"/>
          <w:color w:val="auto"/>
          <w:sz w:val="21"/>
          <w:szCs w:val="21"/>
          <w:highlight w:val="none"/>
        </w:rPr>
        <w:t>标</w:t>
      </w:r>
      <w:r>
        <w:rPr>
          <w:rFonts w:hint="eastAsia" w:asciiTheme="minorEastAsia" w:hAnsiTheme="minorEastAsia"/>
          <w:color w:val="auto"/>
          <w:sz w:val="21"/>
          <w:szCs w:val="21"/>
          <w:highlight w:val="none"/>
        </w:rPr>
        <w:t>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031B8895">
      <w:pPr>
        <w:pStyle w:val="61"/>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5EF569C5">
      <w:pPr>
        <w:pStyle w:val="61"/>
        <w:spacing w:line="480" w:lineRule="auto"/>
        <w:ind w:firstLine="472" w:firstLineChars="225"/>
        <w:jc w:val="left"/>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法定代表人（单位负责人）联系电话（手机）：</w:t>
      </w:r>
    </w:p>
    <w:p w14:paraId="107B44F0">
      <w:pPr>
        <w:pStyle w:val="61"/>
        <w:spacing w:line="480" w:lineRule="auto"/>
        <w:ind w:firstLine="472" w:firstLineChars="225"/>
        <w:jc w:val="left"/>
        <w:rPr>
          <w:rFonts w:asciiTheme="minorEastAsia" w:hAnsiTheme="minorEastAsia"/>
          <w:color w:val="auto"/>
          <w:sz w:val="21"/>
          <w:szCs w:val="21"/>
          <w:highlight w:val="none"/>
        </w:rPr>
      </w:pPr>
    </w:p>
    <w:p w14:paraId="393BF5D9">
      <w:pPr>
        <w:pStyle w:val="61"/>
        <w:spacing w:line="480" w:lineRule="auto"/>
        <w:ind w:firstLine="472" w:firstLineChars="225"/>
        <w:jc w:val="left"/>
        <w:rPr>
          <w:rFonts w:asciiTheme="minorEastAsia" w:hAnsiTheme="minorEastAsia"/>
          <w:color w:val="auto"/>
          <w:sz w:val="21"/>
          <w:szCs w:val="21"/>
          <w:highlight w:val="none"/>
        </w:rPr>
      </w:pPr>
    </w:p>
    <w:p w14:paraId="31998706">
      <w:pPr>
        <w:pStyle w:val="61"/>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2996A2EC">
      <w:pPr>
        <w:pStyle w:val="61"/>
        <w:spacing w:line="480" w:lineRule="auto"/>
        <w:ind w:left="-538" w:leftChars="-256" w:firstLine="539" w:firstLineChars="257"/>
        <w:jc w:val="center"/>
        <w:rPr>
          <w:rFonts w:asciiTheme="minorEastAsia" w:hAnsiTheme="minorEastAsia"/>
          <w:bCs/>
          <w:color w:val="auto"/>
          <w:sz w:val="21"/>
          <w:szCs w:val="21"/>
          <w:highlight w:val="none"/>
        </w:rPr>
      </w:pPr>
    </w:p>
    <w:p w14:paraId="329508B4">
      <w:pPr>
        <w:autoSpaceDE w:val="0"/>
        <w:autoSpaceDN w:val="0"/>
        <w:adjustRightInd w:val="0"/>
        <w:spacing w:line="360" w:lineRule="auto"/>
        <w:ind w:right="-11"/>
        <w:rPr>
          <w:rFonts w:cs="宋体" w:asciiTheme="minorEastAsia" w:hAnsiTheme="minorEastAsia"/>
          <w:color w:val="auto"/>
          <w:szCs w:val="21"/>
          <w:highlight w:val="none"/>
          <w:lang w:val="zh-CN"/>
        </w:rPr>
      </w:pPr>
    </w:p>
    <w:p w14:paraId="0C0EF975">
      <w:pPr>
        <w:autoSpaceDE w:val="0"/>
        <w:autoSpaceDN w:val="0"/>
        <w:adjustRightInd w:val="0"/>
        <w:spacing w:line="360" w:lineRule="auto"/>
        <w:ind w:right="-11"/>
        <w:rPr>
          <w:rFonts w:cs="宋体" w:asciiTheme="minorEastAsia" w:hAnsiTheme="minorEastAsia"/>
          <w:color w:val="auto"/>
          <w:szCs w:val="21"/>
          <w:highlight w:val="none"/>
          <w:lang w:val="zh-CN"/>
        </w:rPr>
      </w:pPr>
    </w:p>
    <w:p w14:paraId="01922023">
      <w:pPr>
        <w:autoSpaceDE w:val="0"/>
        <w:autoSpaceDN w:val="0"/>
        <w:adjustRightInd w:val="0"/>
        <w:spacing w:line="360" w:lineRule="auto"/>
        <w:ind w:right="-11"/>
        <w:rPr>
          <w:rFonts w:cs="宋体" w:asciiTheme="minorEastAsia" w:hAnsiTheme="minorEastAsia"/>
          <w:color w:val="auto"/>
          <w:szCs w:val="21"/>
          <w:highlight w:val="none"/>
          <w:lang w:val="zh-CN"/>
        </w:rPr>
      </w:pPr>
    </w:p>
    <w:p w14:paraId="5FA06D5F">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投标人名称（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4E23FDC4">
      <w:pPr>
        <w:pStyle w:val="64"/>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568CBB5A">
      <w:pPr>
        <w:pStyle w:val="63"/>
        <w:spacing w:line="480" w:lineRule="auto"/>
        <w:rPr>
          <w:rFonts w:cs="Arial" w:asciiTheme="minorEastAsia" w:hAnsiTheme="minorEastAsia"/>
          <w:color w:val="auto"/>
          <w:sz w:val="21"/>
          <w:szCs w:val="21"/>
          <w:highlight w:val="none"/>
        </w:rPr>
      </w:pPr>
    </w:p>
    <w:p w14:paraId="50532A70">
      <w:pPr>
        <w:rPr>
          <w:color w:val="auto"/>
          <w:szCs w:val="21"/>
          <w:highlight w:val="none"/>
        </w:rPr>
      </w:pPr>
    </w:p>
    <w:p w14:paraId="459759AC">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加本招</w:t>
      </w:r>
      <w:r>
        <w:rPr>
          <w:rFonts w:asciiTheme="minorEastAsia" w:hAnsiTheme="minorEastAsia"/>
          <w:bCs/>
          <w:color w:val="auto"/>
          <w:kern w:val="12"/>
          <w:szCs w:val="21"/>
          <w:highlight w:val="none"/>
        </w:rPr>
        <w:t>标项目</w:t>
      </w:r>
      <w:r>
        <w:rPr>
          <w:rFonts w:hint="eastAsia" w:asciiTheme="minorEastAsia" w:hAnsiTheme="minorEastAsia"/>
          <w:bCs/>
          <w:color w:val="auto"/>
          <w:kern w:val="12"/>
          <w:szCs w:val="21"/>
          <w:highlight w:val="none"/>
        </w:rPr>
        <w:t>投</w:t>
      </w:r>
      <w:r>
        <w:rPr>
          <w:rFonts w:asciiTheme="minorEastAsia" w:hAnsiTheme="minorEastAsia"/>
          <w:bCs/>
          <w:color w:val="auto"/>
          <w:kern w:val="12"/>
          <w:szCs w:val="21"/>
          <w:highlight w:val="none"/>
        </w:rPr>
        <w:t>标</w:t>
      </w:r>
      <w:r>
        <w:rPr>
          <w:rFonts w:hint="eastAsia" w:asciiTheme="minorEastAsia" w:hAnsiTheme="minorEastAsia"/>
          <w:bCs/>
          <w:color w:val="auto"/>
          <w:kern w:val="12"/>
          <w:szCs w:val="21"/>
          <w:highlight w:val="none"/>
        </w:rPr>
        <w:t>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lang w:eastAsia="zh-CN"/>
        </w:rPr>
        <w:t>需</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5CE694D3">
      <w:pPr>
        <w:pStyle w:val="30"/>
        <w:ind w:left="0" w:leftChars="0" w:firstLine="0" w:firstLineChars="0"/>
        <w:rPr>
          <w:color w:val="auto"/>
          <w:highlight w:val="none"/>
        </w:rPr>
      </w:pPr>
    </w:p>
    <w:p w14:paraId="38104437">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3.3法定代表人（单位负责人）授权书</w:t>
      </w:r>
    </w:p>
    <w:p w14:paraId="31F631C3">
      <w:pPr>
        <w:spacing w:line="480" w:lineRule="exact"/>
        <w:jc w:val="center"/>
        <w:rPr>
          <w:rFonts w:ascii="宋体" w:hAnsi="宋体"/>
          <w:b/>
          <w:bCs/>
          <w:color w:val="auto"/>
          <w:sz w:val="36"/>
          <w:szCs w:val="36"/>
          <w:highlight w:val="none"/>
        </w:rPr>
      </w:pPr>
    </w:p>
    <w:p w14:paraId="6FB3B796">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投标人名称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w:t>
      </w:r>
      <w:r>
        <w:rPr>
          <w:rFonts w:asciiTheme="minorEastAsia" w:hAnsiTheme="minorEastAsia"/>
          <w:i/>
          <w:color w:val="auto"/>
          <w:szCs w:val="21"/>
          <w:highlight w:val="none"/>
          <w:u w:val="single"/>
        </w:rPr>
        <w:t>项目编号</w:t>
      </w:r>
      <w:r>
        <w:rPr>
          <w:rFonts w:hint="eastAsia" w:asciiTheme="minorEastAsia" w:hAnsiTheme="minorEastAsia"/>
          <w:color w:val="auto"/>
          <w:szCs w:val="21"/>
          <w:highlight w:val="none"/>
        </w:rPr>
        <w:t>的</w:t>
      </w:r>
      <w:r>
        <w:rPr>
          <w:rFonts w:asciiTheme="minorEastAsia" w:hAnsiTheme="minorEastAsia"/>
          <w:i/>
          <w:color w:val="auto"/>
          <w:szCs w:val="21"/>
          <w:highlight w:val="none"/>
          <w:u w:val="single"/>
        </w:rPr>
        <w:t>项目</w:t>
      </w:r>
      <w:r>
        <w:rPr>
          <w:rFonts w:hint="eastAsia" w:asciiTheme="minorEastAsia" w:hAnsiTheme="minorEastAsia"/>
          <w:i/>
          <w:color w:val="auto"/>
          <w:szCs w:val="21"/>
          <w:highlight w:val="none"/>
          <w:u w:val="single"/>
        </w:rPr>
        <w:t>名</w:t>
      </w:r>
      <w:r>
        <w:rPr>
          <w:rFonts w:asciiTheme="minorEastAsia" w:hAnsiTheme="minorEastAsia"/>
          <w:i/>
          <w:color w:val="auto"/>
          <w:szCs w:val="21"/>
          <w:highlight w:val="none"/>
          <w:u w:val="single"/>
        </w:rPr>
        <w:t>称</w:t>
      </w:r>
      <w:r>
        <w:rPr>
          <w:rFonts w:hint="eastAsia" w:cs="Arial" w:asciiTheme="minorEastAsia" w:hAnsiTheme="minorEastAsia"/>
          <w:color w:val="auto"/>
          <w:szCs w:val="21"/>
          <w:highlight w:val="none"/>
        </w:rPr>
        <w:t>项目的投标活动，并代表我方全权办理针对上述项目的投标、开标、投标文件澄清、签约等一切具体事务和签署相关文件。</w:t>
      </w:r>
    </w:p>
    <w:p w14:paraId="1EFEE38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7CF6635D">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1566422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1B579A85">
      <w:pPr>
        <w:spacing w:line="480" w:lineRule="auto"/>
        <w:ind w:firstLine="420" w:firstLineChars="200"/>
        <w:rPr>
          <w:rFonts w:asciiTheme="minorEastAsia" w:hAnsiTheme="minorEastAsia"/>
          <w:color w:val="auto"/>
          <w:szCs w:val="21"/>
          <w:highlight w:val="none"/>
        </w:rPr>
      </w:pPr>
      <w:r>
        <w:rPr>
          <w:rFonts w:hint="eastAsia" w:cs="宋体" w:asciiTheme="minorEastAsia" w:hAnsiTheme="minorEastAsia"/>
          <w:color w:val="auto"/>
          <w:szCs w:val="21"/>
          <w:highlight w:val="none"/>
        </w:rPr>
        <w:t>投标人</w:t>
      </w:r>
      <w:r>
        <w:rPr>
          <w:rFonts w:hint="eastAsia" w:asciiTheme="minorEastAsia" w:hAnsiTheme="minorEastAsia"/>
          <w:color w:val="auto"/>
          <w:szCs w:val="21"/>
          <w:highlight w:val="none"/>
        </w:rPr>
        <w:t xml:space="preserve">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（加盖单位公章）</w:t>
      </w:r>
    </w:p>
    <w:p w14:paraId="608B2601">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 （签名或加盖名章）</w:t>
      </w:r>
    </w:p>
    <w:p w14:paraId="0934EDB4">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  （</w:t>
      </w:r>
      <w:r>
        <w:rPr>
          <w:rFonts w:hint="eastAsia" w:cs="Arial" w:asciiTheme="minorEastAsia" w:hAnsiTheme="minorEastAsia"/>
          <w:color w:val="auto"/>
          <w:szCs w:val="21"/>
          <w:highlight w:val="none"/>
        </w:rPr>
        <w:t>签名或加盖名章</w:t>
      </w:r>
      <w:r>
        <w:rPr>
          <w:rFonts w:hint="eastAsia" w:asciiTheme="minorEastAsia" w:hAnsiTheme="minorEastAsia"/>
          <w:color w:val="auto"/>
          <w:szCs w:val="21"/>
          <w:highlight w:val="none"/>
        </w:rPr>
        <w:t>）</w:t>
      </w:r>
    </w:p>
    <w:p w14:paraId="5BCF0681">
      <w:pPr>
        <w:spacing w:line="480" w:lineRule="auto"/>
        <w:ind w:firstLine="420" w:firstLineChars="200"/>
        <w:rPr>
          <w:rFonts w:asciiTheme="minorEastAsia" w:hAnsiTheme="minorEastAsia"/>
          <w:color w:val="auto"/>
          <w:szCs w:val="21"/>
          <w:highlight w:val="none"/>
          <w:u w:val="singl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3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4E98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5D94A166">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c>
          <w:tcPr>
            <w:tcW w:w="4473" w:type="dxa"/>
            <w:gridSpan w:val="2"/>
            <w:vAlign w:val="center"/>
          </w:tcPr>
          <w:p w14:paraId="79A39B0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r>
      <w:tr w14:paraId="43C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71447049">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1DC0D6D9">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c>
          <w:tcPr>
            <w:tcW w:w="4480" w:type="dxa"/>
            <w:gridSpan w:val="2"/>
            <w:vAlign w:val="center"/>
          </w:tcPr>
          <w:p w14:paraId="3E20D2E1">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3FB11A89">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r>
    </w:tbl>
    <w:p w14:paraId="5E3E75AB">
      <w:pPr>
        <w:widowControl/>
        <w:spacing w:before="100" w:beforeAutospacing="1" w:after="100" w:afterAutospacing="1" w:line="360" w:lineRule="auto"/>
        <w:jc w:val="center"/>
        <w:rPr>
          <w:rFonts w:ascii="宋体" w:hAnsi="宋体"/>
          <w:b/>
          <w:bCs/>
          <w:color w:val="auto"/>
          <w:sz w:val="24"/>
          <w:szCs w:val="24"/>
          <w:highlight w:val="none"/>
        </w:rPr>
      </w:pPr>
    </w:p>
    <w:p w14:paraId="1719D875">
      <w:pPr>
        <w:spacing w:line="480" w:lineRule="exact"/>
        <w:jc w:val="center"/>
        <w:rPr>
          <w:rFonts w:cs="Arial" w:asciiTheme="minorEastAsia" w:hAnsiTheme="minorEastAsia"/>
          <w:color w:val="auto"/>
          <w:szCs w:val="21"/>
          <w:highlight w:val="none"/>
        </w:rPr>
      </w:pPr>
      <w:r>
        <w:rPr>
          <w:rFonts w:hint="eastAsia" w:ascii="宋体" w:hAnsi="宋体"/>
          <w:b/>
          <w:bCs/>
          <w:color w:val="auto"/>
          <w:sz w:val="24"/>
          <w:szCs w:val="24"/>
          <w:highlight w:val="none"/>
        </w:rPr>
        <w:t>3.4禹州市政府采购供应商信用承诺函</w:t>
      </w:r>
    </w:p>
    <w:p w14:paraId="221B6E1A">
      <w:pPr>
        <w:adjustRightInd w:val="0"/>
        <w:spacing w:line="360" w:lineRule="auto"/>
        <w:ind w:firstLine="441" w:firstLineChars="210"/>
        <w:contextualSpacing/>
        <w:rPr>
          <w:rFonts w:cs="Arial" w:asciiTheme="minorEastAsia" w:hAnsiTheme="minorEastAsia"/>
          <w:color w:val="auto"/>
          <w:szCs w:val="21"/>
          <w:highlight w:val="none"/>
        </w:rPr>
      </w:pPr>
    </w:p>
    <w:p w14:paraId="7F2829BD">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致  </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采购人或采购代理机构</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w:t>
      </w:r>
    </w:p>
    <w:p w14:paraId="58D16084">
      <w:pPr>
        <w:adjustRightInd w:val="0"/>
        <w:spacing w:line="360" w:lineRule="auto"/>
        <w:ind w:left="420" w:leftChars="200" w:firstLine="18" w:firstLineChars="9"/>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单位名称</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自然人姓名</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 xml:space="preserve">:                       </w:t>
      </w:r>
    </w:p>
    <w:p w14:paraId="656B9355">
      <w:pPr>
        <w:adjustRightInd w:val="0"/>
        <w:spacing w:line="360" w:lineRule="auto"/>
        <w:ind w:left="420" w:leftChars="200" w:firstLine="18" w:firstLineChars="9"/>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统一社会信用代码</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身份证号码</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 xml:space="preserve">                  </w:t>
      </w:r>
    </w:p>
    <w:p w14:paraId="386FA8E9">
      <w:pPr>
        <w:adjustRightInd w:val="0"/>
        <w:spacing w:line="360" w:lineRule="auto"/>
        <w:ind w:left="420" w:leftChars="200" w:firstLine="18" w:firstLineChars="9"/>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负责人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 xml:space="preserve"> :                        </w:t>
      </w:r>
    </w:p>
    <w:p w14:paraId="0ECD6D30">
      <w:pPr>
        <w:adjustRightInd w:val="0"/>
        <w:spacing w:line="360" w:lineRule="auto"/>
        <w:ind w:left="420" w:leftChars="200" w:firstLine="18" w:firstLineChars="9"/>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 联系地址和电话</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 xml:space="preserve">                               </w:t>
      </w:r>
    </w:p>
    <w:p w14:paraId="3085EE52">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为维护公平、公正、公开的政府采购市场秩序</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树立诚实守信的政府采购供应商形象</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我单位</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自愿作出以下承诺</w:t>
      </w:r>
      <w:r>
        <w:rPr>
          <w:rFonts w:hint="eastAsia" w:cs="Arial" w:asciiTheme="minorEastAsia" w:hAnsiTheme="minorEastAsia"/>
          <w:color w:val="auto"/>
          <w:szCs w:val="21"/>
          <w:highlight w:val="none"/>
          <w:lang w:eastAsia="zh-CN"/>
        </w:rPr>
        <w:t>：</w:t>
      </w:r>
    </w:p>
    <w:p w14:paraId="2D8CD289">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一、我单位</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自愿参加本次政府采购活动</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严格遵守《中华人民共和国政府采购法》及相关法律法规</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依法诚信经营</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无条件遵守本次政府采购活动的各项规定</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我单位</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郑重承诺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我单位</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符合《中华人民共和国政府采购法》第二十二条规定和采购文件、本承诺书的条件</w:t>
      </w:r>
      <w:r>
        <w:rPr>
          <w:rFonts w:hint="eastAsia" w:cs="Arial" w:asciiTheme="minorEastAsia" w:hAnsiTheme="minorEastAsia"/>
          <w:color w:val="auto"/>
          <w:szCs w:val="21"/>
          <w:highlight w:val="none"/>
          <w:lang w:eastAsia="zh-CN"/>
        </w:rPr>
        <w:t>：</w:t>
      </w:r>
    </w:p>
    <w:p w14:paraId="00803C78">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一</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具有独立承担民事责任的能力</w:t>
      </w:r>
      <w:r>
        <w:rPr>
          <w:rFonts w:hint="eastAsia" w:cs="Arial" w:asciiTheme="minorEastAsia" w:hAnsiTheme="minorEastAsia"/>
          <w:color w:val="auto"/>
          <w:szCs w:val="21"/>
          <w:highlight w:val="none"/>
          <w:lang w:eastAsia="zh-CN"/>
        </w:rPr>
        <w:t>；</w:t>
      </w:r>
    </w:p>
    <w:p w14:paraId="492F07E8">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二</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具有良好的商业信誉和健全的财务会计制度</w:t>
      </w:r>
      <w:r>
        <w:rPr>
          <w:rFonts w:hint="eastAsia" w:cs="Arial" w:asciiTheme="minorEastAsia" w:hAnsiTheme="minorEastAsia"/>
          <w:color w:val="auto"/>
          <w:szCs w:val="21"/>
          <w:highlight w:val="none"/>
          <w:lang w:eastAsia="zh-CN"/>
        </w:rPr>
        <w:t>；</w:t>
      </w:r>
    </w:p>
    <w:p w14:paraId="2979F425">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三</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具有履行合同所必需的设备和专业技术能力</w:t>
      </w:r>
      <w:r>
        <w:rPr>
          <w:rFonts w:hint="eastAsia" w:cs="Arial" w:asciiTheme="minorEastAsia" w:hAnsiTheme="minorEastAsia"/>
          <w:color w:val="auto"/>
          <w:szCs w:val="21"/>
          <w:highlight w:val="none"/>
          <w:lang w:eastAsia="zh-CN"/>
        </w:rPr>
        <w:t>；</w:t>
      </w:r>
    </w:p>
    <w:p w14:paraId="0491644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四</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有依法缴纳税收和社会保障资金的良好记录</w:t>
      </w:r>
      <w:r>
        <w:rPr>
          <w:rFonts w:hint="eastAsia" w:cs="Arial" w:asciiTheme="minorEastAsia" w:hAnsiTheme="minorEastAsia"/>
          <w:color w:val="auto"/>
          <w:szCs w:val="21"/>
          <w:highlight w:val="none"/>
          <w:lang w:eastAsia="zh-CN"/>
        </w:rPr>
        <w:t>；</w:t>
      </w:r>
    </w:p>
    <w:p w14:paraId="3C88E79A">
      <w:pPr>
        <w:adjustRightInd w:val="0"/>
        <w:spacing w:line="360" w:lineRule="auto"/>
        <w:ind w:firstLine="420" w:firstLineChars="20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五</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参加政府采购活动前三年内</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在经营活动中没有重大违法记录</w:t>
      </w:r>
      <w:r>
        <w:rPr>
          <w:rFonts w:hint="eastAsia" w:cs="Arial" w:asciiTheme="minorEastAsia" w:hAnsiTheme="minorEastAsia"/>
          <w:color w:val="auto"/>
          <w:szCs w:val="21"/>
          <w:highlight w:val="none"/>
          <w:lang w:eastAsia="zh-CN"/>
        </w:rPr>
        <w:t>；</w:t>
      </w:r>
    </w:p>
    <w:p w14:paraId="4B87B3BB">
      <w:pPr>
        <w:adjustRightInd w:val="0"/>
        <w:spacing w:line="360" w:lineRule="auto"/>
        <w:ind w:firstLine="420" w:firstLineChars="20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六</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未被列入经营异常名录或者严重违法失信名单、信被执行人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重大税收违法案件当事人名单、政府采购严重违法失信行为记录名单</w:t>
      </w:r>
      <w:r>
        <w:rPr>
          <w:rFonts w:hint="eastAsia" w:cs="Arial" w:asciiTheme="minorEastAsia" w:hAnsiTheme="minorEastAsia"/>
          <w:color w:val="auto"/>
          <w:szCs w:val="21"/>
          <w:highlight w:val="none"/>
          <w:lang w:eastAsia="zh-CN"/>
        </w:rPr>
        <w:t>；</w:t>
      </w:r>
    </w:p>
    <w:p w14:paraId="4FEC01BD">
      <w:pPr>
        <w:adjustRightInd w:val="0"/>
        <w:spacing w:line="360" w:lineRule="auto"/>
        <w:ind w:firstLine="420" w:firstLineChars="20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七</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未被相关监管部门作出行政处罚且尚在处罚有效期的</w:t>
      </w:r>
      <w:r>
        <w:rPr>
          <w:rFonts w:hint="eastAsia" w:cs="Arial" w:asciiTheme="minorEastAsia" w:hAnsiTheme="minorEastAsia"/>
          <w:color w:val="auto"/>
          <w:szCs w:val="21"/>
          <w:highlight w:val="none"/>
          <w:lang w:eastAsia="zh-CN"/>
        </w:rPr>
        <w:t>；</w:t>
      </w:r>
    </w:p>
    <w:p w14:paraId="38BC25F6">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八</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未曾作出虚假采购承诺</w:t>
      </w:r>
      <w:r>
        <w:rPr>
          <w:rFonts w:hint="eastAsia" w:cs="Arial" w:asciiTheme="minorEastAsia" w:hAnsiTheme="minorEastAsia"/>
          <w:color w:val="auto"/>
          <w:szCs w:val="21"/>
          <w:highlight w:val="none"/>
          <w:lang w:eastAsia="zh-CN"/>
        </w:rPr>
        <w:t>；</w:t>
      </w:r>
    </w:p>
    <w:p w14:paraId="7C54BBB9">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九</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符合法律、行政法规规定的其他条件。</w:t>
      </w:r>
    </w:p>
    <w:p w14:paraId="7FD64126">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二、我单位</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保证上述承诺事项的真实性。如有弄虚作假或其他违法违规行为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自愿按照规定将违背承诺行为作为失信行为记录到社会信用信息平台</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并视同为“提供虚假材料谋取中标、成交</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按照《中华人民共和国政府采购法》第七十七</w:t>
      </w:r>
      <w:r>
        <w:rPr>
          <w:rFonts w:hint="eastAsia" w:cs="Arial" w:asciiTheme="minorEastAsia" w:hAnsiTheme="minorEastAsia"/>
          <w:color w:val="auto"/>
          <w:szCs w:val="21"/>
          <w:highlight w:val="none"/>
          <w:lang w:eastAsia="zh-CN"/>
        </w:rPr>
        <w:t>、第</w:t>
      </w:r>
      <w:r>
        <w:rPr>
          <w:rFonts w:hint="eastAsia" w:cs="Arial" w:asciiTheme="minorEastAsia" w:hAnsiTheme="minorEastAsia"/>
          <w:color w:val="auto"/>
          <w:szCs w:val="21"/>
          <w:highlight w:val="none"/>
        </w:rPr>
        <w:t>七十九条 规定</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处以采购金额千分之五以上千分之十以下的罚款</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列入不良行为记录名单</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在一至三年内禁止参加政府采购活动, 违法所得的</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并处没收违法所得</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情节严重的</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由市场监管部门吊销营业执照</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构成犯罪的</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依法追究刑事责任</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给他人造成损失的</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并应依照有关民事法律规定承担民事责任。</w:t>
      </w:r>
    </w:p>
    <w:p w14:paraId="7FE5C5C8">
      <w:pPr>
        <w:spacing w:line="600" w:lineRule="exact"/>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rPr>
        <w:t>投标人</w:t>
      </w:r>
      <w:r>
        <w:rPr>
          <w:rFonts w:cs="宋体" w:asciiTheme="minorEastAsia" w:hAnsiTheme="minorEastAsia"/>
          <w:color w:val="auto"/>
          <w:szCs w:val="21"/>
          <w:highlight w:val="none"/>
          <w:lang w:val="zh-CN"/>
        </w:rPr>
        <w:t>（电子章）</w:t>
      </w:r>
      <w:r>
        <w:rPr>
          <w:rFonts w:hint="eastAsia" w:cs="宋体" w:asciiTheme="minorEastAsia" w:hAnsiTheme="minorEastAsia"/>
          <w:color w:val="auto"/>
          <w:szCs w:val="21"/>
          <w:highlight w:val="none"/>
          <w:lang w:val="zh-CN"/>
        </w:rPr>
        <w:t>：</w:t>
      </w:r>
    </w:p>
    <w:p w14:paraId="20CFFFAC">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w:t>
      </w:r>
      <w:r>
        <w:rPr>
          <w:rFonts w:hint="eastAsia" w:cs="宋体" w:asciiTheme="minorEastAsia" w:hAnsiTheme="minorEastAsia"/>
          <w:color w:val="auto"/>
          <w:szCs w:val="21"/>
          <w:highlight w:val="none"/>
          <w:lang w:val="zh-CN"/>
        </w:rPr>
        <w:t>或</w:t>
      </w:r>
      <w:r>
        <w:rPr>
          <w:rFonts w:cs="宋体" w:asciiTheme="minorEastAsia" w:hAnsiTheme="minorEastAsia"/>
          <w:color w:val="auto"/>
          <w:szCs w:val="21"/>
          <w:highlight w:val="none"/>
          <w:lang w:val="zh-CN"/>
        </w:rPr>
        <w:t>授权代表（签字或电子印章）</w:t>
      </w:r>
      <w:r>
        <w:rPr>
          <w:rFonts w:hint="eastAsia" w:cs="宋体" w:asciiTheme="minorEastAsia" w:hAnsiTheme="minorEastAsia"/>
          <w:color w:val="auto"/>
          <w:szCs w:val="21"/>
          <w:highlight w:val="none"/>
          <w:lang w:val="zh-CN"/>
        </w:rPr>
        <w:t>：</w:t>
      </w:r>
    </w:p>
    <w:p w14:paraId="0E167A18">
      <w:pPr>
        <w:widowControl/>
        <w:spacing w:before="100" w:beforeAutospacing="1" w:after="100" w:afterAutospacing="1" w:line="360" w:lineRule="auto"/>
        <w:ind w:firstLine="525" w:firstLineChars="250"/>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日期</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 xml:space="preserve">     年  月  日</w:t>
      </w:r>
    </w:p>
    <w:p w14:paraId="3C4CD9A4">
      <w:pPr>
        <w:pStyle w:val="30"/>
        <w:ind w:firstLine="340"/>
        <w:rPr>
          <w:rFonts w:cs="Arial" w:asciiTheme="minorEastAsia" w:hAnsiTheme="minorEastAsia"/>
          <w:color w:val="auto"/>
          <w:szCs w:val="21"/>
          <w:highlight w:val="none"/>
        </w:rPr>
      </w:pPr>
    </w:p>
    <w:p w14:paraId="6073E1C3">
      <w:pPr>
        <w:ind w:firstLine="420" w:firstLineChars="200"/>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投标</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招标</w:t>
      </w:r>
      <w:r>
        <w:rPr>
          <w:rFonts w:ascii="仿宋" w:hAnsi="仿宋" w:eastAsia="仿宋" w:cs="华文仿宋"/>
          <w:color w:val="auto"/>
          <w:szCs w:val="21"/>
          <w:highlight w:val="none"/>
        </w:rPr>
        <w:t>文件要求，按无效投标处理。</w:t>
      </w:r>
    </w:p>
    <w:p w14:paraId="57BF2103">
      <w:pPr>
        <w:ind w:firstLine="420" w:firstLineChars="200"/>
        <w:rPr>
          <w:rFonts w:cs="宋体" w:asciiTheme="minorEastAsia" w:hAnsiTheme="minorEastAsia"/>
          <w:color w:val="auto"/>
          <w:sz w:val="24"/>
          <w:szCs w:val="24"/>
          <w:highlight w:val="none"/>
          <w:lang w:val="zh-CN"/>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56AE56BA">
      <w:pPr>
        <w:pStyle w:val="2"/>
        <w:ind w:firstLine="480"/>
        <w:rPr>
          <w:color w:val="auto"/>
          <w:highlight w:val="none"/>
          <w:lang w:val="zh-CN"/>
        </w:rPr>
      </w:pPr>
    </w:p>
    <w:p w14:paraId="41F72561">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08618DB1">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16D6CD86">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398959B3">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3AFEF8C4">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73F4A7E4">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0847D09B">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58D9F879">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114D4408">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7B97A489">
      <w:pPr>
        <w:pStyle w:val="30"/>
        <w:ind w:firstLine="340"/>
        <w:rPr>
          <w:color w:val="auto"/>
          <w:highlight w:val="none"/>
          <w:lang w:val="zh-CN"/>
        </w:rPr>
      </w:pPr>
    </w:p>
    <w:p w14:paraId="20A98351">
      <w:pPr>
        <w:pStyle w:val="30"/>
        <w:ind w:firstLine="0" w:firstLineChars="0"/>
        <w:rPr>
          <w:color w:val="auto"/>
          <w:highlight w:val="none"/>
          <w:lang w:val="zh-CN"/>
        </w:rPr>
      </w:pPr>
    </w:p>
    <w:p w14:paraId="7C70A630">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3.5投标承诺函</w:t>
      </w:r>
    </w:p>
    <w:p w14:paraId="41C708A6">
      <w:pPr>
        <w:autoSpaceDE w:val="0"/>
        <w:autoSpaceDN w:val="0"/>
        <w:snapToGrid w:val="0"/>
        <w:spacing w:line="360" w:lineRule="auto"/>
        <w:jc w:val="center"/>
        <w:rPr>
          <w:rFonts w:ascii="宋体" w:hAnsi="宋体"/>
          <w:b/>
          <w:bCs/>
          <w:color w:val="auto"/>
          <w:sz w:val="24"/>
          <w:szCs w:val="24"/>
          <w:highlight w:val="none"/>
        </w:rPr>
      </w:pPr>
    </w:p>
    <w:p w14:paraId="1456CCD3">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本企业郑重承诺：</w:t>
      </w:r>
    </w:p>
    <w:p w14:paraId="3A61FFF4">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hint="eastAsia" w:cs="宋体" w:asciiTheme="minorEastAsia" w:hAnsiTheme="minorEastAsia"/>
          <w:color w:val="auto"/>
          <w:szCs w:val="21"/>
          <w:highlight w:val="none"/>
          <w:u w:val="single"/>
          <w:lang w:val="zh-CN"/>
        </w:rPr>
        <w:t xml:space="preserve">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lang w:val="zh-CN"/>
        </w:rPr>
        <w:t>日</w:t>
      </w:r>
      <w:r>
        <w:rPr>
          <w:rFonts w:hint="eastAsia" w:ascii="宋体" w:hAnsi="宋体" w:eastAsia="宋体" w:cs="宋体"/>
          <w:color w:val="auto"/>
          <w:szCs w:val="21"/>
          <w:highlight w:val="none"/>
          <w:u w:val="single"/>
          <w:lang w:val="zh-CN"/>
        </w:rPr>
        <w:t xml:space="preserve">      </w:t>
      </w:r>
      <w:r>
        <w:rPr>
          <w:rFonts w:hint="eastAsia" w:cs="宋体" w:asciiTheme="minorEastAsia" w:hAnsiTheme="minorEastAsia"/>
          <w:color w:val="auto"/>
          <w:szCs w:val="21"/>
          <w:highlight w:val="none"/>
          <w:lang w:val="zh-CN"/>
        </w:rPr>
        <w:t>（招标编号、项目名称）的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投标</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6D056D9A">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一、在投标有效期内撤销投标文件；</w:t>
      </w:r>
    </w:p>
    <w:p w14:paraId="504CE2D8">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二、在投标文件中提供虚假材料；</w:t>
      </w:r>
    </w:p>
    <w:p w14:paraId="284D5A98">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三、除因不可抗力或招标文件认可的情形以外，中标后不与采购人签订合同；</w:t>
      </w:r>
    </w:p>
    <w:p w14:paraId="0C8757FC">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四、与采购人、其他投标人或者采购代理机构恶意串通；</w:t>
      </w:r>
    </w:p>
    <w:p w14:paraId="1DE0B72F">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五、法律法规及本招标文件规定的其他严重违法行为。</w:t>
      </w:r>
    </w:p>
    <w:p w14:paraId="090D0FBF">
      <w:pPr>
        <w:rPr>
          <w:color w:val="auto"/>
          <w:sz w:val="28"/>
          <w:szCs w:val="28"/>
          <w:highlight w:val="none"/>
          <w:u w:val="single"/>
        </w:rPr>
      </w:pPr>
    </w:p>
    <w:p w14:paraId="502AAAEA">
      <w:pPr>
        <w:rPr>
          <w:color w:val="auto"/>
          <w:sz w:val="28"/>
          <w:szCs w:val="28"/>
          <w:highlight w:val="none"/>
          <w:u w:val="single"/>
        </w:rPr>
      </w:pPr>
    </w:p>
    <w:p w14:paraId="47FAAE0C">
      <w:pP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投标人名称（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75C66DB2">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日期：      年    月    日</w:t>
      </w:r>
    </w:p>
    <w:p w14:paraId="011DC9FA">
      <w:pPr>
        <w:autoSpaceDE w:val="0"/>
        <w:autoSpaceDN w:val="0"/>
        <w:adjustRightInd w:val="0"/>
        <w:spacing w:line="360" w:lineRule="auto"/>
        <w:jc w:val="center"/>
        <w:rPr>
          <w:rFonts w:ascii="宋体" w:cs="宋体"/>
          <w:color w:val="auto"/>
          <w:szCs w:val="21"/>
          <w:highlight w:val="none"/>
          <w:lang w:val="zh-CN"/>
        </w:rPr>
      </w:pPr>
    </w:p>
    <w:p w14:paraId="168F66A5">
      <w:pPr>
        <w:pStyle w:val="14"/>
        <w:rPr>
          <w:color w:val="auto"/>
          <w:highlight w:val="none"/>
          <w:lang w:val="zh-CN"/>
        </w:rPr>
      </w:pPr>
    </w:p>
    <w:p w14:paraId="2C6507D2">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08177712">
      <w:pPr>
        <w:pStyle w:val="30"/>
        <w:ind w:firstLine="340"/>
        <w:rPr>
          <w:rFonts w:hint="eastAsia"/>
          <w:color w:val="auto"/>
          <w:highlight w:val="none"/>
          <w:lang w:val="zh-CN"/>
        </w:rPr>
      </w:pPr>
    </w:p>
    <w:p w14:paraId="31BAEFD8">
      <w:pPr>
        <w:pStyle w:val="2"/>
        <w:ind w:firstLine="480"/>
        <w:rPr>
          <w:rFonts w:hint="eastAsia"/>
          <w:color w:val="auto"/>
          <w:highlight w:val="none"/>
          <w:lang w:val="zh-CN"/>
        </w:rPr>
      </w:pPr>
    </w:p>
    <w:p w14:paraId="59945532">
      <w:pPr>
        <w:rPr>
          <w:rFonts w:hint="eastAsia"/>
          <w:color w:val="auto"/>
          <w:highlight w:val="none"/>
          <w:lang w:val="zh-CN"/>
        </w:rPr>
      </w:pPr>
    </w:p>
    <w:p w14:paraId="50F2BD8C">
      <w:pPr>
        <w:pStyle w:val="30"/>
        <w:ind w:firstLine="340"/>
        <w:rPr>
          <w:rFonts w:hint="eastAsia"/>
          <w:color w:val="auto"/>
          <w:highlight w:val="none"/>
          <w:lang w:val="zh-CN"/>
        </w:rPr>
      </w:pPr>
    </w:p>
    <w:p w14:paraId="513809FB">
      <w:pPr>
        <w:pStyle w:val="2"/>
        <w:ind w:firstLine="480"/>
        <w:rPr>
          <w:rFonts w:hint="eastAsia"/>
          <w:color w:val="auto"/>
          <w:highlight w:val="none"/>
          <w:lang w:val="zh-CN"/>
        </w:rPr>
      </w:pPr>
    </w:p>
    <w:p w14:paraId="3F03F8C1">
      <w:pPr>
        <w:rPr>
          <w:color w:val="auto"/>
          <w:highlight w:val="none"/>
          <w:lang w:val="zh-CN"/>
        </w:rPr>
      </w:pPr>
    </w:p>
    <w:p w14:paraId="6547D42D">
      <w:pPr>
        <w:autoSpaceDE w:val="0"/>
        <w:autoSpaceDN w:val="0"/>
        <w:adjustRightInd w:val="0"/>
        <w:spacing w:line="360" w:lineRule="auto"/>
        <w:jc w:val="center"/>
        <w:outlineLvl w:val="0"/>
        <w:rPr>
          <w:rFonts w:ascii="宋体" w:hAnsi="宋体" w:eastAsia="宋体" w:cs="Times New Roman"/>
          <w:b/>
          <w:bCs/>
          <w:color w:val="auto"/>
          <w:sz w:val="24"/>
          <w:szCs w:val="24"/>
          <w:highlight w:val="none"/>
        </w:rPr>
      </w:pPr>
      <w:r>
        <w:rPr>
          <w:rFonts w:hint="eastAsia" w:ascii="宋体" w:hAnsi="宋体" w:eastAsia="宋体"/>
          <w:b/>
          <w:bCs/>
          <w:color w:val="auto"/>
          <w:sz w:val="24"/>
          <w:szCs w:val="24"/>
          <w:highlight w:val="none"/>
        </w:rPr>
        <w:t>3.6</w:t>
      </w:r>
      <w:r>
        <w:rPr>
          <w:rFonts w:ascii="宋体" w:hAnsi="宋体" w:eastAsia="宋体" w:cs="Times New Roman"/>
          <w:b/>
          <w:bCs/>
          <w:color w:val="auto"/>
          <w:sz w:val="24"/>
          <w:szCs w:val="24"/>
          <w:highlight w:val="none"/>
        </w:rPr>
        <w:t>中小企业声明函</w:t>
      </w:r>
    </w:p>
    <w:p w14:paraId="7D815743">
      <w:pPr>
        <w:spacing w:line="360" w:lineRule="auto"/>
        <w:jc w:val="center"/>
        <w:rPr>
          <w:rFonts w:ascii="宋体" w:hAnsi="宋体" w:eastAsia="宋体" w:cs="Times New Roman"/>
          <w:b/>
          <w:bCs/>
          <w:color w:val="auto"/>
          <w:szCs w:val="21"/>
          <w:highlight w:val="none"/>
        </w:rPr>
      </w:pPr>
    </w:p>
    <w:p w14:paraId="1E73B624">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本公司郑重声明，根据《政府采购促进中小企业发展管理办法》（财库﹝2020﹞46 号）的规定，本公司参加</w:t>
      </w:r>
      <w:r>
        <w:rPr>
          <w:rFonts w:ascii="宋体" w:hAnsi="宋体" w:eastAsia="宋体" w:cs="Times New Roman"/>
          <w:i/>
          <w:color w:val="auto"/>
          <w:szCs w:val="21"/>
          <w:highlight w:val="none"/>
          <w:u w:val="single"/>
        </w:rPr>
        <w:t>（单位名称）</w:t>
      </w:r>
      <w:r>
        <w:rPr>
          <w:rFonts w:ascii="宋体" w:hAnsi="宋体" w:eastAsia="宋体" w:cs="Times New Roman"/>
          <w:color w:val="auto"/>
          <w:szCs w:val="21"/>
          <w:highlight w:val="none"/>
        </w:rPr>
        <w:t>的</w:t>
      </w:r>
      <w:r>
        <w:rPr>
          <w:rFonts w:ascii="宋体" w:hAnsi="宋体" w:eastAsia="宋体" w:cs="Times New Roman"/>
          <w:i/>
          <w:color w:val="auto"/>
          <w:szCs w:val="21"/>
          <w:highlight w:val="none"/>
          <w:u w:val="single"/>
        </w:rPr>
        <w:t>（项目名称）</w:t>
      </w:r>
      <w:r>
        <w:rPr>
          <w:rFonts w:ascii="宋体" w:hAnsi="宋体" w:eastAsia="宋体" w:cs="Times New Roman"/>
          <w:color w:val="auto"/>
          <w:szCs w:val="21"/>
          <w:highlight w:val="none"/>
        </w:rPr>
        <w:t>采购活动，提供的</w:t>
      </w:r>
      <w:r>
        <w:rPr>
          <w:rFonts w:hint="eastAsia" w:ascii="宋体" w:hAnsi="宋体" w:eastAsia="宋体" w:cs="Times New Roman"/>
          <w:color w:val="auto"/>
          <w:szCs w:val="21"/>
          <w:highlight w:val="none"/>
        </w:rPr>
        <w:t>服务</w:t>
      </w:r>
      <w:r>
        <w:rPr>
          <w:rFonts w:ascii="宋体" w:hAnsi="宋体" w:eastAsia="宋体" w:cs="Times New Roman"/>
          <w:color w:val="auto"/>
          <w:szCs w:val="21"/>
          <w:highlight w:val="none"/>
        </w:rPr>
        <w:t>全部由符合政策要求的中小企业</w:t>
      </w:r>
      <w:r>
        <w:rPr>
          <w:rFonts w:hint="eastAsia" w:ascii="宋体" w:hAnsi="宋体" w:eastAsia="宋体" w:cs="Times New Roman"/>
          <w:color w:val="auto"/>
          <w:szCs w:val="21"/>
          <w:highlight w:val="none"/>
        </w:rPr>
        <w:t>承接</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承接企业</w:t>
      </w:r>
      <w:r>
        <w:rPr>
          <w:rFonts w:ascii="宋体" w:hAnsi="宋体" w:eastAsia="宋体" w:cs="Times New Roman"/>
          <w:color w:val="auto"/>
          <w:szCs w:val="21"/>
          <w:highlight w:val="none"/>
        </w:rPr>
        <w:t>的具体情况如下：</w:t>
      </w:r>
    </w:p>
    <w:p w14:paraId="34E6FF0E">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1. </w:t>
      </w:r>
      <w:r>
        <w:rPr>
          <w:rFonts w:ascii="宋体" w:hAnsi="宋体" w:eastAsia="宋体" w:cs="Times New Roman"/>
          <w:i/>
          <w:color w:val="auto"/>
          <w:szCs w:val="21"/>
          <w:highlight w:val="none"/>
          <w:u w:val="single"/>
        </w:rPr>
        <w:t>（标的名称）</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u w:val="single"/>
        </w:rPr>
        <w:t>（采购文件中明确的所属行业）</w:t>
      </w:r>
      <w:r>
        <w:rPr>
          <w:rFonts w:ascii="宋体" w:hAnsi="宋体" w:eastAsia="宋体" w:cs="Times New Roman"/>
          <w:color w:val="auto"/>
          <w:szCs w:val="21"/>
          <w:highlight w:val="none"/>
        </w:rPr>
        <w:t>行业；</w:t>
      </w:r>
      <w:r>
        <w:rPr>
          <w:rFonts w:hint="eastAsia" w:ascii="宋体" w:hAnsi="宋体" w:eastAsia="宋体" w:cs="Times New Roman"/>
          <w:color w:val="auto"/>
          <w:szCs w:val="21"/>
          <w:highlight w:val="none"/>
        </w:rPr>
        <w:t>承接企业</w:t>
      </w:r>
      <w:r>
        <w:rPr>
          <w:rFonts w:ascii="宋体" w:hAnsi="宋体" w:eastAsia="宋体" w:cs="Times New Roman"/>
          <w:color w:val="auto"/>
          <w:szCs w:val="21"/>
          <w:highlight w:val="none"/>
        </w:rPr>
        <w:t>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hint="eastAsia" w:ascii="宋体" w:hAnsi="宋体" w:eastAsia="宋体" w:cs="Times New Roman"/>
          <w:color w:val="auto"/>
          <w:szCs w:val="21"/>
          <w:highlight w:val="none"/>
          <w:u w:val="single"/>
          <w:lang w:val="en-US" w:eastAsia="zh-CN"/>
        </w:rPr>
        <w:t xml:space="preserve">  </w:t>
      </w:r>
      <w:r>
        <w:rPr>
          <w:rFonts w:ascii="宋体" w:hAnsi="宋体" w:eastAsia="宋体" w:cs="Times New Roman"/>
          <w:color w:val="auto"/>
          <w:szCs w:val="21"/>
          <w:highlight w:val="none"/>
        </w:rPr>
        <w:t>人，营业收入为万元，资产总额为万元，属于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14E3B6DC">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 </w:t>
      </w:r>
    </w:p>
    <w:p w14:paraId="1AC2A52A">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6ADABE0E">
      <w:pPr>
        <w:spacing w:line="480" w:lineRule="auto"/>
        <w:ind w:firstLine="5957" w:firstLineChars="2837"/>
        <w:jc w:val="left"/>
        <w:rPr>
          <w:color w:val="auto"/>
          <w:highlight w:val="none"/>
        </w:rPr>
      </w:pPr>
      <w:r>
        <w:rPr>
          <w:rFonts w:hint="eastAsia"/>
          <w:color w:val="auto"/>
          <w:highlight w:val="none"/>
        </w:rPr>
        <w:t>投标人</w:t>
      </w:r>
      <w:r>
        <w:rPr>
          <w:color w:val="auto"/>
          <w:highlight w:val="none"/>
        </w:rPr>
        <w:t>名称（盖章）：</w:t>
      </w:r>
    </w:p>
    <w:p w14:paraId="7075A56E">
      <w:pPr>
        <w:spacing w:line="480" w:lineRule="auto"/>
        <w:ind w:firstLine="5617" w:firstLineChars="26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日期：  年    月    日</w:t>
      </w:r>
    </w:p>
    <w:p w14:paraId="2132F3B2">
      <w:pPr>
        <w:widowControl/>
        <w:spacing w:before="100" w:beforeAutospacing="1" w:after="100" w:afterAutospacing="1" w:line="360" w:lineRule="auto"/>
        <w:contextualSpacing/>
        <w:jc w:val="left"/>
        <w:rPr>
          <w:rFonts w:ascii="宋体" w:hAnsi="宋体"/>
          <w:color w:val="auto"/>
          <w:szCs w:val="21"/>
          <w:highlight w:val="none"/>
        </w:rPr>
      </w:pPr>
      <w:r>
        <w:rPr>
          <w:rFonts w:hint="eastAsia" w:ascii="宋体" w:hAnsi="宋体"/>
          <w:color w:val="auto"/>
          <w:szCs w:val="21"/>
          <w:highlight w:val="none"/>
        </w:rPr>
        <w:t>说明：</w:t>
      </w:r>
    </w:p>
    <w:p w14:paraId="33C4CEE0">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1、</w:t>
      </w:r>
      <w:r>
        <w:rPr>
          <w:color w:val="auto"/>
          <w:highlight w:val="none"/>
        </w:rPr>
        <w:t>从业人员、营业收入、资产总额填报上一年度数据，无上一年度数据的新成立企业可不填报。</w:t>
      </w:r>
    </w:p>
    <w:p w14:paraId="7A8E1DE5">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04A542E0">
      <w:pPr>
        <w:pStyle w:val="30"/>
        <w:ind w:firstLine="340"/>
        <w:rPr>
          <w:rFonts w:hint="eastAsia"/>
          <w:color w:val="auto"/>
          <w:highlight w:val="none"/>
        </w:rPr>
      </w:pPr>
    </w:p>
    <w:p w14:paraId="6EFEE336">
      <w:pPr>
        <w:pStyle w:val="2"/>
        <w:rPr>
          <w:rFonts w:hint="eastAsia"/>
          <w:color w:val="auto"/>
          <w:highlight w:val="none"/>
        </w:rPr>
      </w:pPr>
    </w:p>
    <w:p w14:paraId="0CF59AA4">
      <w:pPr>
        <w:rPr>
          <w:rFonts w:hint="eastAsia"/>
          <w:color w:val="auto"/>
          <w:highlight w:val="none"/>
        </w:rPr>
      </w:pPr>
    </w:p>
    <w:p w14:paraId="5D381255">
      <w:pPr>
        <w:pStyle w:val="14"/>
        <w:rPr>
          <w:rFonts w:hint="eastAsia"/>
          <w:color w:val="auto"/>
          <w:highlight w:val="none"/>
        </w:rPr>
      </w:pPr>
    </w:p>
    <w:p w14:paraId="30F701D5">
      <w:pPr>
        <w:pStyle w:val="15"/>
        <w:rPr>
          <w:rFonts w:hint="eastAsia"/>
          <w:color w:val="auto"/>
          <w:highlight w:val="none"/>
        </w:rPr>
      </w:pPr>
    </w:p>
    <w:p w14:paraId="60F227B7">
      <w:pPr>
        <w:pStyle w:val="2"/>
        <w:ind w:firstLine="480"/>
        <w:rPr>
          <w:rFonts w:hint="eastAsia"/>
          <w:color w:val="auto"/>
          <w:highlight w:val="none"/>
        </w:rPr>
      </w:pPr>
    </w:p>
    <w:p w14:paraId="722195CD">
      <w:pPr>
        <w:rPr>
          <w:rFonts w:hint="eastAsia"/>
          <w:color w:val="auto"/>
          <w:highlight w:val="none"/>
        </w:rPr>
      </w:pPr>
    </w:p>
    <w:p w14:paraId="286520DF">
      <w:pPr>
        <w:pStyle w:val="30"/>
        <w:ind w:left="0" w:leftChars="0" w:firstLine="0" w:firstLineChars="0"/>
        <w:rPr>
          <w:color w:val="auto"/>
          <w:highlight w:val="none"/>
        </w:rPr>
      </w:pPr>
    </w:p>
    <w:p w14:paraId="050AE0F2">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3.7残疾人福利性单位声明函</w:t>
      </w:r>
    </w:p>
    <w:p w14:paraId="0C25237D">
      <w:pPr>
        <w:spacing w:line="360" w:lineRule="auto"/>
        <w:rPr>
          <w:rFonts w:ascii="宋体" w:hAnsi="宋体"/>
          <w:color w:val="auto"/>
          <w:szCs w:val="21"/>
          <w:highlight w:val="none"/>
        </w:rPr>
      </w:pPr>
    </w:p>
    <w:p w14:paraId="62861B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w:t>
      </w:r>
      <w:r>
        <w:rPr>
          <w:rFonts w:hint="eastAsia" w:ascii="宋体" w:hAnsi="宋体"/>
          <w:color w:val="auto"/>
          <w:szCs w:val="21"/>
          <w:highlight w:val="none"/>
          <w:lang w:eastAsia="zh-CN"/>
        </w:rPr>
        <w:t>（</w:t>
      </w:r>
      <w:r>
        <w:rPr>
          <w:rFonts w:hint="eastAsia" w:ascii="宋体" w:hAnsi="宋体"/>
          <w:color w:val="auto"/>
          <w:szCs w:val="21"/>
          <w:highlight w:val="none"/>
          <w:lang w:eastAsia="zh-CN"/>
        </w:rPr>
        <w:sym w:font="Wingdings 2" w:char="00A3"/>
      </w:r>
      <w:r>
        <w:rPr>
          <w:rFonts w:hint="eastAsia" w:ascii="宋体" w:hAnsi="宋体"/>
          <w:b/>
          <w:bCs/>
          <w:color w:val="auto"/>
          <w:szCs w:val="21"/>
          <w:highlight w:val="none"/>
        </w:rPr>
        <w:t>为</w:t>
      </w:r>
      <w:r>
        <w:rPr>
          <w:rFonts w:hint="eastAsia" w:ascii="宋体" w:hAnsi="宋体"/>
          <w:b/>
          <w:bCs/>
          <w:color w:val="auto"/>
          <w:szCs w:val="21"/>
          <w:highlight w:val="none"/>
          <w:lang w:val="en-US" w:eastAsia="zh-CN"/>
        </w:rPr>
        <w:sym w:font="Wingdings 2" w:char="00A3"/>
      </w:r>
      <w:r>
        <w:rPr>
          <w:rFonts w:hint="eastAsia" w:ascii="宋体" w:hAnsi="宋体"/>
          <w:b/>
          <w:bCs/>
          <w:color w:val="auto"/>
          <w:szCs w:val="21"/>
          <w:highlight w:val="none"/>
          <w:lang w:val="en-US" w:eastAsia="zh-CN"/>
        </w:rPr>
        <w:t>不</w:t>
      </w:r>
      <w:r>
        <w:rPr>
          <w:rFonts w:hint="eastAsia" w:ascii="宋体" w:hAnsi="宋体"/>
          <w:color w:val="auto"/>
          <w:szCs w:val="21"/>
          <w:highlight w:val="none"/>
          <w:lang w:val="en-US" w:eastAsia="zh-CN"/>
        </w:rPr>
        <w:t>为）</w:t>
      </w:r>
      <w:r>
        <w:rPr>
          <w:rFonts w:hint="eastAsia" w:ascii="宋体" w:hAnsi="宋体"/>
          <w:color w:val="auto"/>
          <w:szCs w:val="21"/>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086EF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07A544AA">
      <w:pPr>
        <w:spacing w:line="360" w:lineRule="auto"/>
        <w:rPr>
          <w:rFonts w:ascii="宋体" w:hAnsi="宋体"/>
          <w:color w:val="auto"/>
          <w:szCs w:val="21"/>
          <w:highlight w:val="none"/>
        </w:rPr>
      </w:pPr>
    </w:p>
    <w:p w14:paraId="48AE1231">
      <w:pPr>
        <w:spacing w:line="360" w:lineRule="auto"/>
        <w:rPr>
          <w:rFonts w:ascii="宋体" w:hAnsi="宋体"/>
          <w:color w:val="auto"/>
          <w:szCs w:val="21"/>
          <w:highlight w:val="none"/>
        </w:rPr>
      </w:pPr>
    </w:p>
    <w:p w14:paraId="7835B9D6">
      <w:pPr>
        <w:spacing w:line="360" w:lineRule="auto"/>
        <w:rPr>
          <w:rFonts w:ascii="宋体" w:hAnsi="宋体"/>
          <w:color w:val="auto"/>
          <w:szCs w:val="21"/>
          <w:highlight w:val="none"/>
        </w:rPr>
      </w:pPr>
    </w:p>
    <w:p w14:paraId="4AC98659">
      <w:pPr>
        <w:spacing w:line="360" w:lineRule="auto"/>
        <w:rPr>
          <w:rFonts w:ascii="宋体" w:hAnsi="宋体"/>
          <w:color w:val="auto"/>
          <w:szCs w:val="21"/>
          <w:highlight w:val="none"/>
        </w:rPr>
      </w:pPr>
    </w:p>
    <w:p w14:paraId="4C86A5DE">
      <w:pPr>
        <w:spacing w:line="360" w:lineRule="auto"/>
        <w:ind w:firstLine="4410" w:firstLineChars="2100"/>
        <w:contextualSpacing/>
        <w:rPr>
          <w:rFonts w:ascii="宋体" w:hAnsi="宋体"/>
          <w:color w:val="auto"/>
          <w:szCs w:val="21"/>
          <w:highlight w:val="none"/>
        </w:rPr>
      </w:pPr>
      <w:r>
        <w:rPr>
          <w:rFonts w:hint="eastAsia" w:cs="宋体" w:asciiTheme="minorEastAsia" w:hAnsiTheme="minorEastAsia"/>
          <w:color w:val="auto"/>
          <w:szCs w:val="21"/>
          <w:highlight w:val="none"/>
          <w:lang w:val="zh-CN"/>
        </w:rPr>
        <w:t>投标人名称（盖章）：</w:t>
      </w:r>
    </w:p>
    <w:p w14:paraId="75BF9949">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日期：   </w:t>
      </w:r>
      <w:r>
        <w:rPr>
          <w:rFonts w:hint="eastAsia" w:cs="宋体" w:asciiTheme="minorEastAsia" w:hAnsiTheme="minorEastAsia"/>
          <w:color w:val="auto"/>
          <w:szCs w:val="21"/>
          <w:highlight w:val="none"/>
        </w:rPr>
        <w:t>年    月    日</w:t>
      </w:r>
    </w:p>
    <w:p w14:paraId="58EB4AF7">
      <w:pPr>
        <w:autoSpaceDE w:val="0"/>
        <w:autoSpaceDN w:val="0"/>
        <w:adjustRightInd w:val="0"/>
        <w:spacing w:line="360" w:lineRule="auto"/>
        <w:jc w:val="center"/>
        <w:rPr>
          <w:rFonts w:cs="宋体" w:asciiTheme="minorEastAsia" w:hAnsiTheme="minorEastAsia"/>
          <w:color w:val="auto"/>
          <w:sz w:val="24"/>
          <w:szCs w:val="24"/>
          <w:highlight w:val="none"/>
        </w:rPr>
      </w:pPr>
    </w:p>
    <w:p w14:paraId="2AA2CBCD">
      <w:pPr>
        <w:pStyle w:val="14"/>
        <w:rPr>
          <w:rFonts w:ascii="宋体" w:cs="宋体"/>
          <w:color w:val="auto"/>
          <w:sz w:val="24"/>
          <w:highlight w:val="none"/>
          <w:lang w:val="zh-CN"/>
        </w:rPr>
      </w:pPr>
    </w:p>
    <w:p w14:paraId="21D6965B">
      <w:pPr>
        <w:pStyle w:val="14"/>
        <w:rPr>
          <w:rFonts w:ascii="宋体" w:cs="宋体"/>
          <w:color w:val="auto"/>
          <w:sz w:val="24"/>
          <w:highlight w:val="none"/>
          <w:lang w:val="zh-CN"/>
        </w:rPr>
      </w:pPr>
    </w:p>
    <w:p w14:paraId="1CC06D96">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3.8其他资格证书或材料 </w:t>
      </w:r>
    </w:p>
    <w:p w14:paraId="76B68359">
      <w:pPr>
        <w:autoSpaceDE w:val="0"/>
        <w:autoSpaceDN w:val="0"/>
        <w:adjustRightInd w:val="0"/>
        <w:spacing w:line="360" w:lineRule="auto"/>
        <w:rPr>
          <w:rFonts w:cs="黑体" w:asciiTheme="minorEastAsia" w:hAnsiTheme="minorEastAsia"/>
          <w:b/>
          <w:bCs/>
          <w:color w:val="auto"/>
          <w:sz w:val="28"/>
          <w:szCs w:val="28"/>
          <w:highlight w:val="none"/>
          <w:lang w:val="zh-CN"/>
        </w:rPr>
      </w:pPr>
    </w:p>
    <w:p w14:paraId="7F26CFA0">
      <w:pPr>
        <w:pStyle w:val="14"/>
        <w:rPr>
          <w:rFonts w:hint="eastAsia"/>
          <w:color w:val="auto"/>
          <w:highlight w:val="none"/>
          <w:lang w:val="zh-CN"/>
        </w:rPr>
      </w:pPr>
    </w:p>
    <w:p w14:paraId="131D4264">
      <w:pPr>
        <w:pStyle w:val="27"/>
        <w:rPr>
          <w:rFonts w:hint="eastAsia"/>
          <w:color w:val="auto"/>
          <w:highlight w:val="none"/>
          <w:lang w:val="zh-CN"/>
        </w:rPr>
      </w:pPr>
    </w:p>
    <w:p w14:paraId="0AD8201E">
      <w:pPr>
        <w:pStyle w:val="27"/>
        <w:rPr>
          <w:color w:val="auto"/>
          <w:highlight w:val="none"/>
          <w:lang w:val="zh-CN"/>
        </w:rPr>
      </w:pPr>
    </w:p>
    <w:p w14:paraId="560202A3">
      <w:pPr>
        <w:pStyle w:val="27"/>
        <w:rPr>
          <w:color w:val="auto"/>
          <w:highlight w:val="none"/>
          <w:lang w:val="zh-CN"/>
        </w:rPr>
      </w:pPr>
    </w:p>
    <w:p w14:paraId="593FEA52">
      <w:pPr>
        <w:pStyle w:val="27"/>
        <w:rPr>
          <w:color w:val="auto"/>
          <w:highlight w:val="none"/>
          <w:lang w:val="zh-CN"/>
        </w:rPr>
      </w:pPr>
    </w:p>
    <w:p w14:paraId="3746877C">
      <w:pPr>
        <w:pStyle w:val="27"/>
        <w:rPr>
          <w:color w:val="auto"/>
          <w:highlight w:val="none"/>
          <w:lang w:val="zh-CN"/>
        </w:rPr>
      </w:pPr>
    </w:p>
    <w:p w14:paraId="2B90246E">
      <w:pPr>
        <w:autoSpaceDE w:val="0"/>
        <w:autoSpaceDN w:val="0"/>
        <w:adjustRightInd w:val="0"/>
        <w:spacing w:line="360" w:lineRule="auto"/>
        <w:jc w:val="center"/>
        <w:rPr>
          <w:rFonts w:hAnsi="宋体" w:eastAsia="宋体"/>
          <w:b/>
          <w:snapToGrid w:val="0"/>
          <w:color w:val="auto"/>
          <w:kern w:val="0"/>
          <w:sz w:val="36"/>
          <w:szCs w:val="36"/>
          <w:highlight w:val="none"/>
        </w:rPr>
      </w:pPr>
      <w:r>
        <w:rPr>
          <w:rFonts w:hint="eastAsia" w:cs="黑体" w:asciiTheme="minorEastAsia" w:hAnsiTheme="minorEastAsia"/>
          <w:b/>
          <w:bCs/>
          <w:color w:val="auto"/>
          <w:sz w:val="28"/>
          <w:szCs w:val="28"/>
          <w:highlight w:val="none"/>
          <w:lang w:val="zh-CN"/>
        </w:rPr>
        <w:t>四、符合性审查相关材料</w:t>
      </w:r>
    </w:p>
    <w:p w14:paraId="12F15B8E">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4.1分项报价表</w:t>
      </w:r>
    </w:p>
    <w:p w14:paraId="61C2B48D">
      <w:pPr>
        <w:spacing w:line="480" w:lineRule="exact"/>
        <w:jc w:val="center"/>
        <w:rPr>
          <w:rFonts w:ascii="宋体" w:hAnsi="宋体"/>
          <w:b/>
          <w:bCs/>
          <w:color w:val="auto"/>
          <w:sz w:val="24"/>
          <w:szCs w:val="24"/>
          <w:highlight w:val="none"/>
        </w:rPr>
      </w:pPr>
    </w:p>
    <w:p w14:paraId="1E22E974">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6DB25C22">
      <w:pPr>
        <w:spacing w:line="360" w:lineRule="auto"/>
        <w:ind w:firstLine="4410" w:firstLineChars="2100"/>
        <w:contextualSpacing/>
        <w:rPr>
          <w:rFonts w:hint="eastAsia" w:cs="宋体" w:asciiTheme="minorEastAsia" w:hAnsiTheme="minorEastAsia"/>
          <w:color w:val="auto"/>
          <w:szCs w:val="21"/>
          <w:highlight w:val="none"/>
          <w:lang w:val="zh-CN"/>
        </w:rPr>
      </w:pPr>
    </w:p>
    <w:p w14:paraId="1E1BD0DA">
      <w:pPr>
        <w:spacing w:line="360" w:lineRule="auto"/>
        <w:ind w:firstLine="4410" w:firstLineChars="2100"/>
        <w:contextualSpacing/>
        <w:rPr>
          <w:rFonts w:hint="eastAsia" w:cs="宋体" w:asciiTheme="minorEastAsia" w:hAnsiTheme="minorEastAsia"/>
          <w:color w:val="auto"/>
          <w:szCs w:val="21"/>
          <w:highlight w:val="none"/>
          <w:lang w:val="zh-CN"/>
        </w:rPr>
      </w:pPr>
    </w:p>
    <w:p w14:paraId="52152BF6">
      <w:pPr>
        <w:spacing w:line="360" w:lineRule="auto"/>
        <w:ind w:firstLine="4410" w:firstLineChars="2100"/>
        <w:contextualSpacing/>
        <w:rPr>
          <w:rFonts w:hint="eastAsia" w:cs="宋体" w:asciiTheme="minorEastAsia" w:hAnsiTheme="minorEastAsia"/>
          <w:color w:val="auto"/>
          <w:szCs w:val="21"/>
          <w:highlight w:val="none"/>
          <w:lang w:val="zh-CN"/>
        </w:rPr>
      </w:pPr>
    </w:p>
    <w:p w14:paraId="1F1387E1">
      <w:pPr>
        <w:spacing w:line="360" w:lineRule="auto"/>
        <w:ind w:firstLine="4410" w:firstLineChars="2100"/>
        <w:contextualSpacing/>
        <w:rPr>
          <w:rFonts w:ascii="宋体" w:hAnsi="宋体"/>
          <w:color w:val="auto"/>
          <w:szCs w:val="21"/>
          <w:highlight w:val="none"/>
        </w:rPr>
      </w:pPr>
      <w:r>
        <w:rPr>
          <w:rFonts w:hint="eastAsia" w:cs="宋体" w:asciiTheme="minorEastAsia" w:hAnsiTheme="minorEastAsia"/>
          <w:color w:val="auto"/>
          <w:szCs w:val="21"/>
          <w:highlight w:val="none"/>
          <w:lang w:val="zh-CN"/>
        </w:rPr>
        <w:t>投标人名称（盖章）：</w:t>
      </w:r>
    </w:p>
    <w:p w14:paraId="6E2088D3">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日期：   </w:t>
      </w:r>
      <w:r>
        <w:rPr>
          <w:rFonts w:hint="eastAsia" w:cs="宋体" w:asciiTheme="minorEastAsia" w:hAnsiTheme="minorEastAsia"/>
          <w:color w:val="auto"/>
          <w:szCs w:val="21"/>
          <w:highlight w:val="none"/>
        </w:rPr>
        <w:t>年    月    日</w:t>
      </w:r>
    </w:p>
    <w:p w14:paraId="609446AC">
      <w:pPr>
        <w:autoSpaceDE w:val="0"/>
        <w:autoSpaceDN w:val="0"/>
        <w:adjustRightInd w:val="0"/>
        <w:spacing w:line="480" w:lineRule="auto"/>
        <w:rPr>
          <w:rFonts w:cs="宋体" w:asciiTheme="minorEastAsia" w:hAnsiTheme="minorEastAsia"/>
          <w:color w:val="auto"/>
          <w:sz w:val="24"/>
          <w:szCs w:val="24"/>
          <w:highlight w:val="none"/>
        </w:rPr>
      </w:pPr>
    </w:p>
    <w:p w14:paraId="39166AC6">
      <w:pPr>
        <w:autoSpaceDE w:val="0"/>
        <w:autoSpaceDN w:val="0"/>
        <w:adjustRightInd w:val="0"/>
        <w:spacing w:line="480" w:lineRule="auto"/>
        <w:rPr>
          <w:rFonts w:cs="宋体" w:asciiTheme="minorEastAsia" w:hAnsiTheme="minorEastAsia"/>
          <w:color w:val="auto"/>
          <w:sz w:val="24"/>
          <w:szCs w:val="24"/>
          <w:highlight w:val="none"/>
          <w:lang w:val="zh-CN"/>
        </w:rPr>
      </w:pPr>
    </w:p>
    <w:p w14:paraId="042A46D5">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技术方案（实施方案）</w:t>
      </w:r>
    </w:p>
    <w:p w14:paraId="062D1FE9">
      <w:pPr>
        <w:snapToGrid w:val="0"/>
        <w:spacing w:line="360" w:lineRule="auto"/>
        <w:jc w:val="center"/>
        <w:rPr>
          <w:rFonts w:hAnsi="宋体" w:eastAsia="宋体"/>
          <w:b/>
          <w:snapToGrid w:val="0"/>
          <w:color w:val="auto"/>
          <w:kern w:val="0"/>
          <w:sz w:val="36"/>
          <w:szCs w:val="36"/>
          <w:highlight w:val="none"/>
        </w:rPr>
      </w:pPr>
    </w:p>
    <w:p w14:paraId="5DA2BBEA">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5841BAC8">
      <w:pPr>
        <w:snapToGrid w:val="0"/>
        <w:spacing w:line="360" w:lineRule="auto"/>
        <w:jc w:val="center"/>
        <w:rPr>
          <w:rFonts w:hint="eastAsia" w:hAnsi="宋体" w:eastAsia="宋体"/>
          <w:b/>
          <w:snapToGrid w:val="0"/>
          <w:color w:val="auto"/>
          <w:kern w:val="0"/>
          <w:sz w:val="36"/>
          <w:szCs w:val="36"/>
          <w:highlight w:val="none"/>
        </w:rPr>
      </w:pPr>
    </w:p>
    <w:p w14:paraId="1ECA26CD">
      <w:pPr>
        <w:pStyle w:val="30"/>
        <w:ind w:firstLine="340"/>
        <w:rPr>
          <w:rFonts w:hint="eastAsia"/>
          <w:color w:val="auto"/>
          <w:highlight w:val="none"/>
        </w:rPr>
      </w:pPr>
    </w:p>
    <w:p w14:paraId="3E0F9FCB">
      <w:pPr>
        <w:pStyle w:val="2"/>
        <w:ind w:firstLine="480"/>
        <w:rPr>
          <w:rFonts w:hint="eastAsia"/>
          <w:color w:val="auto"/>
          <w:highlight w:val="none"/>
        </w:rPr>
      </w:pPr>
    </w:p>
    <w:p w14:paraId="28AD9C06">
      <w:pPr>
        <w:rPr>
          <w:rFonts w:hint="eastAsia"/>
          <w:color w:val="auto"/>
          <w:highlight w:val="none"/>
        </w:rPr>
      </w:pPr>
    </w:p>
    <w:p w14:paraId="7AB97BB8">
      <w:pPr>
        <w:pStyle w:val="30"/>
        <w:ind w:firstLine="340"/>
        <w:rPr>
          <w:color w:val="auto"/>
          <w:highlight w:val="none"/>
        </w:rPr>
      </w:pPr>
    </w:p>
    <w:p w14:paraId="6FDBA99C">
      <w:pPr>
        <w:autoSpaceDE w:val="0"/>
        <w:autoSpaceDN w:val="0"/>
        <w:adjustRightInd w:val="0"/>
        <w:spacing w:line="360" w:lineRule="auto"/>
        <w:jc w:val="center"/>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3服务承诺</w:t>
      </w:r>
    </w:p>
    <w:p w14:paraId="7517E59D">
      <w:pPr>
        <w:autoSpaceDE w:val="0"/>
        <w:autoSpaceDN w:val="0"/>
        <w:adjustRightInd w:val="0"/>
        <w:spacing w:line="360" w:lineRule="auto"/>
        <w:jc w:val="center"/>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433D383F">
      <w:pPr>
        <w:pStyle w:val="30"/>
        <w:ind w:firstLine="340"/>
        <w:rPr>
          <w:rFonts w:hint="eastAsia"/>
          <w:color w:val="auto"/>
          <w:highlight w:val="none"/>
          <w:lang w:val="zh-CN"/>
        </w:rPr>
      </w:pPr>
    </w:p>
    <w:p w14:paraId="0B4EF1C6">
      <w:pPr>
        <w:pStyle w:val="2"/>
        <w:ind w:firstLine="480"/>
        <w:rPr>
          <w:rFonts w:hint="eastAsia"/>
          <w:color w:val="auto"/>
          <w:highlight w:val="none"/>
          <w:lang w:val="zh-CN"/>
        </w:rPr>
      </w:pPr>
    </w:p>
    <w:p w14:paraId="6DC46B35">
      <w:pPr>
        <w:pStyle w:val="2"/>
        <w:ind w:left="0" w:leftChars="0" w:firstLine="0" w:firstLineChars="0"/>
        <w:rPr>
          <w:color w:val="auto"/>
          <w:highlight w:val="none"/>
          <w:lang w:val="zh-CN"/>
        </w:rPr>
      </w:pPr>
    </w:p>
    <w:p w14:paraId="4BA0C71E">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rPr>
        <w:t>业绩情况表</w:t>
      </w:r>
    </w:p>
    <w:p w14:paraId="3F3A9B90">
      <w:pPr>
        <w:autoSpaceDE w:val="0"/>
        <w:autoSpaceDN w:val="0"/>
        <w:adjustRightInd w:val="0"/>
        <w:spacing w:line="360" w:lineRule="auto"/>
        <w:jc w:val="center"/>
        <w:outlineLvl w:val="0"/>
        <w:rPr>
          <w:rFonts w:ascii="宋体" w:hAnsi="宋体"/>
          <w:b/>
          <w:bCs/>
          <w:color w:val="auto"/>
          <w:sz w:val="28"/>
          <w:szCs w:val="28"/>
          <w:highlight w:val="none"/>
        </w:rPr>
      </w:pPr>
    </w:p>
    <w:p w14:paraId="453943C6">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3C1E3C09">
      <w:pPr>
        <w:snapToGrid w:val="0"/>
        <w:spacing w:line="360" w:lineRule="auto"/>
        <w:rPr>
          <w:rFonts w:hAnsi="宋体" w:eastAsia="宋体"/>
          <w:b/>
          <w:snapToGrid w:val="0"/>
          <w:color w:val="auto"/>
          <w:kern w:val="0"/>
          <w:szCs w:val="21"/>
          <w:highlight w:val="none"/>
        </w:rPr>
      </w:pPr>
      <w:r>
        <w:rPr>
          <w:rFonts w:hint="eastAsia" w:asciiTheme="minorEastAsia" w:hAnsiTheme="minorEastAsia"/>
          <w:color w:val="auto"/>
          <w:szCs w:val="21"/>
          <w:highlight w:val="none"/>
        </w:rPr>
        <w:t xml:space="preserve">项目名称：   </w:t>
      </w:r>
    </w:p>
    <w:tbl>
      <w:tblPr>
        <w:tblStyle w:val="31"/>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B8E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0D4B5CF8">
            <w:pPr>
              <w:pStyle w:val="11"/>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auto"/>
            <w:vAlign w:val="center"/>
          </w:tcPr>
          <w:p w14:paraId="17D8AD67">
            <w:pPr>
              <w:pStyle w:val="11"/>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auto"/>
            <w:vAlign w:val="center"/>
          </w:tcPr>
          <w:p w14:paraId="4AA92424">
            <w:pPr>
              <w:pStyle w:val="11"/>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auto"/>
            <w:vAlign w:val="center"/>
          </w:tcPr>
          <w:p w14:paraId="34414E28">
            <w:pPr>
              <w:pStyle w:val="1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E98D992">
            <w:pPr>
              <w:pStyle w:val="11"/>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auto"/>
            <w:vAlign w:val="center"/>
          </w:tcPr>
          <w:p w14:paraId="02DB9AB8">
            <w:pPr>
              <w:pStyle w:val="11"/>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4FE5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DDD799E">
            <w:pPr>
              <w:pStyle w:val="11"/>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2054301F">
            <w:pPr>
              <w:pStyle w:val="11"/>
              <w:spacing w:line="360" w:lineRule="auto"/>
              <w:rPr>
                <w:rFonts w:ascii="宋体" w:hAnsi="宋体" w:eastAsia="宋体" w:cs="Times New Roman"/>
                <w:color w:val="auto"/>
                <w:sz w:val="21"/>
                <w:szCs w:val="21"/>
                <w:highlight w:val="none"/>
              </w:rPr>
            </w:pPr>
          </w:p>
        </w:tc>
        <w:tc>
          <w:tcPr>
            <w:tcW w:w="3579" w:type="dxa"/>
            <w:vAlign w:val="center"/>
          </w:tcPr>
          <w:p w14:paraId="45AFB33B">
            <w:pPr>
              <w:pStyle w:val="11"/>
              <w:spacing w:line="360" w:lineRule="auto"/>
              <w:rPr>
                <w:rFonts w:ascii="宋体" w:hAnsi="宋体" w:eastAsia="宋体" w:cs="Times New Roman"/>
                <w:color w:val="auto"/>
                <w:sz w:val="21"/>
                <w:szCs w:val="21"/>
                <w:highlight w:val="none"/>
              </w:rPr>
            </w:pPr>
          </w:p>
        </w:tc>
        <w:tc>
          <w:tcPr>
            <w:tcW w:w="1440" w:type="dxa"/>
            <w:vAlign w:val="center"/>
          </w:tcPr>
          <w:p w14:paraId="04C17FD8">
            <w:pPr>
              <w:pStyle w:val="11"/>
              <w:spacing w:line="360" w:lineRule="auto"/>
              <w:rPr>
                <w:rFonts w:ascii="宋体" w:hAnsi="宋体" w:eastAsia="宋体" w:cs="Times New Roman"/>
                <w:color w:val="auto"/>
                <w:sz w:val="21"/>
                <w:szCs w:val="21"/>
                <w:highlight w:val="none"/>
              </w:rPr>
            </w:pPr>
          </w:p>
        </w:tc>
        <w:tc>
          <w:tcPr>
            <w:tcW w:w="1706" w:type="dxa"/>
            <w:vAlign w:val="center"/>
          </w:tcPr>
          <w:p w14:paraId="7DA54503">
            <w:pPr>
              <w:pStyle w:val="11"/>
              <w:spacing w:line="360" w:lineRule="auto"/>
              <w:rPr>
                <w:rFonts w:ascii="宋体" w:hAnsi="宋体" w:eastAsia="宋体" w:cs="Times New Roman"/>
                <w:color w:val="auto"/>
                <w:sz w:val="21"/>
                <w:szCs w:val="21"/>
                <w:highlight w:val="none"/>
              </w:rPr>
            </w:pPr>
          </w:p>
        </w:tc>
      </w:tr>
      <w:tr w14:paraId="52E1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88280F0">
            <w:pPr>
              <w:pStyle w:val="11"/>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596485CF">
            <w:pPr>
              <w:pStyle w:val="11"/>
              <w:spacing w:line="360" w:lineRule="auto"/>
              <w:rPr>
                <w:rFonts w:ascii="宋体" w:hAnsi="宋体" w:eastAsia="宋体" w:cs="Times New Roman"/>
                <w:color w:val="auto"/>
                <w:sz w:val="21"/>
                <w:szCs w:val="21"/>
                <w:highlight w:val="none"/>
              </w:rPr>
            </w:pPr>
          </w:p>
        </w:tc>
        <w:tc>
          <w:tcPr>
            <w:tcW w:w="3579" w:type="dxa"/>
            <w:vAlign w:val="center"/>
          </w:tcPr>
          <w:p w14:paraId="3B659EDC">
            <w:pPr>
              <w:pStyle w:val="11"/>
              <w:spacing w:line="360" w:lineRule="auto"/>
              <w:rPr>
                <w:rFonts w:ascii="宋体" w:hAnsi="宋体" w:eastAsia="宋体" w:cs="Times New Roman"/>
                <w:color w:val="auto"/>
                <w:sz w:val="21"/>
                <w:szCs w:val="21"/>
                <w:highlight w:val="none"/>
              </w:rPr>
            </w:pPr>
          </w:p>
        </w:tc>
        <w:tc>
          <w:tcPr>
            <w:tcW w:w="1440" w:type="dxa"/>
            <w:vAlign w:val="center"/>
          </w:tcPr>
          <w:p w14:paraId="62FE1F92">
            <w:pPr>
              <w:pStyle w:val="11"/>
              <w:spacing w:line="360" w:lineRule="auto"/>
              <w:rPr>
                <w:rFonts w:ascii="宋体" w:hAnsi="宋体" w:eastAsia="宋体" w:cs="Times New Roman"/>
                <w:color w:val="auto"/>
                <w:sz w:val="21"/>
                <w:szCs w:val="21"/>
                <w:highlight w:val="none"/>
              </w:rPr>
            </w:pPr>
          </w:p>
        </w:tc>
        <w:tc>
          <w:tcPr>
            <w:tcW w:w="1706" w:type="dxa"/>
            <w:vAlign w:val="center"/>
          </w:tcPr>
          <w:p w14:paraId="34D148BC">
            <w:pPr>
              <w:pStyle w:val="11"/>
              <w:spacing w:line="360" w:lineRule="auto"/>
              <w:rPr>
                <w:rFonts w:ascii="宋体" w:hAnsi="宋体" w:eastAsia="宋体" w:cs="Times New Roman"/>
                <w:color w:val="auto"/>
                <w:sz w:val="21"/>
                <w:szCs w:val="21"/>
                <w:highlight w:val="none"/>
              </w:rPr>
            </w:pPr>
          </w:p>
        </w:tc>
      </w:tr>
      <w:tr w14:paraId="2CF5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F9EC101">
            <w:pPr>
              <w:pStyle w:val="11"/>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10B6E0AB">
            <w:pPr>
              <w:pStyle w:val="11"/>
              <w:spacing w:line="360" w:lineRule="auto"/>
              <w:rPr>
                <w:rFonts w:ascii="宋体" w:hAnsi="宋体" w:eastAsia="宋体" w:cs="Times New Roman"/>
                <w:color w:val="auto"/>
                <w:sz w:val="21"/>
                <w:szCs w:val="21"/>
                <w:highlight w:val="none"/>
              </w:rPr>
            </w:pPr>
          </w:p>
        </w:tc>
        <w:tc>
          <w:tcPr>
            <w:tcW w:w="3579" w:type="dxa"/>
            <w:vAlign w:val="center"/>
          </w:tcPr>
          <w:p w14:paraId="02FA4B2B">
            <w:pPr>
              <w:pStyle w:val="11"/>
              <w:spacing w:line="360" w:lineRule="auto"/>
              <w:rPr>
                <w:rFonts w:ascii="宋体" w:hAnsi="宋体" w:eastAsia="宋体" w:cs="Times New Roman"/>
                <w:color w:val="auto"/>
                <w:sz w:val="21"/>
                <w:szCs w:val="21"/>
                <w:highlight w:val="none"/>
              </w:rPr>
            </w:pPr>
          </w:p>
        </w:tc>
        <w:tc>
          <w:tcPr>
            <w:tcW w:w="1440" w:type="dxa"/>
            <w:vAlign w:val="center"/>
          </w:tcPr>
          <w:p w14:paraId="2BBADC5C">
            <w:pPr>
              <w:pStyle w:val="11"/>
              <w:spacing w:line="360" w:lineRule="auto"/>
              <w:rPr>
                <w:rFonts w:ascii="宋体" w:hAnsi="宋体" w:eastAsia="宋体" w:cs="Times New Roman"/>
                <w:color w:val="auto"/>
                <w:sz w:val="21"/>
                <w:szCs w:val="21"/>
                <w:highlight w:val="none"/>
              </w:rPr>
            </w:pPr>
          </w:p>
        </w:tc>
        <w:tc>
          <w:tcPr>
            <w:tcW w:w="1706" w:type="dxa"/>
            <w:vAlign w:val="center"/>
          </w:tcPr>
          <w:p w14:paraId="207D0988">
            <w:pPr>
              <w:pStyle w:val="11"/>
              <w:spacing w:line="360" w:lineRule="auto"/>
              <w:rPr>
                <w:rFonts w:ascii="宋体" w:hAnsi="宋体" w:eastAsia="宋体" w:cs="Times New Roman"/>
                <w:color w:val="auto"/>
                <w:sz w:val="21"/>
                <w:szCs w:val="21"/>
                <w:highlight w:val="none"/>
              </w:rPr>
            </w:pPr>
          </w:p>
        </w:tc>
      </w:tr>
      <w:tr w14:paraId="3AA3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2D861B">
            <w:pPr>
              <w:pStyle w:val="11"/>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104C6BCE">
            <w:pPr>
              <w:rPr>
                <w:rFonts w:ascii="宋体"/>
                <w:color w:val="auto"/>
                <w:szCs w:val="21"/>
                <w:highlight w:val="none"/>
              </w:rPr>
            </w:pPr>
          </w:p>
        </w:tc>
        <w:tc>
          <w:tcPr>
            <w:tcW w:w="3579" w:type="dxa"/>
            <w:vAlign w:val="center"/>
          </w:tcPr>
          <w:p w14:paraId="4F327A5C">
            <w:pPr>
              <w:rPr>
                <w:rFonts w:ascii="宋体"/>
                <w:color w:val="auto"/>
                <w:szCs w:val="21"/>
                <w:highlight w:val="none"/>
              </w:rPr>
            </w:pPr>
          </w:p>
        </w:tc>
        <w:tc>
          <w:tcPr>
            <w:tcW w:w="1440" w:type="dxa"/>
            <w:vAlign w:val="center"/>
          </w:tcPr>
          <w:p w14:paraId="56F94B03">
            <w:pPr>
              <w:rPr>
                <w:rFonts w:ascii="宋体"/>
                <w:color w:val="auto"/>
                <w:szCs w:val="21"/>
                <w:highlight w:val="none"/>
              </w:rPr>
            </w:pPr>
          </w:p>
        </w:tc>
        <w:tc>
          <w:tcPr>
            <w:tcW w:w="1706" w:type="dxa"/>
            <w:vAlign w:val="center"/>
          </w:tcPr>
          <w:p w14:paraId="3D03C182">
            <w:pPr>
              <w:rPr>
                <w:rFonts w:ascii="宋体"/>
                <w:color w:val="auto"/>
                <w:szCs w:val="21"/>
                <w:highlight w:val="none"/>
              </w:rPr>
            </w:pPr>
          </w:p>
        </w:tc>
      </w:tr>
      <w:tr w14:paraId="6E28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1B6B37E">
            <w:pPr>
              <w:pStyle w:val="11"/>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073FEBE9">
            <w:pPr>
              <w:rPr>
                <w:rFonts w:ascii="宋体"/>
                <w:color w:val="auto"/>
                <w:szCs w:val="21"/>
                <w:highlight w:val="none"/>
              </w:rPr>
            </w:pPr>
          </w:p>
        </w:tc>
        <w:tc>
          <w:tcPr>
            <w:tcW w:w="3579" w:type="dxa"/>
            <w:vAlign w:val="center"/>
          </w:tcPr>
          <w:p w14:paraId="2CEB6930">
            <w:pPr>
              <w:rPr>
                <w:rFonts w:ascii="宋体"/>
                <w:color w:val="auto"/>
                <w:szCs w:val="21"/>
                <w:highlight w:val="none"/>
              </w:rPr>
            </w:pPr>
          </w:p>
        </w:tc>
        <w:tc>
          <w:tcPr>
            <w:tcW w:w="1440" w:type="dxa"/>
            <w:vAlign w:val="center"/>
          </w:tcPr>
          <w:p w14:paraId="3B0A2281">
            <w:pPr>
              <w:rPr>
                <w:rFonts w:ascii="宋体"/>
                <w:color w:val="auto"/>
                <w:szCs w:val="21"/>
                <w:highlight w:val="none"/>
              </w:rPr>
            </w:pPr>
          </w:p>
        </w:tc>
        <w:tc>
          <w:tcPr>
            <w:tcW w:w="1706" w:type="dxa"/>
            <w:vAlign w:val="center"/>
          </w:tcPr>
          <w:p w14:paraId="7EB92003">
            <w:pPr>
              <w:rPr>
                <w:rFonts w:ascii="宋体"/>
                <w:color w:val="auto"/>
                <w:szCs w:val="21"/>
                <w:highlight w:val="none"/>
              </w:rPr>
            </w:pPr>
          </w:p>
        </w:tc>
      </w:tr>
    </w:tbl>
    <w:p w14:paraId="16F34411">
      <w:pPr>
        <w:autoSpaceDE w:val="0"/>
        <w:autoSpaceDN w:val="0"/>
        <w:adjustRightInd w:val="0"/>
        <w:spacing w:line="480" w:lineRule="auto"/>
        <w:rPr>
          <w:rFonts w:cs="宋体" w:asciiTheme="minorEastAsia" w:hAnsiTheme="minorEastAsia"/>
          <w:color w:val="auto"/>
          <w:szCs w:val="21"/>
          <w:highlight w:val="none"/>
          <w:lang w:val="zh-CN"/>
        </w:rPr>
      </w:pPr>
    </w:p>
    <w:p w14:paraId="16C88213">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p>
    <w:p w14:paraId="70966F85">
      <w:pPr>
        <w:autoSpaceDE w:val="0"/>
        <w:autoSpaceDN w:val="0"/>
        <w:adjustRightInd w:val="0"/>
        <w:spacing w:line="480" w:lineRule="auto"/>
        <w:rPr>
          <w:rFonts w:cs="宋体" w:asciiTheme="minorEastAsia" w:hAnsiTheme="minorEastAsia"/>
          <w:color w:val="auto"/>
          <w:sz w:val="24"/>
          <w:szCs w:val="24"/>
          <w:highlight w:val="none"/>
          <w:lang w:val="zh-CN"/>
        </w:rPr>
      </w:pPr>
    </w:p>
    <w:p w14:paraId="784CAF23">
      <w:pPr>
        <w:pStyle w:val="14"/>
        <w:rPr>
          <w:color w:val="auto"/>
          <w:highlight w:val="none"/>
          <w:lang w:val="zh-CN"/>
        </w:rPr>
      </w:pPr>
    </w:p>
    <w:p w14:paraId="64AF9056">
      <w:pPr>
        <w:autoSpaceDE w:val="0"/>
        <w:autoSpaceDN w:val="0"/>
        <w:adjustRightInd w:val="0"/>
        <w:spacing w:line="360" w:lineRule="auto"/>
        <w:jc w:val="center"/>
        <w:outlineLvl w:val="0"/>
        <w:rPr>
          <w:rFonts w:ascii="宋体" w:hAnsi="宋体"/>
          <w:b/>
          <w:bCs/>
          <w:color w:val="auto"/>
          <w:sz w:val="24"/>
          <w:szCs w:val="24"/>
          <w:highlight w:val="none"/>
        </w:rPr>
      </w:pPr>
    </w:p>
    <w:p w14:paraId="6894F54B">
      <w:pPr>
        <w:pStyle w:val="14"/>
        <w:rPr>
          <w:color w:val="auto"/>
          <w:highlight w:val="none"/>
        </w:rPr>
      </w:pPr>
    </w:p>
    <w:p w14:paraId="25E3705D">
      <w:pPr>
        <w:pStyle w:val="2"/>
        <w:ind w:firstLine="480"/>
        <w:rPr>
          <w:color w:val="auto"/>
          <w:highlight w:val="none"/>
        </w:rPr>
      </w:pPr>
    </w:p>
    <w:p w14:paraId="1BE319F9">
      <w:pPr>
        <w:rPr>
          <w:color w:val="auto"/>
          <w:highlight w:val="none"/>
        </w:rPr>
      </w:pPr>
    </w:p>
    <w:p w14:paraId="7ACFE3AA">
      <w:pPr>
        <w:autoSpaceDE w:val="0"/>
        <w:autoSpaceDN w:val="0"/>
        <w:adjustRightInd w:val="0"/>
        <w:spacing w:line="360" w:lineRule="auto"/>
        <w:rPr>
          <w:rFonts w:cs="黑体" w:asciiTheme="minorEastAsia" w:hAnsiTheme="minorEastAsia"/>
          <w:b/>
          <w:bCs/>
          <w:color w:val="auto"/>
          <w:sz w:val="44"/>
          <w:szCs w:val="44"/>
          <w:highlight w:val="none"/>
          <w:lang w:val="zh-CN"/>
        </w:rPr>
      </w:pPr>
    </w:p>
    <w:p w14:paraId="5FE2E2ED">
      <w:pPr>
        <w:pStyle w:val="14"/>
        <w:rPr>
          <w:color w:val="auto"/>
          <w:highlight w:val="none"/>
          <w:lang w:val="zh-CN"/>
        </w:rPr>
      </w:pPr>
    </w:p>
    <w:p w14:paraId="734EBA29">
      <w:pPr>
        <w:autoSpaceDE w:val="0"/>
        <w:autoSpaceDN w:val="0"/>
        <w:adjustRightInd w:val="0"/>
        <w:spacing w:line="360" w:lineRule="auto"/>
        <w:rPr>
          <w:rFonts w:cs="黑体" w:asciiTheme="minorEastAsia" w:hAnsiTheme="minorEastAsia"/>
          <w:b/>
          <w:bCs/>
          <w:color w:val="auto"/>
          <w:sz w:val="44"/>
          <w:szCs w:val="44"/>
          <w:highlight w:val="none"/>
          <w:lang w:val="zh-CN"/>
        </w:rPr>
      </w:pPr>
    </w:p>
    <w:p w14:paraId="485F4FE8">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68904862">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5D2B9236">
      <w:pPr>
        <w:rPr>
          <w:color w:val="auto"/>
          <w:highlight w:val="none"/>
        </w:rPr>
      </w:pPr>
    </w:p>
    <w:p w14:paraId="0B7B6322">
      <w:pPr>
        <w:rPr>
          <w:color w:val="auto"/>
          <w:highlight w:val="none"/>
        </w:rPr>
      </w:pPr>
    </w:p>
    <w:p w14:paraId="37564FF3">
      <w:pPr>
        <w:rPr>
          <w:color w:val="auto"/>
          <w:highlight w:val="none"/>
        </w:rPr>
      </w:pPr>
    </w:p>
    <w:p w14:paraId="15B6B16E">
      <w:pPr>
        <w:spacing w:line="360" w:lineRule="auto"/>
        <w:jc w:val="center"/>
        <w:rPr>
          <w:rFonts w:ascii="宋体" w:hAnsi="宋体"/>
          <w:b/>
          <w:bCs/>
          <w:color w:val="auto"/>
          <w:szCs w:val="21"/>
          <w:highlight w:val="none"/>
        </w:rPr>
      </w:pPr>
      <w:r>
        <w:rPr>
          <w:rFonts w:ascii="宋体" w:hAnsi="宋体"/>
          <w:b/>
          <w:bCs/>
          <w:color w:val="auto"/>
          <w:szCs w:val="21"/>
          <w:highlight w:val="none"/>
        </w:rPr>
        <w:t>除</w:t>
      </w:r>
      <w:r>
        <w:rPr>
          <w:rFonts w:hint="eastAsia" w:ascii="宋体" w:hAnsi="宋体"/>
          <w:b/>
          <w:bCs/>
          <w:color w:val="auto"/>
          <w:szCs w:val="21"/>
          <w:highlight w:val="none"/>
        </w:rPr>
        <w:t>采购</w:t>
      </w:r>
      <w:r>
        <w:rPr>
          <w:rFonts w:ascii="宋体" w:hAnsi="宋体"/>
          <w:b/>
          <w:bCs/>
          <w:color w:val="auto"/>
          <w:szCs w:val="21"/>
          <w:highlight w:val="none"/>
        </w:rPr>
        <w:t>文件另有规定外，</w:t>
      </w:r>
      <w:r>
        <w:rPr>
          <w:rFonts w:hint="eastAsia" w:ascii="宋体" w:hAnsi="宋体"/>
          <w:b/>
          <w:bCs/>
          <w:color w:val="auto"/>
          <w:szCs w:val="21"/>
          <w:highlight w:val="none"/>
        </w:rPr>
        <w:t>投标人</w:t>
      </w:r>
      <w:r>
        <w:rPr>
          <w:rFonts w:ascii="宋体" w:hAnsi="宋体"/>
          <w:b/>
          <w:bCs/>
          <w:color w:val="auto"/>
          <w:szCs w:val="21"/>
          <w:highlight w:val="none"/>
        </w:rPr>
        <w:t>认为需要提交的其他证明材料或资料加盖</w:t>
      </w:r>
      <w:r>
        <w:rPr>
          <w:rFonts w:hint="eastAsia" w:ascii="宋体" w:hAnsi="宋体"/>
          <w:b/>
          <w:bCs/>
          <w:color w:val="auto"/>
          <w:szCs w:val="21"/>
          <w:highlight w:val="none"/>
        </w:rPr>
        <w:t>投标人</w:t>
      </w:r>
      <w:r>
        <w:rPr>
          <w:rFonts w:ascii="宋体" w:hAnsi="宋体"/>
          <w:b/>
          <w:bCs/>
          <w:color w:val="auto"/>
          <w:szCs w:val="21"/>
          <w:highlight w:val="none"/>
        </w:rPr>
        <w:t>公章后应在此项下提交。</w:t>
      </w:r>
    </w:p>
    <w:p w14:paraId="17643130">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3A575830">
      <w:pPr>
        <w:rPr>
          <w:color w:val="auto"/>
          <w:highlight w:val="none"/>
        </w:rPr>
      </w:pPr>
    </w:p>
    <w:p w14:paraId="53B66441">
      <w:pPr>
        <w:rPr>
          <w:color w:val="auto"/>
          <w:highlight w:val="none"/>
        </w:rPr>
      </w:pPr>
    </w:p>
    <w:p w14:paraId="157716FB">
      <w:pPr>
        <w:rPr>
          <w:color w:val="auto"/>
          <w:highlight w:val="none"/>
        </w:rPr>
      </w:pPr>
    </w:p>
    <w:p w14:paraId="58DC7A0B">
      <w:pPr>
        <w:rPr>
          <w:color w:val="auto"/>
          <w:highlight w:val="none"/>
        </w:rPr>
      </w:pPr>
    </w:p>
    <w:p w14:paraId="0AB1146F">
      <w:pPr>
        <w:rPr>
          <w:color w:val="auto"/>
          <w:highlight w:val="none"/>
        </w:rPr>
      </w:pPr>
    </w:p>
    <w:p w14:paraId="724D416A">
      <w:pPr>
        <w:rPr>
          <w:color w:val="auto"/>
          <w:highlight w:val="none"/>
        </w:rPr>
      </w:pPr>
    </w:p>
    <w:p w14:paraId="79153710">
      <w:pPr>
        <w:rPr>
          <w:color w:val="auto"/>
          <w:highlight w:val="none"/>
        </w:rPr>
      </w:pPr>
    </w:p>
    <w:p w14:paraId="21ECFEF4">
      <w:pPr>
        <w:rPr>
          <w:color w:val="auto"/>
          <w:highlight w:val="none"/>
        </w:rPr>
      </w:pPr>
    </w:p>
    <w:p w14:paraId="40AC25FE">
      <w:pPr>
        <w:rPr>
          <w:color w:val="auto"/>
          <w:highlight w:val="none"/>
        </w:rPr>
      </w:pPr>
    </w:p>
    <w:p w14:paraId="42973859">
      <w:pPr>
        <w:rPr>
          <w:color w:val="auto"/>
          <w:highlight w:val="none"/>
        </w:rPr>
      </w:pPr>
    </w:p>
    <w:p w14:paraId="22E0DCFA">
      <w:pPr>
        <w:rPr>
          <w:color w:val="auto"/>
          <w:highlight w:val="none"/>
        </w:rPr>
      </w:pPr>
    </w:p>
    <w:p w14:paraId="5726F5D4">
      <w:pPr>
        <w:rPr>
          <w:color w:val="auto"/>
          <w:highlight w:val="none"/>
        </w:rPr>
      </w:pPr>
    </w:p>
    <w:p w14:paraId="115CB3BA">
      <w:pPr>
        <w:rPr>
          <w:color w:val="auto"/>
          <w:highlight w:val="none"/>
        </w:rPr>
      </w:pPr>
    </w:p>
    <w:sectPr>
      <w:footerReference r:id="rId10" w:type="default"/>
      <w:pgSz w:w="11906" w:h="16838"/>
      <w:pgMar w:top="2098" w:right="1474" w:bottom="1928" w:left="1588" w:header="851" w:footer="992" w:gutter="0"/>
      <w:pgNumType w:start="4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TimesNewRomanPSMT">
    <w:altName w:val="宋体"/>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52CF">
    <w:pPr>
      <w:spacing w:line="116" w:lineRule="exact"/>
      <w:ind w:firstLine="4452"/>
      <w:rPr>
        <w:rStyle w:val="89"/>
        <w:rFonts w:eastAsia="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A683">
    <w:pPr>
      <w:spacing w:line="116" w:lineRule="exact"/>
      <w:ind w:firstLine="4452"/>
      <w:rPr>
        <w:rStyle w:val="89"/>
        <w:rFonts w:eastAsia="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DE8FCA">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68DE8FCA">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91B29">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A97FFA">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2EA97FFA">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C94D0">
    <w:pPr>
      <w:widowControl w:val="0"/>
      <w:spacing w:line="1" w:lineRule="exac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3E0C90">
                          <w:pPr>
                            <w:pStyle w:val="2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353E0C90">
                    <w:pPr>
                      <w:pStyle w:val="2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F656">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3674745</wp:posOffset>
              </wp:positionH>
              <wp:positionV relativeFrom="page">
                <wp:posOffset>10125075</wp:posOffset>
              </wp:positionV>
              <wp:extent cx="225425" cy="73025"/>
              <wp:effectExtent l="0" t="0" r="0" b="0"/>
              <wp:wrapNone/>
              <wp:docPr id="24" name="Shape 24"/>
              <wp:cNvGraphicFramePr/>
              <a:graphic xmlns:a="http://schemas.openxmlformats.org/drawingml/2006/main">
                <a:graphicData uri="http://schemas.microsoft.com/office/word/2010/wordprocessingShape">
                  <wps:wsp>
                    <wps:cNvSpPr txBox="1"/>
                    <wps:spPr>
                      <a:xfrm>
                        <a:off x="0" y="0"/>
                        <a:ext cx="225425" cy="73025"/>
                      </a:xfrm>
                      <a:prstGeom prst="rect">
                        <a:avLst/>
                      </a:prstGeom>
                      <a:noFill/>
                      <a:ln>
                        <a:noFill/>
                      </a:ln>
                      <a:effectLst/>
                    </wps:spPr>
                    <wps:txbx>
                      <w:txbxContent>
                        <w:p w14:paraId="7BA6E221">
                          <w:pPr>
                            <w:pStyle w:val="9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wps:txbx>
                    <wps:bodyPr wrap="none" lIns="0" tIns="0" rIns="0" bIns="0">
                      <a:spAutoFit/>
                    </wps:bodyPr>
                  </wps:wsp>
                </a:graphicData>
              </a:graphic>
            </wp:anchor>
          </w:drawing>
        </mc:Choice>
        <mc:Fallback>
          <w:pict>
            <v:shape id="Shape 24" o:spid="_x0000_s1026" o:spt="202" type="#_x0000_t202" style="position:absolute;left:0pt;margin-left:289.35pt;margin-top:797.25pt;height:5.75pt;width:17.75pt;mso-position-horizontal-relative:page;mso-position-vertical-relative:page;mso-wrap-style:none;z-index:-251657216;mso-width-relative:page;mso-height-relative:page;" filled="f" stroked="f" coordsize="21600,21600" o:gfxdata="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s0CBNgAAAANAQAADwAAAAAAAAABACAAAAAiAAAAZHJzL2Rvd25yZXYueG1sUEsBAhQA&#10;FAAAAAgAh07iQPBbD1C5AQAAlgMAAA4AAAAAAAAAAQAgAAAAJwEAAGRycy9lMm9Eb2MueG1sUEsF&#10;BgAAAAAGAAYAWQEAAFIFAAAAAA==&#10;">
              <v:fill on="f" focussize="0,0"/>
              <v:stroke on="f"/>
              <v:imagedata o:title=""/>
              <o:lock v:ext="edit" aspectratio="f"/>
              <v:textbox inset="0mm,0mm,0mm,0mm" style="mso-fit-shape-to-text:t;">
                <w:txbxContent>
                  <w:p w14:paraId="7BA6E221">
                    <w:pPr>
                      <w:pStyle w:val="9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CBDAC">
    <w:pPr>
      <w:widowControl w:val="0"/>
      <w:spacing w:line="1" w:lineRule="exact"/>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93B542">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1E93B542">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BCA68">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3663950</wp:posOffset>
              </wp:positionH>
              <wp:positionV relativeFrom="page">
                <wp:posOffset>10079355</wp:posOffset>
              </wp:positionV>
              <wp:extent cx="228600" cy="76200"/>
              <wp:effectExtent l="0" t="0" r="0" b="0"/>
              <wp:wrapNone/>
              <wp:docPr id="28" name="Shape 28"/>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4E5D1A78">
                          <w:pPr>
                            <w:pStyle w:val="9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wps:txbx>
                    <wps:bodyPr wrap="none" lIns="0" tIns="0" rIns="0" bIns="0">
                      <a:spAutoFit/>
                    </wps:bodyPr>
                  </wps:wsp>
                </a:graphicData>
              </a:graphic>
            </wp:anchor>
          </w:drawing>
        </mc:Choice>
        <mc:Fallback>
          <w:pict>
            <v:shape id="Shape 28" o:spid="_x0000_s1026" o:spt="202" type="#_x0000_t202" style="position:absolute;left:0pt;margin-left:288.5pt;margin-top:793.65pt;height:6pt;width:18pt;mso-position-horizontal-relative:page;mso-position-vertical-relative:page;mso-wrap-style:none;z-index:-251657216;mso-width-relative:page;mso-height-relative:page;" filled="f" stroked="f" coordsize="21600,21600" o:gfxdata="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WjIcfYAAAADQEAAA8AAAAAAAAAAQAgAAAAIgAAAGRycy9kb3ducmV2LnhtbFBLAQIUABQA&#10;AAAIAIdO4kAHNAlYtwEAAJYDAAAOAAAAAAAAAAEAIAAAACcBAABkcnMvZTJvRG9jLnhtbFBLBQYA&#10;AAAABgAGAFkBAABQBQAAAAA=&#10;">
              <v:fill on="f" focussize="0,0"/>
              <v:stroke on="f"/>
              <v:imagedata o:title=""/>
              <o:lock v:ext="edit" aspectratio="f"/>
              <v:textbox inset="0mm,0mm,0mm,0mm" style="mso-fit-shape-to-text:t;">
                <w:txbxContent>
                  <w:p w14:paraId="4E5D1A78">
                    <w:pPr>
                      <w:pStyle w:val="9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32B7">
    <w:pPr>
      <w:pStyle w:val="2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956246">
                          <w:pPr>
                            <w:pStyle w:val="2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6E956246">
                    <w:pPr>
                      <w:pStyle w:val="2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A6886026"/>
    <w:multiLevelType w:val="singleLevel"/>
    <w:tmpl w:val="A6886026"/>
    <w:lvl w:ilvl="0" w:tentative="0">
      <w:start w:val="1"/>
      <w:numFmt w:val="decimal"/>
      <w:suff w:val="nothing"/>
      <w:lvlText w:val="%1、"/>
      <w:lvlJc w:val="left"/>
    </w:lvl>
  </w:abstractNum>
  <w:abstractNum w:abstractNumId="3">
    <w:nsid w:val="C80AD064"/>
    <w:multiLevelType w:val="singleLevel"/>
    <w:tmpl w:val="C80AD064"/>
    <w:lvl w:ilvl="0" w:tentative="0">
      <w:start w:val="2"/>
      <w:numFmt w:val="chineseCounting"/>
      <w:suff w:val="space"/>
      <w:lvlText w:val="第%1章"/>
      <w:lvlJc w:val="left"/>
      <w:rPr>
        <w:rFonts w:hint="eastAsia"/>
      </w:rPr>
    </w:lvl>
  </w:abstractNum>
  <w:abstractNum w:abstractNumId="4">
    <w:nsid w:val="D7F9FE59"/>
    <w:multiLevelType w:val="singleLevel"/>
    <w:tmpl w:val="D7F9FE59"/>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5">
    <w:nsid w:val="DCBA6B53"/>
    <w:multiLevelType w:val="singleLevel"/>
    <w:tmpl w:val="DCBA6B53"/>
    <w:lvl w:ilvl="0" w:tentative="0">
      <w:start w:val="4"/>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6">
    <w:nsid w:val="00000006"/>
    <w:multiLevelType w:val="multilevel"/>
    <w:tmpl w:val="00000006"/>
    <w:lvl w:ilvl="0" w:tentative="0">
      <w:start w:val="1"/>
      <w:numFmt w:val="chineseCountingThousand"/>
      <w:pStyle w:val="5"/>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00000014"/>
    <w:multiLevelType w:val="multilevel"/>
    <w:tmpl w:val="00000014"/>
    <w:lvl w:ilvl="0" w:tentative="0">
      <w:start w:val="1"/>
      <w:numFmt w:val="decimal"/>
      <w:pStyle w:val="6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DEDDF1C"/>
    <w:multiLevelType w:val="singleLevel"/>
    <w:tmpl w:val="0DEDDF1C"/>
    <w:lvl w:ilvl="0" w:tentative="0">
      <w:start w:val="1"/>
      <w:numFmt w:val="chineseCounting"/>
      <w:suff w:val="nothing"/>
      <w:lvlText w:val="%1、"/>
      <w:lvlJc w:val="left"/>
      <w:rPr>
        <w:rFonts w:hint="eastAsia"/>
      </w:rPr>
    </w:lvl>
  </w:abstractNum>
  <w:abstractNum w:abstractNumId="9">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22130065"/>
    <w:multiLevelType w:val="singleLevel"/>
    <w:tmpl w:val="22130065"/>
    <w:lvl w:ilvl="0" w:tentative="0">
      <w:start w:val="6"/>
      <w:numFmt w:val="decimal"/>
      <w:suff w:val="nothing"/>
      <w:lvlText w:val="%1、"/>
      <w:lvlJc w:val="left"/>
    </w:lvl>
  </w:abstractNum>
  <w:abstractNum w:abstractNumId="11">
    <w:nsid w:val="2470EC97"/>
    <w:multiLevelType w:val="singleLevel"/>
    <w:tmpl w:val="2470EC9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12">
    <w:nsid w:val="3D55D76B"/>
    <w:multiLevelType w:val="singleLevel"/>
    <w:tmpl w:val="3D55D76B"/>
    <w:lvl w:ilvl="0" w:tentative="0">
      <w:start w:val="1"/>
      <w:numFmt w:val="decimal"/>
      <w:suff w:val="space"/>
      <w:lvlText w:val="(%1)"/>
      <w:lvlJc w:val="left"/>
    </w:lvl>
  </w:abstractNum>
  <w:abstractNum w:abstractNumId="13">
    <w:nsid w:val="59F817E8"/>
    <w:multiLevelType w:val="singleLevel"/>
    <w:tmpl w:val="59F817E8"/>
    <w:lvl w:ilvl="0" w:tentative="0">
      <w:start w:val="1"/>
      <w:numFmt w:val="chineseCounting"/>
      <w:pStyle w:val="69"/>
      <w:suff w:val="nothing"/>
      <w:lvlText w:val="%1、"/>
      <w:lvlJc w:val="left"/>
    </w:lvl>
  </w:abstractNum>
  <w:abstractNum w:abstractNumId="14">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94C8743"/>
    <w:multiLevelType w:val="singleLevel"/>
    <w:tmpl w:val="794C8743"/>
    <w:lvl w:ilvl="0" w:tentative="0">
      <w:start w:val="1"/>
      <w:numFmt w:val="decimal"/>
      <w:suff w:val="nothing"/>
      <w:lvlText w:val="%1、"/>
      <w:lvlJc w:val="left"/>
    </w:lvl>
  </w:abstractNum>
  <w:num w:numId="1">
    <w:abstractNumId w:val="6"/>
  </w:num>
  <w:num w:numId="2">
    <w:abstractNumId w:val="7"/>
  </w:num>
  <w:num w:numId="3">
    <w:abstractNumId w:val="13"/>
  </w:num>
  <w:num w:numId="4">
    <w:abstractNumId w:val="10"/>
  </w:num>
  <w:num w:numId="5">
    <w:abstractNumId w:val="3"/>
  </w:num>
  <w:num w:numId="6">
    <w:abstractNumId w:val="8"/>
  </w:num>
  <w:num w:numId="7">
    <w:abstractNumId w:val="15"/>
  </w:num>
  <w:num w:numId="8">
    <w:abstractNumId w:val="2"/>
  </w:num>
  <w:num w:numId="9">
    <w:abstractNumId w:val="9"/>
  </w:num>
  <w:num w:numId="10">
    <w:abstractNumId w:val="14"/>
  </w:num>
  <w:num w:numId="11">
    <w:abstractNumId w:val="1"/>
  </w:num>
  <w:num w:numId="12">
    <w:abstractNumId w:val="0"/>
  </w:num>
  <w:num w:numId="13">
    <w:abstractNumId w:val="12"/>
  </w:num>
  <w:num w:numId="14">
    <w:abstractNumId w:val="11"/>
  </w:num>
  <w:num w:numId="15">
    <w:abstractNumId w:val="5"/>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昌丰元咨询管理有限公司:连丹丹">
    <w15:presenceInfo w15:providerId="None" w15:userId="许昌丰元咨询管理有限公司:连丹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DQ0ZTI0YTExNGMzOWM4NThkYjgzYjNjNzIwNTQifQ=="/>
    <w:docVar w:name="KSO_WPS_MARK_KEY" w:val="8fe70a09-05ed-496a-98bb-0ea9301eb51a"/>
  </w:docVars>
  <w:rsids>
    <w:rsidRoot w:val="00D51569"/>
    <w:rsid w:val="00005C90"/>
    <w:rsid w:val="00005E30"/>
    <w:rsid w:val="000069EC"/>
    <w:rsid w:val="00007470"/>
    <w:rsid w:val="000112AC"/>
    <w:rsid w:val="0001195E"/>
    <w:rsid w:val="00013211"/>
    <w:rsid w:val="0001598A"/>
    <w:rsid w:val="000173D4"/>
    <w:rsid w:val="000227BF"/>
    <w:rsid w:val="00025F3F"/>
    <w:rsid w:val="00030B34"/>
    <w:rsid w:val="00031CF4"/>
    <w:rsid w:val="000418F9"/>
    <w:rsid w:val="00046E42"/>
    <w:rsid w:val="000516FF"/>
    <w:rsid w:val="000537EC"/>
    <w:rsid w:val="0005401D"/>
    <w:rsid w:val="00055572"/>
    <w:rsid w:val="0007027E"/>
    <w:rsid w:val="00072339"/>
    <w:rsid w:val="000800D2"/>
    <w:rsid w:val="00080389"/>
    <w:rsid w:val="00083387"/>
    <w:rsid w:val="0008414A"/>
    <w:rsid w:val="00091C9C"/>
    <w:rsid w:val="00095387"/>
    <w:rsid w:val="00096224"/>
    <w:rsid w:val="0009640F"/>
    <w:rsid w:val="000A02BB"/>
    <w:rsid w:val="000A73BC"/>
    <w:rsid w:val="000A77FF"/>
    <w:rsid w:val="000B3383"/>
    <w:rsid w:val="000B4057"/>
    <w:rsid w:val="000B4BAC"/>
    <w:rsid w:val="000B7263"/>
    <w:rsid w:val="000C0D70"/>
    <w:rsid w:val="000C2A7B"/>
    <w:rsid w:val="000D1CF1"/>
    <w:rsid w:val="000D30B8"/>
    <w:rsid w:val="000D6633"/>
    <w:rsid w:val="000D798A"/>
    <w:rsid w:val="000E2FFC"/>
    <w:rsid w:val="000E57E7"/>
    <w:rsid w:val="000F1E89"/>
    <w:rsid w:val="0010014D"/>
    <w:rsid w:val="00113912"/>
    <w:rsid w:val="00113BAE"/>
    <w:rsid w:val="001145D4"/>
    <w:rsid w:val="001223EF"/>
    <w:rsid w:val="001236A3"/>
    <w:rsid w:val="00126895"/>
    <w:rsid w:val="001415B4"/>
    <w:rsid w:val="00152541"/>
    <w:rsid w:val="00154EA8"/>
    <w:rsid w:val="0016405F"/>
    <w:rsid w:val="00165E49"/>
    <w:rsid w:val="00165F8E"/>
    <w:rsid w:val="0016779A"/>
    <w:rsid w:val="00167F93"/>
    <w:rsid w:val="00170DCF"/>
    <w:rsid w:val="0017129C"/>
    <w:rsid w:val="0017154C"/>
    <w:rsid w:val="00172E64"/>
    <w:rsid w:val="001749D2"/>
    <w:rsid w:val="00174C63"/>
    <w:rsid w:val="00175281"/>
    <w:rsid w:val="0017584B"/>
    <w:rsid w:val="00177319"/>
    <w:rsid w:val="00177379"/>
    <w:rsid w:val="00181C6A"/>
    <w:rsid w:val="00183B7D"/>
    <w:rsid w:val="00191A00"/>
    <w:rsid w:val="00193679"/>
    <w:rsid w:val="001957E3"/>
    <w:rsid w:val="0019757C"/>
    <w:rsid w:val="001A2714"/>
    <w:rsid w:val="001A2E65"/>
    <w:rsid w:val="001B0DF5"/>
    <w:rsid w:val="001C0A13"/>
    <w:rsid w:val="001C26CD"/>
    <w:rsid w:val="001C2B6A"/>
    <w:rsid w:val="001C761E"/>
    <w:rsid w:val="001D06FF"/>
    <w:rsid w:val="001D1CBB"/>
    <w:rsid w:val="001D33AD"/>
    <w:rsid w:val="001D33DA"/>
    <w:rsid w:val="001D4C00"/>
    <w:rsid w:val="001D5BB5"/>
    <w:rsid w:val="001D64E5"/>
    <w:rsid w:val="001E1078"/>
    <w:rsid w:val="001E25D9"/>
    <w:rsid w:val="001E592F"/>
    <w:rsid w:val="001F0899"/>
    <w:rsid w:val="001F641A"/>
    <w:rsid w:val="001F7199"/>
    <w:rsid w:val="00203824"/>
    <w:rsid w:val="00205009"/>
    <w:rsid w:val="002078AE"/>
    <w:rsid w:val="00207FEB"/>
    <w:rsid w:val="00210B90"/>
    <w:rsid w:val="00213F11"/>
    <w:rsid w:val="00214892"/>
    <w:rsid w:val="0022454A"/>
    <w:rsid w:val="00224D01"/>
    <w:rsid w:val="00227A97"/>
    <w:rsid w:val="00227BF9"/>
    <w:rsid w:val="00231307"/>
    <w:rsid w:val="00231C22"/>
    <w:rsid w:val="00234627"/>
    <w:rsid w:val="0024040D"/>
    <w:rsid w:val="002426C4"/>
    <w:rsid w:val="002436B4"/>
    <w:rsid w:val="00246A17"/>
    <w:rsid w:val="00252623"/>
    <w:rsid w:val="002532B5"/>
    <w:rsid w:val="00255732"/>
    <w:rsid w:val="002615C0"/>
    <w:rsid w:val="002659C7"/>
    <w:rsid w:val="00266F45"/>
    <w:rsid w:val="00267EE6"/>
    <w:rsid w:val="002709BD"/>
    <w:rsid w:val="002732E0"/>
    <w:rsid w:val="002847E1"/>
    <w:rsid w:val="00286CD2"/>
    <w:rsid w:val="002871DE"/>
    <w:rsid w:val="002872FE"/>
    <w:rsid w:val="0029125D"/>
    <w:rsid w:val="0029513F"/>
    <w:rsid w:val="002A2748"/>
    <w:rsid w:val="002A625E"/>
    <w:rsid w:val="002A62EC"/>
    <w:rsid w:val="002A66C8"/>
    <w:rsid w:val="002A6AA6"/>
    <w:rsid w:val="002B1CC1"/>
    <w:rsid w:val="002B2DE9"/>
    <w:rsid w:val="002B63D8"/>
    <w:rsid w:val="002C0F73"/>
    <w:rsid w:val="002C3B0D"/>
    <w:rsid w:val="002C6520"/>
    <w:rsid w:val="002D082A"/>
    <w:rsid w:val="002D1053"/>
    <w:rsid w:val="002D38B2"/>
    <w:rsid w:val="002D6A6C"/>
    <w:rsid w:val="002E0D3B"/>
    <w:rsid w:val="002E18BD"/>
    <w:rsid w:val="002E3D0E"/>
    <w:rsid w:val="002E5209"/>
    <w:rsid w:val="002E6378"/>
    <w:rsid w:val="002E7DF3"/>
    <w:rsid w:val="002F11CE"/>
    <w:rsid w:val="002F1E2E"/>
    <w:rsid w:val="002F23BC"/>
    <w:rsid w:val="002F2D13"/>
    <w:rsid w:val="002F3BDA"/>
    <w:rsid w:val="002F4580"/>
    <w:rsid w:val="003011BE"/>
    <w:rsid w:val="00303F10"/>
    <w:rsid w:val="0030443F"/>
    <w:rsid w:val="00307D84"/>
    <w:rsid w:val="0031002E"/>
    <w:rsid w:val="003158D3"/>
    <w:rsid w:val="00315CA6"/>
    <w:rsid w:val="003169BF"/>
    <w:rsid w:val="00321D34"/>
    <w:rsid w:val="0032516C"/>
    <w:rsid w:val="003269A1"/>
    <w:rsid w:val="00326A7C"/>
    <w:rsid w:val="0032784A"/>
    <w:rsid w:val="00330D3D"/>
    <w:rsid w:val="0033421C"/>
    <w:rsid w:val="003347F9"/>
    <w:rsid w:val="00335BCD"/>
    <w:rsid w:val="00336F5A"/>
    <w:rsid w:val="003378D1"/>
    <w:rsid w:val="00342AB1"/>
    <w:rsid w:val="00346BEF"/>
    <w:rsid w:val="003518EF"/>
    <w:rsid w:val="0037221E"/>
    <w:rsid w:val="003737C5"/>
    <w:rsid w:val="00375F23"/>
    <w:rsid w:val="003812AE"/>
    <w:rsid w:val="00381A4A"/>
    <w:rsid w:val="00382E5B"/>
    <w:rsid w:val="00386F17"/>
    <w:rsid w:val="003929E8"/>
    <w:rsid w:val="003A05BE"/>
    <w:rsid w:val="003A1280"/>
    <w:rsid w:val="003B103B"/>
    <w:rsid w:val="003B1D5B"/>
    <w:rsid w:val="003B34F7"/>
    <w:rsid w:val="003C0C24"/>
    <w:rsid w:val="003C481F"/>
    <w:rsid w:val="003C6D19"/>
    <w:rsid w:val="003D193F"/>
    <w:rsid w:val="003D2645"/>
    <w:rsid w:val="003D2DF6"/>
    <w:rsid w:val="003D4E8A"/>
    <w:rsid w:val="003E5ADF"/>
    <w:rsid w:val="003E7C66"/>
    <w:rsid w:val="003F2406"/>
    <w:rsid w:val="00410B19"/>
    <w:rsid w:val="004157FF"/>
    <w:rsid w:val="00416591"/>
    <w:rsid w:val="00433C5A"/>
    <w:rsid w:val="00435E0B"/>
    <w:rsid w:val="00440D16"/>
    <w:rsid w:val="0044232F"/>
    <w:rsid w:val="00444482"/>
    <w:rsid w:val="004464C2"/>
    <w:rsid w:val="0044739E"/>
    <w:rsid w:val="00460A24"/>
    <w:rsid w:val="00463754"/>
    <w:rsid w:val="00464D64"/>
    <w:rsid w:val="00467153"/>
    <w:rsid w:val="0047231A"/>
    <w:rsid w:val="0047378F"/>
    <w:rsid w:val="00480C9E"/>
    <w:rsid w:val="00482B1A"/>
    <w:rsid w:val="00484F80"/>
    <w:rsid w:val="00485967"/>
    <w:rsid w:val="0048691A"/>
    <w:rsid w:val="004941B6"/>
    <w:rsid w:val="00496BD4"/>
    <w:rsid w:val="0049794D"/>
    <w:rsid w:val="004A0DA0"/>
    <w:rsid w:val="004A698D"/>
    <w:rsid w:val="004A713D"/>
    <w:rsid w:val="004B2601"/>
    <w:rsid w:val="004B61CF"/>
    <w:rsid w:val="004B620B"/>
    <w:rsid w:val="004B6F24"/>
    <w:rsid w:val="004C1117"/>
    <w:rsid w:val="004C2A4D"/>
    <w:rsid w:val="004C62F8"/>
    <w:rsid w:val="004C6547"/>
    <w:rsid w:val="004D0712"/>
    <w:rsid w:val="004D3082"/>
    <w:rsid w:val="004D7BED"/>
    <w:rsid w:val="004E0DFB"/>
    <w:rsid w:val="004E3EAA"/>
    <w:rsid w:val="004E450C"/>
    <w:rsid w:val="004E547A"/>
    <w:rsid w:val="004E5E79"/>
    <w:rsid w:val="004F0E0A"/>
    <w:rsid w:val="004F1683"/>
    <w:rsid w:val="004F5E7A"/>
    <w:rsid w:val="00501F13"/>
    <w:rsid w:val="00506193"/>
    <w:rsid w:val="00520164"/>
    <w:rsid w:val="005222C3"/>
    <w:rsid w:val="005254AD"/>
    <w:rsid w:val="00527604"/>
    <w:rsid w:val="00532D1B"/>
    <w:rsid w:val="00535B8D"/>
    <w:rsid w:val="00536CF1"/>
    <w:rsid w:val="00536DD2"/>
    <w:rsid w:val="005411DE"/>
    <w:rsid w:val="00546251"/>
    <w:rsid w:val="0055332A"/>
    <w:rsid w:val="00555EDE"/>
    <w:rsid w:val="00560B27"/>
    <w:rsid w:val="00570E6D"/>
    <w:rsid w:val="005711DE"/>
    <w:rsid w:val="00573241"/>
    <w:rsid w:val="00575C9D"/>
    <w:rsid w:val="005779B2"/>
    <w:rsid w:val="00581F58"/>
    <w:rsid w:val="00586CD2"/>
    <w:rsid w:val="005940FF"/>
    <w:rsid w:val="00596914"/>
    <w:rsid w:val="005A33DA"/>
    <w:rsid w:val="005A4357"/>
    <w:rsid w:val="005A49BE"/>
    <w:rsid w:val="005A5CA7"/>
    <w:rsid w:val="005A7E7E"/>
    <w:rsid w:val="005B1144"/>
    <w:rsid w:val="005B1214"/>
    <w:rsid w:val="005B14F6"/>
    <w:rsid w:val="005B180E"/>
    <w:rsid w:val="005B4048"/>
    <w:rsid w:val="005C09F8"/>
    <w:rsid w:val="005D00D7"/>
    <w:rsid w:val="005D1319"/>
    <w:rsid w:val="005D1597"/>
    <w:rsid w:val="005D4EBE"/>
    <w:rsid w:val="005D51C3"/>
    <w:rsid w:val="005D6674"/>
    <w:rsid w:val="005E25C0"/>
    <w:rsid w:val="005F375D"/>
    <w:rsid w:val="00600324"/>
    <w:rsid w:val="00605FD5"/>
    <w:rsid w:val="00614999"/>
    <w:rsid w:val="00622142"/>
    <w:rsid w:val="00630932"/>
    <w:rsid w:val="00631795"/>
    <w:rsid w:val="00636AAD"/>
    <w:rsid w:val="00637A19"/>
    <w:rsid w:val="0064175E"/>
    <w:rsid w:val="00641E35"/>
    <w:rsid w:val="00644025"/>
    <w:rsid w:val="00651710"/>
    <w:rsid w:val="00652F79"/>
    <w:rsid w:val="006533B0"/>
    <w:rsid w:val="00654154"/>
    <w:rsid w:val="006560E7"/>
    <w:rsid w:val="0065614C"/>
    <w:rsid w:val="006616D3"/>
    <w:rsid w:val="0066238D"/>
    <w:rsid w:val="00662ECB"/>
    <w:rsid w:val="0066706E"/>
    <w:rsid w:val="0066795B"/>
    <w:rsid w:val="00667D06"/>
    <w:rsid w:val="0067327E"/>
    <w:rsid w:val="00675A3C"/>
    <w:rsid w:val="006778F4"/>
    <w:rsid w:val="00685277"/>
    <w:rsid w:val="00686222"/>
    <w:rsid w:val="0069574E"/>
    <w:rsid w:val="00695B12"/>
    <w:rsid w:val="006A1483"/>
    <w:rsid w:val="006A4520"/>
    <w:rsid w:val="006A4956"/>
    <w:rsid w:val="006A6187"/>
    <w:rsid w:val="006A6E3E"/>
    <w:rsid w:val="006A70CE"/>
    <w:rsid w:val="006B1419"/>
    <w:rsid w:val="006B25F5"/>
    <w:rsid w:val="006B34C4"/>
    <w:rsid w:val="006B5F07"/>
    <w:rsid w:val="006C3AAD"/>
    <w:rsid w:val="006D0369"/>
    <w:rsid w:val="006D2D95"/>
    <w:rsid w:val="006D6E86"/>
    <w:rsid w:val="006D71B0"/>
    <w:rsid w:val="006D71DF"/>
    <w:rsid w:val="006D7408"/>
    <w:rsid w:val="006E21C6"/>
    <w:rsid w:val="006F0344"/>
    <w:rsid w:val="006F1019"/>
    <w:rsid w:val="006F15D2"/>
    <w:rsid w:val="006F7C4F"/>
    <w:rsid w:val="00714D78"/>
    <w:rsid w:val="00724498"/>
    <w:rsid w:val="007257C6"/>
    <w:rsid w:val="007303E5"/>
    <w:rsid w:val="00732D5E"/>
    <w:rsid w:val="00751E93"/>
    <w:rsid w:val="00752DA3"/>
    <w:rsid w:val="00763734"/>
    <w:rsid w:val="00763CD2"/>
    <w:rsid w:val="0076522A"/>
    <w:rsid w:val="00770503"/>
    <w:rsid w:val="007707E3"/>
    <w:rsid w:val="00772353"/>
    <w:rsid w:val="00772CF9"/>
    <w:rsid w:val="0077399E"/>
    <w:rsid w:val="00776EDB"/>
    <w:rsid w:val="0078009F"/>
    <w:rsid w:val="0078097A"/>
    <w:rsid w:val="0078321F"/>
    <w:rsid w:val="00783715"/>
    <w:rsid w:val="007873DE"/>
    <w:rsid w:val="0078798E"/>
    <w:rsid w:val="00791B7A"/>
    <w:rsid w:val="00796020"/>
    <w:rsid w:val="007A1051"/>
    <w:rsid w:val="007C0625"/>
    <w:rsid w:val="007C74CE"/>
    <w:rsid w:val="007E5B97"/>
    <w:rsid w:val="007E6BFA"/>
    <w:rsid w:val="007E6FAA"/>
    <w:rsid w:val="007F042C"/>
    <w:rsid w:val="007F216A"/>
    <w:rsid w:val="007F4688"/>
    <w:rsid w:val="00801CB9"/>
    <w:rsid w:val="008024FF"/>
    <w:rsid w:val="00806A4E"/>
    <w:rsid w:val="00810ED7"/>
    <w:rsid w:val="00813D6C"/>
    <w:rsid w:val="00814BC6"/>
    <w:rsid w:val="00815958"/>
    <w:rsid w:val="0081674C"/>
    <w:rsid w:val="008167A4"/>
    <w:rsid w:val="008169E7"/>
    <w:rsid w:val="0081722A"/>
    <w:rsid w:val="008235E7"/>
    <w:rsid w:val="00824331"/>
    <w:rsid w:val="00826634"/>
    <w:rsid w:val="008268B3"/>
    <w:rsid w:val="0082696D"/>
    <w:rsid w:val="008305FE"/>
    <w:rsid w:val="00833A9C"/>
    <w:rsid w:val="008358AC"/>
    <w:rsid w:val="00841FEE"/>
    <w:rsid w:val="00845294"/>
    <w:rsid w:val="00845E76"/>
    <w:rsid w:val="00846366"/>
    <w:rsid w:val="00847EB4"/>
    <w:rsid w:val="00853FF4"/>
    <w:rsid w:val="0085561E"/>
    <w:rsid w:val="0085589E"/>
    <w:rsid w:val="00867743"/>
    <w:rsid w:val="0087084F"/>
    <w:rsid w:val="00870A90"/>
    <w:rsid w:val="00870F5F"/>
    <w:rsid w:val="0087132C"/>
    <w:rsid w:val="008814AB"/>
    <w:rsid w:val="00883016"/>
    <w:rsid w:val="00887377"/>
    <w:rsid w:val="00890942"/>
    <w:rsid w:val="00894F27"/>
    <w:rsid w:val="008953C5"/>
    <w:rsid w:val="008A6416"/>
    <w:rsid w:val="008B110D"/>
    <w:rsid w:val="008B1170"/>
    <w:rsid w:val="008B4F98"/>
    <w:rsid w:val="008B618F"/>
    <w:rsid w:val="008B6DDF"/>
    <w:rsid w:val="008C5F18"/>
    <w:rsid w:val="008C64CC"/>
    <w:rsid w:val="008D05C1"/>
    <w:rsid w:val="008D2E1A"/>
    <w:rsid w:val="008E16F1"/>
    <w:rsid w:val="008E70B6"/>
    <w:rsid w:val="008E7FBF"/>
    <w:rsid w:val="008F2C11"/>
    <w:rsid w:val="008F4729"/>
    <w:rsid w:val="008F52FA"/>
    <w:rsid w:val="008F67AC"/>
    <w:rsid w:val="008F7EDB"/>
    <w:rsid w:val="00900F1C"/>
    <w:rsid w:val="00902999"/>
    <w:rsid w:val="00906200"/>
    <w:rsid w:val="00910752"/>
    <w:rsid w:val="00914A10"/>
    <w:rsid w:val="00915766"/>
    <w:rsid w:val="0091778B"/>
    <w:rsid w:val="00922C0B"/>
    <w:rsid w:val="00923781"/>
    <w:rsid w:val="00927C89"/>
    <w:rsid w:val="0093043A"/>
    <w:rsid w:val="009316AE"/>
    <w:rsid w:val="00934868"/>
    <w:rsid w:val="0093555D"/>
    <w:rsid w:val="009378B5"/>
    <w:rsid w:val="009420C2"/>
    <w:rsid w:val="00946F0D"/>
    <w:rsid w:val="00951D5E"/>
    <w:rsid w:val="00955972"/>
    <w:rsid w:val="009564F5"/>
    <w:rsid w:val="0096341B"/>
    <w:rsid w:val="00965EE4"/>
    <w:rsid w:val="009703B2"/>
    <w:rsid w:val="00971959"/>
    <w:rsid w:val="00971CF1"/>
    <w:rsid w:val="00971DF8"/>
    <w:rsid w:val="009748D7"/>
    <w:rsid w:val="009757E6"/>
    <w:rsid w:val="00982496"/>
    <w:rsid w:val="00983B30"/>
    <w:rsid w:val="00983ECB"/>
    <w:rsid w:val="009853BF"/>
    <w:rsid w:val="0098663F"/>
    <w:rsid w:val="00987ACF"/>
    <w:rsid w:val="00992A2E"/>
    <w:rsid w:val="00992AB2"/>
    <w:rsid w:val="0099755A"/>
    <w:rsid w:val="009A0424"/>
    <w:rsid w:val="009A0C4B"/>
    <w:rsid w:val="009A0D67"/>
    <w:rsid w:val="009A10C2"/>
    <w:rsid w:val="009A31BA"/>
    <w:rsid w:val="009A3E46"/>
    <w:rsid w:val="009A42A9"/>
    <w:rsid w:val="009A42AD"/>
    <w:rsid w:val="009B2566"/>
    <w:rsid w:val="009B77DF"/>
    <w:rsid w:val="009C12AB"/>
    <w:rsid w:val="009C20C0"/>
    <w:rsid w:val="009C29B9"/>
    <w:rsid w:val="009D0218"/>
    <w:rsid w:val="009D173B"/>
    <w:rsid w:val="009D63BC"/>
    <w:rsid w:val="009E2A41"/>
    <w:rsid w:val="009F14D6"/>
    <w:rsid w:val="009F3688"/>
    <w:rsid w:val="009F6417"/>
    <w:rsid w:val="00A00764"/>
    <w:rsid w:val="00A02881"/>
    <w:rsid w:val="00A02A30"/>
    <w:rsid w:val="00A04DD5"/>
    <w:rsid w:val="00A10F0B"/>
    <w:rsid w:val="00A1438F"/>
    <w:rsid w:val="00A145C2"/>
    <w:rsid w:val="00A153DA"/>
    <w:rsid w:val="00A21CF5"/>
    <w:rsid w:val="00A2333F"/>
    <w:rsid w:val="00A256F1"/>
    <w:rsid w:val="00A306ED"/>
    <w:rsid w:val="00A31F71"/>
    <w:rsid w:val="00A366FE"/>
    <w:rsid w:val="00A37751"/>
    <w:rsid w:val="00A44BD3"/>
    <w:rsid w:val="00A46EDA"/>
    <w:rsid w:val="00A52E66"/>
    <w:rsid w:val="00A541CC"/>
    <w:rsid w:val="00A54462"/>
    <w:rsid w:val="00A60670"/>
    <w:rsid w:val="00A62928"/>
    <w:rsid w:val="00A641CD"/>
    <w:rsid w:val="00A706A0"/>
    <w:rsid w:val="00A74B92"/>
    <w:rsid w:val="00A74F81"/>
    <w:rsid w:val="00A94D7E"/>
    <w:rsid w:val="00A95697"/>
    <w:rsid w:val="00A95C8D"/>
    <w:rsid w:val="00A95EA0"/>
    <w:rsid w:val="00A96F5A"/>
    <w:rsid w:val="00AA0B3A"/>
    <w:rsid w:val="00AA23BA"/>
    <w:rsid w:val="00AA6F4A"/>
    <w:rsid w:val="00AB2C35"/>
    <w:rsid w:val="00AB37ED"/>
    <w:rsid w:val="00AC081D"/>
    <w:rsid w:val="00AC199B"/>
    <w:rsid w:val="00AC5A33"/>
    <w:rsid w:val="00AC766D"/>
    <w:rsid w:val="00AC7F46"/>
    <w:rsid w:val="00AD442D"/>
    <w:rsid w:val="00AD77A9"/>
    <w:rsid w:val="00AE2407"/>
    <w:rsid w:val="00AE3026"/>
    <w:rsid w:val="00AE3F48"/>
    <w:rsid w:val="00AF6E1F"/>
    <w:rsid w:val="00B007A9"/>
    <w:rsid w:val="00B010D9"/>
    <w:rsid w:val="00B03A96"/>
    <w:rsid w:val="00B03AE3"/>
    <w:rsid w:val="00B05B6E"/>
    <w:rsid w:val="00B060ED"/>
    <w:rsid w:val="00B073B1"/>
    <w:rsid w:val="00B12972"/>
    <w:rsid w:val="00B14A86"/>
    <w:rsid w:val="00B17A0C"/>
    <w:rsid w:val="00B22360"/>
    <w:rsid w:val="00B22DAC"/>
    <w:rsid w:val="00B26927"/>
    <w:rsid w:val="00B351F8"/>
    <w:rsid w:val="00B3576D"/>
    <w:rsid w:val="00B3585D"/>
    <w:rsid w:val="00B35F15"/>
    <w:rsid w:val="00B3774D"/>
    <w:rsid w:val="00B44C64"/>
    <w:rsid w:val="00B51CBD"/>
    <w:rsid w:val="00B52793"/>
    <w:rsid w:val="00B5412E"/>
    <w:rsid w:val="00B6230B"/>
    <w:rsid w:val="00B62649"/>
    <w:rsid w:val="00B62715"/>
    <w:rsid w:val="00B62AAB"/>
    <w:rsid w:val="00B72ABF"/>
    <w:rsid w:val="00B7472A"/>
    <w:rsid w:val="00B75D93"/>
    <w:rsid w:val="00B77621"/>
    <w:rsid w:val="00B80BDE"/>
    <w:rsid w:val="00B81DDB"/>
    <w:rsid w:val="00B83570"/>
    <w:rsid w:val="00B87403"/>
    <w:rsid w:val="00B94DFB"/>
    <w:rsid w:val="00BA6F2D"/>
    <w:rsid w:val="00BA703E"/>
    <w:rsid w:val="00BB0837"/>
    <w:rsid w:val="00BB0BAC"/>
    <w:rsid w:val="00BB1626"/>
    <w:rsid w:val="00BB60EF"/>
    <w:rsid w:val="00BB6478"/>
    <w:rsid w:val="00BB6D0A"/>
    <w:rsid w:val="00BC0807"/>
    <w:rsid w:val="00BC2D95"/>
    <w:rsid w:val="00BC348F"/>
    <w:rsid w:val="00BC6C68"/>
    <w:rsid w:val="00BD35E0"/>
    <w:rsid w:val="00BD6CE9"/>
    <w:rsid w:val="00BE0803"/>
    <w:rsid w:val="00BF6206"/>
    <w:rsid w:val="00BF6B3B"/>
    <w:rsid w:val="00C02173"/>
    <w:rsid w:val="00C130C0"/>
    <w:rsid w:val="00C13A29"/>
    <w:rsid w:val="00C14BFB"/>
    <w:rsid w:val="00C21F92"/>
    <w:rsid w:val="00C22A94"/>
    <w:rsid w:val="00C24F01"/>
    <w:rsid w:val="00C25F2B"/>
    <w:rsid w:val="00C27457"/>
    <w:rsid w:val="00C32265"/>
    <w:rsid w:val="00C32DA0"/>
    <w:rsid w:val="00C336E6"/>
    <w:rsid w:val="00C354AE"/>
    <w:rsid w:val="00C3589C"/>
    <w:rsid w:val="00C36EE4"/>
    <w:rsid w:val="00C43592"/>
    <w:rsid w:val="00C44F98"/>
    <w:rsid w:val="00C46F35"/>
    <w:rsid w:val="00C513E0"/>
    <w:rsid w:val="00C51450"/>
    <w:rsid w:val="00C53C71"/>
    <w:rsid w:val="00C54034"/>
    <w:rsid w:val="00C54556"/>
    <w:rsid w:val="00C56D2B"/>
    <w:rsid w:val="00C57617"/>
    <w:rsid w:val="00C60B8E"/>
    <w:rsid w:val="00C67918"/>
    <w:rsid w:val="00C73C00"/>
    <w:rsid w:val="00C73DB4"/>
    <w:rsid w:val="00C75839"/>
    <w:rsid w:val="00C805B9"/>
    <w:rsid w:val="00C80C5C"/>
    <w:rsid w:val="00C83353"/>
    <w:rsid w:val="00C8359A"/>
    <w:rsid w:val="00C84321"/>
    <w:rsid w:val="00C86C87"/>
    <w:rsid w:val="00C87D15"/>
    <w:rsid w:val="00C936C4"/>
    <w:rsid w:val="00C968BF"/>
    <w:rsid w:val="00CA32D6"/>
    <w:rsid w:val="00CA3DC9"/>
    <w:rsid w:val="00CB501F"/>
    <w:rsid w:val="00CC1F2F"/>
    <w:rsid w:val="00CD0441"/>
    <w:rsid w:val="00CD4AA2"/>
    <w:rsid w:val="00CD4B44"/>
    <w:rsid w:val="00CE67CF"/>
    <w:rsid w:val="00CF1B6F"/>
    <w:rsid w:val="00CF35E8"/>
    <w:rsid w:val="00D02114"/>
    <w:rsid w:val="00D03A94"/>
    <w:rsid w:val="00D04863"/>
    <w:rsid w:val="00D16DEC"/>
    <w:rsid w:val="00D17F85"/>
    <w:rsid w:val="00D23C5E"/>
    <w:rsid w:val="00D26CF5"/>
    <w:rsid w:val="00D26DE5"/>
    <w:rsid w:val="00D30AC2"/>
    <w:rsid w:val="00D30CA6"/>
    <w:rsid w:val="00D31AF4"/>
    <w:rsid w:val="00D33197"/>
    <w:rsid w:val="00D36DAD"/>
    <w:rsid w:val="00D47B48"/>
    <w:rsid w:val="00D51569"/>
    <w:rsid w:val="00D51C46"/>
    <w:rsid w:val="00D62770"/>
    <w:rsid w:val="00D70A72"/>
    <w:rsid w:val="00D72640"/>
    <w:rsid w:val="00D75B1F"/>
    <w:rsid w:val="00D75FD1"/>
    <w:rsid w:val="00D82300"/>
    <w:rsid w:val="00D82E65"/>
    <w:rsid w:val="00D858ED"/>
    <w:rsid w:val="00D955CB"/>
    <w:rsid w:val="00D9624A"/>
    <w:rsid w:val="00D97209"/>
    <w:rsid w:val="00DA2DBB"/>
    <w:rsid w:val="00DB0E94"/>
    <w:rsid w:val="00DB1009"/>
    <w:rsid w:val="00DB123B"/>
    <w:rsid w:val="00DB2864"/>
    <w:rsid w:val="00DB3D3C"/>
    <w:rsid w:val="00DB6873"/>
    <w:rsid w:val="00DC1A17"/>
    <w:rsid w:val="00DC2D6F"/>
    <w:rsid w:val="00DD3761"/>
    <w:rsid w:val="00DD3EB1"/>
    <w:rsid w:val="00DD5E68"/>
    <w:rsid w:val="00DE086E"/>
    <w:rsid w:val="00DE1199"/>
    <w:rsid w:val="00DE518C"/>
    <w:rsid w:val="00DE5717"/>
    <w:rsid w:val="00DE62B8"/>
    <w:rsid w:val="00DE7EB2"/>
    <w:rsid w:val="00E05B7E"/>
    <w:rsid w:val="00E07755"/>
    <w:rsid w:val="00E13097"/>
    <w:rsid w:val="00E218F5"/>
    <w:rsid w:val="00E225D8"/>
    <w:rsid w:val="00E243DC"/>
    <w:rsid w:val="00E33652"/>
    <w:rsid w:val="00E40880"/>
    <w:rsid w:val="00E410FF"/>
    <w:rsid w:val="00E45DDF"/>
    <w:rsid w:val="00E508B7"/>
    <w:rsid w:val="00E52555"/>
    <w:rsid w:val="00E52CC2"/>
    <w:rsid w:val="00E5529D"/>
    <w:rsid w:val="00E60588"/>
    <w:rsid w:val="00E635CF"/>
    <w:rsid w:val="00E7064E"/>
    <w:rsid w:val="00E73C1D"/>
    <w:rsid w:val="00E76282"/>
    <w:rsid w:val="00E770B1"/>
    <w:rsid w:val="00E77ABE"/>
    <w:rsid w:val="00E909DB"/>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F0243"/>
    <w:rsid w:val="00EF6001"/>
    <w:rsid w:val="00F02D15"/>
    <w:rsid w:val="00F03E1C"/>
    <w:rsid w:val="00F16292"/>
    <w:rsid w:val="00F22485"/>
    <w:rsid w:val="00F25F89"/>
    <w:rsid w:val="00F2770F"/>
    <w:rsid w:val="00F305DE"/>
    <w:rsid w:val="00F31E10"/>
    <w:rsid w:val="00F363B0"/>
    <w:rsid w:val="00F3723A"/>
    <w:rsid w:val="00F37ED1"/>
    <w:rsid w:val="00F42763"/>
    <w:rsid w:val="00F44C16"/>
    <w:rsid w:val="00F45E08"/>
    <w:rsid w:val="00F475D5"/>
    <w:rsid w:val="00F509A1"/>
    <w:rsid w:val="00F52781"/>
    <w:rsid w:val="00F55770"/>
    <w:rsid w:val="00F64361"/>
    <w:rsid w:val="00F64A3F"/>
    <w:rsid w:val="00F67C47"/>
    <w:rsid w:val="00F718E3"/>
    <w:rsid w:val="00F77BE2"/>
    <w:rsid w:val="00F80181"/>
    <w:rsid w:val="00F80C67"/>
    <w:rsid w:val="00F82BA2"/>
    <w:rsid w:val="00F90580"/>
    <w:rsid w:val="00FA44E8"/>
    <w:rsid w:val="00FA6EDD"/>
    <w:rsid w:val="00FB0A39"/>
    <w:rsid w:val="00FB2E22"/>
    <w:rsid w:val="00FB5348"/>
    <w:rsid w:val="00FB5796"/>
    <w:rsid w:val="00FB6F1A"/>
    <w:rsid w:val="00FC04EC"/>
    <w:rsid w:val="00FC302B"/>
    <w:rsid w:val="00FC5DCD"/>
    <w:rsid w:val="00FE0C3D"/>
    <w:rsid w:val="00FE5AD6"/>
    <w:rsid w:val="00FF04A6"/>
    <w:rsid w:val="010158D6"/>
    <w:rsid w:val="01032CB0"/>
    <w:rsid w:val="01352CEB"/>
    <w:rsid w:val="013D4B60"/>
    <w:rsid w:val="014C6B51"/>
    <w:rsid w:val="01987FE8"/>
    <w:rsid w:val="01C16070"/>
    <w:rsid w:val="01C761D7"/>
    <w:rsid w:val="01CD2E9D"/>
    <w:rsid w:val="01F40F97"/>
    <w:rsid w:val="01FA65AD"/>
    <w:rsid w:val="020F6BF8"/>
    <w:rsid w:val="0234536F"/>
    <w:rsid w:val="02350DBB"/>
    <w:rsid w:val="023D0B8F"/>
    <w:rsid w:val="02515FCF"/>
    <w:rsid w:val="02627A03"/>
    <w:rsid w:val="027D71DE"/>
    <w:rsid w:val="027F4D04"/>
    <w:rsid w:val="02883A4A"/>
    <w:rsid w:val="02987B74"/>
    <w:rsid w:val="02B70804"/>
    <w:rsid w:val="02BA46C4"/>
    <w:rsid w:val="02D343EC"/>
    <w:rsid w:val="02DB7CB9"/>
    <w:rsid w:val="034A5312"/>
    <w:rsid w:val="035D5A48"/>
    <w:rsid w:val="03660C58"/>
    <w:rsid w:val="0366165B"/>
    <w:rsid w:val="037A2DDB"/>
    <w:rsid w:val="037F368D"/>
    <w:rsid w:val="03810BC8"/>
    <w:rsid w:val="03AA0B2E"/>
    <w:rsid w:val="03B01C9E"/>
    <w:rsid w:val="03CA6453"/>
    <w:rsid w:val="03D56A09"/>
    <w:rsid w:val="03E45005"/>
    <w:rsid w:val="03E96876"/>
    <w:rsid w:val="03FF6280"/>
    <w:rsid w:val="040354C1"/>
    <w:rsid w:val="0405249B"/>
    <w:rsid w:val="04161698"/>
    <w:rsid w:val="04610B65"/>
    <w:rsid w:val="04684D4C"/>
    <w:rsid w:val="046B4941"/>
    <w:rsid w:val="04754611"/>
    <w:rsid w:val="047F2D99"/>
    <w:rsid w:val="048900BC"/>
    <w:rsid w:val="04D74B21"/>
    <w:rsid w:val="05020DCB"/>
    <w:rsid w:val="05104E18"/>
    <w:rsid w:val="051931EE"/>
    <w:rsid w:val="051A0D14"/>
    <w:rsid w:val="053828F1"/>
    <w:rsid w:val="0539563E"/>
    <w:rsid w:val="0545527A"/>
    <w:rsid w:val="0560706F"/>
    <w:rsid w:val="05617CFD"/>
    <w:rsid w:val="0575419C"/>
    <w:rsid w:val="05E732EC"/>
    <w:rsid w:val="05F94DCD"/>
    <w:rsid w:val="06204F50"/>
    <w:rsid w:val="062A4F87"/>
    <w:rsid w:val="062B4947"/>
    <w:rsid w:val="064918B1"/>
    <w:rsid w:val="064A1A24"/>
    <w:rsid w:val="0659586C"/>
    <w:rsid w:val="0669568A"/>
    <w:rsid w:val="067E039A"/>
    <w:rsid w:val="068648B3"/>
    <w:rsid w:val="068F5360"/>
    <w:rsid w:val="069F204B"/>
    <w:rsid w:val="06C1684A"/>
    <w:rsid w:val="06C6248C"/>
    <w:rsid w:val="06CC61D3"/>
    <w:rsid w:val="06DC0977"/>
    <w:rsid w:val="06E34232"/>
    <w:rsid w:val="070E46A7"/>
    <w:rsid w:val="0712320D"/>
    <w:rsid w:val="07500A1D"/>
    <w:rsid w:val="075524D7"/>
    <w:rsid w:val="07733ED3"/>
    <w:rsid w:val="077A10F3"/>
    <w:rsid w:val="07810AD9"/>
    <w:rsid w:val="079A26F9"/>
    <w:rsid w:val="07B45450"/>
    <w:rsid w:val="07BC752A"/>
    <w:rsid w:val="07CC279A"/>
    <w:rsid w:val="07D505B1"/>
    <w:rsid w:val="07D761FC"/>
    <w:rsid w:val="07DB6498"/>
    <w:rsid w:val="08083865"/>
    <w:rsid w:val="080F08D8"/>
    <w:rsid w:val="082D0D5E"/>
    <w:rsid w:val="08381BDD"/>
    <w:rsid w:val="08602EE2"/>
    <w:rsid w:val="08852C67"/>
    <w:rsid w:val="088F37C7"/>
    <w:rsid w:val="08A92ADB"/>
    <w:rsid w:val="08BD0334"/>
    <w:rsid w:val="08DC157E"/>
    <w:rsid w:val="08DF02AB"/>
    <w:rsid w:val="08FF094D"/>
    <w:rsid w:val="093D1475"/>
    <w:rsid w:val="094C36CE"/>
    <w:rsid w:val="098D4402"/>
    <w:rsid w:val="09AB11AC"/>
    <w:rsid w:val="09BC683E"/>
    <w:rsid w:val="09F4585F"/>
    <w:rsid w:val="09F9539C"/>
    <w:rsid w:val="0A081459"/>
    <w:rsid w:val="0A26225F"/>
    <w:rsid w:val="0A424F95"/>
    <w:rsid w:val="0A635F4B"/>
    <w:rsid w:val="0A682522"/>
    <w:rsid w:val="0A73514E"/>
    <w:rsid w:val="0A782765"/>
    <w:rsid w:val="0A7B053D"/>
    <w:rsid w:val="0A973EE9"/>
    <w:rsid w:val="0AAC68B2"/>
    <w:rsid w:val="0AC55D4F"/>
    <w:rsid w:val="0AD16BED"/>
    <w:rsid w:val="0AD2385E"/>
    <w:rsid w:val="0AD87F40"/>
    <w:rsid w:val="0B0E30C9"/>
    <w:rsid w:val="0B505A69"/>
    <w:rsid w:val="0B534700"/>
    <w:rsid w:val="0B5C5BE2"/>
    <w:rsid w:val="0B662F05"/>
    <w:rsid w:val="0BC814CA"/>
    <w:rsid w:val="0BD04822"/>
    <w:rsid w:val="0BFA364D"/>
    <w:rsid w:val="0C0D15D3"/>
    <w:rsid w:val="0C3633F3"/>
    <w:rsid w:val="0C5D5081"/>
    <w:rsid w:val="0C5D5CDA"/>
    <w:rsid w:val="0C6C454B"/>
    <w:rsid w:val="0C6D5860"/>
    <w:rsid w:val="0C7E6A8E"/>
    <w:rsid w:val="0CA856BF"/>
    <w:rsid w:val="0CB17349"/>
    <w:rsid w:val="0CD914B5"/>
    <w:rsid w:val="0D136775"/>
    <w:rsid w:val="0D170073"/>
    <w:rsid w:val="0D2C7836"/>
    <w:rsid w:val="0D2F7FD6"/>
    <w:rsid w:val="0D336E17"/>
    <w:rsid w:val="0D3F3A0E"/>
    <w:rsid w:val="0D4E59FF"/>
    <w:rsid w:val="0D773E61"/>
    <w:rsid w:val="0D780511"/>
    <w:rsid w:val="0D865199"/>
    <w:rsid w:val="0D882289"/>
    <w:rsid w:val="0D887163"/>
    <w:rsid w:val="0D8D29CB"/>
    <w:rsid w:val="0DB97859"/>
    <w:rsid w:val="0DCE6B40"/>
    <w:rsid w:val="0DD0598D"/>
    <w:rsid w:val="0DD64262"/>
    <w:rsid w:val="0DEC6932"/>
    <w:rsid w:val="0E034A3B"/>
    <w:rsid w:val="0E15651D"/>
    <w:rsid w:val="0E1B7FD7"/>
    <w:rsid w:val="0E2D64C7"/>
    <w:rsid w:val="0E305CD7"/>
    <w:rsid w:val="0E317062"/>
    <w:rsid w:val="0E4B3A7D"/>
    <w:rsid w:val="0E5B405D"/>
    <w:rsid w:val="0E67321C"/>
    <w:rsid w:val="0E720B98"/>
    <w:rsid w:val="0E7B2823"/>
    <w:rsid w:val="0EA92768"/>
    <w:rsid w:val="0EB775D4"/>
    <w:rsid w:val="0ECF2B6F"/>
    <w:rsid w:val="0EE97B8E"/>
    <w:rsid w:val="0F0F0F63"/>
    <w:rsid w:val="0F32366B"/>
    <w:rsid w:val="0F3D3F7D"/>
    <w:rsid w:val="0F4572DB"/>
    <w:rsid w:val="0F833B5D"/>
    <w:rsid w:val="0FB51D65"/>
    <w:rsid w:val="0FBF0F10"/>
    <w:rsid w:val="0FEB546A"/>
    <w:rsid w:val="0FEC3293"/>
    <w:rsid w:val="0FF85550"/>
    <w:rsid w:val="10187F49"/>
    <w:rsid w:val="10291372"/>
    <w:rsid w:val="103A2D2B"/>
    <w:rsid w:val="105D1DBB"/>
    <w:rsid w:val="1066305F"/>
    <w:rsid w:val="107100DE"/>
    <w:rsid w:val="10765998"/>
    <w:rsid w:val="107931DF"/>
    <w:rsid w:val="10831E63"/>
    <w:rsid w:val="109160DD"/>
    <w:rsid w:val="10B12DC8"/>
    <w:rsid w:val="10D96FA4"/>
    <w:rsid w:val="10F95FA5"/>
    <w:rsid w:val="11203380"/>
    <w:rsid w:val="112A66B2"/>
    <w:rsid w:val="112C3A43"/>
    <w:rsid w:val="11685955"/>
    <w:rsid w:val="116D5B02"/>
    <w:rsid w:val="117322D8"/>
    <w:rsid w:val="11937599"/>
    <w:rsid w:val="11BA38CE"/>
    <w:rsid w:val="11CD3114"/>
    <w:rsid w:val="11F1104F"/>
    <w:rsid w:val="11FC4F0F"/>
    <w:rsid w:val="120841D8"/>
    <w:rsid w:val="12167453"/>
    <w:rsid w:val="121A05A5"/>
    <w:rsid w:val="121F3E0E"/>
    <w:rsid w:val="122E6D2D"/>
    <w:rsid w:val="123B4FDC"/>
    <w:rsid w:val="124156C4"/>
    <w:rsid w:val="124235BD"/>
    <w:rsid w:val="124675EC"/>
    <w:rsid w:val="12635AA8"/>
    <w:rsid w:val="127A6844"/>
    <w:rsid w:val="1292638E"/>
    <w:rsid w:val="12AB5973"/>
    <w:rsid w:val="12B75DF4"/>
    <w:rsid w:val="12CA0B0F"/>
    <w:rsid w:val="12CA3D79"/>
    <w:rsid w:val="12CC7AF2"/>
    <w:rsid w:val="12DD352E"/>
    <w:rsid w:val="12F47193"/>
    <w:rsid w:val="13046389"/>
    <w:rsid w:val="13201BEB"/>
    <w:rsid w:val="13255454"/>
    <w:rsid w:val="1332494E"/>
    <w:rsid w:val="13363F94"/>
    <w:rsid w:val="13513102"/>
    <w:rsid w:val="13513B09"/>
    <w:rsid w:val="13561AB1"/>
    <w:rsid w:val="135649C8"/>
    <w:rsid w:val="13706DBD"/>
    <w:rsid w:val="13781A27"/>
    <w:rsid w:val="138A175B"/>
    <w:rsid w:val="13D660DB"/>
    <w:rsid w:val="14325126"/>
    <w:rsid w:val="1432607A"/>
    <w:rsid w:val="143A0FC9"/>
    <w:rsid w:val="14627FE2"/>
    <w:rsid w:val="148166BA"/>
    <w:rsid w:val="14992F53"/>
    <w:rsid w:val="14BD0BCC"/>
    <w:rsid w:val="14D561AF"/>
    <w:rsid w:val="14DF4723"/>
    <w:rsid w:val="14FC1368"/>
    <w:rsid w:val="15046A4F"/>
    <w:rsid w:val="15107A3E"/>
    <w:rsid w:val="15257DA7"/>
    <w:rsid w:val="1527196A"/>
    <w:rsid w:val="15285CB1"/>
    <w:rsid w:val="153320AA"/>
    <w:rsid w:val="15407A60"/>
    <w:rsid w:val="1547546E"/>
    <w:rsid w:val="154D0C92"/>
    <w:rsid w:val="154F6607"/>
    <w:rsid w:val="15681628"/>
    <w:rsid w:val="159A2A9E"/>
    <w:rsid w:val="15A841E2"/>
    <w:rsid w:val="15CA22E2"/>
    <w:rsid w:val="15CE1DD3"/>
    <w:rsid w:val="15E2762C"/>
    <w:rsid w:val="15F15AC1"/>
    <w:rsid w:val="160434BC"/>
    <w:rsid w:val="160A26DF"/>
    <w:rsid w:val="161855E2"/>
    <w:rsid w:val="163F2CAE"/>
    <w:rsid w:val="16663DB9"/>
    <w:rsid w:val="167C182F"/>
    <w:rsid w:val="169F5676"/>
    <w:rsid w:val="16A3500D"/>
    <w:rsid w:val="16B56AEF"/>
    <w:rsid w:val="16D466E7"/>
    <w:rsid w:val="16E15B36"/>
    <w:rsid w:val="17057A2A"/>
    <w:rsid w:val="170E3AEC"/>
    <w:rsid w:val="172D7CCE"/>
    <w:rsid w:val="174A7237"/>
    <w:rsid w:val="17560DDB"/>
    <w:rsid w:val="175B58E8"/>
    <w:rsid w:val="176D74FE"/>
    <w:rsid w:val="17877E7A"/>
    <w:rsid w:val="178A3129"/>
    <w:rsid w:val="179201D1"/>
    <w:rsid w:val="17985E27"/>
    <w:rsid w:val="17B30CC5"/>
    <w:rsid w:val="17B8106A"/>
    <w:rsid w:val="17BB1EE3"/>
    <w:rsid w:val="17BB6387"/>
    <w:rsid w:val="17CF257F"/>
    <w:rsid w:val="17D80CE7"/>
    <w:rsid w:val="17DF339A"/>
    <w:rsid w:val="17E7717C"/>
    <w:rsid w:val="17EB37CA"/>
    <w:rsid w:val="17F77804"/>
    <w:rsid w:val="17FE5D44"/>
    <w:rsid w:val="180C12F3"/>
    <w:rsid w:val="18365A0D"/>
    <w:rsid w:val="1869193F"/>
    <w:rsid w:val="186D58D3"/>
    <w:rsid w:val="18A64941"/>
    <w:rsid w:val="18B54B50"/>
    <w:rsid w:val="18C1177B"/>
    <w:rsid w:val="18D71629"/>
    <w:rsid w:val="18DE6304"/>
    <w:rsid w:val="18E41ED8"/>
    <w:rsid w:val="18E65685"/>
    <w:rsid w:val="18EB4A4A"/>
    <w:rsid w:val="18F953B8"/>
    <w:rsid w:val="191E097B"/>
    <w:rsid w:val="192937B0"/>
    <w:rsid w:val="193427AD"/>
    <w:rsid w:val="1967608F"/>
    <w:rsid w:val="196A3BC0"/>
    <w:rsid w:val="19766A09"/>
    <w:rsid w:val="19766CEF"/>
    <w:rsid w:val="198B6E9E"/>
    <w:rsid w:val="19950C08"/>
    <w:rsid w:val="199B1FCC"/>
    <w:rsid w:val="199D5BBD"/>
    <w:rsid w:val="19A41AAE"/>
    <w:rsid w:val="19AE52C2"/>
    <w:rsid w:val="19ED405B"/>
    <w:rsid w:val="1A021C2E"/>
    <w:rsid w:val="1A183821"/>
    <w:rsid w:val="1A1F735F"/>
    <w:rsid w:val="1A737B8C"/>
    <w:rsid w:val="1A8E2703"/>
    <w:rsid w:val="1A9A4AA1"/>
    <w:rsid w:val="1AAC0209"/>
    <w:rsid w:val="1ABB7BBC"/>
    <w:rsid w:val="1AC437A4"/>
    <w:rsid w:val="1AF70FC5"/>
    <w:rsid w:val="1B302BE8"/>
    <w:rsid w:val="1B311E44"/>
    <w:rsid w:val="1B852734"/>
    <w:rsid w:val="1B8711E4"/>
    <w:rsid w:val="1B901D16"/>
    <w:rsid w:val="1B965141"/>
    <w:rsid w:val="1B995B00"/>
    <w:rsid w:val="1BB22BA8"/>
    <w:rsid w:val="1BB6133F"/>
    <w:rsid w:val="1BE37C5A"/>
    <w:rsid w:val="1BF400B9"/>
    <w:rsid w:val="1BFD3750"/>
    <w:rsid w:val="1C0A42A2"/>
    <w:rsid w:val="1C3913EC"/>
    <w:rsid w:val="1C576340"/>
    <w:rsid w:val="1C7A243A"/>
    <w:rsid w:val="1C8F393E"/>
    <w:rsid w:val="1C9D5143"/>
    <w:rsid w:val="1CB57848"/>
    <w:rsid w:val="1CCC554A"/>
    <w:rsid w:val="1CF739BD"/>
    <w:rsid w:val="1D005039"/>
    <w:rsid w:val="1D0B1216"/>
    <w:rsid w:val="1D230C56"/>
    <w:rsid w:val="1D2908C1"/>
    <w:rsid w:val="1D3D2567"/>
    <w:rsid w:val="1D556162"/>
    <w:rsid w:val="1D586233"/>
    <w:rsid w:val="1D9D6D46"/>
    <w:rsid w:val="1DD957B9"/>
    <w:rsid w:val="1DE81558"/>
    <w:rsid w:val="1DE978C4"/>
    <w:rsid w:val="1DF071BD"/>
    <w:rsid w:val="1E4A2212"/>
    <w:rsid w:val="1E672DC4"/>
    <w:rsid w:val="1E7874CB"/>
    <w:rsid w:val="1E86502B"/>
    <w:rsid w:val="1E8D00BC"/>
    <w:rsid w:val="1E937715"/>
    <w:rsid w:val="1EA00084"/>
    <w:rsid w:val="1EC43D73"/>
    <w:rsid w:val="1ED33FB6"/>
    <w:rsid w:val="1ED878F4"/>
    <w:rsid w:val="1EE00690"/>
    <w:rsid w:val="1EFC5720"/>
    <w:rsid w:val="1F0A02A8"/>
    <w:rsid w:val="1F334282"/>
    <w:rsid w:val="1F3C5FFF"/>
    <w:rsid w:val="1F3F57A6"/>
    <w:rsid w:val="1FAC462E"/>
    <w:rsid w:val="1FAF67D1"/>
    <w:rsid w:val="1FB21E1D"/>
    <w:rsid w:val="1FC61D6D"/>
    <w:rsid w:val="1FC81641"/>
    <w:rsid w:val="1FC97167"/>
    <w:rsid w:val="1FCF0C21"/>
    <w:rsid w:val="1FD61FB0"/>
    <w:rsid w:val="1FD9384E"/>
    <w:rsid w:val="1FE65558"/>
    <w:rsid w:val="1FFD67FA"/>
    <w:rsid w:val="20027725"/>
    <w:rsid w:val="20254F0B"/>
    <w:rsid w:val="207709E4"/>
    <w:rsid w:val="208F03B0"/>
    <w:rsid w:val="20AF4712"/>
    <w:rsid w:val="20C04A0E"/>
    <w:rsid w:val="20D109C9"/>
    <w:rsid w:val="20E53C20"/>
    <w:rsid w:val="20EA55E7"/>
    <w:rsid w:val="20FE7E29"/>
    <w:rsid w:val="212D20A3"/>
    <w:rsid w:val="212E5E1B"/>
    <w:rsid w:val="21570ECE"/>
    <w:rsid w:val="216E26D1"/>
    <w:rsid w:val="217C26E3"/>
    <w:rsid w:val="21837F15"/>
    <w:rsid w:val="21974A6F"/>
    <w:rsid w:val="2197751D"/>
    <w:rsid w:val="21985B8F"/>
    <w:rsid w:val="2198698A"/>
    <w:rsid w:val="21AD6D40"/>
    <w:rsid w:val="21BF15BD"/>
    <w:rsid w:val="21C83B7A"/>
    <w:rsid w:val="21CF534E"/>
    <w:rsid w:val="21DB7273"/>
    <w:rsid w:val="21DE339D"/>
    <w:rsid w:val="220B3A67"/>
    <w:rsid w:val="220B7F0B"/>
    <w:rsid w:val="22281D94"/>
    <w:rsid w:val="22487BB4"/>
    <w:rsid w:val="225418B2"/>
    <w:rsid w:val="22560C5B"/>
    <w:rsid w:val="225E1D4B"/>
    <w:rsid w:val="225F4AB8"/>
    <w:rsid w:val="22817EE1"/>
    <w:rsid w:val="22A42708"/>
    <w:rsid w:val="22A90270"/>
    <w:rsid w:val="22B569E9"/>
    <w:rsid w:val="22BB548D"/>
    <w:rsid w:val="22D36EAB"/>
    <w:rsid w:val="230D0531"/>
    <w:rsid w:val="233A2855"/>
    <w:rsid w:val="235A4CA6"/>
    <w:rsid w:val="238147AE"/>
    <w:rsid w:val="238242BD"/>
    <w:rsid w:val="238735C1"/>
    <w:rsid w:val="239556B2"/>
    <w:rsid w:val="23B4085A"/>
    <w:rsid w:val="23CD191B"/>
    <w:rsid w:val="241E5CD3"/>
    <w:rsid w:val="24381196"/>
    <w:rsid w:val="243C084F"/>
    <w:rsid w:val="24506BB2"/>
    <w:rsid w:val="245C67FB"/>
    <w:rsid w:val="24613E12"/>
    <w:rsid w:val="2470714F"/>
    <w:rsid w:val="248F6BD1"/>
    <w:rsid w:val="24947709"/>
    <w:rsid w:val="24D42836"/>
    <w:rsid w:val="24DA661A"/>
    <w:rsid w:val="24E915BF"/>
    <w:rsid w:val="250749B9"/>
    <w:rsid w:val="25486445"/>
    <w:rsid w:val="254B4DC1"/>
    <w:rsid w:val="255F4A9B"/>
    <w:rsid w:val="25693F9A"/>
    <w:rsid w:val="25880798"/>
    <w:rsid w:val="25A42208"/>
    <w:rsid w:val="25AB3597"/>
    <w:rsid w:val="25BC6721"/>
    <w:rsid w:val="25DF5936"/>
    <w:rsid w:val="25E1345C"/>
    <w:rsid w:val="2604539D"/>
    <w:rsid w:val="2608182D"/>
    <w:rsid w:val="260E27BF"/>
    <w:rsid w:val="261323A8"/>
    <w:rsid w:val="263B734F"/>
    <w:rsid w:val="26442526"/>
    <w:rsid w:val="2644463F"/>
    <w:rsid w:val="26543C2E"/>
    <w:rsid w:val="265D3E18"/>
    <w:rsid w:val="266B541C"/>
    <w:rsid w:val="266F4696"/>
    <w:rsid w:val="269353D2"/>
    <w:rsid w:val="26A40624"/>
    <w:rsid w:val="26A5092E"/>
    <w:rsid w:val="26A83F7A"/>
    <w:rsid w:val="26AE7F5A"/>
    <w:rsid w:val="26E627B8"/>
    <w:rsid w:val="26FF20C4"/>
    <w:rsid w:val="27181100"/>
    <w:rsid w:val="2724223C"/>
    <w:rsid w:val="27457A1B"/>
    <w:rsid w:val="274C3FCA"/>
    <w:rsid w:val="274F0899"/>
    <w:rsid w:val="2750205B"/>
    <w:rsid w:val="275163C0"/>
    <w:rsid w:val="27545EB0"/>
    <w:rsid w:val="27561C28"/>
    <w:rsid w:val="277334B8"/>
    <w:rsid w:val="27821D05"/>
    <w:rsid w:val="27984DD3"/>
    <w:rsid w:val="279B2315"/>
    <w:rsid w:val="27A37FBA"/>
    <w:rsid w:val="27C83DAF"/>
    <w:rsid w:val="27CE17BE"/>
    <w:rsid w:val="27FE20B7"/>
    <w:rsid w:val="27FF406E"/>
    <w:rsid w:val="281573ED"/>
    <w:rsid w:val="281A4A03"/>
    <w:rsid w:val="28212744"/>
    <w:rsid w:val="282B09BF"/>
    <w:rsid w:val="283830DC"/>
    <w:rsid w:val="284941DC"/>
    <w:rsid w:val="286345FC"/>
    <w:rsid w:val="28694B74"/>
    <w:rsid w:val="28862099"/>
    <w:rsid w:val="28AA47B7"/>
    <w:rsid w:val="28BA1D43"/>
    <w:rsid w:val="28BC446B"/>
    <w:rsid w:val="28C66939"/>
    <w:rsid w:val="28F214DC"/>
    <w:rsid w:val="2919115F"/>
    <w:rsid w:val="292F703A"/>
    <w:rsid w:val="29332221"/>
    <w:rsid w:val="2939710B"/>
    <w:rsid w:val="293F6AC5"/>
    <w:rsid w:val="295B52D4"/>
    <w:rsid w:val="299D1B7F"/>
    <w:rsid w:val="299F1664"/>
    <w:rsid w:val="29A03F34"/>
    <w:rsid w:val="29D01E7C"/>
    <w:rsid w:val="29D11A3A"/>
    <w:rsid w:val="29D67050"/>
    <w:rsid w:val="29DF0256"/>
    <w:rsid w:val="29F54480"/>
    <w:rsid w:val="2A0C65CE"/>
    <w:rsid w:val="2A102562"/>
    <w:rsid w:val="2A126E9B"/>
    <w:rsid w:val="2A2102CB"/>
    <w:rsid w:val="2A3D2C2B"/>
    <w:rsid w:val="2A4D10C0"/>
    <w:rsid w:val="2A4D7312"/>
    <w:rsid w:val="2A876D21"/>
    <w:rsid w:val="2A905CE8"/>
    <w:rsid w:val="2A946CEF"/>
    <w:rsid w:val="2A9B65A1"/>
    <w:rsid w:val="2AA71F8F"/>
    <w:rsid w:val="2AE153D3"/>
    <w:rsid w:val="2B071285"/>
    <w:rsid w:val="2B195446"/>
    <w:rsid w:val="2B3B25A7"/>
    <w:rsid w:val="2B431031"/>
    <w:rsid w:val="2B485D2C"/>
    <w:rsid w:val="2B71330F"/>
    <w:rsid w:val="2B844FB6"/>
    <w:rsid w:val="2B9C71DF"/>
    <w:rsid w:val="2B9D755D"/>
    <w:rsid w:val="2BA271EA"/>
    <w:rsid w:val="2BAC3761"/>
    <w:rsid w:val="2BAD17F5"/>
    <w:rsid w:val="2BC74EA2"/>
    <w:rsid w:val="2BCA6741"/>
    <w:rsid w:val="2BE71E7D"/>
    <w:rsid w:val="2C1F6A8C"/>
    <w:rsid w:val="2C277102"/>
    <w:rsid w:val="2C730B86"/>
    <w:rsid w:val="2C7C3EDF"/>
    <w:rsid w:val="2C8578C5"/>
    <w:rsid w:val="2C8B2374"/>
    <w:rsid w:val="2C8C7CC1"/>
    <w:rsid w:val="2D0D0FDB"/>
    <w:rsid w:val="2D123A9F"/>
    <w:rsid w:val="2D124F89"/>
    <w:rsid w:val="2D202ABC"/>
    <w:rsid w:val="2D2877B9"/>
    <w:rsid w:val="2D2C3753"/>
    <w:rsid w:val="2D393B7E"/>
    <w:rsid w:val="2D3C391E"/>
    <w:rsid w:val="2D5E5392"/>
    <w:rsid w:val="2D8A262B"/>
    <w:rsid w:val="2D945258"/>
    <w:rsid w:val="2D9F12C1"/>
    <w:rsid w:val="2DA91BDB"/>
    <w:rsid w:val="2DAA05D8"/>
    <w:rsid w:val="2DBD47AF"/>
    <w:rsid w:val="2DDF4725"/>
    <w:rsid w:val="2E330B3F"/>
    <w:rsid w:val="2E331215"/>
    <w:rsid w:val="2E6D79D2"/>
    <w:rsid w:val="2E8C006A"/>
    <w:rsid w:val="2E8D6CA7"/>
    <w:rsid w:val="2E9F5C62"/>
    <w:rsid w:val="2EB15996"/>
    <w:rsid w:val="2EBA26F8"/>
    <w:rsid w:val="2EC36428"/>
    <w:rsid w:val="2ED643F9"/>
    <w:rsid w:val="2EDE558F"/>
    <w:rsid w:val="2EFB296D"/>
    <w:rsid w:val="2EFF2BA5"/>
    <w:rsid w:val="2F106B71"/>
    <w:rsid w:val="2F1F0B51"/>
    <w:rsid w:val="2F5E78CC"/>
    <w:rsid w:val="2F6A673D"/>
    <w:rsid w:val="2F6D5D61"/>
    <w:rsid w:val="2F754677"/>
    <w:rsid w:val="2F8310E0"/>
    <w:rsid w:val="2F901FBC"/>
    <w:rsid w:val="2FA533D6"/>
    <w:rsid w:val="2FAB0637"/>
    <w:rsid w:val="2FCE0D44"/>
    <w:rsid w:val="2FDF7099"/>
    <w:rsid w:val="2FEC4ED7"/>
    <w:rsid w:val="2FFB15BE"/>
    <w:rsid w:val="300F20AC"/>
    <w:rsid w:val="301A7EDF"/>
    <w:rsid w:val="302004AE"/>
    <w:rsid w:val="30292DEB"/>
    <w:rsid w:val="30590093"/>
    <w:rsid w:val="307668EC"/>
    <w:rsid w:val="30980BBB"/>
    <w:rsid w:val="30A11B2E"/>
    <w:rsid w:val="30B90E12"/>
    <w:rsid w:val="30D47455"/>
    <w:rsid w:val="30D61886"/>
    <w:rsid w:val="30E30CF3"/>
    <w:rsid w:val="30E3452C"/>
    <w:rsid w:val="31306024"/>
    <w:rsid w:val="314074DB"/>
    <w:rsid w:val="31454C16"/>
    <w:rsid w:val="31483DFF"/>
    <w:rsid w:val="314D19A6"/>
    <w:rsid w:val="31632ABA"/>
    <w:rsid w:val="31682C84"/>
    <w:rsid w:val="3186135C"/>
    <w:rsid w:val="318D040C"/>
    <w:rsid w:val="31B347D4"/>
    <w:rsid w:val="31C24612"/>
    <w:rsid w:val="31CB0666"/>
    <w:rsid w:val="31DE5183"/>
    <w:rsid w:val="31E63BA8"/>
    <w:rsid w:val="31F12C79"/>
    <w:rsid w:val="31F46CAC"/>
    <w:rsid w:val="31FB3AF8"/>
    <w:rsid w:val="32073758"/>
    <w:rsid w:val="320E4DE5"/>
    <w:rsid w:val="323048E9"/>
    <w:rsid w:val="323112C7"/>
    <w:rsid w:val="323572CB"/>
    <w:rsid w:val="32493792"/>
    <w:rsid w:val="324F79A0"/>
    <w:rsid w:val="3268280F"/>
    <w:rsid w:val="32764F2C"/>
    <w:rsid w:val="32DC5400"/>
    <w:rsid w:val="32E4633A"/>
    <w:rsid w:val="32F00761"/>
    <w:rsid w:val="334C3C6E"/>
    <w:rsid w:val="33635D42"/>
    <w:rsid w:val="337C1C26"/>
    <w:rsid w:val="338D69D1"/>
    <w:rsid w:val="33B73A4E"/>
    <w:rsid w:val="33BB353F"/>
    <w:rsid w:val="33E55BB9"/>
    <w:rsid w:val="33EA2C3F"/>
    <w:rsid w:val="33F26834"/>
    <w:rsid w:val="34011EE2"/>
    <w:rsid w:val="34031BE8"/>
    <w:rsid w:val="34050C5E"/>
    <w:rsid w:val="34311DD7"/>
    <w:rsid w:val="34577E56"/>
    <w:rsid w:val="34584243"/>
    <w:rsid w:val="346E1993"/>
    <w:rsid w:val="34761214"/>
    <w:rsid w:val="347B53E1"/>
    <w:rsid w:val="348A4B70"/>
    <w:rsid w:val="349120A4"/>
    <w:rsid w:val="34AE374B"/>
    <w:rsid w:val="34B90BA2"/>
    <w:rsid w:val="34C75F13"/>
    <w:rsid w:val="34D10B40"/>
    <w:rsid w:val="34D932CA"/>
    <w:rsid w:val="34E32DF3"/>
    <w:rsid w:val="34E940DB"/>
    <w:rsid w:val="35081201"/>
    <w:rsid w:val="35204D7F"/>
    <w:rsid w:val="354258EB"/>
    <w:rsid w:val="354C01C6"/>
    <w:rsid w:val="3553798F"/>
    <w:rsid w:val="35690D78"/>
    <w:rsid w:val="35747E49"/>
    <w:rsid w:val="357F2070"/>
    <w:rsid w:val="359C3619"/>
    <w:rsid w:val="359C724D"/>
    <w:rsid w:val="359D0A22"/>
    <w:rsid w:val="35AD3EF5"/>
    <w:rsid w:val="35B01F13"/>
    <w:rsid w:val="35B07A97"/>
    <w:rsid w:val="35B53B02"/>
    <w:rsid w:val="35EB3E83"/>
    <w:rsid w:val="360A4005"/>
    <w:rsid w:val="366758E3"/>
    <w:rsid w:val="36755869"/>
    <w:rsid w:val="36877708"/>
    <w:rsid w:val="368C2F70"/>
    <w:rsid w:val="3690118B"/>
    <w:rsid w:val="36975214"/>
    <w:rsid w:val="36DA1F2E"/>
    <w:rsid w:val="36F80606"/>
    <w:rsid w:val="37064C28"/>
    <w:rsid w:val="370E607B"/>
    <w:rsid w:val="371619FA"/>
    <w:rsid w:val="37173799"/>
    <w:rsid w:val="37265173"/>
    <w:rsid w:val="373C5526"/>
    <w:rsid w:val="37671BC5"/>
    <w:rsid w:val="377D0B0B"/>
    <w:rsid w:val="377F4883"/>
    <w:rsid w:val="37842204"/>
    <w:rsid w:val="378C593C"/>
    <w:rsid w:val="37B2157F"/>
    <w:rsid w:val="37B81B43"/>
    <w:rsid w:val="37C4498C"/>
    <w:rsid w:val="37D268C3"/>
    <w:rsid w:val="37D95464"/>
    <w:rsid w:val="37F25055"/>
    <w:rsid w:val="38170F5F"/>
    <w:rsid w:val="383F16EE"/>
    <w:rsid w:val="384004B6"/>
    <w:rsid w:val="384A0EEA"/>
    <w:rsid w:val="386D59C9"/>
    <w:rsid w:val="38912AC0"/>
    <w:rsid w:val="38934A8A"/>
    <w:rsid w:val="38AF2F46"/>
    <w:rsid w:val="38C4052C"/>
    <w:rsid w:val="38E5105E"/>
    <w:rsid w:val="38EA6674"/>
    <w:rsid w:val="38EC05E0"/>
    <w:rsid w:val="38FB43DD"/>
    <w:rsid w:val="39240EF9"/>
    <w:rsid w:val="39514A69"/>
    <w:rsid w:val="395A4CE6"/>
    <w:rsid w:val="396C7089"/>
    <w:rsid w:val="397C551E"/>
    <w:rsid w:val="398E5251"/>
    <w:rsid w:val="39A5464D"/>
    <w:rsid w:val="39BF540B"/>
    <w:rsid w:val="39F318FC"/>
    <w:rsid w:val="39FF7E2E"/>
    <w:rsid w:val="3A014D54"/>
    <w:rsid w:val="3A033549"/>
    <w:rsid w:val="3A6D130B"/>
    <w:rsid w:val="3A7E52C6"/>
    <w:rsid w:val="3A814CE7"/>
    <w:rsid w:val="3A8E2FD1"/>
    <w:rsid w:val="3AA36ADA"/>
    <w:rsid w:val="3AAF39D1"/>
    <w:rsid w:val="3AB0548E"/>
    <w:rsid w:val="3AD64BEA"/>
    <w:rsid w:val="3B4A0C97"/>
    <w:rsid w:val="3B7B756F"/>
    <w:rsid w:val="3B8C371F"/>
    <w:rsid w:val="3B9308FD"/>
    <w:rsid w:val="3B932274"/>
    <w:rsid w:val="3BC87466"/>
    <w:rsid w:val="3BDE2506"/>
    <w:rsid w:val="3BFF41E4"/>
    <w:rsid w:val="3C047A4D"/>
    <w:rsid w:val="3C1E28BD"/>
    <w:rsid w:val="3C330E39"/>
    <w:rsid w:val="3C4D178D"/>
    <w:rsid w:val="3C5F6349"/>
    <w:rsid w:val="3C700C3E"/>
    <w:rsid w:val="3C862210"/>
    <w:rsid w:val="3CA07775"/>
    <w:rsid w:val="3CA32DC2"/>
    <w:rsid w:val="3CC316B6"/>
    <w:rsid w:val="3D186A9A"/>
    <w:rsid w:val="3D2863CE"/>
    <w:rsid w:val="3D673DEF"/>
    <w:rsid w:val="3D881438"/>
    <w:rsid w:val="3D9B1CEB"/>
    <w:rsid w:val="3DA55A8B"/>
    <w:rsid w:val="3DAF7400"/>
    <w:rsid w:val="3DBF0861"/>
    <w:rsid w:val="3DC47494"/>
    <w:rsid w:val="3DCE5E8F"/>
    <w:rsid w:val="3DE40001"/>
    <w:rsid w:val="3DEB4A20"/>
    <w:rsid w:val="3E2B306F"/>
    <w:rsid w:val="3E300685"/>
    <w:rsid w:val="3E421737"/>
    <w:rsid w:val="3E801498"/>
    <w:rsid w:val="3E853AAA"/>
    <w:rsid w:val="3E9926CE"/>
    <w:rsid w:val="3EAD6F0F"/>
    <w:rsid w:val="3EAE0A50"/>
    <w:rsid w:val="3ECF60F0"/>
    <w:rsid w:val="3ED4389D"/>
    <w:rsid w:val="3EE37DED"/>
    <w:rsid w:val="3EFB0E15"/>
    <w:rsid w:val="3F106FC1"/>
    <w:rsid w:val="3F141D55"/>
    <w:rsid w:val="3F1C33C6"/>
    <w:rsid w:val="3F24587C"/>
    <w:rsid w:val="3F416569"/>
    <w:rsid w:val="3F444DCC"/>
    <w:rsid w:val="3F5605BF"/>
    <w:rsid w:val="3F5900B0"/>
    <w:rsid w:val="3F6A0E3E"/>
    <w:rsid w:val="3F7C37F0"/>
    <w:rsid w:val="3F90288C"/>
    <w:rsid w:val="3F9115F7"/>
    <w:rsid w:val="3FDA5E5F"/>
    <w:rsid w:val="3FE67FE4"/>
    <w:rsid w:val="3FF52B85"/>
    <w:rsid w:val="401235A2"/>
    <w:rsid w:val="40161AFD"/>
    <w:rsid w:val="402E6E46"/>
    <w:rsid w:val="40305DE9"/>
    <w:rsid w:val="405B2F81"/>
    <w:rsid w:val="40677565"/>
    <w:rsid w:val="40730CFD"/>
    <w:rsid w:val="40792EE3"/>
    <w:rsid w:val="407E22C6"/>
    <w:rsid w:val="409018AF"/>
    <w:rsid w:val="40CD3ADB"/>
    <w:rsid w:val="40D907A9"/>
    <w:rsid w:val="40FC6F44"/>
    <w:rsid w:val="41016D9A"/>
    <w:rsid w:val="410925E7"/>
    <w:rsid w:val="4125649B"/>
    <w:rsid w:val="412C5A7C"/>
    <w:rsid w:val="41365678"/>
    <w:rsid w:val="4162149D"/>
    <w:rsid w:val="41692D8E"/>
    <w:rsid w:val="417325FA"/>
    <w:rsid w:val="417967E7"/>
    <w:rsid w:val="4184399F"/>
    <w:rsid w:val="41973319"/>
    <w:rsid w:val="41AA4BF2"/>
    <w:rsid w:val="41BE41FA"/>
    <w:rsid w:val="41C55586"/>
    <w:rsid w:val="41E424CB"/>
    <w:rsid w:val="41F0088E"/>
    <w:rsid w:val="42060270"/>
    <w:rsid w:val="420C765B"/>
    <w:rsid w:val="42164036"/>
    <w:rsid w:val="42224789"/>
    <w:rsid w:val="422E75D1"/>
    <w:rsid w:val="42336996"/>
    <w:rsid w:val="424B1F31"/>
    <w:rsid w:val="42641245"/>
    <w:rsid w:val="42745016"/>
    <w:rsid w:val="42815953"/>
    <w:rsid w:val="429A6A15"/>
    <w:rsid w:val="42A96C58"/>
    <w:rsid w:val="42D24401"/>
    <w:rsid w:val="42F52E10"/>
    <w:rsid w:val="43061665"/>
    <w:rsid w:val="432A2540"/>
    <w:rsid w:val="43302ED5"/>
    <w:rsid w:val="433441F5"/>
    <w:rsid w:val="433C5D1E"/>
    <w:rsid w:val="434A2E43"/>
    <w:rsid w:val="434F5A51"/>
    <w:rsid w:val="435220CC"/>
    <w:rsid w:val="43776D56"/>
    <w:rsid w:val="43A40672"/>
    <w:rsid w:val="43B84D02"/>
    <w:rsid w:val="441B1DD7"/>
    <w:rsid w:val="441C5EB0"/>
    <w:rsid w:val="443413B8"/>
    <w:rsid w:val="444E5D09"/>
    <w:rsid w:val="44703ED1"/>
    <w:rsid w:val="44767046"/>
    <w:rsid w:val="44775260"/>
    <w:rsid w:val="4485565B"/>
    <w:rsid w:val="44D53D34"/>
    <w:rsid w:val="44D65450"/>
    <w:rsid w:val="44D81A76"/>
    <w:rsid w:val="4513605A"/>
    <w:rsid w:val="45301187"/>
    <w:rsid w:val="454D157F"/>
    <w:rsid w:val="456C6A7A"/>
    <w:rsid w:val="457C4AF8"/>
    <w:rsid w:val="45806396"/>
    <w:rsid w:val="45975B03"/>
    <w:rsid w:val="45A22D38"/>
    <w:rsid w:val="45B03EB7"/>
    <w:rsid w:val="45B97A0D"/>
    <w:rsid w:val="45BC3925"/>
    <w:rsid w:val="45CA7611"/>
    <w:rsid w:val="45CB1419"/>
    <w:rsid w:val="45E64357"/>
    <w:rsid w:val="45EC1356"/>
    <w:rsid w:val="45FF0D12"/>
    <w:rsid w:val="462C3956"/>
    <w:rsid w:val="462D194E"/>
    <w:rsid w:val="466F1F67"/>
    <w:rsid w:val="4698770F"/>
    <w:rsid w:val="46CE3131"/>
    <w:rsid w:val="46DD36B0"/>
    <w:rsid w:val="47040901"/>
    <w:rsid w:val="470440CB"/>
    <w:rsid w:val="47262F6D"/>
    <w:rsid w:val="472D73FF"/>
    <w:rsid w:val="47347438"/>
    <w:rsid w:val="47443E67"/>
    <w:rsid w:val="47490A0A"/>
    <w:rsid w:val="475F1429"/>
    <w:rsid w:val="47680E90"/>
    <w:rsid w:val="47851633"/>
    <w:rsid w:val="47A619B8"/>
    <w:rsid w:val="47C22C96"/>
    <w:rsid w:val="48037958"/>
    <w:rsid w:val="481102EC"/>
    <w:rsid w:val="481C5453"/>
    <w:rsid w:val="4844455D"/>
    <w:rsid w:val="48561B05"/>
    <w:rsid w:val="485D2A1D"/>
    <w:rsid w:val="48735DEA"/>
    <w:rsid w:val="48A00AFD"/>
    <w:rsid w:val="48A56114"/>
    <w:rsid w:val="48BD16AF"/>
    <w:rsid w:val="48C65BBD"/>
    <w:rsid w:val="48D401DB"/>
    <w:rsid w:val="48E43864"/>
    <w:rsid w:val="48F067C4"/>
    <w:rsid w:val="48F3389D"/>
    <w:rsid w:val="48FF4C06"/>
    <w:rsid w:val="491F5EC6"/>
    <w:rsid w:val="49311755"/>
    <w:rsid w:val="496B4C67"/>
    <w:rsid w:val="497F6965"/>
    <w:rsid w:val="49AC1650"/>
    <w:rsid w:val="49D04453"/>
    <w:rsid w:val="49DB003F"/>
    <w:rsid w:val="49FA5FEB"/>
    <w:rsid w:val="4A186047"/>
    <w:rsid w:val="4A2F37DA"/>
    <w:rsid w:val="4A6022F2"/>
    <w:rsid w:val="4A6242BC"/>
    <w:rsid w:val="4A7162AD"/>
    <w:rsid w:val="4A7F6B37"/>
    <w:rsid w:val="4A801B89"/>
    <w:rsid w:val="4A83308A"/>
    <w:rsid w:val="4A8B215B"/>
    <w:rsid w:val="4A925B55"/>
    <w:rsid w:val="4A965D14"/>
    <w:rsid w:val="4AB31D2A"/>
    <w:rsid w:val="4AB443EC"/>
    <w:rsid w:val="4AC66295"/>
    <w:rsid w:val="4AE616BF"/>
    <w:rsid w:val="4B1F21AD"/>
    <w:rsid w:val="4B2F78B4"/>
    <w:rsid w:val="4B335C59"/>
    <w:rsid w:val="4B58121B"/>
    <w:rsid w:val="4B6416C5"/>
    <w:rsid w:val="4B6F1D2F"/>
    <w:rsid w:val="4BA80997"/>
    <w:rsid w:val="4BBC79FC"/>
    <w:rsid w:val="4BC16744"/>
    <w:rsid w:val="4BDF36EB"/>
    <w:rsid w:val="4BEB79AC"/>
    <w:rsid w:val="4BEC6B31"/>
    <w:rsid w:val="4C2A705C"/>
    <w:rsid w:val="4C3C0B3D"/>
    <w:rsid w:val="4C480FC0"/>
    <w:rsid w:val="4C771B75"/>
    <w:rsid w:val="4C8428B7"/>
    <w:rsid w:val="4CAA30EC"/>
    <w:rsid w:val="4CC62D22"/>
    <w:rsid w:val="4CD976DD"/>
    <w:rsid w:val="4CDC4199"/>
    <w:rsid w:val="4CE76CFB"/>
    <w:rsid w:val="4D0F1E57"/>
    <w:rsid w:val="4D1F6494"/>
    <w:rsid w:val="4D2A4601"/>
    <w:rsid w:val="4D30352B"/>
    <w:rsid w:val="4D333CEE"/>
    <w:rsid w:val="4D453A21"/>
    <w:rsid w:val="4D5600E4"/>
    <w:rsid w:val="4D6E13CC"/>
    <w:rsid w:val="4D6F2CBC"/>
    <w:rsid w:val="4D765615"/>
    <w:rsid w:val="4D7F0662"/>
    <w:rsid w:val="4D8E1BE9"/>
    <w:rsid w:val="4D942922"/>
    <w:rsid w:val="4D960765"/>
    <w:rsid w:val="4D962288"/>
    <w:rsid w:val="4DB17E43"/>
    <w:rsid w:val="4DD74FC1"/>
    <w:rsid w:val="4E7A3371"/>
    <w:rsid w:val="4E8161A0"/>
    <w:rsid w:val="4E9D1D67"/>
    <w:rsid w:val="4EA0023D"/>
    <w:rsid w:val="4EA50661"/>
    <w:rsid w:val="4EC04089"/>
    <w:rsid w:val="4ED80FF1"/>
    <w:rsid w:val="4EE80B08"/>
    <w:rsid w:val="4EE96D5A"/>
    <w:rsid w:val="4F443F90"/>
    <w:rsid w:val="4F56149D"/>
    <w:rsid w:val="4F613985"/>
    <w:rsid w:val="4F822D0B"/>
    <w:rsid w:val="4FA26F09"/>
    <w:rsid w:val="4FB102E7"/>
    <w:rsid w:val="4FDB73C7"/>
    <w:rsid w:val="4FFD135F"/>
    <w:rsid w:val="500D6A78"/>
    <w:rsid w:val="50102255"/>
    <w:rsid w:val="50106568"/>
    <w:rsid w:val="50302767"/>
    <w:rsid w:val="50562F56"/>
    <w:rsid w:val="505A77E4"/>
    <w:rsid w:val="505F79DB"/>
    <w:rsid w:val="5068178C"/>
    <w:rsid w:val="507B4249"/>
    <w:rsid w:val="507D6D29"/>
    <w:rsid w:val="50895C9C"/>
    <w:rsid w:val="50A55003"/>
    <w:rsid w:val="50AA2368"/>
    <w:rsid w:val="50B4234B"/>
    <w:rsid w:val="50C8299F"/>
    <w:rsid w:val="50D542E9"/>
    <w:rsid w:val="50E7376D"/>
    <w:rsid w:val="50ED0658"/>
    <w:rsid w:val="50EF0631"/>
    <w:rsid w:val="50FD56B8"/>
    <w:rsid w:val="510B1CEC"/>
    <w:rsid w:val="511F2F07"/>
    <w:rsid w:val="512E46A0"/>
    <w:rsid w:val="51330371"/>
    <w:rsid w:val="514F3B23"/>
    <w:rsid w:val="51721390"/>
    <w:rsid w:val="51752B27"/>
    <w:rsid w:val="51B90A9A"/>
    <w:rsid w:val="51FA74D0"/>
    <w:rsid w:val="521265C8"/>
    <w:rsid w:val="5217598C"/>
    <w:rsid w:val="52181704"/>
    <w:rsid w:val="522956BF"/>
    <w:rsid w:val="523E560F"/>
    <w:rsid w:val="524E4E27"/>
    <w:rsid w:val="5271432D"/>
    <w:rsid w:val="52727E30"/>
    <w:rsid w:val="52756B57"/>
    <w:rsid w:val="528079D5"/>
    <w:rsid w:val="52895E25"/>
    <w:rsid w:val="52CB49C9"/>
    <w:rsid w:val="52E16E11"/>
    <w:rsid w:val="52EB0BC7"/>
    <w:rsid w:val="52F65C9A"/>
    <w:rsid w:val="53526B93"/>
    <w:rsid w:val="53672256"/>
    <w:rsid w:val="537961D3"/>
    <w:rsid w:val="539114A7"/>
    <w:rsid w:val="53966D85"/>
    <w:rsid w:val="53AE131D"/>
    <w:rsid w:val="53B607BB"/>
    <w:rsid w:val="53B910B5"/>
    <w:rsid w:val="53D55AFF"/>
    <w:rsid w:val="53F02939"/>
    <w:rsid w:val="5402441A"/>
    <w:rsid w:val="540D4963"/>
    <w:rsid w:val="5411465D"/>
    <w:rsid w:val="541B38DD"/>
    <w:rsid w:val="54324CFF"/>
    <w:rsid w:val="543E18F6"/>
    <w:rsid w:val="544113E6"/>
    <w:rsid w:val="54502D39"/>
    <w:rsid w:val="547D39E4"/>
    <w:rsid w:val="548D1853"/>
    <w:rsid w:val="548F677C"/>
    <w:rsid w:val="549F7EBB"/>
    <w:rsid w:val="54BE2A37"/>
    <w:rsid w:val="54CB09CC"/>
    <w:rsid w:val="54D46A7D"/>
    <w:rsid w:val="54D82313"/>
    <w:rsid w:val="54E46D71"/>
    <w:rsid w:val="551663CF"/>
    <w:rsid w:val="55266A8D"/>
    <w:rsid w:val="55333061"/>
    <w:rsid w:val="55383A98"/>
    <w:rsid w:val="553B7BE4"/>
    <w:rsid w:val="554271C4"/>
    <w:rsid w:val="55664CBF"/>
    <w:rsid w:val="55680542"/>
    <w:rsid w:val="55765394"/>
    <w:rsid w:val="55857916"/>
    <w:rsid w:val="559346D9"/>
    <w:rsid w:val="55CD5ACF"/>
    <w:rsid w:val="55D3606E"/>
    <w:rsid w:val="55E7676A"/>
    <w:rsid w:val="55F2324D"/>
    <w:rsid w:val="56304F01"/>
    <w:rsid w:val="56327239"/>
    <w:rsid w:val="563D4E84"/>
    <w:rsid w:val="56667E72"/>
    <w:rsid w:val="56717635"/>
    <w:rsid w:val="568421D1"/>
    <w:rsid w:val="56BB3A79"/>
    <w:rsid w:val="56BF4B95"/>
    <w:rsid w:val="56DA5A78"/>
    <w:rsid w:val="56E44B68"/>
    <w:rsid w:val="56EB388B"/>
    <w:rsid w:val="56F928BE"/>
    <w:rsid w:val="57137F52"/>
    <w:rsid w:val="572A3578"/>
    <w:rsid w:val="57383CAF"/>
    <w:rsid w:val="574E77D1"/>
    <w:rsid w:val="575813E7"/>
    <w:rsid w:val="575B456D"/>
    <w:rsid w:val="576B2D7A"/>
    <w:rsid w:val="57771BE3"/>
    <w:rsid w:val="57923D07"/>
    <w:rsid w:val="57947C21"/>
    <w:rsid w:val="57C93927"/>
    <w:rsid w:val="57E75E01"/>
    <w:rsid w:val="580B0EAB"/>
    <w:rsid w:val="581035A9"/>
    <w:rsid w:val="581666E6"/>
    <w:rsid w:val="5829793B"/>
    <w:rsid w:val="582F1556"/>
    <w:rsid w:val="583A29FB"/>
    <w:rsid w:val="584119B5"/>
    <w:rsid w:val="585D4315"/>
    <w:rsid w:val="58855104"/>
    <w:rsid w:val="588B0E82"/>
    <w:rsid w:val="58B101BD"/>
    <w:rsid w:val="58BD534C"/>
    <w:rsid w:val="58C10E87"/>
    <w:rsid w:val="58CC166E"/>
    <w:rsid w:val="59050C34"/>
    <w:rsid w:val="591E5852"/>
    <w:rsid w:val="59260BAB"/>
    <w:rsid w:val="5927426C"/>
    <w:rsid w:val="592B4413"/>
    <w:rsid w:val="59352B9C"/>
    <w:rsid w:val="593E7CA2"/>
    <w:rsid w:val="59481412"/>
    <w:rsid w:val="59562C77"/>
    <w:rsid w:val="595C45CC"/>
    <w:rsid w:val="595D7221"/>
    <w:rsid w:val="596039E5"/>
    <w:rsid w:val="5967369D"/>
    <w:rsid w:val="596D67DA"/>
    <w:rsid w:val="597617D2"/>
    <w:rsid w:val="597948E4"/>
    <w:rsid w:val="597F1F2A"/>
    <w:rsid w:val="599E2E37"/>
    <w:rsid w:val="59BC4FED"/>
    <w:rsid w:val="59CF2FF0"/>
    <w:rsid w:val="5A040EEC"/>
    <w:rsid w:val="5A1B6236"/>
    <w:rsid w:val="5A2562BC"/>
    <w:rsid w:val="5A291356"/>
    <w:rsid w:val="5A4D7DAF"/>
    <w:rsid w:val="5A70032F"/>
    <w:rsid w:val="5A731BCE"/>
    <w:rsid w:val="5A744D96"/>
    <w:rsid w:val="5A82520F"/>
    <w:rsid w:val="5A867B53"/>
    <w:rsid w:val="5AA906A6"/>
    <w:rsid w:val="5AB203C8"/>
    <w:rsid w:val="5AB43A17"/>
    <w:rsid w:val="5ACE5056"/>
    <w:rsid w:val="5AED1980"/>
    <w:rsid w:val="5B4D2EC1"/>
    <w:rsid w:val="5B501B3A"/>
    <w:rsid w:val="5B571F8E"/>
    <w:rsid w:val="5B99781D"/>
    <w:rsid w:val="5B9B5A02"/>
    <w:rsid w:val="5BC00E43"/>
    <w:rsid w:val="5BC50747"/>
    <w:rsid w:val="5BCA10E8"/>
    <w:rsid w:val="5BD14B39"/>
    <w:rsid w:val="5BDF5215"/>
    <w:rsid w:val="5BF907F8"/>
    <w:rsid w:val="5C052CF9"/>
    <w:rsid w:val="5C4478F8"/>
    <w:rsid w:val="5C871960"/>
    <w:rsid w:val="5C9E149B"/>
    <w:rsid w:val="5CB1567D"/>
    <w:rsid w:val="5CB70498"/>
    <w:rsid w:val="5CB73713"/>
    <w:rsid w:val="5CBE2543"/>
    <w:rsid w:val="5CC13ECF"/>
    <w:rsid w:val="5CDE24A2"/>
    <w:rsid w:val="5CE024FC"/>
    <w:rsid w:val="5CF76AE6"/>
    <w:rsid w:val="5CFA5DE9"/>
    <w:rsid w:val="5D0463D2"/>
    <w:rsid w:val="5D0E5901"/>
    <w:rsid w:val="5D1A3CE9"/>
    <w:rsid w:val="5D3A69D3"/>
    <w:rsid w:val="5D417657"/>
    <w:rsid w:val="5D4635C9"/>
    <w:rsid w:val="5D720CED"/>
    <w:rsid w:val="5D7719D5"/>
    <w:rsid w:val="5D777C27"/>
    <w:rsid w:val="5D7C33B3"/>
    <w:rsid w:val="5DA27EEB"/>
    <w:rsid w:val="5DB43C38"/>
    <w:rsid w:val="5DB53F06"/>
    <w:rsid w:val="5DB8605A"/>
    <w:rsid w:val="5DCF35BF"/>
    <w:rsid w:val="5DFB2CE6"/>
    <w:rsid w:val="5E23286C"/>
    <w:rsid w:val="5E2A537C"/>
    <w:rsid w:val="5E345B18"/>
    <w:rsid w:val="5E4C10B3"/>
    <w:rsid w:val="5E4D1784"/>
    <w:rsid w:val="5E63348E"/>
    <w:rsid w:val="5E69536C"/>
    <w:rsid w:val="5E6F08FE"/>
    <w:rsid w:val="5E790DDF"/>
    <w:rsid w:val="5E895E64"/>
    <w:rsid w:val="5E9129FF"/>
    <w:rsid w:val="5EAA0B3D"/>
    <w:rsid w:val="5EAE1426"/>
    <w:rsid w:val="5EB8561F"/>
    <w:rsid w:val="5EC724E8"/>
    <w:rsid w:val="5ED05841"/>
    <w:rsid w:val="5ED32FCA"/>
    <w:rsid w:val="5EDB47BE"/>
    <w:rsid w:val="5EEE62D3"/>
    <w:rsid w:val="5EF37781"/>
    <w:rsid w:val="5F0B6E44"/>
    <w:rsid w:val="5F426E42"/>
    <w:rsid w:val="5F4F1DBC"/>
    <w:rsid w:val="5FA447DA"/>
    <w:rsid w:val="5FAD4C7C"/>
    <w:rsid w:val="5FBC7B73"/>
    <w:rsid w:val="5FCA2E7D"/>
    <w:rsid w:val="5FE07D05"/>
    <w:rsid w:val="5FEE7A27"/>
    <w:rsid w:val="5FFE40C5"/>
    <w:rsid w:val="603D0351"/>
    <w:rsid w:val="6041441E"/>
    <w:rsid w:val="60422732"/>
    <w:rsid w:val="60536729"/>
    <w:rsid w:val="606049A2"/>
    <w:rsid w:val="60755A9B"/>
    <w:rsid w:val="607D2A42"/>
    <w:rsid w:val="60AF1486"/>
    <w:rsid w:val="60C05441"/>
    <w:rsid w:val="60C211B9"/>
    <w:rsid w:val="60E26F9B"/>
    <w:rsid w:val="60F46ADC"/>
    <w:rsid w:val="60F872D1"/>
    <w:rsid w:val="60FF3C8B"/>
    <w:rsid w:val="61040363"/>
    <w:rsid w:val="61065C21"/>
    <w:rsid w:val="61120889"/>
    <w:rsid w:val="611D0AE5"/>
    <w:rsid w:val="615D3495"/>
    <w:rsid w:val="615D7134"/>
    <w:rsid w:val="61606F07"/>
    <w:rsid w:val="61677FB2"/>
    <w:rsid w:val="616927E9"/>
    <w:rsid w:val="61832F32"/>
    <w:rsid w:val="618943CD"/>
    <w:rsid w:val="61AE798F"/>
    <w:rsid w:val="61BA4586"/>
    <w:rsid w:val="61BC1D0D"/>
    <w:rsid w:val="61BF22B1"/>
    <w:rsid w:val="61C62F2B"/>
    <w:rsid w:val="61E03DC5"/>
    <w:rsid w:val="61E96DB8"/>
    <w:rsid w:val="621041A6"/>
    <w:rsid w:val="62121232"/>
    <w:rsid w:val="623405FC"/>
    <w:rsid w:val="624C395A"/>
    <w:rsid w:val="62775FD3"/>
    <w:rsid w:val="628232F6"/>
    <w:rsid w:val="62CF4061"/>
    <w:rsid w:val="62D1322E"/>
    <w:rsid w:val="62DB0C58"/>
    <w:rsid w:val="62E16861"/>
    <w:rsid w:val="62FD2FBC"/>
    <w:rsid w:val="63116428"/>
    <w:rsid w:val="63133F4E"/>
    <w:rsid w:val="631411D3"/>
    <w:rsid w:val="632E2B36"/>
    <w:rsid w:val="6331783B"/>
    <w:rsid w:val="63367FF0"/>
    <w:rsid w:val="635A5D45"/>
    <w:rsid w:val="63AC7EFE"/>
    <w:rsid w:val="63B0096C"/>
    <w:rsid w:val="63D8399D"/>
    <w:rsid w:val="63EF4F8A"/>
    <w:rsid w:val="63F57AF7"/>
    <w:rsid w:val="63FA25AE"/>
    <w:rsid w:val="64061766"/>
    <w:rsid w:val="6429154F"/>
    <w:rsid w:val="643248A8"/>
    <w:rsid w:val="64357EF4"/>
    <w:rsid w:val="64422EE1"/>
    <w:rsid w:val="64485E79"/>
    <w:rsid w:val="644E68BC"/>
    <w:rsid w:val="644F0FB6"/>
    <w:rsid w:val="64601415"/>
    <w:rsid w:val="64660DE2"/>
    <w:rsid w:val="64670975"/>
    <w:rsid w:val="64995609"/>
    <w:rsid w:val="64A5151D"/>
    <w:rsid w:val="64A94444"/>
    <w:rsid w:val="64AE3D29"/>
    <w:rsid w:val="64BA7ECF"/>
    <w:rsid w:val="64D05306"/>
    <w:rsid w:val="65181BD5"/>
    <w:rsid w:val="6535464F"/>
    <w:rsid w:val="65804A46"/>
    <w:rsid w:val="65C47781"/>
    <w:rsid w:val="65DF6369"/>
    <w:rsid w:val="65E648F1"/>
    <w:rsid w:val="660051BA"/>
    <w:rsid w:val="661577FC"/>
    <w:rsid w:val="662B5A52"/>
    <w:rsid w:val="664D59C9"/>
    <w:rsid w:val="665054B9"/>
    <w:rsid w:val="66A36C22"/>
    <w:rsid w:val="66AC566C"/>
    <w:rsid w:val="66D40875"/>
    <w:rsid w:val="66D8358D"/>
    <w:rsid w:val="66D9725C"/>
    <w:rsid w:val="66ED7B69"/>
    <w:rsid w:val="672F3320"/>
    <w:rsid w:val="67566AFF"/>
    <w:rsid w:val="676C7569"/>
    <w:rsid w:val="67992784"/>
    <w:rsid w:val="67A8307F"/>
    <w:rsid w:val="67B24074"/>
    <w:rsid w:val="67C73611"/>
    <w:rsid w:val="68294213"/>
    <w:rsid w:val="682A7219"/>
    <w:rsid w:val="686B482C"/>
    <w:rsid w:val="688E52F4"/>
    <w:rsid w:val="6897117D"/>
    <w:rsid w:val="68A5554E"/>
    <w:rsid w:val="68AC32D7"/>
    <w:rsid w:val="68B50CC9"/>
    <w:rsid w:val="68B72045"/>
    <w:rsid w:val="68B95597"/>
    <w:rsid w:val="68E343C2"/>
    <w:rsid w:val="68E402E6"/>
    <w:rsid w:val="68F022DB"/>
    <w:rsid w:val="68F260D2"/>
    <w:rsid w:val="690E39BB"/>
    <w:rsid w:val="692A6A89"/>
    <w:rsid w:val="693B7D5A"/>
    <w:rsid w:val="694C640B"/>
    <w:rsid w:val="695A4FEC"/>
    <w:rsid w:val="695D23C7"/>
    <w:rsid w:val="69A00505"/>
    <w:rsid w:val="69A47FF6"/>
    <w:rsid w:val="69A62F45"/>
    <w:rsid w:val="69AD360D"/>
    <w:rsid w:val="69CE5072"/>
    <w:rsid w:val="69FF3DA6"/>
    <w:rsid w:val="6A243740"/>
    <w:rsid w:val="6A415844"/>
    <w:rsid w:val="6A5F216E"/>
    <w:rsid w:val="6A843983"/>
    <w:rsid w:val="6AA36162"/>
    <w:rsid w:val="6AAB0F10"/>
    <w:rsid w:val="6AAE27AE"/>
    <w:rsid w:val="6ABA73A5"/>
    <w:rsid w:val="6AF40B09"/>
    <w:rsid w:val="6AF91C7B"/>
    <w:rsid w:val="6B056872"/>
    <w:rsid w:val="6B13267C"/>
    <w:rsid w:val="6B160FA9"/>
    <w:rsid w:val="6B2F4279"/>
    <w:rsid w:val="6B5B6CFE"/>
    <w:rsid w:val="6B945283"/>
    <w:rsid w:val="6B9C3DDF"/>
    <w:rsid w:val="6BBF4BA6"/>
    <w:rsid w:val="6BCF0C2E"/>
    <w:rsid w:val="6BF07E63"/>
    <w:rsid w:val="6C2236ED"/>
    <w:rsid w:val="6C4050F1"/>
    <w:rsid w:val="6C6D0B73"/>
    <w:rsid w:val="6C6E29DA"/>
    <w:rsid w:val="6C9854C4"/>
    <w:rsid w:val="6C9E0DB3"/>
    <w:rsid w:val="6CB54907"/>
    <w:rsid w:val="6CD3474E"/>
    <w:rsid w:val="6D082649"/>
    <w:rsid w:val="6D0907C7"/>
    <w:rsid w:val="6D0B19EF"/>
    <w:rsid w:val="6D3705A8"/>
    <w:rsid w:val="6D504638"/>
    <w:rsid w:val="6DA7180D"/>
    <w:rsid w:val="6DC43DA1"/>
    <w:rsid w:val="6DD24A05"/>
    <w:rsid w:val="6DD449ED"/>
    <w:rsid w:val="6DFB21AE"/>
    <w:rsid w:val="6DFC778C"/>
    <w:rsid w:val="6E0C6169"/>
    <w:rsid w:val="6E1F620B"/>
    <w:rsid w:val="6E386F5E"/>
    <w:rsid w:val="6E4C714B"/>
    <w:rsid w:val="6E4F6056"/>
    <w:rsid w:val="6E69536A"/>
    <w:rsid w:val="6E781A51"/>
    <w:rsid w:val="6E9A19C7"/>
    <w:rsid w:val="6ED63281"/>
    <w:rsid w:val="6F240E42"/>
    <w:rsid w:val="6F2431DF"/>
    <w:rsid w:val="6F516A80"/>
    <w:rsid w:val="6F605F58"/>
    <w:rsid w:val="6F7A525E"/>
    <w:rsid w:val="6F8E6C1A"/>
    <w:rsid w:val="6FB71DDC"/>
    <w:rsid w:val="6FCF744E"/>
    <w:rsid w:val="6FE80510"/>
    <w:rsid w:val="70057314"/>
    <w:rsid w:val="70251764"/>
    <w:rsid w:val="70412229"/>
    <w:rsid w:val="70A46938"/>
    <w:rsid w:val="70BD1D82"/>
    <w:rsid w:val="710018CC"/>
    <w:rsid w:val="711909E1"/>
    <w:rsid w:val="711C5DC8"/>
    <w:rsid w:val="71284FD1"/>
    <w:rsid w:val="712C181C"/>
    <w:rsid w:val="712D267F"/>
    <w:rsid w:val="713734FD"/>
    <w:rsid w:val="71557E27"/>
    <w:rsid w:val="71813699"/>
    <w:rsid w:val="71834994"/>
    <w:rsid w:val="71940794"/>
    <w:rsid w:val="71AB5C99"/>
    <w:rsid w:val="71AC1992"/>
    <w:rsid w:val="71BC42C1"/>
    <w:rsid w:val="71DF7D87"/>
    <w:rsid w:val="71E010FD"/>
    <w:rsid w:val="71E358D4"/>
    <w:rsid w:val="71E955B4"/>
    <w:rsid w:val="72037883"/>
    <w:rsid w:val="721C6DB2"/>
    <w:rsid w:val="722872EA"/>
    <w:rsid w:val="72361A07"/>
    <w:rsid w:val="725310CC"/>
    <w:rsid w:val="72541E8D"/>
    <w:rsid w:val="72563E57"/>
    <w:rsid w:val="725F3E95"/>
    <w:rsid w:val="72827E86"/>
    <w:rsid w:val="72867401"/>
    <w:rsid w:val="72885C0F"/>
    <w:rsid w:val="728F706D"/>
    <w:rsid w:val="72964253"/>
    <w:rsid w:val="72996FB8"/>
    <w:rsid w:val="72A5093A"/>
    <w:rsid w:val="72A51592"/>
    <w:rsid w:val="72B2286C"/>
    <w:rsid w:val="72B64CF1"/>
    <w:rsid w:val="72BC2E84"/>
    <w:rsid w:val="72C708B1"/>
    <w:rsid w:val="72E13807"/>
    <w:rsid w:val="72F718BE"/>
    <w:rsid w:val="730B275B"/>
    <w:rsid w:val="730B69EF"/>
    <w:rsid w:val="73274318"/>
    <w:rsid w:val="732763F5"/>
    <w:rsid w:val="733A72D5"/>
    <w:rsid w:val="733F6699"/>
    <w:rsid w:val="73465C7A"/>
    <w:rsid w:val="738A025C"/>
    <w:rsid w:val="739B64E9"/>
    <w:rsid w:val="73A34E7A"/>
    <w:rsid w:val="73A66718"/>
    <w:rsid w:val="73AD3F4B"/>
    <w:rsid w:val="73B3673E"/>
    <w:rsid w:val="73C82B32"/>
    <w:rsid w:val="74147B26"/>
    <w:rsid w:val="741E1EA8"/>
    <w:rsid w:val="74257F85"/>
    <w:rsid w:val="7443665D"/>
    <w:rsid w:val="74454183"/>
    <w:rsid w:val="744B676F"/>
    <w:rsid w:val="74751701"/>
    <w:rsid w:val="748A0524"/>
    <w:rsid w:val="748B051E"/>
    <w:rsid w:val="74911176"/>
    <w:rsid w:val="74BB2697"/>
    <w:rsid w:val="74CD7E40"/>
    <w:rsid w:val="74D270AD"/>
    <w:rsid w:val="74DC3800"/>
    <w:rsid w:val="74E120FE"/>
    <w:rsid w:val="74F82FA3"/>
    <w:rsid w:val="75502A43"/>
    <w:rsid w:val="75510906"/>
    <w:rsid w:val="75640639"/>
    <w:rsid w:val="756923C9"/>
    <w:rsid w:val="756F3792"/>
    <w:rsid w:val="75882579"/>
    <w:rsid w:val="75AB270C"/>
    <w:rsid w:val="75C80BC8"/>
    <w:rsid w:val="75DE488F"/>
    <w:rsid w:val="75E31EA6"/>
    <w:rsid w:val="75E579CC"/>
    <w:rsid w:val="75F01C92"/>
    <w:rsid w:val="76281A9E"/>
    <w:rsid w:val="764C2CEE"/>
    <w:rsid w:val="76612994"/>
    <w:rsid w:val="766521BF"/>
    <w:rsid w:val="76666DE6"/>
    <w:rsid w:val="768A068B"/>
    <w:rsid w:val="76A855A8"/>
    <w:rsid w:val="76D421E8"/>
    <w:rsid w:val="76F1414E"/>
    <w:rsid w:val="76FD6F97"/>
    <w:rsid w:val="77145783"/>
    <w:rsid w:val="77250108"/>
    <w:rsid w:val="773E213F"/>
    <w:rsid w:val="773F4EBA"/>
    <w:rsid w:val="774F13C6"/>
    <w:rsid w:val="77985E5E"/>
    <w:rsid w:val="77A77766"/>
    <w:rsid w:val="77BF424C"/>
    <w:rsid w:val="77C3470A"/>
    <w:rsid w:val="77CB0E43"/>
    <w:rsid w:val="78026675"/>
    <w:rsid w:val="78283BA0"/>
    <w:rsid w:val="783C589D"/>
    <w:rsid w:val="78620798"/>
    <w:rsid w:val="789467A1"/>
    <w:rsid w:val="78A51694"/>
    <w:rsid w:val="78AC47D1"/>
    <w:rsid w:val="78CC4E73"/>
    <w:rsid w:val="78CF789F"/>
    <w:rsid w:val="78E21FA1"/>
    <w:rsid w:val="790B487C"/>
    <w:rsid w:val="79254583"/>
    <w:rsid w:val="79273E57"/>
    <w:rsid w:val="79361655"/>
    <w:rsid w:val="797A042B"/>
    <w:rsid w:val="797D43BF"/>
    <w:rsid w:val="797D5CF8"/>
    <w:rsid w:val="798E3CD4"/>
    <w:rsid w:val="79AE6327"/>
    <w:rsid w:val="79D13BE6"/>
    <w:rsid w:val="79DA5474"/>
    <w:rsid w:val="7A097A01"/>
    <w:rsid w:val="7A1A52C9"/>
    <w:rsid w:val="7A2605B3"/>
    <w:rsid w:val="7A460355"/>
    <w:rsid w:val="7A4E3666"/>
    <w:rsid w:val="7A5C2227"/>
    <w:rsid w:val="7A5C53A7"/>
    <w:rsid w:val="7A772BBC"/>
    <w:rsid w:val="7A7E5845"/>
    <w:rsid w:val="7A83405B"/>
    <w:rsid w:val="7A861422"/>
    <w:rsid w:val="7A897603"/>
    <w:rsid w:val="7AC05D23"/>
    <w:rsid w:val="7ACB0265"/>
    <w:rsid w:val="7ACF0C29"/>
    <w:rsid w:val="7AD37078"/>
    <w:rsid w:val="7B170503"/>
    <w:rsid w:val="7B1D19B6"/>
    <w:rsid w:val="7B276391"/>
    <w:rsid w:val="7B2965AD"/>
    <w:rsid w:val="7B2A23B9"/>
    <w:rsid w:val="7B3311D9"/>
    <w:rsid w:val="7B486307"/>
    <w:rsid w:val="7B4D2C6C"/>
    <w:rsid w:val="7B6A4B7F"/>
    <w:rsid w:val="7B937ECA"/>
    <w:rsid w:val="7BA61FA1"/>
    <w:rsid w:val="7BB92E7D"/>
    <w:rsid w:val="7BBB62EC"/>
    <w:rsid w:val="7BD94FAC"/>
    <w:rsid w:val="7BF81ADB"/>
    <w:rsid w:val="7C3945CD"/>
    <w:rsid w:val="7C433F8A"/>
    <w:rsid w:val="7C52568F"/>
    <w:rsid w:val="7C5331B5"/>
    <w:rsid w:val="7C63789C"/>
    <w:rsid w:val="7C7139F7"/>
    <w:rsid w:val="7C7B758C"/>
    <w:rsid w:val="7C8A4E29"/>
    <w:rsid w:val="7CB20F74"/>
    <w:rsid w:val="7CD04806"/>
    <w:rsid w:val="7CDD6FB6"/>
    <w:rsid w:val="7D050953"/>
    <w:rsid w:val="7D1D3EEF"/>
    <w:rsid w:val="7D1F0C5F"/>
    <w:rsid w:val="7D56683F"/>
    <w:rsid w:val="7D67516A"/>
    <w:rsid w:val="7D767FD2"/>
    <w:rsid w:val="7DA36220"/>
    <w:rsid w:val="7DB87774"/>
    <w:rsid w:val="7DBF0DE0"/>
    <w:rsid w:val="7DDD542C"/>
    <w:rsid w:val="7DE65EF4"/>
    <w:rsid w:val="7DE66169"/>
    <w:rsid w:val="7DF5150A"/>
    <w:rsid w:val="7DF6029C"/>
    <w:rsid w:val="7E2B6198"/>
    <w:rsid w:val="7E47731B"/>
    <w:rsid w:val="7E4F463C"/>
    <w:rsid w:val="7E525E1A"/>
    <w:rsid w:val="7E526CD3"/>
    <w:rsid w:val="7E645B88"/>
    <w:rsid w:val="7E696CC0"/>
    <w:rsid w:val="7E73248E"/>
    <w:rsid w:val="7E76666C"/>
    <w:rsid w:val="7EB97C47"/>
    <w:rsid w:val="7EC42148"/>
    <w:rsid w:val="7EC9775F"/>
    <w:rsid w:val="7EDB3F5C"/>
    <w:rsid w:val="7EEE3685"/>
    <w:rsid w:val="7F054C3B"/>
    <w:rsid w:val="7F075501"/>
    <w:rsid w:val="7F1D6962"/>
    <w:rsid w:val="7F323556"/>
    <w:rsid w:val="7F3B4C8F"/>
    <w:rsid w:val="7F423DEF"/>
    <w:rsid w:val="7F444EDD"/>
    <w:rsid w:val="7F527AE0"/>
    <w:rsid w:val="7F5923A2"/>
    <w:rsid w:val="7F6E05FC"/>
    <w:rsid w:val="7F9B4D02"/>
    <w:rsid w:val="7FDF723A"/>
    <w:rsid w:val="7FF06E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4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4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4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945"/>
        <w:tab w:val="left" w:pos="1155"/>
      </w:tabs>
      <w:ind w:firstLine="420" w:firstLineChars="200"/>
    </w:pPr>
  </w:style>
  <w:style w:type="paragraph" w:styleId="3">
    <w:name w:val="Body Text Indent"/>
    <w:basedOn w:val="1"/>
    <w:next w:val="4"/>
    <w:link w:val="48"/>
    <w:qFormat/>
    <w:uiPriority w:val="0"/>
    <w:pPr>
      <w:adjustRightInd w:val="0"/>
      <w:spacing w:after="120" w:line="360" w:lineRule="atLeast"/>
      <w:ind w:left="420" w:leftChars="200"/>
      <w:jc w:val="left"/>
      <w:textAlignment w:val="baseline"/>
    </w:pPr>
    <w:rPr>
      <w:kern w:val="0"/>
      <w:sz w:val="24"/>
      <w:szCs w:val="20"/>
    </w:rPr>
  </w:style>
  <w:style w:type="paragraph" w:styleId="4">
    <w:name w:val="envelope return"/>
    <w:basedOn w:val="1"/>
    <w:unhideWhenUsed/>
    <w:qFormat/>
    <w:uiPriority w:val="99"/>
    <w:pPr>
      <w:snapToGrid w:val="0"/>
    </w:pPr>
    <w:rPr>
      <w:rFonts w:ascii="Arial" w:hAnsi="Arial"/>
    </w:rPr>
  </w:style>
  <w:style w:type="paragraph" w:styleId="9">
    <w:name w:val="Normal Indent"/>
    <w:basedOn w:val="1"/>
    <w:next w:val="10"/>
    <w:qFormat/>
    <w:uiPriority w:val="0"/>
    <w:pPr>
      <w:ind w:firstLine="425"/>
    </w:pPr>
    <w:rPr>
      <w:rFonts w:ascii="Times New Roman" w:hAnsi="Times New Roman" w:eastAsia="宋体" w:cs="Times New Roman"/>
      <w:szCs w:val="20"/>
    </w:rPr>
  </w:style>
  <w:style w:type="paragraph" w:customStyle="1" w:styleId="10">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11">
    <w:name w:val="caption"/>
    <w:basedOn w:val="1"/>
    <w:next w:val="1"/>
    <w:qFormat/>
    <w:uiPriority w:val="0"/>
    <w:rPr>
      <w:rFonts w:ascii="Arial" w:hAnsi="Arial" w:eastAsia="黑体" w:cs="Arial"/>
      <w:sz w:val="20"/>
      <w:szCs w:val="20"/>
    </w:rPr>
  </w:style>
  <w:style w:type="paragraph" w:styleId="12">
    <w:name w:val="annotation text"/>
    <w:basedOn w:val="1"/>
    <w:link w:val="75"/>
    <w:semiHidden/>
    <w:qFormat/>
    <w:uiPriority w:val="0"/>
    <w:pPr>
      <w:jc w:val="left"/>
    </w:pPr>
    <w:rPr>
      <w:rFonts w:ascii="Times New Roman" w:hAnsi="Times New Roman" w:eastAsia="宋体" w:cs="Times New Roman"/>
      <w:kern w:val="0"/>
      <w:sz w:val="20"/>
      <w:szCs w:val="24"/>
    </w:rPr>
  </w:style>
  <w:style w:type="paragraph" w:styleId="13">
    <w:name w:val="Body Text 3"/>
    <w:basedOn w:val="1"/>
    <w:link w:val="45"/>
    <w:qFormat/>
    <w:uiPriority w:val="0"/>
    <w:rPr>
      <w:rFonts w:ascii="Times New Roman" w:hAnsi="Times New Roman" w:eastAsia="宋体" w:cs="Times New Roman"/>
      <w:color w:val="FF0000"/>
      <w:sz w:val="24"/>
      <w:szCs w:val="24"/>
    </w:rPr>
  </w:style>
  <w:style w:type="paragraph" w:styleId="14">
    <w:name w:val="Body Text"/>
    <w:basedOn w:val="1"/>
    <w:next w:val="15"/>
    <w:link w:val="46"/>
    <w:unhideWhenUsed/>
    <w:qFormat/>
    <w:uiPriority w:val="1"/>
    <w:pPr>
      <w:spacing w:after="120"/>
    </w:pPr>
  </w:style>
  <w:style w:type="paragraph" w:customStyle="1" w:styleId="15">
    <w:name w:val="style4"/>
    <w:basedOn w:val="1"/>
    <w:next w:val="16"/>
    <w:qFormat/>
    <w:uiPriority w:val="0"/>
    <w:pPr>
      <w:widowControl/>
      <w:spacing w:before="280" w:after="280"/>
    </w:pPr>
    <w:rPr>
      <w:rFonts w:ascii="宋体" w:hAnsi="Times New Roman" w:eastAsia="宋体" w:cs="Times New Roman"/>
      <w:sz w:val="18"/>
    </w:rPr>
  </w:style>
  <w:style w:type="paragraph" w:customStyle="1" w:styleId="1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7">
    <w:name w:val="List 2"/>
    <w:basedOn w:val="1"/>
    <w:qFormat/>
    <w:uiPriority w:val="0"/>
    <w:pPr>
      <w:ind w:left="100" w:leftChars="200" w:hanging="200" w:hangingChars="200"/>
      <w:contextualSpacing/>
    </w:pPr>
  </w:style>
  <w:style w:type="paragraph" w:styleId="18">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9">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20">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21">
    <w:name w:val="Plain Text"/>
    <w:basedOn w:val="1"/>
    <w:link w:val="49"/>
    <w:qFormat/>
    <w:uiPriority w:val="99"/>
    <w:rPr>
      <w:rFonts w:eastAsia="宋体"/>
      <w:sz w:val="24"/>
    </w:rPr>
  </w:style>
  <w:style w:type="paragraph" w:styleId="22">
    <w:name w:val="Date"/>
    <w:basedOn w:val="1"/>
    <w:next w:val="1"/>
    <w:link w:val="50"/>
    <w:unhideWhenUsed/>
    <w:qFormat/>
    <w:uiPriority w:val="99"/>
    <w:pPr>
      <w:ind w:left="100" w:leftChars="2500"/>
    </w:pPr>
  </w:style>
  <w:style w:type="paragraph" w:styleId="23">
    <w:name w:val="Balloon Text"/>
    <w:basedOn w:val="1"/>
    <w:link w:val="52"/>
    <w:semiHidden/>
    <w:unhideWhenUsed/>
    <w:qFormat/>
    <w:uiPriority w:val="99"/>
    <w:rPr>
      <w:sz w:val="18"/>
      <w:szCs w:val="18"/>
    </w:rPr>
  </w:style>
  <w:style w:type="paragraph" w:styleId="24">
    <w:name w:val="footer"/>
    <w:basedOn w:val="1"/>
    <w:link w:val="53"/>
    <w:unhideWhenUsed/>
    <w:qFormat/>
    <w:uiPriority w:val="99"/>
    <w:pPr>
      <w:tabs>
        <w:tab w:val="center" w:pos="4153"/>
        <w:tab w:val="right" w:pos="8306"/>
      </w:tabs>
      <w:snapToGrid w:val="0"/>
      <w:jc w:val="left"/>
    </w:pPr>
    <w:rPr>
      <w:sz w:val="18"/>
      <w:szCs w:val="18"/>
    </w:rPr>
  </w:style>
  <w:style w:type="paragraph" w:styleId="25">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7">
    <w:name w:val="Body Text 2"/>
    <w:basedOn w:val="1"/>
    <w:qFormat/>
    <w:uiPriority w:val="0"/>
    <w:pPr>
      <w:spacing w:after="120" w:line="480" w:lineRule="auto"/>
    </w:pPr>
  </w:style>
  <w:style w:type="paragraph" w:styleId="28">
    <w:name w:val="HTML Preformatted"/>
    <w:basedOn w:val="1"/>
    <w:link w:val="5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9">
    <w:name w:val="Normal (Web)"/>
    <w:basedOn w:val="1"/>
    <w:qFormat/>
    <w:uiPriority w:val="99"/>
    <w:rPr>
      <w:rFonts w:ascii="Calibri" w:hAnsi="Calibri" w:eastAsia="宋体" w:cs="Times New Roman"/>
      <w:sz w:val="24"/>
      <w:szCs w:val="24"/>
    </w:rPr>
  </w:style>
  <w:style w:type="paragraph" w:styleId="30">
    <w:name w:val="Body Text First Indent"/>
    <w:basedOn w:val="14"/>
    <w:next w:val="2"/>
    <w:link w:val="57"/>
    <w:qFormat/>
    <w:uiPriority w:val="0"/>
    <w:pPr>
      <w:ind w:firstLine="420" w:firstLineChars="100"/>
    </w:pPr>
    <w:rPr>
      <w:rFonts w:ascii="宋体" w:hAnsi="Times New Roman" w:eastAsia="宋体" w:cs="Times New Roman"/>
      <w:kern w:val="0"/>
      <w:sz w:val="34"/>
      <w:szCs w:val="20"/>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bCs/>
    </w:rPr>
  </w:style>
  <w:style w:type="character" w:styleId="35">
    <w:name w:val="FollowedHyperlink"/>
    <w:basedOn w:val="33"/>
    <w:semiHidden/>
    <w:unhideWhenUsed/>
    <w:qFormat/>
    <w:uiPriority w:val="99"/>
    <w:rPr>
      <w:color w:val="000000"/>
      <w:u w:val="none"/>
    </w:rPr>
  </w:style>
  <w:style w:type="character" w:styleId="36">
    <w:name w:val="Emphasis"/>
    <w:basedOn w:val="33"/>
    <w:qFormat/>
    <w:uiPriority w:val="20"/>
    <w:rPr>
      <w:i/>
      <w:iCs/>
    </w:rPr>
  </w:style>
  <w:style w:type="character" w:styleId="37">
    <w:name w:val="Hyperlink"/>
    <w:basedOn w:val="33"/>
    <w:unhideWhenUsed/>
    <w:qFormat/>
    <w:uiPriority w:val="0"/>
    <w:rPr>
      <w:color w:val="000000"/>
      <w:u w:val="none"/>
    </w:rPr>
  </w:style>
  <w:style w:type="character" w:styleId="38">
    <w:name w:val="annotation reference"/>
    <w:qFormat/>
    <w:uiPriority w:val="0"/>
    <w:rPr>
      <w:sz w:val="21"/>
      <w:szCs w:val="21"/>
    </w:rPr>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列出段落1"/>
    <w:basedOn w:val="1"/>
    <w:qFormat/>
    <w:uiPriority w:val="34"/>
    <w:pPr>
      <w:ind w:firstLine="420" w:firstLineChars="200"/>
    </w:pPr>
  </w:style>
  <w:style w:type="character" w:customStyle="1" w:styleId="41">
    <w:name w:val="标题 1 Char"/>
    <w:basedOn w:val="33"/>
    <w:link w:val="5"/>
    <w:qFormat/>
    <w:uiPriority w:val="0"/>
    <w:rPr>
      <w:rFonts w:ascii="Calibri" w:hAnsi="Calibri" w:eastAsia="宋体" w:cs="Times New Roman"/>
      <w:b/>
      <w:bCs/>
      <w:kern w:val="44"/>
      <w:sz w:val="44"/>
      <w:szCs w:val="44"/>
    </w:rPr>
  </w:style>
  <w:style w:type="character" w:customStyle="1" w:styleId="42">
    <w:name w:val="标题 2 Char"/>
    <w:basedOn w:val="33"/>
    <w:link w:val="6"/>
    <w:qFormat/>
    <w:uiPriority w:val="0"/>
    <w:rPr>
      <w:rFonts w:ascii="Arial" w:hAnsi="Arial" w:eastAsia="黑体" w:cs="Times New Roman"/>
      <w:b/>
      <w:bCs/>
      <w:kern w:val="0"/>
      <w:sz w:val="32"/>
      <w:szCs w:val="32"/>
    </w:rPr>
  </w:style>
  <w:style w:type="character" w:customStyle="1" w:styleId="43">
    <w:name w:val="标题 3 Char"/>
    <w:basedOn w:val="33"/>
    <w:link w:val="7"/>
    <w:qFormat/>
    <w:uiPriority w:val="0"/>
    <w:rPr>
      <w:rFonts w:ascii="宋体" w:hAnsi="宋体" w:eastAsia="宋体" w:cs="Times New Roman"/>
      <w:b/>
      <w:color w:val="000000"/>
      <w:kern w:val="0"/>
      <w:sz w:val="24"/>
      <w:szCs w:val="20"/>
      <w:lang w:val="en-GB"/>
    </w:rPr>
  </w:style>
  <w:style w:type="character" w:customStyle="1" w:styleId="44">
    <w:name w:val="标题 4 Char"/>
    <w:basedOn w:val="33"/>
    <w:link w:val="8"/>
    <w:qFormat/>
    <w:uiPriority w:val="0"/>
    <w:rPr>
      <w:rFonts w:ascii="Arial" w:hAnsi="Arial" w:eastAsia="黑体" w:cs="Times New Roman"/>
      <w:b/>
      <w:bCs/>
      <w:kern w:val="0"/>
      <w:sz w:val="28"/>
      <w:szCs w:val="28"/>
    </w:rPr>
  </w:style>
  <w:style w:type="character" w:customStyle="1" w:styleId="45">
    <w:name w:val="正文文本 3 Char"/>
    <w:basedOn w:val="33"/>
    <w:link w:val="13"/>
    <w:qFormat/>
    <w:uiPriority w:val="0"/>
    <w:rPr>
      <w:rFonts w:ascii="Times New Roman" w:hAnsi="Times New Roman" w:eastAsia="宋体" w:cs="Times New Roman"/>
      <w:color w:val="FF0000"/>
      <w:sz w:val="24"/>
      <w:szCs w:val="24"/>
    </w:rPr>
  </w:style>
  <w:style w:type="character" w:customStyle="1" w:styleId="46">
    <w:name w:val="正文文本 Char"/>
    <w:basedOn w:val="33"/>
    <w:link w:val="14"/>
    <w:qFormat/>
    <w:uiPriority w:val="99"/>
  </w:style>
  <w:style w:type="character" w:customStyle="1" w:styleId="47">
    <w:name w:val="正文文本缩进 Char"/>
    <w:basedOn w:val="33"/>
    <w:qFormat/>
    <w:uiPriority w:val="0"/>
  </w:style>
  <w:style w:type="character" w:customStyle="1" w:styleId="48">
    <w:name w:val="正文文本缩进 Char1"/>
    <w:basedOn w:val="33"/>
    <w:link w:val="3"/>
    <w:qFormat/>
    <w:uiPriority w:val="0"/>
    <w:rPr>
      <w:kern w:val="0"/>
      <w:sz w:val="24"/>
      <w:szCs w:val="20"/>
    </w:rPr>
  </w:style>
  <w:style w:type="character" w:customStyle="1" w:styleId="49">
    <w:name w:val="纯文本 Char"/>
    <w:basedOn w:val="33"/>
    <w:link w:val="21"/>
    <w:qFormat/>
    <w:uiPriority w:val="99"/>
    <w:rPr>
      <w:rFonts w:eastAsia="宋体"/>
      <w:sz w:val="24"/>
    </w:rPr>
  </w:style>
  <w:style w:type="character" w:customStyle="1" w:styleId="50">
    <w:name w:val="日期 Char"/>
    <w:basedOn w:val="33"/>
    <w:link w:val="22"/>
    <w:qFormat/>
    <w:uiPriority w:val="99"/>
  </w:style>
  <w:style w:type="character" w:customStyle="1" w:styleId="51">
    <w:name w:val="批注框文本 Char"/>
    <w:basedOn w:val="33"/>
    <w:semiHidden/>
    <w:qFormat/>
    <w:uiPriority w:val="99"/>
    <w:rPr>
      <w:sz w:val="18"/>
      <w:szCs w:val="18"/>
    </w:rPr>
  </w:style>
  <w:style w:type="character" w:customStyle="1" w:styleId="52">
    <w:name w:val="批注框文本 Char1"/>
    <w:basedOn w:val="33"/>
    <w:link w:val="23"/>
    <w:semiHidden/>
    <w:qFormat/>
    <w:uiPriority w:val="99"/>
    <w:rPr>
      <w:sz w:val="18"/>
      <w:szCs w:val="18"/>
    </w:rPr>
  </w:style>
  <w:style w:type="character" w:customStyle="1" w:styleId="53">
    <w:name w:val="页脚 Char"/>
    <w:basedOn w:val="33"/>
    <w:link w:val="24"/>
    <w:qFormat/>
    <w:uiPriority w:val="99"/>
    <w:rPr>
      <w:sz w:val="18"/>
      <w:szCs w:val="18"/>
    </w:rPr>
  </w:style>
  <w:style w:type="character" w:customStyle="1" w:styleId="54">
    <w:name w:val="页眉 Char"/>
    <w:basedOn w:val="33"/>
    <w:link w:val="25"/>
    <w:qFormat/>
    <w:uiPriority w:val="99"/>
    <w:rPr>
      <w:sz w:val="18"/>
      <w:szCs w:val="18"/>
    </w:rPr>
  </w:style>
  <w:style w:type="character" w:customStyle="1" w:styleId="55">
    <w:name w:val="HTML 预设格式 Char"/>
    <w:basedOn w:val="33"/>
    <w:semiHidden/>
    <w:qFormat/>
    <w:uiPriority w:val="99"/>
    <w:rPr>
      <w:rFonts w:ascii="宋体" w:hAnsi="宋体" w:eastAsia="宋体" w:cs="宋体"/>
      <w:kern w:val="0"/>
      <w:sz w:val="24"/>
      <w:szCs w:val="24"/>
    </w:rPr>
  </w:style>
  <w:style w:type="character" w:customStyle="1" w:styleId="56">
    <w:name w:val="HTML 预设格式 Char1"/>
    <w:basedOn w:val="33"/>
    <w:link w:val="28"/>
    <w:semiHidden/>
    <w:qFormat/>
    <w:uiPriority w:val="99"/>
    <w:rPr>
      <w:rFonts w:ascii="Courier New" w:hAnsi="Courier New" w:cs="Courier New"/>
      <w:sz w:val="20"/>
      <w:szCs w:val="20"/>
    </w:rPr>
  </w:style>
  <w:style w:type="character" w:customStyle="1" w:styleId="57">
    <w:name w:val="正文首行缩进 Char"/>
    <w:basedOn w:val="46"/>
    <w:link w:val="30"/>
    <w:qFormat/>
    <w:uiPriority w:val="0"/>
    <w:rPr>
      <w:rFonts w:ascii="宋体" w:hAnsi="Times New Roman" w:eastAsia="宋体" w:cs="Times New Roman"/>
      <w:kern w:val="0"/>
      <w:sz w:val="34"/>
      <w:szCs w:val="20"/>
    </w:rPr>
  </w:style>
  <w:style w:type="character" w:customStyle="1" w:styleId="58">
    <w:name w:val="纯文本 Char1"/>
    <w:qFormat/>
    <w:uiPriority w:val="0"/>
    <w:rPr>
      <w:rFonts w:eastAsia="宋体"/>
      <w:sz w:val="24"/>
    </w:rPr>
  </w:style>
  <w:style w:type="paragraph" w:styleId="59">
    <w:name w:val="List Paragraph"/>
    <w:basedOn w:val="1"/>
    <w:unhideWhenUsed/>
    <w:qFormat/>
    <w:uiPriority w:val="99"/>
    <w:pPr>
      <w:ind w:firstLine="420" w:firstLineChars="200"/>
    </w:pPr>
  </w:style>
  <w:style w:type="character" w:customStyle="1" w:styleId="60">
    <w:name w:val="正文文本缩进 Char Char"/>
    <w:link w:val="61"/>
    <w:qFormat/>
    <w:uiPriority w:val="0"/>
    <w:rPr>
      <w:rFonts w:ascii="宋体"/>
      <w:sz w:val="24"/>
    </w:rPr>
  </w:style>
  <w:style w:type="paragraph" w:customStyle="1" w:styleId="61">
    <w:name w:val="正文文本缩进1"/>
    <w:basedOn w:val="1"/>
    <w:link w:val="60"/>
    <w:qFormat/>
    <w:uiPriority w:val="0"/>
    <w:pPr>
      <w:spacing w:line="360" w:lineRule="auto"/>
      <w:ind w:firstLine="480" w:firstLineChars="200"/>
    </w:pPr>
    <w:rPr>
      <w:rFonts w:ascii="宋体"/>
      <w:sz w:val="24"/>
    </w:rPr>
  </w:style>
  <w:style w:type="character" w:customStyle="1" w:styleId="62">
    <w:name w:val="日期 Char Char"/>
    <w:link w:val="63"/>
    <w:qFormat/>
    <w:uiPriority w:val="0"/>
    <w:rPr>
      <w:sz w:val="24"/>
    </w:rPr>
  </w:style>
  <w:style w:type="paragraph" w:customStyle="1" w:styleId="63">
    <w:name w:val="日期1"/>
    <w:basedOn w:val="1"/>
    <w:next w:val="1"/>
    <w:link w:val="62"/>
    <w:qFormat/>
    <w:uiPriority w:val="0"/>
    <w:rPr>
      <w:sz w:val="24"/>
    </w:rPr>
  </w:style>
  <w:style w:type="paragraph" w:customStyle="1" w:styleId="64">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5">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6">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7">
    <w:name w:val="edittexttarea"/>
    <w:basedOn w:val="33"/>
    <w:qFormat/>
    <w:uiPriority w:val="0"/>
  </w:style>
  <w:style w:type="paragraph" w:customStyle="1" w:styleId="68">
    <w:name w:val="样式 标题 1 + 四号 居中 段前: 12 磅 段后: 12 磅 行距: 单倍行距"/>
    <w:basedOn w:val="5"/>
    <w:qFormat/>
    <w:uiPriority w:val="0"/>
    <w:pPr>
      <w:spacing w:before="240" w:after="240" w:line="240" w:lineRule="auto"/>
      <w:ind w:left="-288"/>
      <w:jc w:val="center"/>
    </w:pPr>
    <w:rPr>
      <w:rFonts w:cs="宋体"/>
      <w:sz w:val="28"/>
      <w:szCs w:val="20"/>
    </w:rPr>
  </w:style>
  <w:style w:type="paragraph" w:customStyle="1" w:styleId="69">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70">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71">
    <w:name w:val="*正文"/>
    <w:basedOn w:val="1"/>
    <w:qFormat/>
    <w:uiPriority w:val="0"/>
    <w:pPr>
      <w:keepNext/>
      <w:keepLines/>
      <w:spacing w:line="360" w:lineRule="auto"/>
      <w:ind w:firstLine="200" w:firstLineChars="200"/>
    </w:pPr>
    <w:rPr>
      <w:rFonts w:ascii="宋体" w:hAnsi="宋体"/>
    </w:rPr>
  </w:style>
  <w:style w:type="paragraph" w:customStyle="1" w:styleId="72">
    <w:name w:val="表格样式"/>
    <w:qFormat/>
    <w:uiPriority w:val="0"/>
    <w:pPr>
      <w:framePr w:hSpace="180" w:wrap="around" w:vAnchor="text" w:hAnchor="page" w:x="1582" w:y="302"/>
      <w:contextualSpacing/>
    </w:pPr>
    <w:rPr>
      <w:rFonts w:ascii="宋体" w:hAnsi="微软雅黑" w:eastAsia="宋体" w:cs="Times New Roman"/>
      <w:kern w:val="2"/>
      <w:sz w:val="24"/>
      <w:szCs w:val="28"/>
      <w:lang w:val="en-US" w:eastAsia="zh-CN" w:bidi="ar-SA"/>
    </w:rPr>
  </w:style>
  <w:style w:type="paragraph" w:styleId="73">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74">
    <w:name w:val="列表段落1"/>
    <w:basedOn w:val="1"/>
    <w:qFormat/>
    <w:uiPriority w:val="1"/>
    <w:pPr>
      <w:ind w:firstLine="420"/>
    </w:pPr>
  </w:style>
  <w:style w:type="character" w:customStyle="1" w:styleId="75">
    <w:name w:val="批注文字 Char"/>
    <w:link w:val="12"/>
    <w:semiHidden/>
    <w:qFormat/>
    <w:uiPriority w:val="0"/>
    <w:rPr>
      <w:szCs w:val="24"/>
    </w:rPr>
  </w:style>
  <w:style w:type="character" w:customStyle="1" w:styleId="76">
    <w:name w:val="批注文字 字符"/>
    <w:basedOn w:val="33"/>
    <w:semiHidden/>
    <w:qFormat/>
    <w:uiPriority w:val="99"/>
    <w:rPr>
      <w:rFonts w:asciiTheme="minorHAnsi" w:hAnsiTheme="minorHAnsi" w:eastAsiaTheme="minorEastAsia" w:cstheme="minorBidi"/>
      <w:kern w:val="2"/>
      <w:sz w:val="21"/>
      <w:szCs w:val="22"/>
    </w:rPr>
  </w:style>
  <w:style w:type="paragraph" w:customStyle="1" w:styleId="77">
    <w:name w:val="无间隔1"/>
    <w:basedOn w:val="1"/>
    <w:qFormat/>
    <w:uiPriority w:val="0"/>
    <w:pPr>
      <w:spacing w:line="400" w:lineRule="exact"/>
    </w:pPr>
    <w:rPr>
      <w:sz w:val="24"/>
    </w:rPr>
  </w:style>
  <w:style w:type="character" w:customStyle="1" w:styleId="78">
    <w:name w:val="right"/>
    <w:basedOn w:val="33"/>
    <w:qFormat/>
    <w:uiPriority w:val="0"/>
    <w:rPr>
      <w:color w:val="999999"/>
      <w:sz w:val="18"/>
      <w:szCs w:val="18"/>
    </w:rPr>
  </w:style>
  <w:style w:type="character" w:customStyle="1" w:styleId="79">
    <w:name w:val="green"/>
    <w:basedOn w:val="33"/>
    <w:qFormat/>
    <w:uiPriority w:val="0"/>
    <w:rPr>
      <w:color w:val="66AE00"/>
      <w:sz w:val="18"/>
      <w:szCs w:val="18"/>
    </w:rPr>
  </w:style>
  <w:style w:type="character" w:customStyle="1" w:styleId="80">
    <w:name w:val="red"/>
    <w:basedOn w:val="33"/>
    <w:qFormat/>
    <w:uiPriority w:val="0"/>
    <w:rPr>
      <w:color w:val="FF0000"/>
      <w:sz w:val="18"/>
      <w:szCs w:val="18"/>
    </w:rPr>
  </w:style>
  <w:style w:type="character" w:customStyle="1" w:styleId="81">
    <w:name w:val="red1"/>
    <w:basedOn w:val="33"/>
    <w:qFormat/>
    <w:uiPriority w:val="0"/>
    <w:rPr>
      <w:color w:val="66AE00"/>
      <w:sz w:val="18"/>
      <w:szCs w:val="18"/>
    </w:rPr>
  </w:style>
  <w:style w:type="character" w:customStyle="1" w:styleId="82">
    <w:name w:val="red2"/>
    <w:basedOn w:val="33"/>
    <w:qFormat/>
    <w:uiPriority w:val="0"/>
    <w:rPr>
      <w:color w:val="CC0000"/>
    </w:rPr>
  </w:style>
  <w:style w:type="character" w:customStyle="1" w:styleId="83">
    <w:name w:val="red3"/>
    <w:basedOn w:val="33"/>
    <w:qFormat/>
    <w:uiPriority w:val="0"/>
    <w:rPr>
      <w:color w:val="FF0000"/>
    </w:rPr>
  </w:style>
  <w:style w:type="character" w:customStyle="1" w:styleId="84">
    <w:name w:val="hover25"/>
    <w:basedOn w:val="33"/>
    <w:qFormat/>
    <w:uiPriority w:val="0"/>
  </w:style>
  <w:style w:type="character" w:customStyle="1" w:styleId="85">
    <w:name w:val="active4"/>
    <w:basedOn w:val="33"/>
    <w:qFormat/>
    <w:uiPriority w:val="0"/>
    <w:rPr>
      <w:color w:val="FFFFFF"/>
      <w:shd w:val="clear" w:color="auto" w:fill="2B7AFC"/>
    </w:rPr>
  </w:style>
  <w:style w:type="character" w:customStyle="1" w:styleId="86">
    <w:name w:val="blue"/>
    <w:basedOn w:val="33"/>
    <w:qFormat/>
    <w:uiPriority w:val="0"/>
    <w:rPr>
      <w:color w:val="0371C6"/>
      <w:sz w:val="21"/>
      <w:szCs w:val="21"/>
    </w:rPr>
  </w:style>
  <w:style w:type="character" w:customStyle="1" w:styleId="87">
    <w:name w:val="gb-jt"/>
    <w:basedOn w:val="33"/>
    <w:qFormat/>
    <w:uiPriority w:val="0"/>
  </w:style>
  <w:style w:type="character" w:customStyle="1" w:styleId="88">
    <w:name w:val="green1"/>
    <w:basedOn w:val="33"/>
    <w:qFormat/>
    <w:uiPriority w:val="0"/>
    <w:rPr>
      <w:color w:val="66AE00"/>
      <w:sz w:val="18"/>
      <w:szCs w:val="18"/>
    </w:rPr>
  </w:style>
  <w:style w:type="character" w:customStyle="1" w:styleId="89">
    <w:name w:val="NormalCharacter"/>
    <w:qFormat/>
    <w:uiPriority w:val="0"/>
  </w:style>
  <w:style w:type="paragraph" w:customStyle="1" w:styleId="90">
    <w:name w:val="HtmlNormal"/>
    <w:basedOn w:val="1"/>
    <w:qFormat/>
    <w:uiPriority w:val="0"/>
    <w:rPr>
      <w:sz w:val="24"/>
      <w:szCs w:val="24"/>
    </w:rPr>
  </w:style>
  <w:style w:type="character" w:customStyle="1" w:styleId="91">
    <w:name w:val="font61"/>
    <w:basedOn w:val="33"/>
    <w:qFormat/>
    <w:uiPriority w:val="0"/>
    <w:rPr>
      <w:rFonts w:hint="eastAsia" w:ascii="宋体" w:hAnsi="宋体" w:eastAsia="宋体" w:cs="宋体"/>
      <w:color w:val="000000"/>
      <w:sz w:val="21"/>
      <w:szCs w:val="21"/>
      <w:u w:val="none"/>
    </w:rPr>
  </w:style>
  <w:style w:type="paragraph" w:customStyle="1" w:styleId="92">
    <w:name w:val="Table Text"/>
    <w:basedOn w:val="1"/>
    <w:semiHidden/>
    <w:qFormat/>
    <w:uiPriority w:val="0"/>
    <w:rPr>
      <w:rFonts w:ascii="宋体" w:hAnsi="宋体" w:eastAsia="宋体" w:cs="宋体"/>
      <w:sz w:val="21"/>
      <w:szCs w:val="21"/>
      <w:lang w:val="en-US" w:eastAsia="en-US" w:bidi="ar-SA"/>
    </w:rPr>
  </w:style>
  <w:style w:type="table" w:customStyle="1" w:styleId="93">
    <w:name w:val="Table Normal"/>
    <w:semiHidden/>
    <w:unhideWhenUsed/>
    <w:qFormat/>
    <w:uiPriority w:val="0"/>
    <w:tblPr>
      <w:tblCellMar>
        <w:top w:w="0" w:type="dxa"/>
        <w:left w:w="0" w:type="dxa"/>
        <w:bottom w:w="0" w:type="dxa"/>
        <w:right w:w="0" w:type="dxa"/>
      </w:tblCellMar>
    </w:tblPr>
  </w:style>
  <w:style w:type="paragraph" w:customStyle="1" w:styleId="94">
    <w:name w:val="表格文字"/>
    <w:basedOn w:val="1"/>
    <w:next w:val="14"/>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95">
    <w:name w:val="Body text|4"/>
    <w:basedOn w:val="1"/>
    <w:qFormat/>
    <w:uiPriority w:val="0"/>
    <w:pPr>
      <w:widowControl w:val="0"/>
      <w:shd w:val="clear" w:color="auto" w:fill="auto"/>
      <w:ind w:right="660"/>
      <w:jc w:val="right"/>
    </w:pPr>
    <w:rPr>
      <w:rFonts w:ascii="宋体" w:hAnsi="宋体" w:eastAsia="宋体" w:cs="宋体"/>
      <w:color w:val="434E5A"/>
      <w:sz w:val="26"/>
      <w:szCs w:val="26"/>
      <w:u w:val="none"/>
      <w:shd w:val="clear" w:color="auto" w:fill="auto"/>
      <w:lang w:val="zh-TW" w:eastAsia="zh-TW" w:bidi="zh-TW"/>
    </w:rPr>
  </w:style>
  <w:style w:type="paragraph" w:customStyle="1" w:styleId="96">
    <w:name w:val="Heading #2|1"/>
    <w:basedOn w:val="1"/>
    <w:qFormat/>
    <w:uiPriority w:val="0"/>
    <w:pPr>
      <w:widowControl w:val="0"/>
      <w:shd w:val="clear" w:color="auto" w:fill="auto"/>
      <w:spacing w:after="270" w:line="590" w:lineRule="exact"/>
      <w:jc w:val="center"/>
      <w:outlineLvl w:val="1"/>
    </w:pPr>
    <w:rPr>
      <w:rFonts w:ascii="宋体" w:hAnsi="宋体" w:eastAsia="宋体" w:cs="宋体"/>
      <w:color w:val="58646D"/>
      <w:sz w:val="42"/>
      <w:szCs w:val="42"/>
      <w:u w:val="none"/>
      <w:shd w:val="clear" w:color="auto" w:fill="auto"/>
      <w:lang w:val="zh-TW" w:eastAsia="zh-TW" w:bidi="zh-TW"/>
    </w:rPr>
  </w:style>
  <w:style w:type="paragraph" w:customStyle="1" w:styleId="97">
    <w:name w:val="Body text|1"/>
    <w:basedOn w:val="1"/>
    <w:qFormat/>
    <w:uiPriority w:val="0"/>
    <w:pPr>
      <w:widowControl w:val="0"/>
      <w:shd w:val="clear" w:color="auto" w:fill="auto"/>
      <w:spacing w:line="379" w:lineRule="auto"/>
      <w:ind w:firstLine="400"/>
    </w:pPr>
    <w:rPr>
      <w:rFonts w:ascii="宋体" w:hAnsi="宋体" w:eastAsia="宋体" w:cs="宋体"/>
      <w:color w:val="434E5A"/>
      <w:sz w:val="22"/>
      <w:szCs w:val="22"/>
      <w:u w:val="none"/>
      <w:shd w:val="clear" w:color="auto" w:fill="auto"/>
      <w:lang w:val="zh-TW" w:eastAsia="zh-TW" w:bidi="zh-TW"/>
    </w:rPr>
  </w:style>
  <w:style w:type="paragraph" w:customStyle="1" w:styleId="98">
    <w:name w:val="Header or footer|1"/>
    <w:basedOn w:val="1"/>
    <w:qFormat/>
    <w:uiPriority w:val="0"/>
    <w:pPr>
      <w:widowControl w:val="0"/>
      <w:shd w:val="clear" w:color="auto" w:fill="auto"/>
    </w:pPr>
    <w:rPr>
      <w:sz w:val="17"/>
      <w:szCs w:val="17"/>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58</Pages>
  <Words>17814</Words>
  <Characters>18845</Characters>
  <Lines>297</Lines>
  <Paragraphs>83</Paragraphs>
  <TotalTime>16</TotalTime>
  <ScaleCrop>false</ScaleCrop>
  <LinksUpToDate>false</LinksUpToDate>
  <CharactersWithSpaces>19039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许昌市公共资源交易中心:孟莉</dc:creator>
  <cp:lastModifiedBy>连丹丹</cp:lastModifiedBy>
  <cp:lastPrinted>2025-04-10T01:00:00Z</cp:lastPrinted>
  <dcterms:modified xsi:type="dcterms:W3CDTF">2025-04-25T01:35:05Z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60459BD77B1F4CC79F36477D34209FA7_13</vt:lpwstr>
  </property>
  <property fmtid="{D5CDD505-2E9C-101B-9397-08002B2CF9AE}" pid="4" name="KSOTemplateDocerSaveRecord">
    <vt:lpwstr>eyJoZGlkIjoiNGE3ZjliMjI0MTgzMThhM2Y2N2NlNjI2ODI3MjQ2NTAiLCJ1c2VySWQiOiI4Mjc5NTY1MzYifQ==</vt:lpwstr>
  </property>
</Properties>
</file>