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B7951D">
      <w:pPr>
        <w:spacing w:line="360" w:lineRule="auto"/>
        <w:jc w:val="center"/>
        <w:rPr>
          <w:rFonts w:hint="eastAsia" w:hAnsi="宋体"/>
          <w:b/>
          <w:color w:val="auto"/>
          <w:sz w:val="28"/>
          <w:szCs w:val="28"/>
          <w:highlight w:val="none"/>
        </w:rPr>
      </w:pPr>
      <w:bookmarkStart w:id="7" w:name="_GoBack"/>
      <w:bookmarkStart w:id="0" w:name="_Hlk193791329"/>
      <w:bookmarkStart w:id="1" w:name="_Hlk72159457"/>
      <w:bookmarkStart w:id="2" w:name="_Hlk71819506"/>
      <w:bookmarkStart w:id="3" w:name="_Hlk151129143"/>
      <w:bookmarkStart w:id="4" w:name="_Hlk176972505"/>
      <w:bookmarkStart w:id="5" w:name="_Hlk109377871"/>
      <w:bookmarkStart w:id="6" w:name="_Hlk176884744"/>
      <w:r>
        <w:rPr>
          <w:rFonts w:hAnsi="宋体"/>
          <w:b/>
          <w:color w:val="auto"/>
          <w:sz w:val="28"/>
          <w:szCs w:val="28"/>
          <w:highlight w:val="none"/>
        </w:rPr>
        <w:t>JSGC-</w:t>
      </w:r>
      <w:r>
        <w:rPr>
          <w:rFonts w:hint="eastAsia" w:hAnsi="宋体"/>
          <w:b/>
          <w:color w:val="auto"/>
          <w:sz w:val="28"/>
          <w:szCs w:val="28"/>
          <w:highlight w:val="none"/>
        </w:rPr>
        <w:t>NY</w:t>
      </w:r>
      <w:r>
        <w:rPr>
          <w:rFonts w:hAnsi="宋体"/>
          <w:b/>
          <w:color w:val="auto"/>
          <w:sz w:val="28"/>
          <w:szCs w:val="28"/>
          <w:highlight w:val="none"/>
        </w:rPr>
        <w:t>-2025</w:t>
      </w:r>
      <w:r>
        <w:rPr>
          <w:rFonts w:hint="eastAsia" w:hAnsi="宋体"/>
          <w:b/>
          <w:color w:val="auto"/>
          <w:sz w:val="28"/>
          <w:szCs w:val="28"/>
          <w:highlight w:val="none"/>
        </w:rPr>
        <w:t>0</w:t>
      </w:r>
      <w:bookmarkEnd w:id="0"/>
      <w:r>
        <w:rPr>
          <w:rFonts w:hint="eastAsia" w:hAnsi="宋体"/>
          <w:b/>
          <w:color w:val="auto"/>
          <w:sz w:val="28"/>
          <w:szCs w:val="28"/>
          <w:highlight w:val="none"/>
          <w:lang w:val="en-US" w:eastAsia="zh-CN"/>
        </w:rPr>
        <w:t>41禹州市农业农村局2025年第二批衔接资金产业发展项目工程总承包(EPC)</w:t>
      </w:r>
    </w:p>
    <w:p w14:paraId="3401F5C7">
      <w:pPr>
        <w:spacing w:line="360" w:lineRule="auto"/>
        <w:jc w:val="center"/>
        <w:rPr>
          <w:rFonts w:hint="eastAsia" w:hAnsi="宋体"/>
          <w:b/>
          <w:color w:val="auto"/>
          <w:sz w:val="28"/>
          <w:szCs w:val="28"/>
          <w:highlight w:val="none"/>
        </w:rPr>
      </w:pPr>
      <w:r>
        <w:rPr>
          <w:rFonts w:hint="eastAsia" w:hAnsi="宋体"/>
          <w:b/>
          <w:color w:val="auto"/>
          <w:sz w:val="28"/>
          <w:szCs w:val="28"/>
          <w:highlight w:val="none"/>
        </w:rPr>
        <w:t>招标公告</w:t>
      </w:r>
    </w:p>
    <w:bookmarkEnd w:id="1"/>
    <w:bookmarkEnd w:id="2"/>
    <w:bookmarkEnd w:id="3"/>
    <w:bookmarkEnd w:id="4"/>
    <w:bookmarkEnd w:id="5"/>
    <w:p w14:paraId="771DCAA6">
      <w:pPr>
        <w:adjustRightInd w:val="0"/>
        <w:spacing w:line="360" w:lineRule="auto"/>
        <w:ind w:firstLine="422" w:firstLineChars="200"/>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1.招标条件</w:t>
      </w:r>
    </w:p>
    <w:p w14:paraId="2F671AD3">
      <w:pPr>
        <w:adjustRightInd w:val="0"/>
        <w:spacing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本招标项目禹州市农业农村局2025年第二批衔接资金产业发展项目工程总承包(EPC)已由有关部门批准建设，招标人为禹州市农业农村局，建设资金为财政衔接资金，项目出资比例为100%。项目已具备招标条件，现对该项目的工程总承包（EPC）进行公开招标。</w:t>
      </w:r>
    </w:p>
    <w:p w14:paraId="53C7EE1F">
      <w:pPr>
        <w:adjustRightInd w:val="0"/>
        <w:spacing w:line="360" w:lineRule="auto"/>
        <w:ind w:firstLine="422" w:firstLineChars="200"/>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2.项目概况与招标范围</w:t>
      </w:r>
    </w:p>
    <w:p w14:paraId="6D63D042">
      <w:pPr>
        <w:adjustRightInd w:val="0"/>
        <w:spacing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2.1 项目名称：禹州市农业农村局2025年第二批衔接资金产业发展项目工程总承包(EPC)</w:t>
      </w:r>
    </w:p>
    <w:p w14:paraId="19B0751C">
      <w:pPr>
        <w:adjustRightInd w:val="0"/>
        <w:spacing w:line="360" w:lineRule="auto"/>
        <w:ind w:firstLine="420" w:firstLineChars="200"/>
        <w:jc w:val="left"/>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rPr>
        <w:t>2.2 项目编号：</w:t>
      </w:r>
      <w:r>
        <w:rPr>
          <w:rFonts w:hint="eastAsia" w:ascii="宋体" w:hAnsi="宋体" w:eastAsia="宋体" w:cs="宋体"/>
          <w:color w:val="auto"/>
          <w:kern w:val="2"/>
          <w:sz w:val="21"/>
          <w:szCs w:val="21"/>
          <w:highlight w:val="none"/>
        </w:rPr>
        <w:t>JSGC-NY-20250</w:t>
      </w:r>
      <w:r>
        <w:rPr>
          <w:rFonts w:hint="eastAsia" w:hAnsi="宋体" w:cs="宋体"/>
          <w:color w:val="auto"/>
          <w:kern w:val="2"/>
          <w:sz w:val="21"/>
          <w:szCs w:val="21"/>
          <w:highlight w:val="none"/>
          <w:lang w:val="en-US" w:eastAsia="zh-CN"/>
        </w:rPr>
        <w:t>41</w:t>
      </w:r>
    </w:p>
    <w:p w14:paraId="75365933">
      <w:pPr>
        <w:adjustRightInd w:val="0"/>
        <w:spacing w:line="360" w:lineRule="auto"/>
        <w:ind w:firstLine="420" w:firstLineChars="200"/>
        <w:jc w:val="left"/>
        <w:rPr>
          <w:rFonts w:hint="eastAsia"/>
          <w:color w:val="auto"/>
        </w:rPr>
      </w:pPr>
      <w:r>
        <w:rPr>
          <w:rFonts w:hint="eastAsia" w:ascii="宋体" w:hAnsi="宋体" w:eastAsia="宋体" w:cs="宋体"/>
          <w:color w:val="auto"/>
          <w:kern w:val="2"/>
          <w:sz w:val="21"/>
          <w:szCs w:val="21"/>
          <w:highlight w:val="none"/>
        </w:rPr>
        <w:t>2.3 建设地点：禹州市褚河街道郎庄村，古城镇小靳庄村、常庄村、蔡坡村，文殊镇</w:t>
      </w:r>
    </w:p>
    <w:p w14:paraId="52A9F3F6">
      <w:pPr>
        <w:adjustRightInd w:val="0"/>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曹璜村、陈东村。</w:t>
      </w:r>
    </w:p>
    <w:p w14:paraId="78B4411F">
      <w:pPr>
        <w:adjustRightInd w:val="0"/>
        <w:spacing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2.4 建设规模及内容：褚河街道郎庄村年产2000吨中药鲜药自然汁健康饮品项目购置生产设备1套；在古城镇小靳庄村、蔡坡村、常庄村新建烟叶电能烤房28座，其中：小靳庄村14座、常庄村7座、蔡坡村7座；在文殊镇曹璜村新建烟叶电能烤房14座；在文殊镇陈东村新建烟叶电能烤房7座。</w:t>
      </w:r>
    </w:p>
    <w:p w14:paraId="7573D35F">
      <w:pPr>
        <w:adjustRightInd w:val="0"/>
        <w:spacing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2.5 项目总投资估算：约为837.49万元。其中：工程费用750万元、工程建设其他费用47.61万元、基本预备费39.88万元。</w:t>
      </w:r>
    </w:p>
    <w:p w14:paraId="28F7EBA1">
      <w:pPr>
        <w:adjustRightInd w:val="0"/>
        <w:spacing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2.6 招标控制价：招标控制费率为100%，以最终经政府财政评审部门（或第三方造价咨询机构）评审价为基准价。</w:t>
      </w:r>
    </w:p>
    <w:p w14:paraId="0095BDF2">
      <w:pPr>
        <w:adjustRightInd w:val="0"/>
        <w:spacing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2.7 计划工期：90日历天（含设计周期）。</w:t>
      </w:r>
    </w:p>
    <w:p w14:paraId="6B2F825E">
      <w:pPr>
        <w:adjustRightInd w:val="0"/>
        <w:spacing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2.8 招标范围：招标文件、补充文件（如有）及答疑纪要（如有）等范围内的所有内容，包括但不限于：勘察、设计（初步设计、施工图设计、概算编制等与设计相关的所有工作）、设备采购及安装、施工总承包，对工程的质量、安全、工期、造价和竣工图编制，质量缺陷责任期内的缺陷修复等相关工作全面负责，且按国家法律、法规及相关规范规定完成项目全部建设内容并通过施工及环保验收合格所需要的全部工作。</w:t>
      </w:r>
    </w:p>
    <w:p w14:paraId="0104C4D2">
      <w:pPr>
        <w:adjustRightInd w:val="0"/>
        <w:spacing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2.9 标段划分：本项目共划分1个标段。</w:t>
      </w:r>
    </w:p>
    <w:p w14:paraId="64020FCF">
      <w:pPr>
        <w:adjustRightInd w:val="0"/>
        <w:spacing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2.10 质量要求：（1）勘察、设计质量要求：各阶段设计成果符合国家、省、市有关文件规定的要求及深度；（2）施工质量要求：合格（符合国家现行的验收规范和标准）。</w:t>
      </w:r>
    </w:p>
    <w:p w14:paraId="4AFF2358">
      <w:pPr>
        <w:adjustRightInd w:val="0"/>
        <w:spacing w:line="360" w:lineRule="auto"/>
        <w:ind w:firstLine="422" w:firstLineChars="200"/>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3.投标人资格要求</w:t>
      </w:r>
    </w:p>
    <w:p w14:paraId="43FD2499">
      <w:pPr>
        <w:adjustRightInd w:val="0"/>
        <w:spacing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3.1 资格要求：本次招标要求投标人须具备独立的法人资格，具有有效的营业执照，并在人员、设备、资金等方面具有相应的设计、施工等能力。</w:t>
      </w:r>
    </w:p>
    <w:p w14:paraId="7CACE143">
      <w:pPr>
        <w:adjustRightInd w:val="0"/>
        <w:spacing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勘察资质要求：须具备建设行政主管部门核发的工程勘察综合甲级资质或工程勘察（岩土工程勘察）乙级及以上资质证书；（2）设计资质要求：须具备建设行政主管部门核发的工程设计综合甲级资质或建筑行业（建筑工程）乙级及以上资质证书；（3）施工资质要求：须具备建设行政主管部门核发的建筑工程施工总承包叁级及以上资质证书，并具备有效的安全生产许可证。</w:t>
      </w:r>
    </w:p>
    <w:p w14:paraId="49BD22E4">
      <w:pPr>
        <w:adjustRightInd w:val="0"/>
        <w:spacing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3.2 人员要求：（1）拟派项目勘察设计负责人：须具备二级及以上注册建筑师执业资格且具备相关专业中级及以上职称；（2）拟派项目施工负责人：须具备建筑工程专业二级及以上注册建造师执业资格，具备有效的安全生产考核合格证书，且未担任其他在施建设工程项目的项目经理。拟派项目设计负责人及拟派项目施工负责人不得为同一人，且必须是本单位正式员工，以投标人提供的社保缴纳证明为准（已退休的人员除外，须提供劳动合同），社保在单位分支机构（非独立法人）缴纳的视同本单位缴纳，中标后无正当理由不得更换。</w:t>
      </w:r>
    </w:p>
    <w:p w14:paraId="3690675F">
      <w:pPr>
        <w:adjustRightInd w:val="0"/>
        <w:spacing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3.3 财务要求：近三年度财务运行状况良好，没有财务被接管、冻结、破产状态。近三年度，即2022年度、2023年度、2024年度。（若公司成立未满三年，需提供从成立至今的年度财务状况，以营业执照注册时间为准）</w:t>
      </w:r>
    </w:p>
    <w:p w14:paraId="303BF77D">
      <w:pPr>
        <w:adjustRightInd w:val="0"/>
        <w:spacing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注：以联合体形式参与投标的，联合体各方均须提供。</w:t>
      </w:r>
    </w:p>
    <w:p w14:paraId="64D064A5">
      <w:pPr>
        <w:adjustRightInd w:val="0"/>
        <w:spacing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3.4 信誉要求：投标人未被“信用中国”网站（www.creditchina.gov.cn）列入失信被执行人、重大税收违法失信主体，未被“信用河南”网站信用信息栏列入失信惩戒对象名单，以及未被“国家企业信用信息公示系统”网站（www.gsxt.gov.cn）列入经营异常名录或严重失信黑名单等。（评标专家委员会或招标人评标现场查询</w:t>
      </w:r>
      <w:r>
        <w:rPr>
          <w:rFonts w:hint="eastAsia" w:hAnsi="宋体" w:cs="宋体"/>
          <w:color w:val="auto"/>
          <w:kern w:val="2"/>
          <w:sz w:val="21"/>
          <w:szCs w:val="21"/>
          <w:highlight w:val="none"/>
          <w:lang w:val="en-US" w:eastAsia="zh-CN"/>
        </w:rPr>
        <w:t>为准</w:t>
      </w:r>
      <w:r>
        <w:rPr>
          <w:rFonts w:hint="eastAsia" w:ascii="宋体" w:hAnsi="宋体" w:eastAsia="宋体" w:cs="宋体"/>
          <w:color w:val="auto"/>
          <w:kern w:val="2"/>
          <w:sz w:val="21"/>
          <w:szCs w:val="21"/>
          <w:highlight w:val="none"/>
        </w:rPr>
        <w:t>）</w:t>
      </w:r>
    </w:p>
    <w:p w14:paraId="60F84DBF">
      <w:pPr>
        <w:adjustRightInd w:val="0"/>
        <w:spacing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注：以联合体形式参与投标的，联合体各方均须</w:t>
      </w:r>
      <w:r>
        <w:rPr>
          <w:rFonts w:hint="eastAsia" w:hAnsi="宋体" w:cs="宋体"/>
          <w:color w:val="auto"/>
          <w:kern w:val="2"/>
          <w:sz w:val="21"/>
          <w:szCs w:val="21"/>
          <w:highlight w:val="none"/>
          <w:lang w:val="en-US" w:eastAsia="zh-CN"/>
        </w:rPr>
        <w:t>满足</w:t>
      </w:r>
      <w:r>
        <w:rPr>
          <w:rFonts w:hint="eastAsia" w:ascii="宋体" w:hAnsi="宋体" w:eastAsia="宋体" w:cs="宋体"/>
          <w:color w:val="auto"/>
          <w:kern w:val="2"/>
          <w:sz w:val="21"/>
          <w:szCs w:val="21"/>
          <w:highlight w:val="none"/>
        </w:rPr>
        <w:t>。</w:t>
      </w:r>
    </w:p>
    <w:p w14:paraId="0D1CDD92">
      <w:pPr>
        <w:adjustRightInd w:val="0"/>
        <w:spacing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3.5 本次招标接受联合体投标。联合体投标的，应满足下列要求：（1）联合体成员数量最多不得超过3家，且由施工单位作为联合体牵头人；（2）提交联合体协议书，并注明牵头人及各方拟承担的工作和责任，联合体牵头人代表联合体各方负责本项目的统筹管理、工程资金往来等工作，联合体各方向招标人承担连带责任；（3）联合体中同类资质的投标人按照联合体分工承担相同工作的，应当按照资质等级较低的确定资质等级；（4）联合体各方不得再单独参加或者与其他投标人另外组成联合体参加本项目投标活动；（5）联合体牵头人的法定代表人或其授权的委托代理人负责本次投标的相关手续及签署资料。</w:t>
      </w:r>
    </w:p>
    <w:p w14:paraId="32C9AA2C">
      <w:pPr>
        <w:adjustRightInd w:val="0"/>
        <w:spacing w:line="360" w:lineRule="auto"/>
        <w:ind w:firstLine="422" w:firstLineChars="200"/>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4.招标文件的获取</w:t>
      </w:r>
    </w:p>
    <w:p w14:paraId="33F8204D">
      <w:pPr>
        <w:adjustRightInd w:val="0"/>
        <w:spacing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4.1 获取方式：网上下载</w:t>
      </w:r>
    </w:p>
    <w:p w14:paraId="3E6BF747">
      <w:pPr>
        <w:adjustRightInd w:val="0"/>
        <w:spacing w:line="360" w:lineRule="auto"/>
        <w:ind w:firstLine="420" w:firstLineChars="200"/>
        <w:jc w:val="left"/>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4.1.1投标人持CA数字证书或CA移动数字证书，通过《全国公共资源交易平台（河南省·许昌市）》—“投标人”进行免费CA注册或扫码注册。（详见“服务指南”—“办事指南”—《新交易平台使用手册》—《交易乙方（投标人、供应商等）注册手册》）</w:t>
      </w:r>
      <w:r>
        <w:rPr>
          <w:rFonts w:hint="eastAsia" w:hAnsi="宋体" w:cs="宋体"/>
          <w:color w:val="auto"/>
          <w:kern w:val="2"/>
          <w:sz w:val="21"/>
          <w:szCs w:val="21"/>
          <w:highlight w:val="none"/>
          <w:lang w:eastAsia="zh-CN"/>
        </w:rPr>
        <w:t>。</w:t>
      </w:r>
    </w:p>
    <w:p w14:paraId="36B79225">
      <w:pPr>
        <w:adjustRightInd w:val="0"/>
        <w:spacing w:line="360" w:lineRule="auto"/>
        <w:ind w:firstLine="420" w:firstLineChars="200"/>
        <w:jc w:val="left"/>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4.1.2投标人在投标截止时间前登录《全国公共资源交易平台（河南省·许昌市）》自行下载招标文件。（详见“服务指南”—“办事指南”—《新交易平台使用手册》—《交易乙方（投标人、供应商等）操作手册》）</w:t>
      </w:r>
      <w:r>
        <w:rPr>
          <w:rFonts w:hint="eastAsia" w:hAnsi="宋体" w:cs="宋体"/>
          <w:color w:val="auto"/>
          <w:kern w:val="2"/>
          <w:sz w:val="21"/>
          <w:szCs w:val="21"/>
          <w:highlight w:val="none"/>
          <w:lang w:eastAsia="zh-CN"/>
        </w:rPr>
        <w:t>。</w:t>
      </w:r>
    </w:p>
    <w:p w14:paraId="281BBAEE">
      <w:pPr>
        <w:adjustRightInd w:val="0"/>
        <w:spacing w:line="360" w:lineRule="auto"/>
        <w:ind w:firstLine="420" w:firstLineChars="200"/>
        <w:jc w:val="left"/>
        <w:rPr>
          <w:rFonts w:hint="eastAsia"/>
          <w:color w:val="auto"/>
        </w:rPr>
      </w:pPr>
      <w:r>
        <w:rPr>
          <w:rFonts w:hint="eastAsia" w:ascii="宋体" w:hAnsi="宋体" w:eastAsia="宋体" w:cs="宋体"/>
          <w:color w:val="auto"/>
          <w:kern w:val="2"/>
          <w:sz w:val="21"/>
          <w:szCs w:val="21"/>
          <w:highlight w:val="none"/>
        </w:rPr>
        <w:t>4.2招标文件的获取：投标人于投标文件递交截止时间前均可登录《全国公共资源交易平台(河南省·许昌市)》—“投标人”—“许昌市公共资源电子交易系统”（https://ggzy.</w:t>
      </w:r>
    </w:p>
    <w:p w14:paraId="7C495FF5">
      <w:pPr>
        <w:adjustRightInd w:val="0"/>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xuchang.gov.cn）自行下载。</w:t>
      </w:r>
    </w:p>
    <w:p w14:paraId="0370A054">
      <w:pPr>
        <w:adjustRightInd w:val="0"/>
        <w:spacing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4.3招标文件每套售价：0元。</w:t>
      </w:r>
    </w:p>
    <w:p w14:paraId="577AA004">
      <w:pPr>
        <w:adjustRightInd w:val="0"/>
        <w:spacing w:line="360" w:lineRule="auto"/>
        <w:ind w:firstLine="422" w:firstLineChars="200"/>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5.投标文件的递交</w:t>
      </w:r>
    </w:p>
    <w:p w14:paraId="66EABE62">
      <w:pPr>
        <w:adjustRightInd w:val="0"/>
        <w:spacing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5.1 投标文件递交截止时间：2025年</w:t>
      </w:r>
      <w:r>
        <w:rPr>
          <w:rFonts w:hint="eastAsia" w:hAnsi="宋体" w:cs="宋体"/>
          <w:color w:val="auto"/>
          <w:kern w:val="2"/>
          <w:sz w:val="21"/>
          <w:szCs w:val="21"/>
          <w:highlight w:val="none"/>
          <w:lang w:val="en-US" w:eastAsia="zh-CN"/>
        </w:rPr>
        <w:t>09</w:t>
      </w:r>
      <w:r>
        <w:rPr>
          <w:rFonts w:hint="eastAsia" w:ascii="宋体" w:hAnsi="宋体" w:eastAsia="宋体" w:cs="宋体"/>
          <w:color w:val="auto"/>
          <w:kern w:val="2"/>
          <w:sz w:val="21"/>
          <w:szCs w:val="21"/>
          <w:highlight w:val="none"/>
        </w:rPr>
        <w:t>月</w:t>
      </w:r>
      <w:r>
        <w:rPr>
          <w:rFonts w:hint="eastAsia" w:hAnsi="宋体" w:cs="宋体"/>
          <w:color w:val="auto"/>
          <w:kern w:val="2"/>
          <w:sz w:val="21"/>
          <w:szCs w:val="21"/>
          <w:highlight w:val="none"/>
          <w:lang w:val="en-US" w:eastAsia="zh-CN"/>
        </w:rPr>
        <w:t>08</w:t>
      </w:r>
      <w:r>
        <w:rPr>
          <w:rFonts w:hint="eastAsia" w:ascii="宋体" w:hAnsi="宋体" w:eastAsia="宋体" w:cs="宋体"/>
          <w:color w:val="auto"/>
          <w:kern w:val="2"/>
          <w:sz w:val="21"/>
          <w:szCs w:val="21"/>
          <w:highlight w:val="none"/>
        </w:rPr>
        <w:t>日</w:t>
      </w:r>
      <w:r>
        <w:rPr>
          <w:rFonts w:hint="eastAsia" w:hAnsi="宋体" w:cs="宋体"/>
          <w:color w:val="auto"/>
          <w:kern w:val="2"/>
          <w:sz w:val="21"/>
          <w:szCs w:val="21"/>
          <w:highlight w:val="none"/>
          <w:lang w:val="en-US" w:eastAsia="zh-CN"/>
        </w:rPr>
        <w:t>0</w:t>
      </w:r>
      <w:r>
        <w:rPr>
          <w:rFonts w:hint="eastAsia" w:ascii="宋体" w:hAnsi="宋体" w:eastAsia="宋体" w:cs="宋体"/>
          <w:color w:val="auto"/>
          <w:kern w:val="2"/>
          <w:sz w:val="21"/>
          <w:szCs w:val="21"/>
          <w:highlight w:val="none"/>
        </w:rPr>
        <w:t>8时30分（北京时间）。</w:t>
      </w:r>
    </w:p>
    <w:p w14:paraId="4BC28894">
      <w:pPr>
        <w:adjustRightInd w:val="0"/>
        <w:spacing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5.2 本项目为全流程电子化交易项目，投标人应按规定在投标文件递交截止时间前登 录“全国公共资源交易平台（河南省·许昌市）”—“投标人”—“许昌市公共资源电子交易系统”（https://ggzy.xuchang.gov.cn/tpbidder）成功上传本项目加密电子投标文件。</w:t>
      </w:r>
    </w:p>
    <w:p w14:paraId="07D7517E">
      <w:pPr>
        <w:adjustRightInd w:val="0"/>
        <w:spacing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5.3 逾期送达（未成功上传）的电子投标文件，招标人不予受理。</w:t>
      </w:r>
    </w:p>
    <w:p w14:paraId="32A0FF7D">
      <w:pPr>
        <w:adjustRightInd w:val="0"/>
        <w:spacing w:line="360" w:lineRule="auto"/>
        <w:ind w:firstLine="422" w:firstLineChars="200"/>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6.开标时间及地点</w:t>
      </w:r>
    </w:p>
    <w:p w14:paraId="1BFB87FE">
      <w:pPr>
        <w:adjustRightInd w:val="0"/>
        <w:spacing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6.1 开</w:t>
      </w:r>
      <w:r>
        <w:rPr>
          <w:rFonts w:hint="eastAsia" w:ascii="宋体" w:hAnsi="宋体" w:eastAsia="宋体" w:cs="宋体"/>
          <w:color w:val="auto"/>
          <w:kern w:val="2"/>
          <w:sz w:val="21"/>
          <w:szCs w:val="21"/>
          <w:highlight w:val="none"/>
        </w:rPr>
        <w:t>标时间：2025年</w:t>
      </w:r>
      <w:r>
        <w:rPr>
          <w:rFonts w:hint="eastAsia" w:hAnsi="宋体" w:cs="宋体"/>
          <w:color w:val="auto"/>
          <w:kern w:val="2"/>
          <w:sz w:val="21"/>
          <w:szCs w:val="21"/>
          <w:highlight w:val="none"/>
          <w:lang w:val="en-US" w:eastAsia="zh-CN"/>
        </w:rPr>
        <w:t>09</w:t>
      </w:r>
      <w:r>
        <w:rPr>
          <w:rFonts w:hint="eastAsia" w:ascii="宋体" w:hAnsi="宋体" w:eastAsia="宋体" w:cs="宋体"/>
          <w:color w:val="auto"/>
          <w:kern w:val="2"/>
          <w:sz w:val="21"/>
          <w:szCs w:val="21"/>
          <w:highlight w:val="none"/>
        </w:rPr>
        <w:t>月</w:t>
      </w:r>
      <w:r>
        <w:rPr>
          <w:rFonts w:hint="eastAsia" w:hAnsi="宋体" w:cs="宋体"/>
          <w:color w:val="auto"/>
          <w:kern w:val="2"/>
          <w:sz w:val="21"/>
          <w:szCs w:val="21"/>
          <w:highlight w:val="none"/>
          <w:lang w:val="en-US" w:eastAsia="zh-CN"/>
        </w:rPr>
        <w:t>08</w:t>
      </w:r>
      <w:r>
        <w:rPr>
          <w:rFonts w:hint="eastAsia" w:ascii="宋体" w:hAnsi="宋体" w:eastAsia="宋体" w:cs="宋体"/>
          <w:color w:val="auto"/>
          <w:kern w:val="2"/>
          <w:sz w:val="21"/>
          <w:szCs w:val="21"/>
          <w:highlight w:val="none"/>
        </w:rPr>
        <w:t>日</w:t>
      </w:r>
      <w:r>
        <w:rPr>
          <w:rFonts w:hint="eastAsia" w:hAnsi="宋体" w:cs="宋体"/>
          <w:color w:val="auto"/>
          <w:kern w:val="2"/>
          <w:sz w:val="21"/>
          <w:szCs w:val="21"/>
          <w:highlight w:val="none"/>
          <w:lang w:val="en-US" w:eastAsia="zh-CN"/>
        </w:rPr>
        <w:t>0</w:t>
      </w:r>
      <w:r>
        <w:rPr>
          <w:rFonts w:hint="eastAsia" w:ascii="宋体" w:hAnsi="宋体" w:eastAsia="宋体" w:cs="宋体"/>
          <w:color w:val="auto"/>
          <w:kern w:val="2"/>
          <w:sz w:val="21"/>
          <w:szCs w:val="21"/>
          <w:highlight w:val="none"/>
        </w:rPr>
        <w:t>8时30分（北</w:t>
      </w:r>
      <w:r>
        <w:rPr>
          <w:rFonts w:hint="eastAsia" w:ascii="宋体" w:hAnsi="宋体" w:eastAsia="宋体" w:cs="宋体"/>
          <w:color w:val="auto"/>
          <w:kern w:val="2"/>
          <w:sz w:val="21"/>
          <w:szCs w:val="21"/>
          <w:highlight w:val="none"/>
        </w:rPr>
        <w:t>京时间）。</w:t>
      </w:r>
    </w:p>
    <w:p w14:paraId="41AAEEF8">
      <w:pPr>
        <w:adjustRightInd w:val="0"/>
        <w:spacing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6.2 开标地点：禹州市公共资源交易中心第二开标室。</w:t>
      </w:r>
    </w:p>
    <w:p w14:paraId="3E9ABA81">
      <w:pPr>
        <w:adjustRightInd w:val="0"/>
        <w:spacing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6.3 本项目采用远程不见面开标，投标人无须到开标现场参加开标会议，投标人应在开标时间前进入“全国公共资源交易平台（河南省·许昌市）”（https://ggzy.xuchang.gov.</w:t>
      </w:r>
    </w:p>
    <w:p w14:paraId="56E07829">
      <w:pPr>
        <w:adjustRightInd w:val="0"/>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cn）—点击“平台导航”下方左侧的“网上开标大厅”进入不见面大厅登录页面—选择“投标人”身份，使用CA数字证书或移动数字证书登录—在“今日开标项目”中选择投标项目，按照规定时间准时参加线上开标，进行远程解密、电子签章等。</w:t>
      </w:r>
    </w:p>
    <w:p w14:paraId="5B05053B">
      <w:pPr>
        <w:adjustRightInd w:val="0"/>
        <w:spacing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6.3 投标人未按规定解密或因投标人原因解密失败的，招标人不予受理。</w:t>
      </w:r>
    </w:p>
    <w:p w14:paraId="5D69904B">
      <w:pPr>
        <w:adjustRightInd w:val="0"/>
        <w:spacing w:line="360" w:lineRule="auto"/>
        <w:ind w:firstLine="422" w:firstLineChars="200"/>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7.发布公告的媒介</w:t>
      </w:r>
    </w:p>
    <w:p w14:paraId="75005672">
      <w:pPr>
        <w:adjustRightInd w:val="0"/>
        <w:spacing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本次招标公告同时在《河南省电子招标投标公共服务平台》《河南省政府采购网》《全国公共资源交易平台（河南省 ·许昌市）》上发布。</w:t>
      </w:r>
    </w:p>
    <w:p w14:paraId="1550CC1B">
      <w:pPr>
        <w:adjustRightInd w:val="0"/>
        <w:spacing w:line="360" w:lineRule="auto"/>
        <w:ind w:firstLine="422" w:firstLineChars="200"/>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8.本次招标联系事项</w:t>
      </w:r>
    </w:p>
    <w:p w14:paraId="06575E14">
      <w:pPr>
        <w:adjustRightInd w:val="0"/>
        <w:spacing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招标人：禹州市农业农村局</w:t>
      </w:r>
    </w:p>
    <w:p w14:paraId="55698BBD">
      <w:pPr>
        <w:adjustRightInd w:val="0"/>
        <w:spacing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地  址：河南省禹州市禹王大道 29 号</w:t>
      </w:r>
    </w:p>
    <w:p w14:paraId="713387E0">
      <w:pPr>
        <w:adjustRightInd w:val="0"/>
        <w:spacing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联系人：杨先生</w:t>
      </w:r>
    </w:p>
    <w:p w14:paraId="2B0882EB">
      <w:pPr>
        <w:adjustRightInd w:val="0"/>
        <w:spacing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电  话：0374-8609629</w:t>
      </w:r>
    </w:p>
    <w:p w14:paraId="33A8F0C9">
      <w:pPr>
        <w:adjustRightInd w:val="0"/>
        <w:spacing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代理机构：河南东晟嘉文工程咨询有限公司</w:t>
      </w:r>
    </w:p>
    <w:p w14:paraId="172C1749">
      <w:pPr>
        <w:adjustRightInd w:val="0"/>
        <w:spacing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地址：郑州市高新技术产业开发区天健湖智能产业园3号楼3楼A304室</w:t>
      </w:r>
    </w:p>
    <w:p w14:paraId="44CBA40D">
      <w:pPr>
        <w:adjustRightInd w:val="0"/>
        <w:spacing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联系人：王先生</w:t>
      </w:r>
    </w:p>
    <w:p w14:paraId="7B874A42">
      <w:pPr>
        <w:adjustRightInd w:val="0"/>
        <w:spacing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电  话：0371-55677368</w:t>
      </w:r>
    </w:p>
    <w:p w14:paraId="641D79EE">
      <w:pPr>
        <w:adjustRightInd w:val="0"/>
        <w:spacing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监督单位：中共禹州市农业农村局机关纪委</w:t>
      </w:r>
    </w:p>
    <w:p w14:paraId="4305B4C5">
      <w:pPr>
        <w:adjustRightInd w:val="0"/>
        <w:spacing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电  话：0374-8609638</w:t>
      </w:r>
    </w:p>
    <w:p w14:paraId="2B2D200D">
      <w:pPr>
        <w:adjustRightInd w:val="0"/>
        <w:spacing w:line="360" w:lineRule="auto"/>
        <w:jc w:val="righ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w:t>
      </w:r>
      <w:r>
        <w:rPr>
          <w:rFonts w:hint="eastAsia" w:ascii="宋体" w:hAnsi="宋体" w:eastAsia="宋体" w:cs="宋体"/>
          <w:color w:val="auto"/>
          <w:kern w:val="2"/>
          <w:sz w:val="21"/>
          <w:szCs w:val="21"/>
          <w:highlight w:val="none"/>
        </w:rPr>
        <w:t>025年</w:t>
      </w:r>
      <w:r>
        <w:rPr>
          <w:rFonts w:hint="eastAsia" w:hAnsi="宋体" w:cs="宋体"/>
          <w:color w:val="auto"/>
          <w:kern w:val="2"/>
          <w:sz w:val="21"/>
          <w:szCs w:val="21"/>
          <w:highlight w:val="none"/>
          <w:lang w:val="en-US" w:eastAsia="zh-CN"/>
        </w:rPr>
        <w:t>08</w:t>
      </w:r>
      <w:r>
        <w:rPr>
          <w:rFonts w:hint="eastAsia" w:ascii="宋体" w:hAnsi="宋体" w:eastAsia="宋体" w:cs="宋体"/>
          <w:color w:val="auto"/>
          <w:kern w:val="2"/>
          <w:sz w:val="21"/>
          <w:szCs w:val="21"/>
          <w:highlight w:val="none"/>
        </w:rPr>
        <w:t>月</w:t>
      </w:r>
      <w:r>
        <w:rPr>
          <w:rFonts w:hint="eastAsia" w:hAnsi="宋体" w:cs="宋体"/>
          <w:color w:val="auto"/>
          <w:kern w:val="2"/>
          <w:sz w:val="21"/>
          <w:szCs w:val="21"/>
          <w:highlight w:val="none"/>
          <w:lang w:val="en-US" w:eastAsia="zh-CN"/>
        </w:rPr>
        <w:t>15</w:t>
      </w:r>
      <w:r>
        <w:rPr>
          <w:rFonts w:hint="eastAsia" w:ascii="宋体" w:hAnsi="宋体" w:eastAsia="宋体" w:cs="宋体"/>
          <w:color w:val="auto"/>
          <w:kern w:val="2"/>
          <w:sz w:val="21"/>
          <w:szCs w:val="21"/>
          <w:highlight w:val="none"/>
        </w:rPr>
        <w:t>日</w:t>
      </w:r>
    </w:p>
    <w:p w14:paraId="50C600D3">
      <w:pPr>
        <w:adjustRightInd w:val="0"/>
        <w:spacing w:line="360" w:lineRule="auto"/>
        <w:jc w:val="left"/>
        <w:rPr>
          <w:rFonts w:hint="eastAsia" w:ascii="宋体" w:hAnsi="宋体" w:eastAsia="宋体" w:cs="宋体"/>
          <w:color w:val="auto"/>
          <w:kern w:val="2"/>
          <w:sz w:val="21"/>
          <w:szCs w:val="21"/>
          <w:highlight w:val="none"/>
        </w:rPr>
      </w:pPr>
    </w:p>
    <w:bookmarkEnd w:id="6"/>
    <w:p w14:paraId="57573CA9">
      <w:pPr>
        <w:rPr>
          <w:color w:val="auto"/>
          <w:highlight w:val="none"/>
        </w:rPr>
      </w:pPr>
    </w:p>
    <w:bookmarkEnd w:id="7"/>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FFF3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1E3618">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91E3618">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104339"/>
    <w:rsid w:val="055661F0"/>
    <w:rsid w:val="05A96E4F"/>
    <w:rsid w:val="0C7D0A90"/>
    <w:rsid w:val="0EDF7256"/>
    <w:rsid w:val="0F1B7B63"/>
    <w:rsid w:val="11F711F9"/>
    <w:rsid w:val="12021622"/>
    <w:rsid w:val="157D3325"/>
    <w:rsid w:val="17100C34"/>
    <w:rsid w:val="1A332204"/>
    <w:rsid w:val="1C04737F"/>
    <w:rsid w:val="1E846396"/>
    <w:rsid w:val="1F3709E9"/>
    <w:rsid w:val="1F66307C"/>
    <w:rsid w:val="22A71E77"/>
    <w:rsid w:val="22C31008"/>
    <w:rsid w:val="23CD36CA"/>
    <w:rsid w:val="256B319A"/>
    <w:rsid w:val="268D5392"/>
    <w:rsid w:val="29491A44"/>
    <w:rsid w:val="2CFF241A"/>
    <w:rsid w:val="2F950E14"/>
    <w:rsid w:val="2FDB2CCA"/>
    <w:rsid w:val="30B3391F"/>
    <w:rsid w:val="30DF67EA"/>
    <w:rsid w:val="30ED7159"/>
    <w:rsid w:val="33D740F0"/>
    <w:rsid w:val="33E8058A"/>
    <w:rsid w:val="35BC70FA"/>
    <w:rsid w:val="364D069A"/>
    <w:rsid w:val="3AF92B9E"/>
    <w:rsid w:val="3BA96372"/>
    <w:rsid w:val="3D5A2CB4"/>
    <w:rsid w:val="3DA05553"/>
    <w:rsid w:val="3E2972F7"/>
    <w:rsid w:val="3E38578C"/>
    <w:rsid w:val="3EBC016B"/>
    <w:rsid w:val="40A451CD"/>
    <w:rsid w:val="412B4971"/>
    <w:rsid w:val="426B25D4"/>
    <w:rsid w:val="43543068"/>
    <w:rsid w:val="445940FF"/>
    <w:rsid w:val="45C02C36"/>
    <w:rsid w:val="479975CC"/>
    <w:rsid w:val="47CF53B3"/>
    <w:rsid w:val="47E07536"/>
    <w:rsid w:val="4A7E09CA"/>
    <w:rsid w:val="4C7E2F03"/>
    <w:rsid w:val="4FDD43E5"/>
    <w:rsid w:val="51532BB1"/>
    <w:rsid w:val="53F87A3F"/>
    <w:rsid w:val="54EA382C"/>
    <w:rsid w:val="5CDC1CAC"/>
    <w:rsid w:val="5D1941F1"/>
    <w:rsid w:val="5EB84053"/>
    <w:rsid w:val="5F3B6A32"/>
    <w:rsid w:val="5FF05A6E"/>
    <w:rsid w:val="600D03CE"/>
    <w:rsid w:val="60206354"/>
    <w:rsid w:val="60563B24"/>
    <w:rsid w:val="61502C69"/>
    <w:rsid w:val="62811341"/>
    <w:rsid w:val="63AD43A2"/>
    <w:rsid w:val="64A15589"/>
    <w:rsid w:val="65962C14"/>
    <w:rsid w:val="67E1286C"/>
    <w:rsid w:val="6CFC5A53"/>
    <w:rsid w:val="71184E25"/>
    <w:rsid w:val="72D03C09"/>
    <w:rsid w:val="72D74F98"/>
    <w:rsid w:val="76740D50"/>
    <w:rsid w:val="78177BE5"/>
    <w:rsid w:val="798968C0"/>
    <w:rsid w:val="7D600E1D"/>
    <w:rsid w:val="7DDB1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3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2730</Words>
  <Characters>3066</Characters>
  <Lines>0</Lines>
  <Paragraphs>0</Paragraphs>
  <TotalTime>17</TotalTime>
  <ScaleCrop>false</ScaleCrop>
  <LinksUpToDate>false</LinksUpToDate>
  <CharactersWithSpaces>3101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2025-08-15T00:05:00Z</dcterms:created>
  <dc:creator>Administrator</dc:creator>
  <cp:lastModifiedBy>连丹丹</cp:lastModifiedBy>
  <cp:lastPrinted>2025-08-15T01:09:00Z</cp:lastPrinted>
  <dcterms:modified xsi:type="dcterms:W3CDTF">2025-08-15T08:09:39Z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eyJoZGlkIjoiNGE3ZjliMjI0MTgzMThhM2Y2N2NlNjI2ODI3MjQ2NTAiLCJ1c2VySWQiOiI4Mjc5NTY1MzYifQ==</vt:lpwstr>
  </property>
  <property fmtid="{D5CDD505-2E9C-101B-9397-08002B2CF9AE}" pid="4" name="ICV">
    <vt:lpwstr>95F2DD9C4697452FB14FD382EE23AAC2_12</vt:lpwstr>
  </property>
</Properties>
</file>