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9CE53">
      <w:pPr>
        <w:spacing w:line="600" w:lineRule="exact"/>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rPr>
        <w:t>禹州市妇幼保健院采购高档智能麻醉机及彩色多普勒超声诊断仪项目</w:t>
      </w:r>
      <w:r>
        <w:rPr>
          <w:rFonts w:hint="eastAsia" w:ascii="宋体" w:hAnsi="宋体" w:eastAsia="宋体" w:cs="宋体"/>
          <w:b/>
          <w:bCs/>
          <w:color w:val="auto"/>
          <w:sz w:val="44"/>
          <w:szCs w:val="44"/>
          <w:lang w:eastAsia="zh-CN"/>
        </w:rPr>
        <w:t>（不见面开标）</w:t>
      </w:r>
    </w:p>
    <w:p w14:paraId="2B89CE54">
      <w:pPr>
        <w:pStyle w:val="8"/>
        <w:ind w:firstLine="480"/>
        <w:rPr>
          <w:color w:val="auto"/>
          <w:sz w:val="22"/>
          <w:szCs w:val="18"/>
        </w:rPr>
      </w:pPr>
    </w:p>
    <w:p w14:paraId="2B89CE55">
      <w:pPr>
        <w:pStyle w:val="9"/>
        <w:ind w:left="5250"/>
        <w:rPr>
          <w:color w:val="auto"/>
        </w:rPr>
      </w:pPr>
    </w:p>
    <w:p w14:paraId="2B89CE56">
      <w:pPr>
        <w:rPr>
          <w:color w:val="auto"/>
        </w:rPr>
      </w:pPr>
    </w:p>
    <w:p w14:paraId="2B89CE57">
      <w:pPr>
        <w:pStyle w:val="2"/>
        <w:rPr>
          <w:rFonts w:hint="eastAsia" w:ascii="宋体" w:hAnsi="宋体" w:cs="黑体"/>
          <w:bCs/>
          <w:color w:val="auto"/>
          <w:w w:val="90"/>
          <w:sz w:val="72"/>
          <w:szCs w:val="72"/>
        </w:rPr>
      </w:pPr>
    </w:p>
    <w:p w14:paraId="2B89CE58">
      <w:pPr>
        <w:pStyle w:val="18"/>
        <w:rPr>
          <w:color w:val="auto"/>
        </w:rPr>
      </w:pPr>
    </w:p>
    <w:p w14:paraId="2B89CE59">
      <w:pPr>
        <w:pStyle w:val="2"/>
        <w:rPr>
          <w:color w:val="auto"/>
        </w:rPr>
      </w:pPr>
    </w:p>
    <w:p w14:paraId="2B89CE5A">
      <w:pPr>
        <w:jc w:val="center"/>
        <w:rPr>
          <w:rFonts w:hint="eastAsia" w:ascii="宋体" w:hAnsi="宋体" w:cs="黑体"/>
          <w:bCs/>
          <w:color w:val="auto"/>
          <w:w w:val="90"/>
          <w:sz w:val="72"/>
          <w:szCs w:val="72"/>
        </w:rPr>
      </w:pPr>
      <w:r>
        <w:rPr>
          <w:rFonts w:hint="eastAsia" w:ascii="宋体" w:hAnsi="宋体" w:cs="黑体"/>
          <w:bCs/>
          <w:color w:val="auto"/>
          <w:w w:val="90"/>
          <w:sz w:val="72"/>
          <w:szCs w:val="72"/>
        </w:rPr>
        <w:t>招 标 文 件</w:t>
      </w:r>
    </w:p>
    <w:p w14:paraId="2B89CE5B">
      <w:pPr>
        <w:rPr>
          <w:rFonts w:hint="eastAsia" w:ascii="宋体" w:hAnsi="宋体"/>
          <w:color w:val="auto"/>
        </w:rPr>
      </w:pPr>
    </w:p>
    <w:p w14:paraId="2B89CE5C">
      <w:pPr>
        <w:rPr>
          <w:rFonts w:hint="eastAsia" w:ascii="宋体" w:hAnsi="宋体"/>
          <w:color w:val="auto"/>
        </w:rPr>
      </w:pPr>
    </w:p>
    <w:p w14:paraId="2B89CE5D">
      <w:pPr>
        <w:rPr>
          <w:rFonts w:hint="eastAsia" w:ascii="宋体" w:hAnsi="宋体"/>
          <w:color w:val="auto"/>
        </w:rPr>
      </w:pPr>
    </w:p>
    <w:p w14:paraId="2B89CE5E">
      <w:pPr>
        <w:rPr>
          <w:rFonts w:hint="eastAsia" w:ascii="宋体" w:hAnsi="宋体"/>
          <w:color w:val="auto"/>
        </w:rPr>
      </w:pPr>
    </w:p>
    <w:p w14:paraId="2B89CE5F">
      <w:pPr>
        <w:rPr>
          <w:rFonts w:hint="eastAsia" w:ascii="宋体" w:hAnsi="宋体"/>
          <w:color w:val="auto"/>
        </w:rPr>
      </w:pPr>
    </w:p>
    <w:p w14:paraId="2B89CE60">
      <w:pPr>
        <w:rPr>
          <w:rFonts w:hint="eastAsia" w:ascii="宋体" w:hAnsi="宋体"/>
          <w:color w:val="auto"/>
        </w:rPr>
      </w:pPr>
    </w:p>
    <w:p w14:paraId="2B89CE61">
      <w:pPr>
        <w:rPr>
          <w:rFonts w:hint="eastAsia" w:ascii="宋体" w:hAnsi="宋体"/>
          <w:color w:val="auto"/>
        </w:rPr>
      </w:pPr>
    </w:p>
    <w:p w14:paraId="2B89CE62">
      <w:pPr>
        <w:rPr>
          <w:rFonts w:hint="eastAsia" w:ascii="宋体" w:hAnsi="宋体"/>
          <w:color w:val="auto"/>
        </w:rPr>
      </w:pPr>
    </w:p>
    <w:p w14:paraId="2B89CE63">
      <w:pPr>
        <w:pStyle w:val="20"/>
        <w:rPr>
          <w:rFonts w:hint="eastAsia" w:ascii="宋体" w:hAnsi="宋体"/>
          <w:color w:val="auto"/>
        </w:rPr>
      </w:pPr>
    </w:p>
    <w:p w14:paraId="2B89CE64">
      <w:pPr>
        <w:pStyle w:val="20"/>
        <w:rPr>
          <w:rFonts w:hint="eastAsia" w:ascii="宋体" w:hAnsi="宋体"/>
          <w:color w:val="auto"/>
        </w:rPr>
      </w:pPr>
    </w:p>
    <w:p w14:paraId="2B89CE65">
      <w:pPr>
        <w:rPr>
          <w:rFonts w:hint="eastAsia" w:ascii="宋体" w:hAnsi="宋体"/>
          <w:color w:val="auto"/>
        </w:rPr>
      </w:pPr>
    </w:p>
    <w:p w14:paraId="2B89CE66">
      <w:pPr>
        <w:pStyle w:val="18"/>
        <w:rPr>
          <w:color w:val="auto"/>
        </w:rPr>
      </w:pPr>
    </w:p>
    <w:p w14:paraId="2B89CE67">
      <w:pPr>
        <w:pStyle w:val="19"/>
        <w:rPr>
          <w:color w:val="auto"/>
        </w:rPr>
      </w:pPr>
    </w:p>
    <w:p w14:paraId="2B89CE68">
      <w:pPr>
        <w:spacing w:line="600" w:lineRule="exact"/>
        <w:ind w:firstLine="1066" w:firstLineChars="295"/>
        <w:rPr>
          <w:rFonts w:hint="default" w:ascii="宋体" w:hAnsi="宋体" w:eastAsia="宋体" w:cs="宋体"/>
          <w:b/>
          <w:bCs/>
          <w:color w:val="auto"/>
          <w:sz w:val="36"/>
          <w:szCs w:val="36"/>
          <w:lang w:val="en-US" w:eastAsia="zh-CN"/>
        </w:rPr>
      </w:pPr>
      <w:bookmarkStart w:id="0" w:name="_Hlk82421398"/>
      <w:r>
        <w:rPr>
          <w:rFonts w:hint="eastAsia" w:ascii="宋体" w:hAnsi="宋体" w:eastAsia="宋体" w:cs="宋体"/>
          <w:b/>
          <w:bCs/>
          <w:color w:val="auto"/>
          <w:sz w:val="36"/>
          <w:szCs w:val="36"/>
        </w:rPr>
        <w:t>采购编号：YZCG-DLG20250</w:t>
      </w:r>
      <w:r>
        <w:rPr>
          <w:rFonts w:hint="eastAsia" w:ascii="宋体" w:hAnsi="宋体" w:eastAsia="宋体" w:cs="宋体"/>
          <w:b/>
          <w:bCs/>
          <w:color w:val="auto"/>
          <w:sz w:val="36"/>
          <w:szCs w:val="36"/>
          <w:lang w:val="en-US" w:eastAsia="zh-CN"/>
        </w:rPr>
        <w:t>63</w:t>
      </w:r>
    </w:p>
    <w:bookmarkEnd w:id="0"/>
    <w:p w14:paraId="2B89CE69">
      <w:pPr>
        <w:ind w:firstLine="1066" w:firstLineChars="295"/>
        <w:rPr>
          <w:rFonts w:hint="eastAsia" w:ascii="宋体" w:hAnsi="宋体" w:eastAsia="宋体" w:cs="宋体"/>
          <w:b/>
          <w:bCs/>
          <w:color w:val="auto"/>
          <w:sz w:val="36"/>
          <w:szCs w:val="36"/>
        </w:rPr>
      </w:pPr>
      <w:r>
        <w:rPr>
          <w:rFonts w:hint="eastAsia" w:ascii="宋体" w:hAnsi="宋体" w:cs="宋体"/>
          <w:b/>
          <w:bCs/>
          <w:color w:val="auto"/>
          <w:sz w:val="36"/>
          <w:szCs w:val="36"/>
        </w:rPr>
        <w:t>采购单位：</w:t>
      </w:r>
      <w:r>
        <w:rPr>
          <w:rFonts w:hint="eastAsia" w:ascii="宋体" w:hAnsi="宋体" w:eastAsia="宋体" w:cs="宋体"/>
          <w:b/>
          <w:bCs/>
          <w:color w:val="auto"/>
          <w:sz w:val="36"/>
          <w:szCs w:val="36"/>
        </w:rPr>
        <w:t>禹州市妇幼保健院</w:t>
      </w:r>
    </w:p>
    <w:p w14:paraId="2B89CE6A">
      <w:pPr>
        <w:ind w:firstLine="1066" w:firstLineChars="295"/>
        <w:rPr>
          <w:color w:val="auto"/>
        </w:rPr>
      </w:pPr>
      <w:r>
        <w:rPr>
          <w:rFonts w:hint="eastAsia" w:ascii="宋体" w:hAnsi="宋体" w:cs="宋体"/>
          <w:b/>
          <w:bCs/>
          <w:color w:val="auto"/>
          <w:sz w:val="36"/>
          <w:szCs w:val="36"/>
        </w:rPr>
        <w:t>代理机构：河南嘉泰工程管理有限公司</w:t>
      </w:r>
    </w:p>
    <w:p w14:paraId="2B89CE6B">
      <w:pPr>
        <w:ind w:firstLine="1084" w:firstLineChars="300"/>
        <w:rPr>
          <w:rFonts w:hint="eastAsia" w:ascii="宋体" w:hAnsi="宋体" w:cs="宋体"/>
          <w:b/>
          <w:bCs/>
          <w:color w:val="auto"/>
          <w:sz w:val="36"/>
          <w:szCs w:val="36"/>
        </w:rPr>
      </w:pPr>
      <w:r>
        <w:rPr>
          <w:rFonts w:hint="eastAsia" w:ascii="宋体" w:hAnsi="宋体" w:cs="宋体"/>
          <w:b/>
          <w:bCs/>
          <w:color w:val="auto"/>
          <w:sz w:val="36"/>
          <w:szCs w:val="36"/>
        </w:rPr>
        <w:t>日    期：二〇二五年九月</w:t>
      </w:r>
    </w:p>
    <w:p w14:paraId="2B89CE6C">
      <w:pPr>
        <w:autoSpaceDE w:val="0"/>
        <w:autoSpaceDN w:val="0"/>
        <w:adjustRightInd w:val="0"/>
        <w:spacing w:line="700" w:lineRule="exact"/>
        <w:rPr>
          <w:rFonts w:hint="eastAsia" w:cs="黑体" w:asciiTheme="minorEastAsia" w:hAnsiTheme="minorEastAsia"/>
          <w:b/>
          <w:bCs/>
          <w:color w:val="auto"/>
          <w:sz w:val="44"/>
          <w:szCs w:val="44"/>
        </w:rPr>
        <w:sectPr>
          <w:pgSz w:w="11906" w:h="16838"/>
          <w:pgMar w:top="2098" w:right="1474" w:bottom="1928" w:left="1588" w:header="851" w:footer="992" w:gutter="0"/>
          <w:pgNumType w:start="1"/>
          <w:cols w:space="425" w:num="1"/>
          <w:docGrid w:type="lines" w:linePitch="312" w:charSpace="0"/>
        </w:sectPr>
      </w:pPr>
    </w:p>
    <w:p w14:paraId="2B89CE6D">
      <w:pPr>
        <w:autoSpaceDE w:val="0"/>
        <w:autoSpaceDN w:val="0"/>
        <w:adjustRightInd w:val="0"/>
        <w:spacing w:line="700" w:lineRule="exact"/>
        <w:jc w:val="center"/>
        <w:rPr>
          <w:rFonts w:hint="eastAsia"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2B89CE6E">
      <w:pPr>
        <w:autoSpaceDE w:val="0"/>
        <w:autoSpaceDN w:val="0"/>
        <w:adjustRightInd w:val="0"/>
        <w:spacing w:line="700" w:lineRule="exact"/>
        <w:ind w:firstLine="551"/>
        <w:rPr>
          <w:rFonts w:hint="eastAsia" w:asciiTheme="majorEastAsia" w:hAnsiTheme="majorEastAsia" w:eastAsiaTheme="majorEastAsia" w:cstheme="majorEastAsia"/>
          <w:b/>
          <w:bCs/>
          <w:color w:val="auto"/>
          <w:sz w:val="32"/>
          <w:szCs w:val="32"/>
          <w:lang w:val="zh-CN"/>
        </w:rPr>
      </w:pPr>
    </w:p>
    <w:p w14:paraId="2B89CE6F">
      <w:pPr>
        <w:autoSpaceDE w:val="0"/>
        <w:autoSpaceDN w:val="0"/>
        <w:adjustRightInd w:val="0"/>
        <w:spacing w:line="700" w:lineRule="exact"/>
        <w:ind w:firstLine="551"/>
        <w:rPr>
          <w:rFonts w:hint="eastAsia"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第一章 投标邀请</w:t>
      </w:r>
    </w:p>
    <w:p w14:paraId="2B89CE70">
      <w:pPr>
        <w:autoSpaceDE w:val="0"/>
        <w:autoSpaceDN w:val="0"/>
        <w:adjustRightInd w:val="0"/>
        <w:spacing w:line="700" w:lineRule="exact"/>
        <w:ind w:firstLine="551"/>
        <w:rPr>
          <w:rFonts w:hint="eastAsia"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第二章 项目需求</w:t>
      </w:r>
    </w:p>
    <w:p w14:paraId="2B89CE71">
      <w:pPr>
        <w:autoSpaceDE w:val="0"/>
        <w:autoSpaceDN w:val="0"/>
        <w:adjustRightInd w:val="0"/>
        <w:spacing w:line="700" w:lineRule="exact"/>
        <w:ind w:firstLine="560"/>
        <w:rPr>
          <w:rFonts w:hint="eastAsia" w:asciiTheme="majorEastAsia" w:hAnsiTheme="majorEastAsia" w:eastAsiaTheme="majorEastAsia" w:cstheme="majorEastAsia"/>
          <w:b/>
          <w:color w:val="auto"/>
          <w:kern w:val="0"/>
          <w:sz w:val="30"/>
          <w:szCs w:val="30"/>
        </w:rPr>
      </w:pPr>
      <w:r>
        <w:rPr>
          <w:rFonts w:hint="eastAsia" w:asciiTheme="majorEastAsia" w:hAnsiTheme="majorEastAsia" w:eastAsiaTheme="majorEastAsia" w:cstheme="majorEastAsia"/>
          <w:b/>
          <w:bCs/>
          <w:color w:val="auto"/>
          <w:sz w:val="30"/>
          <w:szCs w:val="30"/>
          <w:lang w:val="zh-CN"/>
        </w:rPr>
        <w:t xml:space="preserve">第三章 </w:t>
      </w:r>
      <w:r>
        <w:rPr>
          <w:rFonts w:hint="eastAsia" w:asciiTheme="majorEastAsia" w:hAnsiTheme="majorEastAsia" w:eastAsiaTheme="majorEastAsia" w:cstheme="majorEastAsia"/>
          <w:b/>
          <w:color w:val="auto"/>
          <w:kern w:val="0"/>
          <w:sz w:val="30"/>
          <w:szCs w:val="30"/>
        </w:rPr>
        <w:t>投标人须知前附表</w:t>
      </w:r>
    </w:p>
    <w:p w14:paraId="2B89CE72">
      <w:pPr>
        <w:autoSpaceDE w:val="0"/>
        <w:autoSpaceDN w:val="0"/>
        <w:adjustRightInd w:val="0"/>
        <w:spacing w:line="700" w:lineRule="exact"/>
        <w:ind w:firstLine="560"/>
        <w:rPr>
          <w:rFonts w:hint="eastAsia" w:asciiTheme="majorEastAsia" w:hAnsiTheme="majorEastAsia" w:eastAsiaTheme="majorEastAsia" w:cstheme="majorEastAsia"/>
          <w:b/>
          <w:color w:val="auto"/>
          <w:kern w:val="0"/>
          <w:sz w:val="30"/>
          <w:szCs w:val="30"/>
        </w:rPr>
      </w:pPr>
      <w:r>
        <w:rPr>
          <w:rFonts w:hint="eastAsia" w:asciiTheme="majorEastAsia" w:hAnsiTheme="majorEastAsia" w:eastAsiaTheme="majorEastAsia" w:cstheme="majorEastAsia"/>
          <w:b/>
          <w:bCs/>
          <w:color w:val="auto"/>
          <w:sz w:val="30"/>
          <w:szCs w:val="30"/>
          <w:lang w:val="zh-CN"/>
        </w:rPr>
        <w:t xml:space="preserve">第四章 </w:t>
      </w:r>
      <w:r>
        <w:rPr>
          <w:rFonts w:hint="eastAsia" w:asciiTheme="majorEastAsia" w:hAnsiTheme="majorEastAsia" w:eastAsiaTheme="majorEastAsia" w:cstheme="majorEastAsia"/>
          <w:b/>
          <w:color w:val="auto"/>
          <w:kern w:val="0"/>
          <w:sz w:val="30"/>
          <w:szCs w:val="30"/>
        </w:rPr>
        <w:t>投标人须知</w:t>
      </w:r>
    </w:p>
    <w:p w14:paraId="2B89CE73">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2B89CE74">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二、招标文件说明</w:t>
      </w:r>
    </w:p>
    <w:p w14:paraId="2B89CE75">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三、投标文件的编制</w:t>
      </w:r>
    </w:p>
    <w:p w14:paraId="2B89CE76">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四、投标文件的递交</w:t>
      </w:r>
    </w:p>
    <w:p w14:paraId="2B89CE77">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五、开标和评标</w:t>
      </w:r>
    </w:p>
    <w:p w14:paraId="2B89CE78">
      <w:pPr>
        <w:autoSpaceDE w:val="0"/>
        <w:autoSpaceDN w:val="0"/>
        <w:adjustRightInd w:val="0"/>
        <w:spacing w:line="700" w:lineRule="exact"/>
        <w:ind w:firstLine="551"/>
        <w:rPr>
          <w:rFonts w:hint="eastAsia"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六、定标和授予合同</w:t>
      </w:r>
    </w:p>
    <w:p w14:paraId="2B89CE79">
      <w:pPr>
        <w:autoSpaceDE w:val="0"/>
        <w:autoSpaceDN w:val="0"/>
        <w:adjustRightInd w:val="0"/>
        <w:spacing w:line="700" w:lineRule="exact"/>
        <w:ind w:firstLine="560"/>
        <w:rPr>
          <w:rFonts w:hint="eastAsia"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第五章 政府采购政策功能</w:t>
      </w:r>
    </w:p>
    <w:p w14:paraId="2B89CE7A">
      <w:pPr>
        <w:autoSpaceDE w:val="0"/>
        <w:autoSpaceDN w:val="0"/>
        <w:adjustRightInd w:val="0"/>
        <w:spacing w:line="700" w:lineRule="exact"/>
        <w:ind w:firstLine="560"/>
        <w:rPr>
          <w:rFonts w:hint="eastAsia"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第六章 资格审查与评标</w:t>
      </w:r>
    </w:p>
    <w:p w14:paraId="2B89CE7B">
      <w:pPr>
        <w:autoSpaceDE w:val="0"/>
        <w:autoSpaceDN w:val="0"/>
        <w:adjustRightInd w:val="0"/>
        <w:spacing w:line="700" w:lineRule="exact"/>
        <w:ind w:firstLine="560"/>
        <w:rPr>
          <w:rFonts w:hint="eastAsia"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第七章 拟签订的合同文本</w:t>
      </w:r>
    </w:p>
    <w:p w14:paraId="2B89CE7C">
      <w:pPr>
        <w:autoSpaceDE w:val="0"/>
        <w:autoSpaceDN w:val="0"/>
        <w:adjustRightInd w:val="0"/>
        <w:spacing w:line="700" w:lineRule="exact"/>
        <w:ind w:firstLine="560"/>
        <w:rPr>
          <w:rFonts w:hint="eastAsia"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第八章 投标文件有关格式</w:t>
      </w:r>
    </w:p>
    <w:p w14:paraId="2B89CE7D">
      <w:pPr>
        <w:pStyle w:val="13"/>
        <w:ind w:firstLine="301"/>
        <w:rPr>
          <w:rFonts w:hint="eastAsia" w:asciiTheme="majorEastAsia" w:hAnsiTheme="majorEastAsia" w:eastAsiaTheme="majorEastAsia" w:cstheme="majorEastAsia"/>
          <w:b/>
          <w:bCs/>
          <w:color w:val="auto"/>
          <w:sz w:val="30"/>
          <w:szCs w:val="30"/>
          <w:lang w:val="zh-CN"/>
        </w:rPr>
      </w:pPr>
    </w:p>
    <w:p w14:paraId="2B89CE7E">
      <w:pPr>
        <w:pStyle w:val="8"/>
        <w:ind w:firstLine="480"/>
        <w:rPr>
          <w:color w:val="auto"/>
        </w:rPr>
      </w:pPr>
    </w:p>
    <w:p w14:paraId="2B89CE7F">
      <w:pPr>
        <w:rPr>
          <w:color w:val="auto"/>
        </w:rPr>
      </w:pPr>
    </w:p>
    <w:p w14:paraId="2B89CE80">
      <w:pPr>
        <w:pStyle w:val="2"/>
        <w:rPr>
          <w:color w:val="auto"/>
        </w:rPr>
      </w:pPr>
    </w:p>
    <w:p w14:paraId="2B89CE81">
      <w:pPr>
        <w:pStyle w:val="2"/>
        <w:rPr>
          <w:color w:val="auto"/>
        </w:rPr>
      </w:pPr>
    </w:p>
    <w:p w14:paraId="2B89CE82">
      <w:pPr>
        <w:pStyle w:val="2"/>
        <w:rPr>
          <w:color w:val="auto"/>
        </w:rPr>
      </w:pPr>
    </w:p>
    <w:p w14:paraId="2B89CE83">
      <w:pPr>
        <w:jc w:val="center"/>
        <w:rPr>
          <w:color w:val="auto"/>
        </w:rPr>
      </w:pPr>
      <w:r>
        <w:rPr>
          <w:rFonts w:hint="eastAsia" w:cs="宋体" w:asciiTheme="majorEastAsia" w:hAnsiTheme="majorEastAsia" w:eastAsiaTheme="majorEastAsia"/>
          <w:b/>
          <w:color w:val="auto"/>
          <w:kern w:val="0"/>
          <w:sz w:val="32"/>
          <w:szCs w:val="32"/>
        </w:rPr>
        <w:t>第一章 投标邀请</w:t>
      </w:r>
    </w:p>
    <w:p w14:paraId="2B89CE84">
      <w:pPr>
        <w:wordWrap w:val="0"/>
        <w:spacing w:line="440" w:lineRule="atLeast"/>
        <w:rPr>
          <w:rFonts w:hint="eastAsia" w:ascii="宋体" w:hAnsi="宋体" w:cs="仿宋_GB2312"/>
          <w:color w:val="auto"/>
          <w:szCs w:val="21"/>
          <w:lang w:val="zh-CN"/>
        </w:rPr>
      </w:pPr>
      <w:r>
        <w:rPr>
          <w:rFonts w:hint="eastAsia" w:ascii="宋体" w:hAnsi="宋体" w:cs="仿宋_GB2312"/>
          <w:color w:val="auto"/>
          <w:szCs w:val="21"/>
          <w:lang w:val="zh-CN"/>
        </w:rPr>
        <w:t>项目概况</w:t>
      </w:r>
    </w:p>
    <w:p w14:paraId="2B89CE85">
      <w:pPr>
        <w:tabs>
          <w:tab w:val="left" w:pos="7095"/>
        </w:tabs>
        <w:spacing w:line="384" w:lineRule="auto"/>
        <w:ind w:firstLine="420" w:firstLineChars="200"/>
        <w:contextualSpacing/>
        <w:rPr>
          <w:rFonts w:hint="eastAsia" w:cs="仿宋_GB2312" w:asciiTheme="minorEastAsia" w:hAnsiTheme="minorEastAsia"/>
          <w:color w:val="auto"/>
          <w:szCs w:val="21"/>
          <w:lang w:val="zh-CN"/>
        </w:rPr>
      </w:pPr>
      <w:r>
        <w:rPr>
          <w:rFonts w:hint="eastAsia" w:ascii="宋体" w:hAnsi="宋体" w:cs="仿宋_GB2312"/>
          <w:color w:val="auto"/>
          <w:szCs w:val="21"/>
          <w:lang w:val="zh-CN"/>
        </w:rPr>
        <w:t>禹州市妇幼保健院采购高档智能麻醉机及彩色多普勒超声诊断仪项目的潜在投标人应在投标截止时间前登录《全国公共资源交易平台（河南省·许昌市）》“投标人/供应商登录”入口（下文所述“全国公共资源交易平台（河南省•许昌市）”的地址均为https://ggzy.xuchang.gov.cn）自行免费下载获取招标文件，并于</w:t>
      </w:r>
      <w:r>
        <w:rPr>
          <w:rFonts w:hint="eastAsia" w:cs="仿宋_GB2312" w:asciiTheme="minorEastAsia" w:hAnsiTheme="minorEastAsia"/>
          <w:color w:val="auto"/>
          <w:szCs w:val="21"/>
          <w:lang w:val="zh-CN"/>
        </w:rPr>
        <w:t>202</w:t>
      </w:r>
      <w:r>
        <w:rPr>
          <w:rFonts w:hint="eastAsia" w:cs="仿宋_GB2312" w:asciiTheme="minorEastAsia" w:hAnsiTheme="minorEastAsia"/>
          <w:color w:val="auto"/>
          <w:szCs w:val="21"/>
        </w:rPr>
        <w:t>5</w:t>
      </w:r>
      <w:r>
        <w:rPr>
          <w:rFonts w:hint="eastAsia" w:cs="仿宋_GB2312" w:asciiTheme="minorEastAsia" w:hAnsiTheme="minorEastAsia"/>
          <w:color w:val="auto"/>
          <w:szCs w:val="21"/>
          <w:lang w:val="zh-CN"/>
        </w:rPr>
        <w:t>年</w:t>
      </w:r>
      <w:r>
        <w:rPr>
          <w:rFonts w:hint="eastAsia" w:cs="仿宋_GB2312" w:asciiTheme="minorEastAsia" w:hAnsiTheme="minorEastAsia"/>
          <w:color w:val="auto"/>
          <w:szCs w:val="21"/>
          <w:lang w:val="en-US" w:eastAsia="zh-CN"/>
        </w:rPr>
        <w:t>10</w:t>
      </w:r>
      <w:r>
        <w:rPr>
          <w:rFonts w:hint="eastAsia" w:cs="仿宋_GB2312" w:asciiTheme="minorEastAsia" w:hAnsiTheme="minorEastAsia"/>
          <w:color w:val="auto"/>
          <w:szCs w:val="21"/>
          <w:lang w:val="zh-CN"/>
        </w:rPr>
        <w:t>月</w:t>
      </w:r>
      <w:r>
        <w:rPr>
          <w:rFonts w:hint="eastAsia" w:cs="仿宋_GB2312" w:asciiTheme="minorEastAsia" w:hAnsiTheme="minorEastAsia"/>
          <w:color w:val="auto"/>
          <w:szCs w:val="21"/>
          <w:lang w:val="en-US" w:eastAsia="zh-CN"/>
        </w:rPr>
        <w:t>22</w:t>
      </w:r>
      <w:r>
        <w:rPr>
          <w:rFonts w:hint="eastAsia" w:cs="仿宋_GB2312" w:asciiTheme="minorEastAsia" w:hAnsiTheme="minorEastAsia"/>
          <w:color w:val="auto"/>
          <w:szCs w:val="21"/>
          <w:lang w:val="zh-CN"/>
        </w:rPr>
        <w:t>日08时30分（北京时间）前递交投标文件。</w:t>
      </w:r>
    </w:p>
    <w:p w14:paraId="2B89CE86">
      <w:pPr>
        <w:tabs>
          <w:tab w:val="left" w:pos="7095"/>
        </w:tabs>
        <w:spacing w:line="384" w:lineRule="auto"/>
        <w:ind w:firstLine="422" w:firstLineChars="200"/>
        <w:contextualSpacing/>
        <w:rPr>
          <w:rFonts w:hint="eastAsia" w:asciiTheme="minorEastAsia" w:hAnsiTheme="minorEastAsia"/>
          <w:b/>
          <w:bCs/>
          <w:color w:val="auto"/>
          <w:szCs w:val="21"/>
        </w:rPr>
      </w:pPr>
      <w:r>
        <w:rPr>
          <w:rFonts w:hint="eastAsia" w:asciiTheme="minorEastAsia" w:hAnsiTheme="minorEastAsia"/>
          <w:b/>
          <w:bCs/>
          <w:color w:val="auto"/>
          <w:szCs w:val="21"/>
        </w:rPr>
        <w:t>一、项目基本情况</w:t>
      </w:r>
    </w:p>
    <w:p w14:paraId="2B89CE87">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1.项目编号：YZCG-DLG2025</w:t>
      </w:r>
      <w:r>
        <w:rPr>
          <w:rFonts w:hint="eastAsia" w:asciiTheme="minorEastAsia" w:hAnsiTheme="minorEastAsia"/>
          <w:color w:val="auto"/>
          <w:szCs w:val="21"/>
          <w:lang w:val="en-US" w:eastAsia="zh-CN"/>
        </w:rPr>
        <w:t>063</w:t>
      </w:r>
      <w:r>
        <w:rPr>
          <w:rFonts w:hint="eastAsia" w:asciiTheme="minorEastAsia" w:hAnsiTheme="minorEastAsia"/>
          <w:color w:val="auto"/>
          <w:szCs w:val="21"/>
        </w:rPr>
        <w:t xml:space="preserve">       </w:t>
      </w:r>
    </w:p>
    <w:p w14:paraId="2B89CE88">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2.项目名称：禹州市妇幼保健院采购高档智能麻醉机及彩色多普勒超声诊断仪项目</w:t>
      </w:r>
    </w:p>
    <w:p w14:paraId="2B89CE89">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3.采购方式：公开招标</w:t>
      </w:r>
    </w:p>
    <w:p w14:paraId="2B89CE8A">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rPr>
        <w:t>4.</w:t>
      </w:r>
      <w:r>
        <w:rPr>
          <w:rFonts w:hint="eastAsia" w:asciiTheme="minorEastAsia" w:hAnsiTheme="minorEastAsia"/>
          <w:color w:val="auto"/>
          <w:szCs w:val="21"/>
          <w:highlight w:val="none"/>
        </w:rPr>
        <w:t>预算金额：第一标段：420000.00 元   第二标段：2550000.00元</w:t>
      </w:r>
    </w:p>
    <w:p w14:paraId="2B89CE8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 xml:space="preserve">  最高限价：第一标段：420000.00 元   第二标段：2550000.00元</w:t>
      </w:r>
    </w:p>
    <w:tbl>
      <w:tblPr>
        <w:tblStyle w:val="15"/>
        <w:tblpPr w:leftFromText="180" w:rightFromText="180" w:vertAnchor="text" w:horzAnchor="page" w:tblpX="1705" w:tblpY="461"/>
        <w:tblOverlap w:val="never"/>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791"/>
        <w:gridCol w:w="2214"/>
        <w:gridCol w:w="1330"/>
        <w:gridCol w:w="1331"/>
        <w:gridCol w:w="1290"/>
      </w:tblGrid>
      <w:tr w14:paraId="2B89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46" w:type="dxa"/>
            <w:vAlign w:val="center"/>
          </w:tcPr>
          <w:p w14:paraId="2B89CE8C">
            <w:pPr>
              <w:widowControl/>
              <w:jc w:val="center"/>
              <w:rPr>
                <w:rFonts w:hint="eastAsia" w:asciiTheme="minorEastAsia" w:hAnsiTheme="minorEastAsia"/>
                <w:color w:val="auto"/>
                <w:szCs w:val="21"/>
              </w:rPr>
            </w:pPr>
            <w:r>
              <w:rPr>
                <w:rFonts w:ascii="Segoe UI" w:hAnsi="Segoe UI" w:eastAsia="Segoe UI" w:cs="Segoe UI"/>
                <w:color w:val="auto"/>
                <w:kern w:val="0"/>
                <w:szCs w:val="21"/>
                <w:lang w:bidi="ar"/>
              </w:rPr>
              <w:t>序号</w:t>
            </w:r>
          </w:p>
        </w:tc>
        <w:tc>
          <w:tcPr>
            <w:tcW w:w="1639" w:type="dxa"/>
            <w:vAlign w:val="center"/>
          </w:tcPr>
          <w:p w14:paraId="2B89CE8D">
            <w:pPr>
              <w:widowControl/>
              <w:jc w:val="center"/>
              <w:rPr>
                <w:rFonts w:hint="eastAsia" w:asciiTheme="minorEastAsia" w:hAnsiTheme="minorEastAsia"/>
                <w:color w:val="auto"/>
                <w:szCs w:val="21"/>
              </w:rPr>
            </w:pPr>
            <w:r>
              <w:rPr>
                <w:rFonts w:ascii="Segoe UI" w:hAnsi="Segoe UI" w:eastAsia="Segoe UI" w:cs="Segoe UI"/>
                <w:color w:val="auto"/>
                <w:kern w:val="0"/>
                <w:szCs w:val="21"/>
                <w:lang w:bidi="ar"/>
              </w:rPr>
              <w:t>包号</w:t>
            </w:r>
          </w:p>
        </w:tc>
        <w:tc>
          <w:tcPr>
            <w:tcW w:w="2305" w:type="dxa"/>
            <w:vAlign w:val="center"/>
          </w:tcPr>
          <w:p w14:paraId="2B89CE8E">
            <w:pPr>
              <w:widowControl/>
              <w:jc w:val="center"/>
              <w:rPr>
                <w:rFonts w:hint="eastAsia" w:asciiTheme="minorEastAsia" w:hAnsiTheme="minorEastAsia"/>
                <w:color w:val="auto"/>
                <w:szCs w:val="21"/>
              </w:rPr>
            </w:pPr>
            <w:r>
              <w:rPr>
                <w:rFonts w:ascii="Segoe UI" w:hAnsi="Segoe UI" w:eastAsia="Segoe UI" w:cs="Segoe UI"/>
                <w:color w:val="auto"/>
                <w:kern w:val="0"/>
                <w:szCs w:val="21"/>
                <w:lang w:bidi="ar"/>
              </w:rPr>
              <w:t>包名称</w:t>
            </w:r>
          </w:p>
        </w:tc>
        <w:tc>
          <w:tcPr>
            <w:tcW w:w="1333" w:type="dxa"/>
            <w:vAlign w:val="center"/>
          </w:tcPr>
          <w:p w14:paraId="2B89CE8F">
            <w:pPr>
              <w:widowControl/>
              <w:jc w:val="center"/>
              <w:rPr>
                <w:rFonts w:ascii="Segoe UI" w:hAnsi="Segoe UI" w:eastAsia="Segoe UI" w:cs="Segoe UI"/>
                <w:color w:val="auto"/>
                <w:kern w:val="0"/>
                <w:szCs w:val="21"/>
                <w:lang w:bidi="ar"/>
              </w:rPr>
            </w:pPr>
            <w:r>
              <w:rPr>
                <w:rFonts w:ascii="Segoe UI" w:hAnsi="Segoe UI" w:eastAsia="Segoe UI" w:cs="Segoe UI"/>
                <w:color w:val="auto"/>
                <w:kern w:val="0"/>
                <w:szCs w:val="21"/>
                <w:lang w:bidi="ar"/>
              </w:rPr>
              <w:t>包预算</w:t>
            </w:r>
          </w:p>
          <w:p w14:paraId="2B89CE90">
            <w:pPr>
              <w:widowControl/>
              <w:jc w:val="center"/>
              <w:rPr>
                <w:rFonts w:hint="eastAsia" w:asciiTheme="minorEastAsia" w:hAnsiTheme="minorEastAsia"/>
                <w:color w:val="auto"/>
                <w:szCs w:val="21"/>
              </w:rPr>
            </w:pPr>
            <w:r>
              <w:rPr>
                <w:rFonts w:ascii="Segoe UI" w:hAnsi="Segoe UI" w:eastAsia="Segoe UI" w:cs="Segoe UI"/>
                <w:color w:val="auto"/>
                <w:kern w:val="0"/>
                <w:szCs w:val="21"/>
                <w:lang w:bidi="ar"/>
              </w:rPr>
              <w:t>（元）</w:t>
            </w:r>
          </w:p>
        </w:tc>
        <w:tc>
          <w:tcPr>
            <w:tcW w:w="1334" w:type="dxa"/>
            <w:vAlign w:val="center"/>
          </w:tcPr>
          <w:p w14:paraId="2B89CE91">
            <w:pPr>
              <w:widowControl/>
              <w:jc w:val="center"/>
              <w:rPr>
                <w:rFonts w:hint="eastAsia" w:asciiTheme="minorEastAsia" w:hAnsiTheme="minorEastAsia"/>
                <w:color w:val="auto"/>
                <w:szCs w:val="21"/>
              </w:rPr>
            </w:pPr>
            <w:r>
              <w:rPr>
                <w:rFonts w:ascii="Segoe UI" w:hAnsi="Segoe UI" w:eastAsia="Segoe UI" w:cs="Segoe UI"/>
                <w:color w:val="auto"/>
                <w:kern w:val="0"/>
                <w:szCs w:val="21"/>
                <w:lang w:bidi="ar"/>
              </w:rPr>
              <w:t>包最高限价（元）</w:t>
            </w:r>
          </w:p>
        </w:tc>
        <w:tc>
          <w:tcPr>
            <w:tcW w:w="1334" w:type="dxa"/>
            <w:vAlign w:val="center"/>
          </w:tcPr>
          <w:p w14:paraId="2B89CE92">
            <w:pPr>
              <w:widowControl/>
              <w:jc w:val="center"/>
              <w:rPr>
                <w:rFonts w:hint="eastAsia" w:asciiTheme="minorEastAsia" w:hAnsiTheme="minorEastAsia"/>
                <w:color w:val="auto"/>
                <w:szCs w:val="21"/>
              </w:rPr>
            </w:pPr>
            <w:r>
              <w:rPr>
                <w:rFonts w:ascii="Segoe UI" w:hAnsi="Segoe UI" w:eastAsia="Segoe UI" w:cs="Segoe UI"/>
                <w:color w:val="auto"/>
                <w:kern w:val="0"/>
                <w:szCs w:val="21"/>
                <w:lang w:bidi="ar"/>
              </w:rPr>
              <w:t>是否专门面向中小企业</w:t>
            </w:r>
          </w:p>
        </w:tc>
      </w:tr>
      <w:tr w14:paraId="2B89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46" w:type="dxa"/>
            <w:vAlign w:val="center"/>
          </w:tcPr>
          <w:p w14:paraId="2B89CE94">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1</w:t>
            </w:r>
          </w:p>
        </w:tc>
        <w:tc>
          <w:tcPr>
            <w:tcW w:w="1639" w:type="dxa"/>
            <w:vAlign w:val="center"/>
          </w:tcPr>
          <w:p w14:paraId="2B89CE95">
            <w:pPr>
              <w:tabs>
                <w:tab w:val="left" w:pos="7095"/>
              </w:tabs>
              <w:spacing w:line="384" w:lineRule="auto"/>
              <w:contextualSpacing/>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rPr>
              <w:t>YZCG-DLG2025</w:t>
            </w:r>
            <w:r>
              <w:rPr>
                <w:rFonts w:hint="eastAsia" w:asciiTheme="minorEastAsia" w:hAnsiTheme="minorEastAsia"/>
                <w:color w:val="auto"/>
                <w:szCs w:val="21"/>
                <w:lang w:val="en-US" w:eastAsia="zh-CN"/>
              </w:rPr>
              <w:t>063</w:t>
            </w:r>
          </w:p>
        </w:tc>
        <w:tc>
          <w:tcPr>
            <w:tcW w:w="2305" w:type="dxa"/>
            <w:vAlign w:val="center"/>
          </w:tcPr>
          <w:p w14:paraId="2B89CE96">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第一标段</w:t>
            </w:r>
          </w:p>
        </w:tc>
        <w:tc>
          <w:tcPr>
            <w:tcW w:w="1333" w:type="dxa"/>
            <w:vAlign w:val="center"/>
          </w:tcPr>
          <w:p w14:paraId="2B89CE97">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420000.00</w:t>
            </w:r>
          </w:p>
        </w:tc>
        <w:tc>
          <w:tcPr>
            <w:tcW w:w="1334" w:type="dxa"/>
            <w:vAlign w:val="center"/>
          </w:tcPr>
          <w:p w14:paraId="2B89CE98">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420000.00</w:t>
            </w:r>
          </w:p>
        </w:tc>
        <w:tc>
          <w:tcPr>
            <w:tcW w:w="1334" w:type="dxa"/>
            <w:vAlign w:val="center"/>
          </w:tcPr>
          <w:p w14:paraId="2B89CE99">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否</w:t>
            </w:r>
          </w:p>
        </w:tc>
      </w:tr>
      <w:tr w14:paraId="2B89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46" w:type="dxa"/>
            <w:vAlign w:val="center"/>
          </w:tcPr>
          <w:p w14:paraId="2B89CE9B">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2</w:t>
            </w:r>
          </w:p>
        </w:tc>
        <w:tc>
          <w:tcPr>
            <w:tcW w:w="1639" w:type="dxa"/>
            <w:vAlign w:val="center"/>
          </w:tcPr>
          <w:p w14:paraId="2B89CE9C">
            <w:pPr>
              <w:tabs>
                <w:tab w:val="left" w:pos="7095"/>
              </w:tabs>
              <w:spacing w:line="384" w:lineRule="auto"/>
              <w:contextualSpacing/>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rPr>
              <w:t>YZCG-DLG2025</w:t>
            </w:r>
            <w:r>
              <w:rPr>
                <w:rFonts w:hint="eastAsia" w:asciiTheme="minorEastAsia" w:hAnsiTheme="minorEastAsia"/>
                <w:color w:val="auto"/>
                <w:szCs w:val="21"/>
                <w:lang w:val="en-US" w:eastAsia="zh-CN"/>
              </w:rPr>
              <w:t>063</w:t>
            </w:r>
          </w:p>
        </w:tc>
        <w:tc>
          <w:tcPr>
            <w:tcW w:w="2305" w:type="dxa"/>
            <w:vAlign w:val="center"/>
          </w:tcPr>
          <w:p w14:paraId="2B89CE9D">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第二标段</w:t>
            </w:r>
          </w:p>
        </w:tc>
        <w:tc>
          <w:tcPr>
            <w:tcW w:w="1333" w:type="dxa"/>
            <w:vAlign w:val="center"/>
          </w:tcPr>
          <w:p w14:paraId="2B89CE9E">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2550000.00</w:t>
            </w:r>
          </w:p>
        </w:tc>
        <w:tc>
          <w:tcPr>
            <w:tcW w:w="1334" w:type="dxa"/>
            <w:vAlign w:val="center"/>
          </w:tcPr>
          <w:p w14:paraId="2B89CE9F">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2550000.00</w:t>
            </w:r>
          </w:p>
        </w:tc>
        <w:tc>
          <w:tcPr>
            <w:tcW w:w="1334" w:type="dxa"/>
            <w:vAlign w:val="center"/>
          </w:tcPr>
          <w:p w14:paraId="2B89CEA0">
            <w:pPr>
              <w:tabs>
                <w:tab w:val="left" w:pos="7095"/>
              </w:tabs>
              <w:spacing w:line="384" w:lineRule="auto"/>
              <w:contextualSpacing/>
              <w:jc w:val="center"/>
              <w:rPr>
                <w:rFonts w:hint="eastAsia" w:asciiTheme="minorEastAsia" w:hAnsiTheme="minorEastAsia"/>
                <w:color w:val="auto"/>
                <w:szCs w:val="21"/>
              </w:rPr>
            </w:pPr>
            <w:r>
              <w:rPr>
                <w:rFonts w:hint="eastAsia" w:asciiTheme="minorEastAsia" w:hAnsiTheme="minorEastAsia"/>
                <w:color w:val="auto"/>
                <w:szCs w:val="21"/>
              </w:rPr>
              <w:t>否</w:t>
            </w:r>
          </w:p>
        </w:tc>
      </w:tr>
    </w:tbl>
    <w:p w14:paraId="2B89CEA2">
      <w:pPr>
        <w:tabs>
          <w:tab w:val="left" w:pos="7095"/>
        </w:tabs>
        <w:spacing w:line="384" w:lineRule="auto"/>
        <w:contextualSpacing/>
        <w:rPr>
          <w:rFonts w:hint="eastAsia" w:asciiTheme="minorEastAsia" w:hAnsiTheme="minorEastAsia"/>
          <w:color w:val="auto"/>
          <w:szCs w:val="21"/>
        </w:rPr>
      </w:pPr>
    </w:p>
    <w:p w14:paraId="2B89CEA3">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5.采购需求（包括但不限于标的的名称、数量、简要技术需求等）</w:t>
      </w:r>
    </w:p>
    <w:p w14:paraId="2B89CEA4">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禹州市妇幼保健院采购高档智能麻醉机及彩色多普勒超声诊断仪项目（详见招标文件第二章项目需求）</w:t>
      </w:r>
    </w:p>
    <w:p w14:paraId="2B89CEA5">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6.</w:t>
      </w:r>
      <w:r>
        <w:rPr>
          <w:rFonts w:hint="eastAsia" w:hAnsi="宋体"/>
          <w:color w:val="auto"/>
          <w:szCs w:val="21"/>
        </w:rPr>
        <w:t>合同履行期限：自合同生效之日起30日历天内交货，完成安装调试并具备验收条件</w:t>
      </w:r>
      <w:r>
        <w:rPr>
          <w:rFonts w:hint="eastAsia" w:asciiTheme="minorEastAsia" w:hAnsiTheme="minorEastAsia"/>
          <w:color w:val="auto"/>
          <w:szCs w:val="21"/>
        </w:rPr>
        <w:t>；</w:t>
      </w:r>
    </w:p>
    <w:p w14:paraId="2B89CEA6">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7.本项目是否接受联合体投标：否</w:t>
      </w:r>
    </w:p>
    <w:p w14:paraId="2B89CEA7">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8.是否接受进口产品：否</w:t>
      </w:r>
    </w:p>
    <w:p w14:paraId="2B89CEA8">
      <w:pPr>
        <w:tabs>
          <w:tab w:val="left" w:pos="7095"/>
        </w:tabs>
        <w:spacing w:line="384" w:lineRule="auto"/>
        <w:ind w:firstLine="420" w:firstLineChars="200"/>
        <w:contextualSpacing/>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color w:val="auto"/>
          <w:szCs w:val="21"/>
          <w:highlight w:val="none"/>
        </w:rPr>
        <w:t>9.是否专门面向中小企业：</w:t>
      </w:r>
      <w:r>
        <w:rPr>
          <w:rFonts w:hint="eastAsia" w:asciiTheme="minorEastAsia" w:hAnsiTheme="minorEastAsia"/>
          <w:color w:val="auto"/>
          <w:szCs w:val="21"/>
          <w:highlight w:val="none"/>
          <w:lang w:eastAsia="zh-CN"/>
        </w:rPr>
        <w:t>否</w:t>
      </w:r>
    </w:p>
    <w:p w14:paraId="2B89CEA9">
      <w:pPr>
        <w:tabs>
          <w:tab w:val="left" w:pos="7095"/>
        </w:tabs>
        <w:spacing w:line="384" w:lineRule="auto"/>
        <w:ind w:firstLine="422" w:firstLineChars="200"/>
        <w:contextualSpacing/>
        <w:rPr>
          <w:rFonts w:hint="eastAsia" w:asciiTheme="minorEastAsia" w:hAnsiTheme="minorEastAsia"/>
          <w:b/>
          <w:bCs/>
          <w:color w:val="auto"/>
          <w:szCs w:val="21"/>
        </w:rPr>
      </w:pPr>
      <w:r>
        <w:rPr>
          <w:rFonts w:hint="eastAsia" w:asciiTheme="minorEastAsia" w:hAnsiTheme="minorEastAsia"/>
          <w:b/>
          <w:bCs/>
          <w:color w:val="auto"/>
          <w:szCs w:val="21"/>
        </w:rPr>
        <w:t>二、申请人资格要求：</w:t>
      </w:r>
    </w:p>
    <w:p w14:paraId="2B89CEAA">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 满足《中华人民共和国政府采购法》第二十二条规定；</w:t>
      </w:r>
    </w:p>
    <w:p w14:paraId="2B89CEAB">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2.落实政府采购政策满足的资格要求：</w:t>
      </w:r>
    </w:p>
    <w:p w14:paraId="2B89CEAC">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本项目落实节约能源、保护环境、扶持不发达地区和少数民族地区、促进中小企业、监狱企业发展等政府采购政策。</w:t>
      </w:r>
    </w:p>
    <w:p w14:paraId="2B89CEAD">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3.本项目的特定资格要求</w:t>
      </w:r>
    </w:p>
    <w:p w14:paraId="2B89CEAE">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3.1投标人须具有独立法人资格</w:t>
      </w:r>
      <w:r>
        <w:rPr>
          <w:rFonts w:hint="eastAsia" w:asciiTheme="minorEastAsia" w:hAnsiTheme="minorEastAsia"/>
          <w:color w:val="auto"/>
          <w:szCs w:val="21"/>
          <w:lang w:eastAsia="zh-CN"/>
        </w:rPr>
        <w:t>。</w:t>
      </w:r>
    </w:p>
    <w:p w14:paraId="2B89CEAF">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3.2根据所投产品的医疗器械分类，投标人为产品制造商时，提供有效的《第一类医疗器械生产备案凭证》（第一类医疗器械提供）、《医疗器械生产许可证》（第二、三类医疗器械提供）；投标人为产品代理商或经销商时，提供有效的涵盖投标产品经营范围的《第二类医疗器械经营备案凭证》（第二类医疗器械提供）、《医疗器械经营许可证》</w:t>
      </w:r>
      <w:r>
        <w:rPr>
          <w:rFonts w:hint="eastAsia" w:asciiTheme="minorEastAsia" w:hAnsiTheme="minorEastAsia"/>
          <w:color w:val="auto"/>
          <w:szCs w:val="21"/>
          <w:lang w:eastAsia="zh-CN"/>
        </w:rPr>
        <w:t>（</w:t>
      </w:r>
      <w:r>
        <w:rPr>
          <w:rFonts w:hint="eastAsia" w:asciiTheme="minorEastAsia" w:hAnsiTheme="minorEastAsia"/>
          <w:color w:val="auto"/>
          <w:szCs w:val="21"/>
        </w:rPr>
        <w:t>第三类医疗器械提供</w:t>
      </w:r>
      <w:r>
        <w:rPr>
          <w:rFonts w:hint="eastAsia" w:asciiTheme="minorEastAsia" w:hAnsiTheme="minorEastAsia"/>
          <w:color w:val="auto"/>
          <w:szCs w:val="21"/>
          <w:lang w:eastAsia="zh-CN"/>
        </w:rPr>
        <w:t>）</w:t>
      </w:r>
      <w:r>
        <w:rPr>
          <w:rFonts w:hint="eastAsia" w:asciiTheme="minorEastAsia" w:hAnsiTheme="minorEastAsia"/>
          <w:color w:val="auto"/>
          <w:szCs w:val="21"/>
          <w:highlight w:val="none"/>
        </w:rPr>
        <w:t>。</w:t>
      </w:r>
      <w:r>
        <w:rPr>
          <w:rFonts w:hint="eastAsia" w:asciiTheme="minorEastAsia" w:hAnsiTheme="minorEastAsia"/>
          <w:color w:val="auto"/>
          <w:szCs w:val="21"/>
        </w:rPr>
        <w:t>所投产品纳入医疗器械管理的还需具备医疗器械注册证（或第一类医疗器械备案信息表），且在有效期内。</w:t>
      </w:r>
    </w:p>
    <w:p w14:paraId="2B89CEB0">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3.3被委托人须是本单位职工，须提供公司为本人缴纳社会保险证明。</w:t>
      </w:r>
    </w:p>
    <w:p w14:paraId="2B89CEB1">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3.4投标人所提供投标产品必须符合国家相关行业合格标准，同时供货渠道必须正规、合法。</w:t>
      </w:r>
    </w:p>
    <w:p w14:paraId="2B89CEB2">
      <w:pPr>
        <w:tabs>
          <w:tab w:val="left" w:pos="7095"/>
        </w:tabs>
        <w:spacing w:line="384" w:lineRule="auto"/>
        <w:ind w:firstLine="422" w:firstLineChars="200"/>
        <w:contextualSpacing/>
        <w:rPr>
          <w:rFonts w:hint="eastAsia" w:asciiTheme="minorEastAsia" w:hAnsiTheme="minorEastAsia"/>
          <w:b/>
          <w:color w:val="auto"/>
          <w:szCs w:val="21"/>
        </w:rPr>
      </w:pPr>
      <w:r>
        <w:rPr>
          <w:rFonts w:hint="eastAsia" w:asciiTheme="minorEastAsia" w:hAnsiTheme="minorEastAsia"/>
          <w:b/>
          <w:color w:val="auto"/>
          <w:szCs w:val="21"/>
        </w:rPr>
        <w:t>三、招标文件的获取</w:t>
      </w:r>
    </w:p>
    <w:p w14:paraId="2B89CEB3">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1.时间：2025年</w:t>
      </w:r>
      <w:r>
        <w:rPr>
          <w:rFonts w:hint="eastAsia" w:asciiTheme="minorEastAsia" w:hAnsiTheme="minorEastAsia"/>
          <w:color w:val="auto"/>
          <w:szCs w:val="21"/>
          <w:lang w:val="en-US" w:eastAsia="zh-CN"/>
        </w:rPr>
        <w:t>9</w:t>
      </w:r>
      <w:r>
        <w:rPr>
          <w:rFonts w:hint="eastAsia" w:asciiTheme="minorEastAsia" w:hAnsiTheme="minorEastAsia"/>
          <w:color w:val="auto"/>
          <w:szCs w:val="21"/>
        </w:rPr>
        <w:t>月</w:t>
      </w:r>
      <w:r>
        <w:rPr>
          <w:rFonts w:hint="eastAsia" w:asciiTheme="minorEastAsia" w:hAnsiTheme="minorEastAsia"/>
          <w:color w:val="auto"/>
          <w:szCs w:val="21"/>
          <w:lang w:val="en-US" w:eastAsia="zh-CN"/>
        </w:rPr>
        <w:t>30</w:t>
      </w:r>
      <w:r>
        <w:rPr>
          <w:rFonts w:hint="eastAsia" w:asciiTheme="minorEastAsia" w:hAnsiTheme="minorEastAsia"/>
          <w:color w:val="auto"/>
          <w:szCs w:val="21"/>
        </w:rPr>
        <w:t>日至2025年</w:t>
      </w:r>
      <w:r>
        <w:rPr>
          <w:rFonts w:hint="eastAsia" w:asciiTheme="minorEastAsia" w:hAnsiTheme="minorEastAsia"/>
          <w:color w:val="auto"/>
          <w:szCs w:val="21"/>
          <w:lang w:val="en-US" w:eastAsia="zh-CN"/>
        </w:rPr>
        <w:t>10</w:t>
      </w:r>
      <w:r>
        <w:rPr>
          <w:rFonts w:hint="eastAsia" w:asciiTheme="minorEastAsia" w:hAnsiTheme="minorEastAsia"/>
          <w:color w:val="auto"/>
          <w:szCs w:val="21"/>
        </w:rPr>
        <w:t>月</w:t>
      </w:r>
      <w:r>
        <w:rPr>
          <w:rFonts w:hint="eastAsia" w:asciiTheme="minorEastAsia" w:hAnsiTheme="minorEastAsia"/>
          <w:color w:val="auto"/>
          <w:szCs w:val="21"/>
          <w:lang w:val="en-US" w:eastAsia="zh-CN"/>
        </w:rPr>
        <w:t>22</w:t>
      </w:r>
      <w:r>
        <w:rPr>
          <w:rFonts w:hint="eastAsia" w:asciiTheme="minorEastAsia" w:hAnsiTheme="minorEastAsia"/>
          <w:color w:val="auto"/>
          <w:szCs w:val="21"/>
        </w:rPr>
        <w:t>日，每天上午00:00至12:00，下午12:01至23:59（北京时间，法定节假日除外）。</w:t>
      </w:r>
    </w:p>
    <w:p w14:paraId="2B89CEB4">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2.地点：投标文件提交截止时间前登录《全国公共资源交易平台（河南省·许昌市）》“投标人/供应商登录”入口（https://ggzy.xuchang.gov.cn）自行免费下载。</w:t>
      </w:r>
    </w:p>
    <w:p w14:paraId="2B89CEB5">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3.方式：网上自行下载</w:t>
      </w:r>
    </w:p>
    <w:p w14:paraId="2B89CEB6">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4.售价：0元</w:t>
      </w:r>
    </w:p>
    <w:p w14:paraId="2B89CEB7">
      <w:pPr>
        <w:tabs>
          <w:tab w:val="left" w:pos="7095"/>
        </w:tabs>
        <w:spacing w:line="384" w:lineRule="auto"/>
        <w:ind w:firstLine="422" w:firstLineChars="200"/>
        <w:contextualSpacing/>
        <w:rPr>
          <w:rFonts w:hint="eastAsia" w:asciiTheme="minorEastAsia" w:hAnsiTheme="minorEastAsia"/>
          <w:b/>
          <w:color w:val="auto"/>
          <w:szCs w:val="21"/>
        </w:rPr>
      </w:pPr>
      <w:r>
        <w:rPr>
          <w:rFonts w:hint="eastAsia" w:asciiTheme="minorEastAsia" w:hAnsiTheme="minorEastAsia"/>
          <w:b/>
          <w:color w:val="auto"/>
          <w:szCs w:val="21"/>
        </w:rPr>
        <w:t>四、投标截止时间及地点</w:t>
      </w:r>
    </w:p>
    <w:p w14:paraId="2B89CEB8">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1.时间：2025年</w:t>
      </w:r>
      <w:r>
        <w:rPr>
          <w:rFonts w:hint="eastAsia" w:asciiTheme="minorEastAsia" w:hAnsiTheme="minorEastAsia"/>
          <w:color w:val="auto"/>
          <w:szCs w:val="21"/>
          <w:lang w:val="en-US" w:eastAsia="zh-CN"/>
        </w:rPr>
        <w:t>10</w:t>
      </w:r>
      <w:r>
        <w:rPr>
          <w:rFonts w:hint="eastAsia" w:asciiTheme="minorEastAsia" w:hAnsiTheme="minorEastAsia"/>
          <w:color w:val="auto"/>
          <w:szCs w:val="21"/>
        </w:rPr>
        <w:t>月</w:t>
      </w:r>
      <w:r>
        <w:rPr>
          <w:rFonts w:hint="eastAsia" w:asciiTheme="minorEastAsia" w:hAnsiTheme="minorEastAsia"/>
          <w:color w:val="auto"/>
          <w:szCs w:val="21"/>
          <w:lang w:val="en-US" w:eastAsia="zh-CN"/>
        </w:rPr>
        <w:t>22</w:t>
      </w:r>
      <w:r>
        <w:rPr>
          <w:rFonts w:hint="eastAsia" w:asciiTheme="minorEastAsia" w:hAnsiTheme="minorEastAsia"/>
          <w:color w:val="auto"/>
          <w:szCs w:val="21"/>
        </w:rPr>
        <w:t>日08时30分（北京时间）</w:t>
      </w:r>
    </w:p>
    <w:p w14:paraId="2B89CEB9">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2B89CEBA">
      <w:pPr>
        <w:tabs>
          <w:tab w:val="left" w:pos="7095"/>
        </w:tabs>
        <w:spacing w:line="384" w:lineRule="auto"/>
        <w:ind w:firstLine="422" w:firstLineChars="200"/>
        <w:contextualSpacing/>
        <w:rPr>
          <w:rFonts w:hint="eastAsia" w:asciiTheme="minorEastAsia" w:hAnsiTheme="minorEastAsia"/>
          <w:b/>
          <w:color w:val="auto"/>
          <w:szCs w:val="21"/>
        </w:rPr>
      </w:pPr>
      <w:r>
        <w:rPr>
          <w:rFonts w:hint="eastAsia" w:asciiTheme="minorEastAsia" w:hAnsiTheme="minorEastAsia"/>
          <w:b/>
          <w:color w:val="auto"/>
          <w:szCs w:val="21"/>
        </w:rPr>
        <w:t>五、开标时间及地点</w:t>
      </w:r>
    </w:p>
    <w:p w14:paraId="2B89CEBB">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1.时间：2025年</w:t>
      </w:r>
      <w:r>
        <w:rPr>
          <w:rFonts w:hint="eastAsia" w:asciiTheme="minorEastAsia" w:hAnsiTheme="minorEastAsia"/>
          <w:color w:val="auto"/>
          <w:szCs w:val="21"/>
          <w:lang w:val="en-US" w:eastAsia="zh-CN"/>
        </w:rPr>
        <w:t>10</w:t>
      </w:r>
      <w:r>
        <w:rPr>
          <w:rFonts w:hint="eastAsia" w:asciiTheme="minorEastAsia" w:hAnsiTheme="minorEastAsia"/>
          <w:color w:val="auto"/>
          <w:szCs w:val="21"/>
        </w:rPr>
        <w:t>月</w:t>
      </w:r>
      <w:r>
        <w:rPr>
          <w:rFonts w:hint="eastAsia" w:asciiTheme="minorEastAsia" w:hAnsiTheme="minorEastAsia"/>
          <w:color w:val="auto"/>
          <w:szCs w:val="21"/>
          <w:lang w:val="en-US" w:eastAsia="zh-CN"/>
        </w:rPr>
        <w:t>22</w:t>
      </w:r>
      <w:r>
        <w:rPr>
          <w:rFonts w:hint="eastAsia" w:asciiTheme="minorEastAsia" w:hAnsiTheme="minorEastAsia"/>
          <w:color w:val="auto"/>
          <w:szCs w:val="21"/>
        </w:rPr>
        <w:t>日08时30分（北京时间）</w:t>
      </w:r>
    </w:p>
    <w:p w14:paraId="2B89CEBC">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地点：本项目采用“不见面”网上开标方式，请投标人使用CA数字证书或移动数字证书登录《全国公共资源交易平台（河南省·许昌市）》进入公共资源交易系统（https://ggzy.xuchang.gov.cn），在规定的开标时间内进行解密开标。</w:t>
      </w:r>
    </w:p>
    <w:p w14:paraId="2B89CEBD">
      <w:pPr>
        <w:tabs>
          <w:tab w:val="left" w:pos="7095"/>
        </w:tabs>
        <w:spacing w:line="384" w:lineRule="auto"/>
        <w:ind w:firstLine="422" w:firstLineChars="200"/>
        <w:contextualSpacing/>
        <w:rPr>
          <w:rFonts w:hint="eastAsia" w:asciiTheme="minorEastAsia" w:hAnsiTheme="minorEastAsia"/>
          <w:b/>
          <w:color w:val="auto"/>
          <w:szCs w:val="21"/>
        </w:rPr>
      </w:pPr>
      <w:r>
        <w:rPr>
          <w:rFonts w:hint="eastAsia" w:asciiTheme="minorEastAsia" w:hAnsiTheme="minorEastAsia"/>
          <w:b/>
          <w:color w:val="auto"/>
          <w:szCs w:val="21"/>
        </w:rPr>
        <w:t>六、发布公告的媒介及招标公告期限</w:t>
      </w:r>
    </w:p>
    <w:p w14:paraId="2B89CEBE">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本次招标公告在《河南省政府采购网》《许昌市政府采购网》《全国公共资源交易平台（河南省•许昌市）》上发布。招标公告期限为五个工作日。</w:t>
      </w:r>
    </w:p>
    <w:p w14:paraId="2B89CEBF">
      <w:pPr>
        <w:tabs>
          <w:tab w:val="left" w:pos="7095"/>
        </w:tabs>
        <w:spacing w:line="384" w:lineRule="auto"/>
        <w:ind w:firstLine="422" w:firstLineChars="200"/>
        <w:contextualSpacing/>
        <w:rPr>
          <w:rFonts w:hint="eastAsia" w:asciiTheme="minorEastAsia" w:hAnsiTheme="minorEastAsia"/>
          <w:b/>
          <w:color w:val="auto"/>
          <w:szCs w:val="21"/>
        </w:rPr>
      </w:pPr>
      <w:r>
        <w:rPr>
          <w:rFonts w:hint="eastAsia" w:asciiTheme="minorEastAsia" w:hAnsiTheme="minorEastAsia"/>
          <w:b/>
          <w:color w:val="auto"/>
          <w:szCs w:val="21"/>
        </w:rPr>
        <w:t>七、其他补充事宜</w:t>
      </w:r>
    </w:p>
    <w:p w14:paraId="2B89CEC0">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1.监督单位：禹州市政府采购监督管理办公室</w:t>
      </w:r>
    </w:p>
    <w:p w14:paraId="2B89CEC1">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2.电话：0374-8112523</w:t>
      </w:r>
    </w:p>
    <w:p w14:paraId="2B89CEC2">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3.项目编号</w:t>
      </w:r>
      <w:r>
        <w:rPr>
          <w:rFonts w:hint="eastAsia" w:asciiTheme="minorEastAsia" w:hAnsiTheme="minorEastAsia"/>
          <w:color w:val="auto"/>
          <w:szCs w:val="21"/>
          <w:lang w:val="en-US" w:eastAsia="zh-CN"/>
        </w:rPr>
        <w:t>以</w:t>
      </w:r>
      <w:r>
        <w:rPr>
          <w:rFonts w:hint="eastAsia" w:asciiTheme="minorEastAsia" w:hAnsiTheme="minorEastAsia"/>
          <w:color w:val="auto"/>
          <w:szCs w:val="21"/>
        </w:rPr>
        <w:t>YZCG-DLG2025</w:t>
      </w:r>
      <w:r>
        <w:rPr>
          <w:rFonts w:hint="eastAsia" w:asciiTheme="minorEastAsia" w:hAnsiTheme="minorEastAsia"/>
          <w:color w:val="auto"/>
          <w:szCs w:val="21"/>
          <w:lang w:val="en-US" w:eastAsia="zh-CN"/>
        </w:rPr>
        <w:t>063</w:t>
      </w:r>
      <w:r>
        <w:rPr>
          <w:rFonts w:hint="eastAsia" w:asciiTheme="minorEastAsia" w:hAnsiTheme="minorEastAsia"/>
          <w:color w:val="auto"/>
          <w:szCs w:val="21"/>
        </w:rPr>
        <w:t>为准</w:t>
      </w:r>
      <w:r>
        <w:rPr>
          <w:rFonts w:hint="eastAsia" w:asciiTheme="minorEastAsia" w:hAnsiTheme="minorEastAsia"/>
          <w:color w:val="auto"/>
          <w:szCs w:val="21"/>
          <w:lang w:eastAsia="zh-CN"/>
        </w:rPr>
        <w:t>。</w:t>
      </w:r>
    </w:p>
    <w:p w14:paraId="2B89CEC3">
      <w:pPr>
        <w:tabs>
          <w:tab w:val="left" w:pos="7095"/>
        </w:tabs>
        <w:spacing w:line="384" w:lineRule="auto"/>
        <w:ind w:firstLine="422" w:firstLineChars="200"/>
        <w:contextualSpacing/>
        <w:rPr>
          <w:rFonts w:hint="eastAsia" w:asciiTheme="minorEastAsia" w:hAnsiTheme="minorEastAsia"/>
          <w:b/>
          <w:bCs/>
          <w:color w:val="auto"/>
          <w:szCs w:val="21"/>
        </w:rPr>
      </w:pPr>
      <w:r>
        <w:rPr>
          <w:rFonts w:hint="eastAsia" w:asciiTheme="minorEastAsia" w:hAnsiTheme="minorEastAsia"/>
          <w:b/>
          <w:bCs/>
          <w:color w:val="auto"/>
          <w:szCs w:val="21"/>
        </w:rPr>
        <w:t>八、凡对本次招标提出询问，请按照以下方式联系</w:t>
      </w:r>
    </w:p>
    <w:p w14:paraId="2B89CEC4">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1.采购人信息</w:t>
      </w:r>
    </w:p>
    <w:p w14:paraId="2B89CEC5">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采购单位：禹州市妇幼保健院</w:t>
      </w:r>
    </w:p>
    <w:p w14:paraId="2B89CEC6">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 xml:space="preserve">地址：禹州市健康路118号 </w:t>
      </w:r>
    </w:p>
    <w:p w14:paraId="2B89CEC7">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联系人：</w:t>
      </w:r>
      <w:r>
        <w:rPr>
          <w:rFonts w:hint="eastAsia" w:asciiTheme="minorEastAsia" w:hAnsiTheme="minorEastAsia"/>
          <w:color w:val="auto"/>
          <w:szCs w:val="21"/>
          <w:lang w:eastAsia="zh-CN"/>
        </w:rPr>
        <w:t>李</w:t>
      </w:r>
      <w:r>
        <w:rPr>
          <w:rFonts w:hint="eastAsia" w:asciiTheme="minorEastAsia" w:hAnsiTheme="minorEastAsia"/>
          <w:color w:val="auto"/>
          <w:szCs w:val="21"/>
        </w:rPr>
        <w:t xml:space="preserve">女士 </w:t>
      </w:r>
    </w:p>
    <w:p w14:paraId="2B89CEC8">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联系电话：0374-8222887</w:t>
      </w:r>
    </w:p>
    <w:p w14:paraId="2B89CEC9">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2.采购代理机构信息</w:t>
      </w:r>
    </w:p>
    <w:p w14:paraId="2B89CECA">
      <w:pPr>
        <w:pStyle w:val="12"/>
        <w:widowControl/>
        <w:spacing w:line="360" w:lineRule="auto"/>
        <w:ind w:firstLine="420"/>
        <w:rPr>
          <w:color w:val="auto"/>
        </w:rPr>
      </w:pPr>
      <w:r>
        <w:rPr>
          <w:rFonts w:hint="eastAsia" w:ascii="宋体" w:hAnsi="宋体" w:cs="宋体"/>
          <w:color w:val="auto"/>
          <w:sz w:val="21"/>
          <w:szCs w:val="21"/>
          <w:shd w:val="clear" w:color="auto" w:fill="FFFFFF"/>
        </w:rPr>
        <w:t>招标代理机构：河南嘉泰工程管理有限公司</w:t>
      </w:r>
    </w:p>
    <w:p w14:paraId="2B89CECB">
      <w:pPr>
        <w:pStyle w:val="12"/>
        <w:widowControl/>
        <w:spacing w:line="360" w:lineRule="auto"/>
        <w:ind w:firstLine="420"/>
        <w:rPr>
          <w:color w:val="auto"/>
        </w:rPr>
      </w:pPr>
      <w:r>
        <w:rPr>
          <w:rFonts w:hint="eastAsia" w:ascii="宋体" w:hAnsi="宋体" w:cs="宋体"/>
          <w:color w:val="auto"/>
          <w:sz w:val="21"/>
          <w:szCs w:val="21"/>
          <w:shd w:val="clear" w:color="auto" w:fill="FFFFFF"/>
        </w:rPr>
        <w:t>地址：河南自贸试验区郑州片区（郑东）商都路100号</w:t>
      </w:r>
    </w:p>
    <w:p w14:paraId="2B89CECC">
      <w:pPr>
        <w:pStyle w:val="12"/>
        <w:widowControl/>
        <w:spacing w:line="360" w:lineRule="auto"/>
        <w:ind w:firstLine="420"/>
        <w:rPr>
          <w:rFonts w:hint="eastAsia" w:eastAsia="宋体"/>
          <w:color w:val="auto"/>
          <w:lang w:val="en-US" w:eastAsia="zh-CN"/>
        </w:rPr>
      </w:pPr>
      <w:r>
        <w:rPr>
          <w:rFonts w:hint="eastAsia" w:ascii="宋体" w:hAnsi="宋体" w:cs="宋体"/>
          <w:color w:val="auto"/>
          <w:sz w:val="21"/>
          <w:szCs w:val="21"/>
          <w:shd w:val="clear" w:color="auto" w:fill="FFFFFF"/>
        </w:rPr>
        <w:t>联系人：黄</w:t>
      </w:r>
      <w:r>
        <w:rPr>
          <w:rFonts w:hint="eastAsia" w:ascii="宋体" w:hAnsi="宋体" w:cs="宋体"/>
          <w:color w:val="auto"/>
          <w:sz w:val="21"/>
          <w:szCs w:val="21"/>
          <w:shd w:val="clear" w:color="auto" w:fill="FFFFFF"/>
          <w:lang w:eastAsia="zh-CN"/>
        </w:rPr>
        <w:t>女士</w:t>
      </w:r>
    </w:p>
    <w:p w14:paraId="2B89CECD">
      <w:pPr>
        <w:pStyle w:val="12"/>
        <w:widowControl/>
        <w:spacing w:line="360" w:lineRule="auto"/>
        <w:ind w:firstLine="420"/>
        <w:rPr>
          <w:color w:val="auto"/>
        </w:rPr>
      </w:pPr>
      <w:r>
        <w:rPr>
          <w:rFonts w:hint="eastAsia" w:ascii="宋体" w:hAnsi="宋体" w:cs="宋体"/>
          <w:color w:val="auto"/>
          <w:sz w:val="21"/>
          <w:szCs w:val="21"/>
          <w:shd w:val="clear" w:color="auto" w:fill="FFFFFF"/>
        </w:rPr>
        <w:t>联系电话：17746990629</w:t>
      </w:r>
    </w:p>
    <w:p w14:paraId="2B89CECE">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3.项目联系方式</w:t>
      </w:r>
    </w:p>
    <w:p w14:paraId="2B89CECF">
      <w:pPr>
        <w:pStyle w:val="12"/>
        <w:widowControl/>
        <w:spacing w:line="360" w:lineRule="auto"/>
        <w:ind w:firstLine="420"/>
        <w:rPr>
          <w:rFonts w:hint="eastAsia" w:eastAsia="宋体"/>
          <w:color w:val="auto"/>
          <w:lang w:eastAsia="zh-CN"/>
        </w:rPr>
      </w:pPr>
      <w:r>
        <w:rPr>
          <w:rFonts w:hint="eastAsia" w:ascii="宋体" w:hAnsi="宋体" w:cs="宋体"/>
          <w:color w:val="auto"/>
          <w:sz w:val="21"/>
          <w:szCs w:val="21"/>
          <w:shd w:val="clear" w:color="auto" w:fill="FFFFFF"/>
        </w:rPr>
        <w:t>联系人：黄</w:t>
      </w:r>
      <w:r>
        <w:rPr>
          <w:rFonts w:hint="eastAsia" w:ascii="宋体" w:hAnsi="宋体" w:cs="宋体"/>
          <w:color w:val="auto"/>
          <w:sz w:val="21"/>
          <w:szCs w:val="21"/>
          <w:shd w:val="clear" w:color="auto" w:fill="FFFFFF"/>
          <w:lang w:eastAsia="zh-CN"/>
        </w:rPr>
        <w:t>女士</w:t>
      </w:r>
    </w:p>
    <w:p w14:paraId="2B89CED0">
      <w:pPr>
        <w:pStyle w:val="12"/>
        <w:widowControl/>
        <w:spacing w:line="360" w:lineRule="auto"/>
        <w:ind w:firstLine="420"/>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联系电话：17746990629</w:t>
      </w:r>
    </w:p>
    <w:p w14:paraId="091980C5">
      <w:pPr>
        <w:pStyle w:val="12"/>
        <w:widowControl/>
        <w:spacing w:line="360" w:lineRule="auto"/>
        <w:ind w:firstLine="420"/>
        <w:rPr>
          <w:rFonts w:hint="eastAsia" w:ascii="宋体" w:hAnsi="宋体" w:cs="宋体"/>
          <w:color w:val="auto"/>
          <w:sz w:val="21"/>
          <w:szCs w:val="21"/>
          <w:shd w:val="clear" w:color="auto" w:fill="FFFFFF"/>
        </w:rPr>
      </w:pPr>
    </w:p>
    <w:p w14:paraId="2B89CED1">
      <w:pPr>
        <w:tabs>
          <w:tab w:val="left" w:pos="7095"/>
        </w:tabs>
        <w:spacing w:line="440" w:lineRule="atLeast"/>
        <w:ind w:firstLine="422" w:firstLineChars="200"/>
        <w:contextualSpacing/>
        <w:jc w:val="left"/>
        <w:rPr>
          <w:rFonts w:hint="eastAsia" w:asciiTheme="minorEastAsia" w:hAnsiTheme="minorEastAsia" w:cstheme="minorEastAsia"/>
          <w:b/>
          <w:bCs/>
          <w:color w:val="auto"/>
          <w:szCs w:val="21"/>
          <w:shd w:val="clear" w:color="auto" w:fill="FFFFFF"/>
        </w:rPr>
      </w:pPr>
      <w:r>
        <w:rPr>
          <w:rFonts w:hint="eastAsia" w:asciiTheme="minorEastAsia" w:hAnsiTheme="minorEastAsia" w:cstheme="minorEastAsia"/>
          <w:b/>
          <w:bCs/>
          <w:color w:val="auto"/>
          <w:szCs w:val="21"/>
          <w:shd w:val="clear" w:color="auto" w:fill="FFFFFF"/>
        </w:rPr>
        <w:t>温馨提示：本项目为全流程电子化交易项目，请注意以下事项。</w:t>
      </w:r>
    </w:p>
    <w:p w14:paraId="2B89CED2">
      <w:pPr>
        <w:tabs>
          <w:tab w:val="left" w:pos="7095"/>
        </w:tabs>
        <w:spacing w:line="440" w:lineRule="atLeast"/>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 xml:space="preserve">    </w:t>
      </w:r>
      <w:r>
        <w:rPr>
          <w:rFonts w:hint="eastAsia" w:asciiTheme="minorEastAsia" w:hAnsiTheme="minorEastAsia" w:cstheme="minorEastAsia"/>
          <w:bCs/>
          <w:color w:val="auto"/>
          <w:szCs w:val="21"/>
          <w:shd w:val="clear" w:color="auto" w:fill="FFFFFF"/>
          <w:lang w:eastAsia="zh-CN"/>
        </w:rPr>
        <w:t>1.</w:t>
      </w:r>
      <w:r>
        <w:rPr>
          <w:rFonts w:hint="eastAsia" w:asciiTheme="minorEastAsia" w:hAnsiTheme="minorEastAsia" w:cstheme="minorEastAsia"/>
          <w:bCs/>
          <w:color w:val="auto"/>
          <w:szCs w:val="21"/>
          <w:shd w:val="clear" w:color="auto" w:fill="FFFFFF"/>
        </w:rPr>
        <w:t>本项目采用远程“不见面”开标方式，投标前请详细阅读“全国公共资源交易平台（河南省•许昌市）”的“服务指南”栏目下《新交易平台使用手册》中的相关内容。</w:t>
      </w:r>
    </w:p>
    <w:p w14:paraId="2B89CED3">
      <w:pPr>
        <w:tabs>
          <w:tab w:val="left" w:pos="7095"/>
        </w:tabs>
        <w:spacing w:line="440" w:lineRule="atLeast"/>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 xml:space="preserve">    </w:t>
      </w:r>
      <w:r>
        <w:rPr>
          <w:rFonts w:hint="eastAsia" w:asciiTheme="minorEastAsia" w:hAnsiTheme="minorEastAsia" w:cstheme="minorEastAsia"/>
          <w:bCs/>
          <w:color w:val="auto"/>
          <w:szCs w:val="21"/>
          <w:shd w:val="clear" w:color="auto" w:fill="FFFFFF"/>
          <w:lang w:eastAsia="zh-CN"/>
        </w:rPr>
        <w:t>2.</w:t>
      </w:r>
      <w:r>
        <w:rPr>
          <w:rFonts w:hint="eastAsia" w:asciiTheme="minorEastAsia" w:hAnsiTheme="minorEastAsia" w:cstheme="minorEastAsia"/>
          <w:bCs/>
          <w:color w:val="auto"/>
          <w:szCs w:val="21"/>
          <w:shd w:val="clear" w:color="auto" w:fill="FFFFFF"/>
        </w:rPr>
        <w:t>投标供应商在电子系统使用过程中遇到涉及系统使用的问题，可致电0374-2961598进行咨询。</w:t>
      </w:r>
    </w:p>
    <w:p w14:paraId="2B89CED4">
      <w:pPr>
        <w:tabs>
          <w:tab w:val="left" w:pos="7095"/>
        </w:tabs>
        <w:spacing w:line="440" w:lineRule="atLeast"/>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 xml:space="preserve">    </w:t>
      </w:r>
      <w:r>
        <w:rPr>
          <w:rFonts w:hint="eastAsia" w:asciiTheme="minorEastAsia" w:hAnsiTheme="minorEastAsia" w:cstheme="minorEastAsia"/>
          <w:bCs/>
          <w:color w:val="auto"/>
          <w:szCs w:val="21"/>
          <w:shd w:val="clear" w:color="auto" w:fill="FFFFFF"/>
          <w:lang w:eastAsia="zh-CN"/>
        </w:rPr>
        <w:t>3.</w:t>
      </w:r>
      <w:r>
        <w:rPr>
          <w:rFonts w:hint="eastAsia" w:asciiTheme="minorEastAsia" w:hAnsiTheme="minorEastAsia" w:cstheme="minorEastAsia"/>
          <w:bCs/>
          <w:color w:val="auto"/>
          <w:szCs w:val="21"/>
          <w:shd w:val="clear" w:color="auto" w:fill="FFFFFF"/>
        </w:rPr>
        <w:t>供应商参加本项目投标，需提前自行联系CA数字证书或移动数字证书服务机构办理数字认证证书并进行电子签章。</w:t>
      </w:r>
    </w:p>
    <w:p w14:paraId="2B89CED5">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lang w:eastAsia="zh-CN"/>
        </w:rPr>
        <w:t>4.</w:t>
      </w:r>
      <w:r>
        <w:rPr>
          <w:rFonts w:hint="eastAsia" w:asciiTheme="minorEastAsia" w:hAnsiTheme="minorEastAsia" w:cstheme="minorEastAsia"/>
          <w:bCs/>
          <w:color w:val="auto"/>
          <w:szCs w:val="21"/>
          <w:shd w:val="clear" w:color="auto" w:fill="FFFFFF"/>
        </w:rPr>
        <w:t>招标文件下载、响应文件制作、提交、远程不见面开标（电子投标文件的解密）环节，供应商须使用同一个CA数字证书或移动数字证书（证书须在有效期内并可正常使用）。</w:t>
      </w:r>
    </w:p>
    <w:p w14:paraId="2B89CED6">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lang w:eastAsia="zh-CN"/>
        </w:rPr>
        <w:t>5.</w:t>
      </w:r>
      <w:r>
        <w:rPr>
          <w:rFonts w:hint="eastAsia" w:asciiTheme="minorEastAsia" w:hAnsiTheme="minorEastAsia" w:cstheme="minorEastAsia"/>
          <w:bCs/>
          <w:color w:val="auto"/>
          <w:szCs w:val="21"/>
          <w:shd w:val="clear" w:color="auto" w:fill="FFFFFF"/>
        </w:rPr>
        <w:t>电子投标文件的制作</w:t>
      </w:r>
    </w:p>
    <w:p w14:paraId="2B89CED7">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5.1 投标人登录“全国公共资源交易平台（河南省•许昌市）”下载“新点投标文件制作软件（河南省版）”的最新版本制作电子响应文件。</w:t>
      </w:r>
    </w:p>
    <w:p w14:paraId="2B89CED8">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5.2投标人对同一项目多个标段进行投标的，应分别下载所投标段的招标文件，按标段制作投标文件。一个标段对应生成2份电子投标文件（后缀格式为.XCSTF和.nXCSTF），其中后缀格式为“.XCSTF”的加密电子投标文件用于上传至交易系统中投标。</w:t>
      </w:r>
    </w:p>
    <w:p w14:paraId="2B89CED9">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lang w:eastAsia="zh-CN"/>
        </w:rPr>
        <w:t>6.</w:t>
      </w:r>
      <w:r>
        <w:rPr>
          <w:rFonts w:hint="eastAsia" w:asciiTheme="minorEastAsia" w:hAnsiTheme="minorEastAsia" w:cstheme="minorEastAsia"/>
          <w:bCs/>
          <w:color w:val="auto"/>
          <w:szCs w:val="21"/>
          <w:shd w:val="clear" w:color="auto" w:fill="FFFFFF"/>
        </w:rPr>
        <w:t>加密电子投标文件的提交</w:t>
      </w:r>
    </w:p>
    <w:p w14:paraId="2B89CEDA">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6.1投标人对同一项目多个标段进行投标的，加密电子投标文件应按标段分别提交。</w:t>
      </w:r>
    </w:p>
    <w:p w14:paraId="2B89CEDB">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6.2加密电子投标文件成功上传至“全国公共资源交易平台（河南省•许昌市）”后，应在上传页面进行模拟解密，以验证是否能够成功解密。</w:t>
      </w:r>
    </w:p>
    <w:p w14:paraId="2B89CEDC">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lang w:eastAsia="zh-CN"/>
        </w:rPr>
        <w:t>7.</w:t>
      </w:r>
      <w:r>
        <w:rPr>
          <w:rFonts w:hint="eastAsia" w:asciiTheme="minorEastAsia" w:hAnsiTheme="minorEastAsia" w:cstheme="minorEastAsia"/>
          <w:bCs/>
          <w:color w:val="auto"/>
          <w:szCs w:val="21"/>
          <w:shd w:val="clear" w:color="auto" w:fill="FFFFFF"/>
        </w:rPr>
        <w:t>远程不见面开标（电子响应文件的解密）</w:t>
      </w:r>
    </w:p>
    <w:p w14:paraId="2B89CEDD">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7.1本项目采用远程“不见面”开标方式，投标前请详细阅读“全国公共资源交易平台（河南省•许昌市）”的“服务指南”栏目下《新交易平台使用手册》中的相关内容。</w:t>
      </w:r>
    </w:p>
    <w:p w14:paraId="2B89CEDE">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7.2 投标人应按新交易平台使用手册提前设置好浏览器，并于开标时间前登录本项目网上开标大厅，按照规定的开标时间准时参加网上开标。</w:t>
      </w:r>
    </w:p>
    <w:p w14:paraId="2B89CEDF">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7.3根据开标大厅界面右侧“公告栏”中的系统提示，投标人应在“标书解密”环节完成解密操作。投标人未解密或因投标人原因解密失败的，其投标文件将被退回。</w:t>
      </w:r>
    </w:p>
    <w:p w14:paraId="2B89CEE0">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7.4在“唱标”环节，投标人应对唱标信息进行确认，投标人未进行唱标确认操作的，视同认可唱标结果。</w:t>
      </w:r>
    </w:p>
    <w:p w14:paraId="2B89CEE1">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7.5在“开标结束”环节，投标人应在《开标情况记录表》上进行电子签章。投标人未签章的，视同认可开标结果。</w:t>
      </w:r>
    </w:p>
    <w:p w14:paraId="2B89CEE2">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7.6投标人对开标过程和开标记录如有异议，可在本项目开标大厅界面右下方“发起异议”中提出异议。</w:t>
      </w:r>
    </w:p>
    <w:p w14:paraId="2B89CEE3">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lang w:eastAsia="zh-CN"/>
        </w:rPr>
        <w:t>8.</w:t>
      </w:r>
      <w:r>
        <w:rPr>
          <w:rFonts w:hint="eastAsia" w:asciiTheme="minorEastAsia" w:hAnsiTheme="minorEastAsia" w:cstheme="minorEastAsia"/>
          <w:bCs/>
          <w:color w:val="auto"/>
          <w:szCs w:val="21"/>
          <w:shd w:val="clear" w:color="auto" w:fill="FFFFFF"/>
        </w:rPr>
        <w:t>评标依据</w:t>
      </w:r>
    </w:p>
    <w:p w14:paraId="2B89CEE4">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8.1全流程电子化交易（远程不见面开标）项目，评标委员会以成功上传、解密的电子投标文件为评标依据。</w:t>
      </w:r>
    </w:p>
    <w:p w14:paraId="2B89CEE5">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8.2 评标期间，投标人应保持通讯手机畅通。评标委员会如要求投标人作出澄清、说明或者补正等，投标人应在评标委员会要求的评标期间合理的时间内通过《全国公共资源交易平台（河南省▪许昌市）》——“许昌市公共资源电子交易系统”提供（操作流程详见“服务指南－办事指南－新交易平台使用手册－交易乙方（投标人、供应商等）操作手册”）。</w:t>
      </w:r>
    </w:p>
    <w:p w14:paraId="2B89CEE6">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投标人提供的书面说明或相关证明材料应加盖公章，或者由法定代表人或其授权的代表签字。</w:t>
      </w:r>
    </w:p>
    <w:p w14:paraId="2B89CEE7">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lang w:eastAsia="zh-CN"/>
        </w:rPr>
        <w:t>9.</w:t>
      </w:r>
      <w:r>
        <w:rPr>
          <w:rFonts w:hint="eastAsia" w:asciiTheme="minorEastAsia" w:hAnsiTheme="minorEastAsia" w:cstheme="minorEastAsia"/>
          <w:bCs/>
          <w:color w:val="auto"/>
          <w:szCs w:val="21"/>
          <w:shd w:val="clear" w:color="auto" w:fill="FFFFFF"/>
        </w:rPr>
        <w:t>相关事项</w:t>
      </w:r>
    </w:p>
    <w:p w14:paraId="2B89CEE8">
      <w:pPr>
        <w:tabs>
          <w:tab w:val="left" w:pos="7095"/>
        </w:tabs>
        <w:spacing w:line="440" w:lineRule="atLeast"/>
        <w:ind w:firstLine="420" w:firstLineChars="200"/>
        <w:contextualSpacing/>
        <w:jc w:val="left"/>
        <w:rPr>
          <w:rFonts w:hint="eastAsia" w:asciiTheme="minorEastAsia" w:hAnsiTheme="minorEastAsia" w:cstheme="minorEastAsia"/>
          <w:bCs/>
          <w:color w:val="auto"/>
          <w:szCs w:val="21"/>
          <w:shd w:val="clear" w:color="auto" w:fill="FFFFFF"/>
        </w:rPr>
      </w:pPr>
      <w:r>
        <w:rPr>
          <w:rFonts w:hint="eastAsia" w:asciiTheme="minorEastAsia" w:hAnsiTheme="minorEastAsia" w:cstheme="minorEastAsia"/>
          <w:bCs/>
          <w:color w:val="auto"/>
          <w:szCs w:val="21"/>
          <w:shd w:val="clear" w:color="auto" w:fill="FFFFFF"/>
        </w:rPr>
        <w:t>9.1为使更多供应商能参加投标，本项目招标文</w:t>
      </w:r>
      <w:r>
        <w:rPr>
          <w:rFonts w:hint="eastAsia" w:asciiTheme="minorEastAsia" w:hAnsiTheme="minorEastAsia" w:cstheme="minorEastAsia"/>
          <w:bCs/>
          <w:color w:val="auto"/>
          <w:szCs w:val="21"/>
          <w:shd w:val="clear" w:color="auto" w:fill="FFFFFF"/>
          <w:lang w:eastAsia="zh-CN"/>
        </w:rPr>
        <w:t>件在</w:t>
      </w:r>
      <w:r>
        <w:rPr>
          <w:rFonts w:hint="eastAsia" w:asciiTheme="minorEastAsia" w:hAnsiTheme="minorEastAsia" w:cstheme="minorEastAsia"/>
          <w:bCs/>
          <w:color w:val="auto"/>
          <w:szCs w:val="21"/>
          <w:shd w:val="clear" w:color="auto" w:fill="FFFFFF"/>
        </w:rPr>
        <w:t>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2B89CEE9">
      <w:pPr>
        <w:tabs>
          <w:tab w:val="left" w:pos="7095"/>
        </w:tabs>
        <w:spacing w:line="440" w:lineRule="atLeast"/>
        <w:ind w:firstLine="420" w:firstLineChars="200"/>
        <w:contextualSpacing/>
        <w:jc w:val="left"/>
        <w:rPr>
          <w:rFonts w:hint="eastAsia" w:asciiTheme="minorEastAsia" w:hAnsiTheme="minorEastAsia" w:cstheme="minorEastAsia"/>
          <w:b/>
          <w:bCs/>
          <w:color w:val="auto"/>
          <w:kern w:val="0"/>
          <w:sz w:val="32"/>
          <w:szCs w:val="32"/>
        </w:rPr>
      </w:pPr>
      <w:r>
        <w:rPr>
          <w:rFonts w:hint="eastAsia" w:asciiTheme="minorEastAsia" w:hAnsiTheme="minorEastAsia" w:cstheme="minorEastAsia"/>
          <w:bCs/>
          <w:color w:val="auto"/>
          <w:szCs w:val="21"/>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2B89CEEA">
      <w:pPr>
        <w:pStyle w:val="21"/>
        <w:rPr>
          <w:color w:val="auto"/>
        </w:rPr>
      </w:pPr>
    </w:p>
    <w:p w14:paraId="2B89CEEB">
      <w:pPr>
        <w:pStyle w:val="21"/>
        <w:rPr>
          <w:color w:val="auto"/>
        </w:rPr>
      </w:pPr>
    </w:p>
    <w:p w14:paraId="2B89CEEC">
      <w:pPr>
        <w:pStyle w:val="21"/>
        <w:rPr>
          <w:color w:val="auto"/>
        </w:rPr>
      </w:pPr>
    </w:p>
    <w:p w14:paraId="2B89CEED">
      <w:pPr>
        <w:pStyle w:val="21"/>
        <w:rPr>
          <w:color w:val="auto"/>
        </w:rPr>
      </w:pPr>
    </w:p>
    <w:p w14:paraId="2B89CEEE">
      <w:pPr>
        <w:pStyle w:val="21"/>
        <w:rPr>
          <w:color w:val="auto"/>
        </w:rPr>
      </w:pPr>
    </w:p>
    <w:p w14:paraId="2B89CEEF">
      <w:pPr>
        <w:pStyle w:val="21"/>
        <w:rPr>
          <w:color w:val="auto"/>
        </w:rPr>
      </w:pPr>
    </w:p>
    <w:p w14:paraId="2B89CEF0">
      <w:pPr>
        <w:pStyle w:val="21"/>
        <w:rPr>
          <w:color w:val="auto"/>
        </w:rPr>
      </w:pPr>
    </w:p>
    <w:p w14:paraId="2B89CEF1">
      <w:pPr>
        <w:pStyle w:val="21"/>
        <w:rPr>
          <w:color w:val="auto"/>
        </w:rPr>
      </w:pPr>
    </w:p>
    <w:p w14:paraId="2B89CEF2">
      <w:pPr>
        <w:pStyle w:val="21"/>
        <w:rPr>
          <w:color w:val="auto"/>
        </w:rPr>
      </w:pPr>
    </w:p>
    <w:p w14:paraId="2B89CEF3">
      <w:pPr>
        <w:pStyle w:val="21"/>
        <w:rPr>
          <w:color w:val="auto"/>
        </w:rPr>
      </w:pPr>
    </w:p>
    <w:p w14:paraId="2B89CEF4">
      <w:pPr>
        <w:pStyle w:val="21"/>
        <w:rPr>
          <w:color w:val="auto"/>
        </w:rPr>
      </w:pPr>
    </w:p>
    <w:p w14:paraId="2B89CEF5">
      <w:pPr>
        <w:pStyle w:val="21"/>
        <w:rPr>
          <w:color w:val="auto"/>
        </w:rPr>
      </w:pPr>
    </w:p>
    <w:p w14:paraId="2B89CEF6">
      <w:pPr>
        <w:pStyle w:val="21"/>
        <w:rPr>
          <w:color w:val="auto"/>
        </w:rPr>
      </w:pPr>
    </w:p>
    <w:p w14:paraId="2B89CEF7">
      <w:pPr>
        <w:pStyle w:val="21"/>
        <w:rPr>
          <w:color w:val="auto"/>
        </w:rPr>
      </w:pPr>
    </w:p>
    <w:p w14:paraId="2B89CEF8">
      <w:pPr>
        <w:pStyle w:val="21"/>
        <w:rPr>
          <w:color w:val="auto"/>
        </w:rPr>
      </w:pPr>
    </w:p>
    <w:p w14:paraId="2B89CEF9">
      <w:pPr>
        <w:pStyle w:val="21"/>
        <w:rPr>
          <w:color w:val="auto"/>
        </w:rPr>
      </w:pPr>
    </w:p>
    <w:p w14:paraId="2B89CEFA">
      <w:pPr>
        <w:pStyle w:val="21"/>
        <w:rPr>
          <w:color w:val="auto"/>
        </w:rPr>
      </w:pPr>
    </w:p>
    <w:p w14:paraId="2B89CEFB">
      <w:pPr>
        <w:pStyle w:val="21"/>
        <w:rPr>
          <w:color w:val="auto"/>
        </w:rPr>
      </w:pPr>
    </w:p>
    <w:p w14:paraId="2B89CEFC">
      <w:pPr>
        <w:pStyle w:val="21"/>
        <w:rPr>
          <w:color w:val="auto"/>
        </w:rPr>
      </w:pPr>
    </w:p>
    <w:p w14:paraId="2B89CEFD">
      <w:pPr>
        <w:pStyle w:val="21"/>
        <w:rPr>
          <w:color w:val="auto"/>
        </w:rPr>
      </w:pPr>
    </w:p>
    <w:p w14:paraId="2B89CEFE">
      <w:pPr>
        <w:pStyle w:val="21"/>
        <w:rPr>
          <w:color w:val="auto"/>
        </w:rPr>
      </w:pPr>
    </w:p>
    <w:p w14:paraId="2B89CEFF">
      <w:pPr>
        <w:numPr>
          <w:ilvl w:val="0"/>
          <w:numId w:val="3"/>
        </w:numPr>
        <w:tabs>
          <w:tab w:val="left" w:pos="7095"/>
        </w:tabs>
        <w:spacing w:line="360" w:lineRule="auto"/>
        <w:ind w:firstLine="3213" w:firstLineChars="1000"/>
        <w:contextualSpacing/>
        <w:rPr>
          <w:rFonts w:hint="eastAsia"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 xml:space="preserve"> </w:t>
      </w:r>
      <w:r>
        <w:rPr>
          <w:rFonts w:hint="eastAsia" w:cs="宋体" w:asciiTheme="majorEastAsia" w:hAnsiTheme="majorEastAsia" w:eastAsiaTheme="majorEastAsia"/>
          <w:b/>
          <w:color w:val="auto"/>
          <w:kern w:val="0"/>
          <w:sz w:val="32"/>
          <w:szCs w:val="32"/>
          <w:lang w:val="en-US" w:eastAsia="zh-CN"/>
        </w:rPr>
        <w:t>项目</w:t>
      </w:r>
      <w:r>
        <w:rPr>
          <w:rFonts w:hint="eastAsia" w:cs="宋体" w:asciiTheme="majorEastAsia" w:hAnsiTheme="majorEastAsia" w:eastAsiaTheme="majorEastAsia"/>
          <w:b/>
          <w:color w:val="auto"/>
          <w:kern w:val="0"/>
          <w:sz w:val="32"/>
          <w:szCs w:val="32"/>
        </w:rPr>
        <w:t>需求</w:t>
      </w:r>
    </w:p>
    <w:p w14:paraId="2B89CF00">
      <w:pPr>
        <w:numPr>
          <w:ilvl w:val="0"/>
          <w:numId w:val="4"/>
        </w:numPr>
        <w:tabs>
          <w:tab w:val="left" w:pos="7095"/>
        </w:tabs>
        <w:spacing w:line="440" w:lineRule="exact"/>
        <w:rPr>
          <w:rFonts w:hint="eastAsia" w:ascii="宋体" w:hAnsi="宋体"/>
          <w:b/>
          <w:bCs/>
          <w:color w:val="auto"/>
          <w:szCs w:val="21"/>
        </w:rPr>
      </w:pPr>
      <w:r>
        <w:rPr>
          <w:rFonts w:hint="eastAsia" w:ascii="宋体" w:hAnsi="宋体"/>
          <w:b/>
          <w:bCs/>
          <w:color w:val="auto"/>
          <w:szCs w:val="21"/>
        </w:rPr>
        <w:t>本项目需实现的功能或者目标</w:t>
      </w:r>
    </w:p>
    <w:p w14:paraId="2B89CF01">
      <w:pPr>
        <w:ind w:firstLine="420" w:firstLineChars="200"/>
        <w:rPr>
          <w:rFonts w:hint="eastAsia" w:asciiTheme="minorEastAsia" w:hAnsiTheme="minorEastAsia"/>
          <w:color w:val="auto"/>
          <w:szCs w:val="21"/>
        </w:rPr>
      </w:pPr>
      <w:r>
        <w:rPr>
          <w:rFonts w:hint="eastAsia" w:asciiTheme="minorEastAsia" w:hAnsiTheme="minorEastAsia"/>
          <w:color w:val="auto"/>
          <w:szCs w:val="21"/>
        </w:rPr>
        <w:t>为进一步提升我院超声设备的诊断的全面性和准确性，结合临床科室的实际工作需要，我院决定购置高档智能麻醉机一套及彩色多普勒超声诊断仪一套 ，本次采购项目通过公开招标的方式，选取最优质的医疗设备供应商，以满足医院长远发展的需求</w:t>
      </w:r>
    </w:p>
    <w:p w14:paraId="2B89CF02">
      <w:pPr>
        <w:numPr>
          <w:ilvl w:val="0"/>
          <w:numId w:val="5"/>
        </w:numPr>
        <w:tabs>
          <w:tab w:val="left" w:pos="7095"/>
        </w:tabs>
        <w:spacing w:line="440" w:lineRule="exact"/>
        <w:rPr>
          <w:rFonts w:hint="eastAsia" w:asciiTheme="minorEastAsia" w:hAnsiTheme="minorEastAsia" w:cstheme="minorEastAsia"/>
          <w:b/>
          <w:color w:val="auto"/>
        </w:rPr>
      </w:pPr>
      <w:r>
        <w:rPr>
          <w:rFonts w:hint="eastAsia" w:asciiTheme="minorEastAsia" w:hAnsiTheme="minorEastAsia" w:cstheme="minorEastAsia"/>
          <w:b/>
          <w:color w:val="auto"/>
        </w:rPr>
        <w:t>采购清单：第一标段</w:t>
      </w:r>
    </w:p>
    <w:tbl>
      <w:tblPr>
        <w:tblStyle w:val="15"/>
        <w:tblpPr w:leftFromText="180" w:rightFromText="180" w:vertAnchor="text" w:horzAnchor="page" w:tblpX="809" w:tblpY="835"/>
        <w:tblOverlap w:val="never"/>
        <w:tblW w:w="10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899"/>
        <w:gridCol w:w="4151"/>
        <w:gridCol w:w="767"/>
        <w:gridCol w:w="863"/>
        <w:gridCol w:w="2033"/>
        <w:gridCol w:w="992"/>
      </w:tblGrid>
      <w:tr w14:paraId="2B89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99" w:type="dxa"/>
            <w:vAlign w:val="center"/>
          </w:tcPr>
          <w:p w14:paraId="2B89CF03">
            <w:pPr>
              <w:spacing w:line="440" w:lineRule="exact"/>
              <w:contextualSpacing/>
              <w:jc w:val="center"/>
              <w:rPr>
                <w:rFonts w:hint="eastAsia" w:ascii="宋体" w:hAnsi="宋体"/>
                <w:b/>
                <w:color w:val="auto"/>
                <w:szCs w:val="21"/>
              </w:rPr>
            </w:pPr>
            <w:r>
              <w:rPr>
                <w:rFonts w:hint="eastAsia" w:ascii="宋体" w:hAnsi="宋体"/>
                <w:b/>
                <w:color w:val="auto"/>
                <w:szCs w:val="21"/>
              </w:rPr>
              <w:t>序号</w:t>
            </w:r>
          </w:p>
        </w:tc>
        <w:tc>
          <w:tcPr>
            <w:tcW w:w="899" w:type="dxa"/>
            <w:vAlign w:val="center"/>
          </w:tcPr>
          <w:p w14:paraId="2B89CF04">
            <w:pPr>
              <w:spacing w:line="440" w:lineRule="exact"/>
              <w:contextualSpacing/>
              <w:jc w:val="center"/>
              <w:rPr>
                <w:rFonts w:hint="eastAsia" w:ascii="宋体" w:hAnsi="宋体"/>
                <w:b/>
                <w:color w:val="auto"/>
                <w:szCs w:val="21"/>
              </w:rPr>
            </w:pPr>
            <w:r>
              <w:rPr>
                <w:rFonts w:hint="eastAsia" w:ascii="宋体" w:hAnsi="宋体"/>
                <w:b/>
                <w:color w:val="auto"/>
                <w:szCs w:val="21"/>
              </w:rPr>
              <w:t>货物</w:t>
            </w:r>
          </w:p>
          <w:p w14:paraId="2B89CF05">
            <w:pPr>
              <w:spacing w:line="440" w:lineRule="exact"/>
              <w:contextualSpacing/>
              <w:jc w:val="center"/>
              <w:rPr>
                <w:rFonts w:hint="eastAsia" w:ascii="宋体" w:hAnsi="宋体"/>
                <w:b/>
                <w:color w:val="auto"/>
                <w:szCs w:val="21"/>
              </w:rPr>
            </w:pPr>
            <w:r>
              <w:rPr>
                <w:rFonts w:hint="eastAsia" w:ascii="宋体" w:hAnsi="宋体"/>
                <w:b/>
                <w:color w:val="auto"/>
                <w:szCs w:val="21"/>
              </w:rPr>
              <w:t>名称</w:t>
            </w:r>
          </w:p>
        </w:tc>
        <w:tc>
          <w:tcPr>
            <w:tcW w:w="4151" w:type="dxa"/>
            <w:vAlign w:val="center"/>
          </w:tcPr>
          <w:p w14:paraId="2B89CF06">
            <w:pPr>
              <w:spacing w:line="440" w:lineRule="exact"/>
              <w:contextualSpacing/>
              <w:jc w:val="center"/>
              <w:rPr>
                <w:rFonts w:hint="eastAsia" w:ascii="宋体" w:hAnsi="宋体"/>
                <w:b/>
                <w:color w:val="auto"/>
                <w:szCs w:val="21"/>
              </w:rPr>
            </w:pPr>
            <w:r>
              <w:rPr>
                <w:rFonts w:hint="eastAsia" w:ascii="宋体" w:hAnsi="宋体"/>
                <w:b/>
                <w:color w:val="auto"/>
                <w:szCs w:val="21"/>
              </w:rPr>
              <w:t>技术规格及主要参数</w:t>
            </w:r>
          </w:p>
        </w:tc>
        <w:tc>
          <w:tcPr>
            <w:tcW w:w="767" w:type="dxa"/>
            <w:vAlign w:val="center"/>
          </w:tcPr>
          <w:p w14:paraId="2B89CF07">
            <w:pPr>
              <w:spacing w:line="440" w:lineRule="exact"/>
              <w:contextualSpacing/>
              <w:jc w:val="center"/>
              <w:rPr>
                <w:rFonts w:hint="eastAsia" w:ascii="宋体" w:hAnsi="宋体"/>
                <w:b/>
                <w:color w:val="auto"/>
                <w:szCs w:val="21"/>
              </w:rPr>
            </w:pPr>
            <w:r>
              <w:rPr>
                <w:rFonts w:hint="eastAsia" w:ascii="宋体" w:hAnsi="宋体"/>
                <w:b/>
                <w:color w:val="auto"/>
                <w:szCs w:val="21"/>
              </w:rPr>
              <w:t>单位</w:t>
            </w:r>
          </w:p>
        </w:tc>
        <w:tc>
          <w:tcPr>
            <w:tcW w:w="863" w:type="dxa"/>
            <w:vAlign w:val="center"/>
          </w:tcPr>
          <w:p w14:paraId="2B89CF08">
            <w:pPr>
              <w:spacing w:line="440" w:lineRule="exact"/>
              <w:contextualSpacing/>
              <w:jc w:val="center"/>
              <w:rPr>
                <w:rFonts w:hint="eastAsia" w:ascii="宋体" w:hAnsi="宋体"/>
                <w:b/>
                <w:color w:val="auto"/>
                <w:szCs w:val="21"/>
              </w:rPr>
            </w:pPr>
            <w:r>
              <w:rPr>
                <w:rFonts w:hint="eastAsia" w:ascii="宋体" w:hAnsi="宋体"/>
                <w:b/>
                <w:color w:val="auto"/>
                <w:szCs w:val="21"/>
              </w:rPr>
              <w:t>数量</w:t>
            </w:r>
          </w:p>
        </w:tc>
        <w:tc>
          <w:tcPr>
            <w:tcW w:w="2033" w:type="dxa"/>
            <w:vAlign w:val="center"/>
          </w:tcPr>
          <w:p w14:paraId="2B89CF09">
            <w:pPr>
              <w:spacing w:line="440" w:lineRule="exact"/>
              <w:contextualSpacing/>
              <w:jc w:val="center"/>
              <w:rPr>
                <w:rFonts w:hint="eastAsia" w:ascii="宋体" w:hAnsi="宋体"/>
                <w:b/>
                <w:color w:val="auto"/>
                <w:szCs w:val="21"/>
              </w:rPr>
            </w:pPr>
            <w:r>
              <w:rPr>
                <w:rFonts w:hint="eastAsia" w:ascii="宋体" w:hAnsi="宋体"/>
                <w:b/>
                <w:color w:val="auto"/>
                <w:szCs w:val="21"/>
              </w:rPr>
              <w:t>采购标的对应的</w:t>
            </w:r>
          </w:p>
          <w:p w14:paraId="2B89CF0A">
            <w:pPr>
              <w:spacing w:line="440" w:lineRule="exact"/>
              <w:contextualSpacing/>
              <w:jc w:val="center"/>
              <w:rPr>
                <w:rFonts w:hint="eastAsia" w:ascii="宋体" w:hAnsi="宋体"/>
                <w:b/>
                <w:color w:val="auto"/>
                <w:szCs w:val="21"/>
              </w:rPr>
            </w:pPr>
            <w:r>
              <w:rPr>
                <w:rFonts w:hint="eastAsia" w:ascii="宋体" w:hAnsi="宋体"/>
                <w:b/>
                <w:color w:val="auto"/>
                <w:szCs w:val="21"/>
              </w:rPr>
              <w:t>中小企业划分标准</w:t>
            </w:r>
          </w:p>
          <w:p w14:paraId="2B89CF0B">
            <w:pPr>
              <w:spacing w:line="440" w:lineRule="exact"/>
              <w:contextualSpacing/>
              <w:jc w:val="center"/>
              <w:rPr>
                <w:rFonts w:hint="eastAsia" w:ascii="宋体" w:hAnsi="宋体"/>
                <w:b/>
                <w:color w:val="auto"/>
                <w:szCs w:val="21"/>
              </w:rPr>
            </w:pPr>
            <w:r>
              <w:rPr>
                <w:rFonts w:hint="eastAsia" w:ascii="宋体" w:hAnsi="宋体"/>
                <w:b/>
                <w:color w:val="auto"/>
                <w:szCs w:val="21"/>
              </w:rPr>
              <w:t>所属行业</w:t>
            </w:r>
          </w:p>
        </w:tc>
        <w:tc>
          <w:tcPr>
            <w:tcW w:w="992" w:type="dxa"/>
            <w:vAlign w:val="center"/>
          </w:tcPr>
          <w:p w14:paraId="2B89CF0C">
            <w:pPr>
              <w:spacing w:line="440" w:lineRule="exact"/>
              <w:contextualSpacing/>
              <w:jc w:val="center"/>
              <w:rPr>
                <w:rFonts w:hint="eastAsia" w:ascii="宋体" w:hAnsi="宋体"/>
                <w:b/>
                <w:color w:val="auto"/>
                <w:szCs w:val="21"/>
              </w:rPr>
            </w:pPr>
            <w:r>
              <w:rPr>
                <w:rFonts w:hint="eastAsia" w:ascii="宋体" w:hAnsi="宋体"/>
                <w:b/>
                <w:color w:val="auto"/>
                <w:szCs w:val="21"/>
              </w:rPr>
              <w:t>是否核心产品</w:t>
            </w:r>
          </w:p>
        </w:tc>
      </w:tr>
      <w:tr w14:paraId="2B89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99" w:type="dxa"/>
            <w:vAlign w:val="center"/>
          </w:tcPr>
          <w:p w14:paraId="2B89CF0E">
            <w:pPr>
              <w:spacing w:line="440" w:lineRule="exact"/>
              <w:contextualSpacing/>
              <w:jc w:val="center"/>
              <w:rPr>
                <w:rFonts w:hint="eastAsia" w:ascii="宋体" w:hAnsi="宋体"/>
                <w:b/>
                <w:color w:val="auto"/>
                <w:szCs w:val="21"/>
              </w:rPr>
            </w:pPr>
            <w:r>
              <w:rPr>
                <w:rFonts w:hint="eastAsia" w:ascii="宋体" w:hAnsi="宋体"/>
                <w:b/>
                <w:color w:val="auto"/>
                <w:szCs w:val="21"/>
              </w:rPr>
              <w:t>1</w:t>
            </w:r>
          </w:p>
        </w:tc>
        <w:tc>
          <w:tcPr>
            <w:tcW w:w="899" w:type="dxa"/>
            <w:vAlign w:val="center"/>
          </w:tcPr>
          <w:p w14:paraId="2B89CF0F">
            <w:pPr>
              <w:spacing w:line="440" w:lineRule="exact"/>
              <w:contextualSpacing/>
              <w:jc w:val="center"/>
              <w:rPr>
                <w:rFonts w:ascii="Arial" w:hAnsi="Arial" w:eastAsia="宋体" w:cs="Arial"/>
                <w:b/>
                <w:color w:val="auto"/>
                <w:szCs w:val="21"/>
                <w:highlight w:val="none"/>
              </w:rPr>
            </w:pPr>
            <w:r>
              <w:rPr>
                <w:rFonts w:hint="eastAsia" w:ascii="Arial" w:hAnsi="Arial" w:eastAsia="宋体" w:cs="Arial"/>
                <w:b/>
                <w:color w:val="auto"/>
                <w:szCs w:val="21"/>
                <w:highlight w:val="none"/>
              </w:rPr>
              <w:t>高端</w:t>
            </w:r>
          </w:p>
          <w:p w14:paraId="2B89CF10">
            <w:pPr>
              <w:spacing w:line="440" w:lineRule="exact"/>
              <w:contextualSpacing/>
              <w:jc w:val="center"/>
              <w:rPr>
                <w:rFonts w:hint="eastAsia" w:ascii="宋体" w:hAnsi="宋体"/>
                <w:b/>
                <w:color w:val="auto"/>
                <w:szCs w:val="21"/>
                <w:highlight w:val="none"/>
              </w:rPr>
            </w:pPr>
            <w:r>
              <w:rPr>
                <w:rFonts w:hint="eastAsia" w:ascii="Arial" w:hAnsi="Arial" w:eastAsia="宋体" w:cs="Arial"/>
                <w:b/>
                <w:color w:val="auto"/>
                <w:szCs w:val="21"/>
                <w:highlight w:val="none"/>
              </w:rPr>
              <w:t>麻醉机</w:t>
            </w:r>
          </w:p>
        </w:tc>
        <w:tc>
          <w:tcPr>
            <w:tcW w:w="4151" w:type="dxa"/>
            <w:vAlign w:val="center"/>
          </w:tcPr>
          <w:p w14:paraId="741A27A4">
            <w:pPr>
              <w:pStyle w:val="22"/>
              <w:numPr>
                <w:ilvl w:val="0"/>
                <w:numId w:val="6"/>
              </w:numPr>
              <w:spacing w:line="360" w:lineRule="auto"/>
              <w:ind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基本要求</w:t>
            </w:r>
          </w:p>
          <w:p w14:paraId="755BFE00">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1.1★适用范围：适用于新生儿、儿童、成人麻醉使用（以产品注册证为准）</w:t>
            </w:r>
          </w:p>
          <w:p w14:paraId="49E92207">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1.2投标麻醉机型号通过FDA、NMPA、CE认证</w:t>
            </w:r>
          </w:p>
          <w:p w14:paraId="044AA5A7">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r>
              <w:rPr>
                <w:rFonts w:ascii="宋体" w:hAnsi="宋体" w:eastAsia="宋体" w:cs="宋体"/>
                <w:bCs/>
                <w:color w:val="auto"/>
                <w:szCs w:val="21"/>
                <w:highlight w:val="none"/>
              </w:rPr>
              <w:t>★</w:t>
            </w:r>
            <w:r>
              <w:rPr>
                <w:rFonts w:hint="eastAsia" w:ascii="宋体" w:hAnsi="宋体" w:eastAsia="宋体" w:cs="宋体"/>
                <w:bCs/>
                <w:color w:val="auto"/>
                <w:szCs w:val="21"/>
                <w:highlight w:val="none"/>
              </w:rPr>
              <w:t>配备铅酸电池（非锂电池），使用时间≥80分钟</w:t>
            </w:r>
          </w:p>
          <w:p w14:paraId="6E99D0C8">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w:t>
            </w:r>
            <w:r>
              <w:rPr>
                <w:rFonts w:ascii="宋体" w:hAnsi="宋体" w:eastAsia="宋体" w:cs="宋体"/>
                <w:bCs/>
                <w:color w:val="auto"/>
                <w:szCs w:val="21"/>
                <w:highlight w:val="none"/>
              </w:rPr>
              <w:t>机身配备</w:t>
            </w:r>
            <w:r>
              <w:rPr>
                <w:rFonts w:hint="eastAsia" w:ascii="宋体" w:hAnsi="宋体" w:eastAsia="宋体" w:cs="宋体"/>
                <w:bCs/>
                <w:color w:val="auto"/>
                <w:szCs w:val="21"/>
                <w:highlight w:val="none"/>
              </w:rPr>
              <w:t>带单独开关的≥</w:t>
            </w:r>
            <w:r>
              <w:rPr>
                <w:rFonts w:ascii="宋体" w:hAnsi="宋体" w:eastAsia="宋体" w:cs="宋体"/>
                <w:bCs/>
                <w:color w:val="auto"/>
                <w:szCs w:val="21"/>
                <w:highlight w:val="none"/>
              </w:rPr>
              <w:t>3</w:t>
            </w:r>
            <w:r>
              <w:rPr>
                <w:rFonts w:hint="eastAsia" w:ascii="宋体" w:hAnsi="宋体" w:eastAsia="宋体" w:cs="宋体"/>
                <w:bCs/>
                <w:color w:val="auto"/>
                <w:szCs w:val="21"/>
                <w:highlight w:val="none"/>
              </w:rPr>
              <w:t>插位</w:t>
            </w:r>
            <w:r>
              <w:rPr>
                <w:rFonts w:ascii="宋体" w:hAnsi="宋体" w:eastAsia="宋体" w:cs="宋体"/>
                <w:bCs/>
                <w:color w:val="auto"/>
                <w:szCs w:val="21"/>
                <w:highlight w:val="none"/>
              </w:rPr>
              <w:t>电源</w:t>
            </w:r>
            <w:r>
              <w:rPr>
                <w:rFonts w:hint="eastAsia" w:ascii="宋体" w:hAnsi="宋体" w:eastAsia="宋体" w:cs="宋体"/>
                <w:bCs/>
                <w:color w:val="auto"/>
                <w:szCs w:val="21"/>
                <w:highlight w:val="none"/>
              </w:rPr>
              <w:t>插座</w:t>
            </w:r>
          </w:p>
          <w:p w14:paraId="2A94F5B2">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1.5配备</w:t>
            </w:r>
            <w:r>
              <w:rPr>
                <w:rFonts w:ascii="宋体" w:hAnsi="宋体" w:eastAsia="宋体" w:cs="宋体"/>
                <w:bCs/>
                <w:color w:val="auto"/>
                <w:szCs w:val="21"/>
                <w:highlight w:val="none"/>
              </w:rPr>
              <w:t>外置</w:t>
            </w:r>
            <w:r>
              <w:rPr>
                <w:rFonts w:hint="eastAsia" w:ascii="宋体" w:hAnsi="宋体" w:eastAsia="宋体" w:cs="宋体"/>
                <w:bCs/>
                <w:color w:val="auto"/>
                <w:szCs w:val="21"/>
                <w:highlight w:val="none"/>
              </w:rPr>
              <w:t>式</w:t>
            </w:r>
            <w:r>
              <w:rPr>
                <w:rFonts w:ascii="宋体" w:hAnsi="宋体" w:eastAsia="宋体" w:cs="宋体"/>
                <w:bCs/>
                <w:color w:val="auto"/>
                <w:szCs w:val="21"/>
                <w:highlight w:val="none"/>
              </w:rPr>
              <w:t>可视上升式风箱</w:t>
            </w:r>
            <w:r>
              <w:rPr>
                <w:rFonts w:hint="eastAsia" w:ascii="宋体" w:hAnsi="宋体" w:eastAsia="宋体" w:cs="宋体"/>
                <w:bCs/>
                <w:color w:val="auto"/>
                <w:szCs w:val="21"/>
                <w:highlight w:val="none"/>
              </w:rPr>
              <w:t xml:space="preserve"> </w:t>
            </w:r>
          </w:p>
          <w:p w14:paraId="5B177BC9">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r>
              <w:rPr>
                <w:rFonts w:ascii="宋体" w:hAnsi="宋体" w:eastAsia="宋体" w:cs="宋体"/>
                <w:bCs/>
                <w:color w:val="auto"/>
                <w:szCs w:val="21"/>
                <w:highlight w:val="none"/>
              </w:rPr>
              <w:t>工作台</w:t>
            </w:r>
            <w:r>
              <w:rPr>
                <w:rFonts w:hint="eastAsia" w:ascii="宋体" w:hAnsi="宋体" w:eastAsia="宋体" w:cs="宋体"/>
                <w:bCs/>
                <w:color w:val="auto"/>
                <w:szCs w:val="21"/>
                <w:highlight w:val="none"/>
              </w:rPr>
              <w:t>配备</w:t>
            </w:r>
            <w:r>
              <w:rPr>
                <w:rFonts w:ascii="宋体" w:hAnsi="宋体" w:eastAsia="宋体" w:cs="宋体"/>
                <w:bCs/>
                <w:color w:val="auto"/>
                <w:szCs w:val="21"/>
                <w:highlight w:val="none"/>
              </w:rPr>
              <w:t>双层灯光，亮度</w:t>
            </w:r>
            <w:r>
              <w:rPr>
                <w:rFonts w:hint="eastAsia" w:ascii="宋体" w:hAnsi="宋体" w:eastAsia="宋体" w:cs="宋体"/>
                <w:bCs/>
                <w:color w:val="auto"/>
                <w:szCs w:val="21"/>
                <w:highlight w:val="none"/>
                <w:lang w:eastAsia="zh-CN"/>
              </w:rPr>
              <w:t>无级</w:t>
            </w:r>
            <w:r>
              <w:rPr>
                <w:rFonts w:ascii="宋体" w:hAnsi="宋体" w:eastAsia="宋体" w:cs="宋体"/>
                <w:bCs/>
                <w:color w:val="auto"/>
                <w:szCs w:val="21"/>
                <w:highlight w:val="none"/>
              </w:rPr>
              <w:t>可调</w:t>
            </w:r>
            <w:r>
              <w:rPr>
                <w:rFonts w:hint="eastAsia" w:ascii="宋体" w:hAnsi="宋体" w:eastAsia="宋体" w:cs="宋体"/>
                <w:bCs/>
                <w:color w:val="auto"/>
                <w:szCs w:val="21"/>
                <w:highlight w:val="none"/>
              </w:rPr>
              <w:t xml:space="preserve"> </w:t>
            </w:r>
          </w:p>
          <w:p w14:paraId="1D211581">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1.7机身配备≥3个储物抽屉</w:t>
            </w:r>
          </w:p>
          <w:p w14:paraId="60B2653C">
            <w:pPr>
              <w:pStyle w:val="22"/>
              <w:numPr>
                <w:ilvl w:val="0"/>
                <w:numId w:val="6"/>
              </w:numPr>
              <w:spacing w:line="360" w:lineRule="auto"/>
              <w:ind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气源</w:t>
            </w:r>
          </w:p>
          <w:p w14:paraId="2F6CEEAF">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2.1双气源：氧气、空气</w:t>
            </w:r>
          </w:p>
          <w:p w14:paraId="793A5459">
            <w:pPr>
              <w:pStyle w:val="22"/>
              <w:numPr>
                <w:ilvl w:val="0"/>
                <w:numId w:val="6"/>
              </w:numPr>
              <w:spacing w:line="360" w:lineRule="auto"/>
              <w:ind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流量计</w:t>
            </w:r>
          </w:p>
          <w:p w14:paraId="1BDCCAE5">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w:t>
            </w:r>
            <w:r>
              <w:rPr>
                <w:rFonts w:ascii="宋体" w:hAnsi="宋体" w:eastAsia="宋体" w:cs="宋体"/>
                <w:bCs/>
                <w:color w:val="auto"/>
                <w:szCs w:val="21"/>
                <w:highlight w:val="none"/>
              </w:rPr>
              <w:t>电子流量计（数控流量阀技术），氧气、空气，流量通过呼吸机屏幕电子显示</w:t>
            </w:r>
          </w:p>
          <w:p w14:paraId="17435814">
            <w:pPr>
              <w:pStyle w:val="22"/>
              <w:numPr>
                <w:ilvl w:val="0"/>
                <w:numId w:val="6"/>
              </w:numPr>
              <w:spacing w:line="360" w:lineRule="auto"/>
              <w:ind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挥发罐</w:t>
            </w:r>
          </w:p>
          <w:p w14:paraId="1512A5D6">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4.1</w:t>
            </w:r>
            <w:r>
              <w:rPr>
                <w:rFonts w:ascii="宋体" w:hAnsi="宋体" w:eastAsia="宋体" w:cs="宋体"/>
                <w:bCs/>
                <w:color w:val="auto"/>
                <w:szCs w:val="21"/>
                <w:highlight w:val="none"/>
              </w:rPr>
              <w:t>★</w:t>
            </w:r>
            <w:r>
              <w:rPr>
                <w:rFonts w:hint="eastAsia" w:ascii="宋体" w:hAnsi="宋体" w:eastAsia="宋体" w:cs="宋体"/>
                <w:bCs/>
                <w:color w:val="auto"/>
                <w:szCs w:val="21"/>
                <w:highlight w:val="none"/>
              </w:rPr>
              <w:t>标</w:t>
            </w:r>
            <w:r>
              <w:rPr>
                <w:rFonts w:ascii="宋体" w:hAnsi="宋体" w:eastAsia="宋体" w:cs="宋体"/>
                <w:bCs/>
                <w:color w:val="auto"/>
                <w:szCs w:val="21"/>
                <w:highlight w:val="none"/>
              </w:rPr>
              <w:t>配2个挥发罐的使用位置，配同品牌原装七氟醚挥发罐</w:t>
            </w:r>
            <w:r>
              <w:rPr>
                <w:rFonts w:hint="eastAsia" w:ascii="宋体" w:hAnsi="宋体" w:eastAsia="宋体" w:cs="宋体"/>
                <w:bCs/>
                <w:color w:val="auto"/>
                <w:szCs w:val="21"/>
                <w:highlight w:val="none"/>
              </w:rPr>
              <w:t>一</w:t>
            </w:r>
            <w:r>
              <w:rPr>
                <w:rFonts w:ascii="宋体" w:hAnsi="宋体" w:eastAsia="宋体" w:cs="宋体"/>
                <w:bCs/>
                <w:color w:val="auto"/>
                <w:szCs w:val="21"/>
                <w:highlight w:val="none"/>
              </w:rPr>
              <w:t>个</w:t>
            </w:r>
            <w:r>
              <w:rPr>
                <w:rFonts w:hint="eastAsia" w:ascii="宋体" w:hAnsi="宋体" w:eastAsia="宋体" w:cs="宋体"/>
                <w:bCs/>
                <w:color w:val="auto"/>
                <w:szCs w:val="21"/>
                <w:highlight w:val="none"/>
              </w:rPr>
              <w:t>，可升级配备同品牌地</w:t>
            </w:r>
            <w:r>
              <w:rPr>
                <w:rFonts w:ascii="宋体" w:hAnsi="宋体" w:eastAsia="宋体" w:cs="宋体"/>
                <w:bCs/>
                <w:color w:val="auto"/>
                <w:szCs w:val="21"/>
                <w:highlight w:val="none"/>
              </w:rPr>
              <w:t>氟醚</w:t>
            </w:r>
            <w:r>
              <w:rPr>
                <w:rFonts w:hint="eastAsia" w:ascii="宋体" w:hAnsi="宋体" w:eastAsia="宋体" w:cs="宋体"/>
                <w:bCs/>
                <w:color w:val="auto"/>
                <w:szCs w:val="21"/>
                <w:highlight w:val="none"/>
              </w:rPr>
              <w:t>挥发罐（非OEM产品，以注册证为准，麻醉机注册证未标注的，需提供同品牌地</w:t>
            </w:r>
            <w:r>
              <w:rPr>
                <w:rFonts w:ascii="宋体" w:hAnsi="宋体" w:eastAsia="宋体" w:cs="宋体"/>
                <w:bCs/>
                <w:color w:val="auto"/>
                <w:szCs w:val="21"/>
                <w:highlight w:val="none"/>
              </w:rPr>
              <w:t>氟醚</w:t>
            </w:r>
            <w:r>
              <w:rPr>
                <w:rFonts w:hint="eastAsia" w:ascii="宋体" w:hAnsi="宋体" w:eastAsia="宋体" w:cs="宋体"/>
                <w:bCs/>
                <w:color w:val="auto"/>
                <w:szCs w:val="21"/>
                <w:highlight w:val="none"/>
              </w:rPr>
              <w:t>挥发罐注册证）</w:t>
            </w:r>
          </w:p>
          <w:p w14:paraId="6DDA11B0">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4.2</w:t>
            </w:r>
            <w:r>
              <w:rPr>
                <w:rFonts w:ascii="宋体" w:hAnsi="宋体" w:eastAsia="宋体" w:cs="宋体"/>
                <w:bCs/>
                <w:color w:val="auto"/>
                <w:szCs w:val="21"/>
                <w:highlight w:val="none"/>
              </w:rPr>
              <w:t>开机自检具备挥发罐泄漏自检程序</w:t>
            </w:r>
          </w:p>
          <w:p w14:paraId="5CA8B286">
            <w:pPr>
              <w:pStyle w:val="22"/>
              <w:numPr>
                <w:ilvl w:val="0"/>
                <w:numId w:val="6"/>
              </w:numPr>
              <w:spacing w:line="360" w:lineRule="auto"/>
              <w:ind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呼吸回路</w:t>
            </w:r>
          </w:p>
          <w:p w14:paraId="2D497366">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5.1</w:t>
            </w:r>
            <w:r>
              <w:rPr>
                <w:rFonts w:ascii="宋体" w:hAnsi="宋体" w:eastAsia="宋体" w:cs="宋体"/>
                <w:bCs/>
                <w:color w:val="auto"/>
                <w:szCs w:val="21"/>
                <w:highlight w:val="none"/>
              </w:rPr>
              <w:t>小于</w:t>
            </w:r>
            <w:r>
              <w:rPr>
                <w:rFonts w:hint="eastAsia" w:ascii="宋体" w:hAnsi="宋体" w:eastAsia="宋体" w:cs="宋体"/>
                <w:bCs/>
                <w:color w:val="auto"/>
                <w:szCs w:val="21"/>
                <w:highlight w:val="none"/>
                <w:lang w:eastAsia="zh-CN"/>
              </w:rPr>
              <w:t>等于</w:t>
            </w:r>
            <w:r>
              <w:rPr>
                <w:rFonts w:ascii="宋体" w:hAnsi="宋体" w:eastAsia="宋体" w:cs="宋体"/>
                <w:bCs/>
                <w:color w:val="auto"/>
                <w:szCs w:val="21"/>
                <w:highlight w:val="none"/>
              </w:rPr>
              <w:t>3.1L极小的回路容积</w:t>
            </w: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为快速调节新鲜气体流量以及输出麻药浓度提供了保障</w:t>
            </w:r>
          </w:p>
          <w:p w14:paraId="52A41486">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5.2 </w:t>
            </w:r>
            <w:r>
              <w:rPr>
                <w:rFonts w:ascii="宋体" w:hAnsi="宋体" w:eastAsia="宋体" w:cs="宋体"/>
                <w:bCs/>
                <w:color w:val="auto"/>
                <w:szCs w:val="21"/>
                <w:highlight w:val="none"/>
              </w:rPr>
              <w:t>标配内置二氧化碳旁路功能，</w:t>
            </w:r>
            <w:r>
              <w:rPr>
                <w:rFonts w:hint="eastAsia" w:ascii="Arial" w:hAnsi="Arial" w:cs="Arial"/>
                <w:color w:val="auto"/>
                <w:szCs w:val="21"/>
                <w:highlight w:val="none"/>
              </w:rPr>
              <w:t>支持术中更换钠石灰</w:t>
            </w:r>
          </w:p>
          <w:p w14:paraId="4B1859D8">
            <w:pPr>
              <w:pStyle w:val="22"/>
              <w:numPr>
                <w:ilvl w:val="0"/>
                <w:numId w:val="6"/>
              </w:numPr>
              <w:spacing w:line="360" w:lineRule="auto"/>
              <w:ind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呼吸机 </w:t>
            </w:r>
          </w:p>
          <w:p w14:paraId="3E0530E0">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6.1采用</w:t>
            </w:r>
            <w:r>
              <w:rPr>
                <w:rFonts w:ascii="宋体" w:hAnsi="宋体" w:eastAsia="宋体" w:cs="宋体"/>
                <w:bCs/>
                <w:color w:val="auto"/>
                <w:szCs w:val="21"/>
                <w:highlight w:val="none"/>
              </w:rPr>
              <w:t>气动电控呼吸机</w:t>
            </w:r>
          </w:p>
          <w:p w14:paraId="3736D2FC">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w:t>
            </w:r>
            <w:r>
              <w:rPr>
                <w:rFonts w:ascii="宋体" w:hAnsi="宋体" w:eastAsia="宋体" w:cs="宋体"/>
                <w:bCs/>
                <w:color w:val="auto"/>
                <w:szCs w:val="21"/>
                <w:highlight w:val="none"/>
              </w:rPr>
              <w:t>★</w:t>
            </w:r>
            <w:r>
              <w:rPr>
                <w:rFonts w:hint="eastAsia" w:ascii="宋体" w:hAnsi="宋体" w:eastAsia="宋体" w:cs="宋体"/>
                <w:bCs/>
                <w:color w:val="auto"/>
                <w:szCs w:val="21"/>
                <w:highlight w:val="none"/>
              </w:rPr>
              <w:t xml:space="preserve">配备外置式≥15英寸触摸显示屏（非内置式），支持多角度旋转，方便医生对角度观察、调节 </w:t>
            </w:r>
          </w:p>
          <w:p w14:paraId="4FEC0FBC">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6.3 </w:t>
            </w:r>
            <w:r>
              <w:rPr>
                <w:rFonts w:ascii="宋体" w:hAnsi="宋体" w:eastAsia="宋体" w:cs="宋体"/>
                <w:bCs/>
                <w:color w:val="auto"/>
                <w:szCs w:val="21"/>
                <w:highlight w:val="none"/>
              </w:rPr>
              <w:t>提供辅助/控制/支持通气模式，标配</w:t>
            </w:r>
            <w:r>
              <w:rPr>
                <w:rFonts w:hint="eastAsia" w:ascii="宋体" w:hAnsi="宋体" w:eastAsia="宋体" w:cs="宋体"/>
                <w:bCs/>
                <w:color w:val="auto"/>
                <w:szCs w:val="21"/>
                <w:highlight w:val="none"/>
                <w:lang w:eastAsia="zh-CN"/>
              </w:rPr>
              <w:t>：</w:t>
            </w:r>
            <w:r>
              <w:rPr>
                <w:rFonts w:ascii="宋体" w:hAnsi="宋体" w:eastAsia="宋体" w:cs="宋体"/>
                <w:bCs/>
                <w:color w:val="auto"/>
                <w:szCs w:val="21"/>
                <w:highlight w:val="none"/>
              </w:rPr>
              <w:t xml:space="preserve"> VCV、PCV、手动通气、电子PEEP</w:t>
            </w: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SIMV PCV、SIMV VCV、PSVPro、PCV-VG高级通气模式</w:t>
            </w:r>
          </w:p>
          <w:p w14:paraId="630E6266">
            <w:pPr>
              <w:pStyle w:val="22"/>
              <w:spacing w:line="360" w:lineRule="auto"/>
              <w:ind w:firstLine="0" w:firstLineChars="0"/>
              <w:rPr>
                <w:rFonts w:hint="eastAsia" w:ascii="宋体" w:hAnsi="宋体" w:eastAsia="宋体" w:cs="宋体"/>
                <w:bCs/>
                <w:color w:val="auto"/>
                <w:szCs w:val="21"/>
                <w:highlight w:val="none"/>
              </w:rPr>
            </w:pPr>
            <w:bookmarkStart w:id="1" w:name="_Hlk150326711"/>
            <w:r>
              <w:rPr>
                <w:rFonts w:hint="eastAsia" w:ascii="宋体" w:hAnsi="宋体" w:eastAsia="宋体" w:cs="宋体"/>
                <w:bCs/>
                <w:color w:val="auto"/>
                <w:szCs w:val="21"/>
                <w:highlight w:val="none"/>
              </w:rPr>
              <w:t>6.4</w:t>
            </w:r>
            <w:bookmarkEnd w:id="1"/>
            <w:bookmarkStart w:id="2" w:name="_Hlk150327025"/>
            <w:r>
              <w:rPr>
                <w:rFonts w:hint="eastAsia" w:ascii="宋体" w:hAnsi="宋体" w:eastAsia="宋体" w:cs="宋体"/>
                <w:bCs/>
                <w:color w:val="auto"/>
                <w:szCs w:val="21"/>
                <w:highlight w:val="none"/>
              </w:rPr>
              <w:t xml:space="preserve"> 潮气量范围</w:t>
            </w:r>
            <w:r>
              <w:rPr>
                <w:rFonts w:ascii="宋体" w:hAnsi="宋体" w:eastAsia="宋体" w:cs="宋体"/>
                <w:bCs/>
                <w:color w:val="auto"/>
                <w:szCs w:val="21"/>
                <w:highlight w:val="none"/>
              </w:rPr>
              <w:t>：</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1500ml</w:t>
            </w:r>
          </w:p>
          <w:p w14:paraId="190A407F">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6.5呼吸频率：4-100 次/分钟</w:t>
            </w:r>
          </w:p>
          <w:p w14:paraId="281EBD4F">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6.6 标配</w:t>
            </w:r>
            <w:r>
              <w:rPr>
                <w:rFonts w:ascii="宋体" w:hAnsi="宋体" w:eastAsia="宋体" w:cs="宋体"/>
                <w:bCs/>
                <w:color w:val="auto"/>
                <w:szCs w:val="21"/>
                <w:highlight w:val="none"/>
              </w:rPr>
              <w:t>内置主动排污</w:t>
            </w:r>
          </w:p>
          <w:bookmarkEnd w:id="2"/>
          <w:p w14:paraId="3C2848B5">
            <w:pPr>
              <w:pStyle w:val="22"/>
              <w:numPr>
                <w:ilvl w:val="0"/>
                <w:numId w:val="6"/>
              </w:numPr>
              <w:spacing w:line="360" w:lineRule="auto"/>
              <w:ind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数字和波形监测</w:t>
            </w:r>
          </w:p>
          <w:p w14:paraId="12816822">
            <w:pPr>
              <w:pStyle w:val="22"/>
              <w:spacing w:line="360" w:lineRule="auto"/>
              <w:ind w:firstLine="0" w:firstLineChars="0"/>
              <w:rPr>
                <w:rFonts w:ascii="宋体" w:hAnsi="宋体" w:eastAsia="宋体" w:cs="宋体"/>
                <w:bCs/>
                <w:color w:val="auto"/>
                <w:szCs w:val="21"/>
                <w:highlight w:val="none"/>
              </w:rPr>
            </w:pPr>
            <w:bookmarkStart w:id="3" w:name="_Hlk180685417"/>
            <w:r>
              <w:rPr>
                <w:rFonts w:hint="eastAsia" w:ascii="宋体" w:hAnsi="宋体" w:eastAsia="宋体" w:cs="宋体"/>
                <w:bCs/>
                <w:color w:val="auto"/>
                <w:szCs w:val="21"/>
                <w:highlight w:val="none"/>
              </w:rPr>
              <w:t>7.1</w:t>
            </w:r>
            <w:r>
              <w:rPr>
                <w:rFonts w:ascii="宋体" w:hAnsi="宋体" w:eastAsia="宋体" w:cs="宋体"/>
                <w:bCs/>
                <w:color w:val="auto"/>
                <w:szCs w:val="21"/>
                <w:highlight w:val="none"/>
              </w:rPr>
              <w:t>★</w:t>
            </w:r>
            <w:r>
              <w:rPr>
                <w:rFonts w:hint="eastAsia" w:ascii="宋体" w:hAnsi="宋体" w:eastAsia="宋体" w:cs="宋体"/>
                <w:bCs/>
                <w:color w:val="auto"/>
                <w:szCs w:val="21"/>
                <w:highlight w:val="none"/>
              </w:rPr>
              <w:t>配备压力容量环（P-V），压力流速环（P-F），波形、环图、监测参数等界面可同屏显示且互不遮挡（提供屏幕显示内容照片）</w:t>
            </w:r>
          </w:p>
          <w:p w14:paraId="6C2381E0">
            <w:pPr>
              <w:pStyle w:val="22"/>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7.2★除基线环外，还可保存不少于6个参考环（提供屏幕显示内容照片）</w:t>
            </w:r>
          </w:p>
          <w:p w14:paraId="381EFA1F">
            <w:pPr>
              <w:tabs>
                <w:tab w:val="left" w:pos="792"/>
              </w:tabs>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7.3 配备模块化的气体监测功能，模块支持热插拔，可监测呼末二氧化碳、麻醉气体、氧浓度（顺磁氧方式）、MAC值等</w:t>
            </w:r>
          </w:p>
          <w:bookmarkEnd w:id="3"/>
          <w:p w14:paraId="749F1F28">
            <w:pPr>
              <w:pStyle w:val="22"/>
              <w:spacing w:line="360" w:lineRule="auto"/>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7.4</w:t>
            </w:r>
            <w:r>
              <w:rPr>
                <w:rFonts w:ascii="宋体" w:hAnsi="宋体" w:eastAsia="宋体" w:cs="宋体"/>
                <w:bCs/>
                <w:color w:val="auto"/>
                <w:szCs w:val="21"/>
                <w:highlight w:val="none"/>
              </w:rPr>
              <w:t>具备新鲜气体用量实时显示和统计功能，可以随时显示新鲜气体</w:t>
            </w:r>
            <w:r>
              <w:rPr>
                <w:rFonts w:hint="eastAsia" w:ascii="宋体" w:hAnsi="宋体" w:eastAsia="宋体" w:cs="宋体"/>
                <w:bCs/>
                <w:color w:val="auto"/>
                <w:szCs w:val="21"/>
                <w:highlight w:val="none"/>
              </w:rPr>
              <w:t>使用量</w:t>
            </w:r>
          </w:p>
          <w:p w14:paraId="5DD994D4">
            <w:pPr>
              <w:spacing w:line="440" w:lineRule="exact"/>
              <w:contextualSpacing/>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7.5吸入、呼出端传感器可互换位置使用</w:t>
            </w:r>
          </w:p>
        </w:tc>
        <w:tc>
          <w:tcPr>
            <w:tcW w:w="767" w:type="dxa"/>
            <w:vAlign w:val="center"/>
          </w:tcPr>
          <w:p w14:paraId="2B89CF3E">
            <w:pPr>
              <w:spacing w:line="440" w:lineRule="exact"/>
              <w:contextualSpacing/>
              <w:jc w:val="center"/>
              <w:rPr>
                <w:rFonts w:hint="eastAsia" w:ascii="宋体" w:hAnsi="宋体"/>
                <w:b/>
                <w:color w:val="auto"/>
                <w:szCs w:val="21"/>
              </w:rPr>
            </w:pPr>
            <w:r>
              <w:rPr>
                <w:rFonts w:hint="eastAsia" w:ascii="宋体" w:hAnsi="宋体"/>
                <w:b/>
                <w:color w:val="auto"/>
                <w:szCs w:val="21"/>
              </w:rPr>
              <w:t>套</w:t>
            </w:r>
          </w:p>
        </w:tc>
        <w:tc>
          <w:tcPr>
            <w:tcW w:w="863" w:type="dxa"/>
            <w:vAlign w:val="center"/>
          </w:tcPr>
          <w:p w14:paraId="2B89CF3F">
            <w:pPr>
              <w:spacing w:line="440" w:lineRule="exact"/>
              <w:contextualSpacing/>
              <w:jc w:val="center"/>
              <w:rPr>
                <w:rFonts w:hint="eastAsia" w:ascii="宋体" w:hAnsi="宋体"/>
                <w:b/>
                <w:color w:val="auto"/>
                <w:szCs w:val="21"/>
              </w:rPr>
            </w:pPr>
            <w:r>
              <w:rPr>
                <w:rFonts w:hint="eastAsia" w:ascii="宋体" w:hAnsi="宋体"/>
                <w:b/>
                <w:color w:val="auto"/>
                <w:szCs w:val="21"/>
              </w:rPr>
              <w:t>1</w:t>
            </w:r>
          </w:p>
        </w:tc>
        <w:tc>
          <w:tcPr>
            <w:tcW w:w="2033" w:type="dxa"/>
            <w:vAlign w:val="center"/>
          </w:tcPr>
          <w:p w14:paraId="2B89CF40">
            <w:pPr>
              <w:spacing w:line="440" w:lineRule="exact"/>
              <w:contextualSpacing/>
              <w:jc w:val="center"/>
              <w:rPr>
                <w:rFonts w:hint="eastAsia" w:ascii="宋体" w:hAnsi="宋体" w:eastAsiaTheme="minorEastAsia"/>
                <w:b/>
                <w:color w:val="auto"/>
                <w:szCs w:val="21"/>
                <w:lang w:val="en-US" w:eastAsia="zh-CN"/>
              </w:rPr>
            </w:pPr>
            <w:r>
              <w:rPr>
                <w:rFonts w:hint="eastAsia" w:ascii="宋体" w:hAnsi="宋体"/>
                <w:b/>
                <w:color w:val="auto"/>
                <w:szCs w:val="21"/>
                <w:lang w:val="en-US" w:eastAsia="zh-CN"/>
              </w:rPr>
              <w:t>工业</w:t>
            </w:r>
          </w:p>
        </w:tc>
        <w:tc>
          <w:tcPr>
            <w:tcW w:w="992" w:type="dxa"/>
            <w:vAlign w:val="center"/>
          </w:tcPr>
          <w:p w14:paraId="2B89CF41">
            <w:pPr>
              <w:spacing w:line="440" w:lineRule="exact"/>
              <w:contextualSpacing/>
              <w:jc w:val="center"/>
              <w:rPr>
                <w:rFonts w:hint="eastAsia" w:ascii="宋体" w:hAnsi="宋体"/>
                <w:b/>
                <w:color w:val="auto"/>
                <w:szCs w:val="21"/>
              </w:rPr>
            </w:pPr>
            <w:r>
              <w:rPr>
                <w:rFonts w:hint="eastAsia" w:ascii="宋体" w:hAnsi="宋体"/>
                <w:b/>
                <w:color w:val="auto"/>
                <w:szCs w:val="21"/>
              </w:rPr>
              <w:t>是</w:t>
            </w:r>
          </w:p>
        </w:tc>
      </w:tr>
    </w:tbl>
    <w:p w14:paraId="2B89CF43">
      <w:pPr>
        <w:rPr>
          <w:color w:val="auto"/>
        </w:rPr>
      </w:pPr>
    </w:p>
    <w:p w14:paraId="2B89CF44">
      <w:pPr>
        <w:rPr>
          <w:color w:val="auto"/>
        </w:rPr>
      </w:pPr>
    </w:p>
    <w:p w14:paraId="2B89CF45">
      <w:pPr>
        <w:rPr>
          <w:rFonts w:hint="eastAsia" w:ascii="宋体" w:hAnsi="宋体"/>
          <w:b/>
          <w:color w:val="auto"/>
          <w:szCs w:val="21"/>
        </w:rPr>
      </w:pPr>
      <w:r>
        <w:rPr>
          <w:rFonts w:hint="eastAsia"/>
          <w:color w:val="auto"/>
        </w:rPr>
        <w:t>第二标段</w:t>
      </w:r>
    </w:p>
    <w:p w14:paraId="2B89CF46">
      <w:pPr>
        <w:rPr>
          <w:color w:val="auto"/>
        </w:rPr>
      </w:pPr>
    </w:p>
    <w:tbl>
      <w:tblPr>
        <w:tblStyle w:val="15"/>
        <w:tblpPr w:leftFromText="180" w:rightFromText="180" w:vertAnchor="text" w:horzAnchor="page" w:tblpX="1120" w:tblpY="301"/>
        <w:tblOverlap w:val="never"/>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003"/>
        <w:gridCol w:w="4134"/>
        <w:gridCol w:w="715"/>
        <w:gridCol w:w="767"/>
        <w:gridCol w:w="1919"/>
        <w:gridCol w:w="815"/>
      </w:tblGrid>
      <w:tr w14:paraId="2B89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99" w:type="dxa"/>
            <w:vAlign w:val="center"/>
          </w:tcPr>
          <w:p w14:paraId="2B89CF47">
            <w:pPr>
              <w:spacing w:line="440" w:lineRule="exact"/>
              <w:contextualSpacing/>
              <w:jc w:val="center"/>
              <w:rPr>
                <w:rFonts w:hint="eastAsia" w:ascii="宋体" w:hAnsi="宋体"/>
                <w:b/>
                <w:color w:val="auto"/>
                <w:szCs w:val="21"/>
              </w:rPr>
            </w:pPr>
            <w:r>
              <w:rPr>
                <w:rFonts w:hint="eastAsia" w:ascii="宋体" w:hAnsi="宋体"/>
                <w:b/>
                <w:color w:val="auto"/>
                <w:szCs w:val="21"/>
              </w:rPr>
              <w:t>序号</w:t>
            </w:r>
          </w:p>
        </w:tc>
        <w:tc>
          <w:tcPr>
            <w:tcW w:w="1003" w:type="dxa"/>
            <w:vAlign w:val="center"/>
          </w:tcPr>
          <w:p w14:paraId="2B89CF48">
            <w:pPr>
              <w:spacing w:line="440" w:lineRule="exact"/>
              <w:contextualSpacing/>
              <w:jc w:val="center"/>
              <w:rPr>
                <w:rFonts w:hint="eastAsia" w:ascii="宋体" w:hAnsi="宋体"/>
                <w:b/>
                <w:color w:val="auto"/>
                <w:szCs w:val="21"/>
              </w:rPr>
            </w:pPr>
            <w:r>
              <w:rPr>
                <w:rFonts w:hint="eastAsia" w:ascii="宋体" w:hAnsi="宋体"/>
                <w:b/>
                <w:color w:val="auto"/>
                <w:szCs w:val="21"/>
              </w:rPr>
              <w:t>货物</w:t>
            </w:r>
          </w:p>
          <w:p w14:paraId="2B89CF49">
            <w:pPr>
              <w:spacing w:line="440" w:lineRule="exact"/>
              <w:contextualSpacing/>
              <w:jc w:val="center"/>
              <w:rPr>
                <w:rFonts w:hint="eastAsia" w:ascii="宋体" w:hAnsi="宋体" w:eastAsia="宋体" w:cs="宋体"/>
                <w:color w:val="auto"/>
              </w:rPr>
            </w:pPr>
            <w:r>
              <w:rPr>
                <w:rFonts w:hint="eastAsia" w:ascii="宋体" w:hAnsi="宋体"/>
                <w:b/>
                <w:color w:val="auto"/>
                <w:szCs w:val="21"/>
              </w:rPr>
              <w:t>名称</w:t>
            </w:r>
          </w:p>
        </w:tc>
        <w:tc>
          <w:tcPr>
            <w:tcW w:w="4134" w:type="dxa"/>
            <w:vAlign w:val="center"/>
          </w:tcPr>
          <w:p w14:paraId="2B89CF4A">
            <w:pPr>
              <w:spacing w:line="440" w:lineRule="exact"/>
              <w:contextualSpacing/>
              <w:jc w:val="center"/>
              <w:rPr>
                <w:rFonts w:hint="eastAsia" w:ascii="宋体" w:hAnsi="宋体" w:eastAsia="宋体" w:cs="宋体"/>
                <w:color w:val="auto"/>
              </w:rPr>
            </w:pPr>
            <w:r>
              <w:rPr>
                <w:rFonts w:hint="eastAsia" w:ascii="宋体" w:hAnsi="宋体"/>
                <w:b/>
                <w:color w:val="auto"/>
                <w:szCs w:val="21"/>
              </w:rPr>
              <w:t>技术规格及主要参数</w:t>
            </w:r>
          </w:p>
        </w:tc>
        <w:tc>
          <w:tcPr>
            <w:tcW w:w="715" w:type="dxa"/>
            <w:vAlign w:val="center"/>
          </w:tcPr>
          <w:p w14:paraId="2B89CF4B">
            <w:pPr>
              <w:spacing w:line="440" w:lineRule="exact"/>
              <w:contextualSpacing/>
              <w:jc w:val="center"/>
              <w:rPr>
                <w:rFonts w:hint="eastAsia" w:ascii="宋体" w:hAnsi="宋体"/>
                <w:b/>
                <w:color w:val="auto"/>
                <w:szCs w:val="21"/>
              </w:rPr>
            </w:pPr>
            <w:r>
              <w:rPr>
                <w:rFonts w:hint="eastAsia" w:ascii="宋体" w:hAnsi="宋体"/>
                <w:b/>
                <w:color w:val="auto"/>
                <w:szCs w:val="21"/>
              </w:rPr>
              <w:t>单位</w:t>
            </w:r>
          </w:p>
        </w:tc>
        <w:tc>
          <w:tcPr>
            <w:tcW w:w="767" w:type="dxa"/>
            <w:vAlign w:val="center"/>
          </w:tcPr>
          <w:p w14:paraId="2B89CF4C">
            <w:pPr>
              <w:spacing w:line="440" w:lineRule="exact"/>
              <w:contextualSpacing/>
              <w:jc w:val="center"/>
              <w:rPr>
                <w:rFonts w:hint="eastAsia" w:ascii="宋体" w:hAnsi="宋体"/>
                <w:b/>
                <w:color w:val="auto"/>
                <w:szCs w:val="21"/>
              </w:rPr>
            </w:pPr>
            <w:r>
              <w:rPr>
                <w:rFonts w:hint="eastAsia" w:ascii="宋体" w:hAnsi="宋体"/>
                <w:b/>
                <w:color w:val="auto"/>
                <w:szCs w:val="21"/>
              </w:rPr>
              <w:t>数量</w:t>
            </w:r>
          </w:p>
        </w:tc>
        <w:tc>
          <w:tcPr>
            <w:tcW w:w="1919" w:type="dxa"/>
            <w:vAlign w:val="center"/>
          </w:tcPr>
          <w:p w14:paraId="2B89CF4D">
            <w:pPr>
              <w:spacing w:line="440" w:lineRule="exact"/>
              <w:contextualSpacing/>
              <w:jc w:val="center"/>
              <w:rPr>
                <w:rFonts w:hint="eastAsia" w:ascii="宋体" w:hAnsi="宋体"/>
                <w:b/>
                <w:color w:val="auto"/>
                <w:szCs w:val="21"/>
              </w:rPr>
            </w:pPr>
            <w:r>
              <w:rPr>
                <w:rFonts w:hint="eastAsia" w:ascii="宋体" w:hAnsi="宋体"/>
                <w:b/>
                <w:color w:val="auto"/>
                <w:szCs w:val="21"/>
              </w:rPr>
              <w:t>采购标的对应的</w:t>
            </w:r>
          </w:p>
          <w:p w14:paraId="2B89CF4E">
            <w:pPr>
              <w:spacing w:line="440" w:lineRule="exact"/>
              <w:contextualSpacing/>
              <w:jc w:val="center"/>
              <w:rPr>
                <w:rFonts w:hint="eastAsia" w:ascii="宋体" w:hAnsi="宋体"/>
                <w:b/>
                <w:color w:val="auto"/>
                <w:szCs w:val="21"/>
              </w:rPr>
            </w:pPr>
            <w:r>
              <w:rPr>
                <w:rFonts w:hint="eastAsia" w:ascii="宋体" w:hAnsi="宋体"/>
                <w:b/>
                <w:color w:val="auto"/>
                <w:szCs w:val="21"/>
              </w:rPr>
              <w:t>中小企业划分标准</w:t>
            </w:r>
          </w:p>
          <w:p w14:paraId="2B89CF4F">
            <w:pPr>
              <w:spacing w:line="440" w:lineRule="exact"/>
              <w:contextualSpacing/>
              <w:jc w:val="center"/>
              <w:rPr>
                <w:rFonts w:hint="eastAsia" w:ascii="宋体" w:hAnsi="宋体"/>
                <w:b/>
                <w:color w:val="auto"/>
                <w:szCs w:val="21"/>
              </w:rPr>
            </w:pPr>
            <w:r>
              <w:rPr>
                <w:rFonts w:hint="eastAsia" w:ascii="宋体" w:hAnsi="宋体"/>
                <w:b/>
                <w:color w:val="auto"/>
                <w:szCs w:val="21"/>
              </w:rPr>
              <w:t>所属行业</w:t>
            </w:r>
          </w:p>
        </w:tc>
        <w:tc>
          <w:tcPr>
            <w:tcW w:w="815" w:type="dxa"/>
            <w:vAlign w:val="center"/>
          </w:tcPr>
          <w:p w14:paraId="2B89CF50">
            <w:pPr>
              <w:spacing w:line="440" w:lineRule="exact"/>
              <w:contextualSpacing/>
              <w:jc w:val="center"/>
              <w:rPr>
                <w:rFonts w:hint="eastAsia" w:ascii="宋体" w:hAnsi="宋体"/>
                <w:b/>
                <w:color w:val="auto"/>
                <w:szCs w:val="21"/>
              </w:rPr>
            </w:pPr>
            <w:r>
              <w:rPr>
                <w:rFonts w:hint="eastAsia" w:ascii="宋体" w:hAnsi="宋体"/>
                <w:b/>
                <w:color w:val="auto"/>
                <w:szCs w:val="21"/>
              </w:rPr>
              <w:t>是否核心产品</w:t>
            </w:r>
          </w:p>
        </w:tc>
      </w:tr>
      <w:tr w14:paraId="2B89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9" w:type="dxa"/>
            <w:vAlign w:val="center"/>
          </w:tcPr>
          <w:p w14:paraId="2B89CF52">
            <w:pPr>
              <w:spacing w:line="440" w:lineRule="exact"/>
              <w:contextualSpacing/>
              <w:jc w:val="center"/>
              <w:rPr>
                <w:rFonts w:hint="eastAsia" w:ascii="宋体" w:hAnsi="宋体"/>
                <w:b/>
                <w:color w:val="auto"/>
                <w:szCs w:val="21"/>
              </w:rPr>
            </w:pPr>
            <w:r>
              <w:rPr>
                <w:rFonts w:hint="eastAsia" w:ascii="宋体" w:hAnsi="宋体"/>
                <w:b/>
                <w:color w:val="auto"/>
                <w:szCs w:val="21"/>
              </w:rPr>
              <w:t>1</w:t>
            </w:r>
          </w:p>
        </w:tc>
        <w:tc>
          <w:tcPr>
            <w:tcW w:w="1003" w:type="dxa"/>
            <w:vAlign w:val="center"/>
          </w:tcPr>
          <w:p w14:paraId="2B89CF53">
            <w:pPr>
              <w:spacing w:line="440" w:lineRule="exact"/>
              <w:contextualSpacing/>
              <w:jc w:val="center"/>
              <w:rPr>
                <w:rFonts w:hint="eastAsia" w:ascii="宋体" w:hAnsi="宋体"/>
                <w:b/>
                <w:color w:val="auto"/>
                <w:szCs w:val="21"/>
              </w:rPr>
            </w:pPr>
            <w:r>
              <w:rPr>
                <w:rFonts w:hint="eastAsia" w:ascii="宋体" w:hAnsi="宋体" w:eastAsia="宋体" w:cs="宋体"/>
                <w:color w:val="auto"/>
              </w:rPr>
              <w:t>超高档实时四维彩色多普勒超声诊断仪</w:t>
            </w:r>
          </w:p>
        </w:tc>
        <w:tc>
          <w:tcPr>
            <w:tcW w:w="4134" w:type="dxa"/>
            <w:vAlign w:val="center"/>
          </w:tcPr>
          <w:p w14:paraId="283015D6">
            <w:pPr>
              <w:numPr>
                <w:ilvl w:val="0"/>
                <w:numId w:val="7"/>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主要规格及系统概述</w:t>
            </w:r>
          </w:p>
          <w:p w14:paraId="4BB8C2F7">
            <w:pPr>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主机一体化显示器 ≥23英寸</w:t>
            </w:r>
          </w:p>
          <w:p w14:paraId="09B1545D">
            <w:pPr>
              <w:rPr>
                <w:rFonts w:hint="eastAsia" w:ascii="宋体" w:hAnsi="宋体" w:eastAsia="宋体" w:cs="宋体"/>
                <w:color w:val="auto"/>
                <w:highlight w:val="none"/>
              </w:rPr>
            </w:pPr>
            <w:r>
              <w:rPr>
                <w:rFonts w:hint="eastAsia" w:ascii="宋体" w:hAnsi="宋体" w:eastAsia="宋体" w:cs="宋体"/>
                <w:color w:val="auto"/>
                <w:highlight w:val="none"/>
              </w:rPr>
              <w:t>1.2液晶触摸屏≥15英寸</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可通过触控屏的多点触控进行容积图像的旋转、放大、切割等直观操作</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也可以通过触屏上手势划线实现任意切面成像以及多光源调节功能。</w:t>
            </w:r>
          </w:p>
          <w:p w14:paraId="0B329363">
            <w:pPr>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rPr>
              <w:tab/>
            </w:r>
            <w:r>
              <w:rPr>
                <w:rFonts w:hint="eastAsia" w:ascii="宋体" w:hAnsi="宋体" w:eastAsia="宋体" w:cs="宋体"/>
                <w:color w:val="auto"/>
                <w:highlight w:val="none"/>
              </w:rPr>
              <w:t>数字化二维灰阶成像单元</w:t>
            </w:r>
          </w:p>
          <w:p w14:paraId="00E46726">
            <w:pPr>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ascii="宋体" w:hAnsi="宋体" w:eastAsia="宋体" w:cs="宋体"/>
                <w:color w:val="auto"/>
                <w:highlight w:val="none"/>
              </w:rPr>
              <w:tab/>
            </w:r>
            <w:r>
              <w:rPr>
                <w:rFonts w:hint="eastAsia" w:ascii="宋体" w:hAnsi="宋体" w:eastAsia="宋体" w:cs="宋体"/>
                <w:color w:val="auto"/>
                <w:highlight w:val="none"/>
              </w:rPr>
              <w:t>数字化彩色多普勒单元</w:t>
            </w:r>
          </w:p>
          <w:p w14:paraId="26E7074F">
            <w:pPr>
              <w:rPr>
                <w:rFonts w:hint="eastAsia" w:ascii="宋体" w:hAnsi="宋体" w:eastAsia="宋体" w:cs="宋体"/>
                <w:color w:val="auto"/>
                <w:highlight w:val="none"/>
              </w:rPr>
            </w:pPr>
            <w:r>
              <w:rPr>
                <w:rFonts w:hint="eastAsia" w:ascii="宋体" w:hAnsi="宋体" w:eastAsia="宋体" w:cs="宋体"/>
                <w:color w:val="auto"/>
                <w:highlight w:val="none"/>
              </w:rPr>
              <w:t>1.5</w:t>
            </w:r>
            <w:r>
              <w:rPr>
                <w:rFonts w:hint="eastAsia" w:ascii="宋体" w:hAnsi="宋体" w:eastAsia="宋体" w:cs="宋体"/>
                <w:color w:val="auto"/>
                <w:highlight w:val="none"/>
              </w:rPr>
              <w:tab/>
            </w:r>
            <w:r>
              <w:rPr>
                <w:rFonts w:hint="eastAsia" w:ascii="宋体" w:hAnsi="宋体" w:eastAsia="宋体" w:cs="宋体"/>
                <w:color w:val="auto"/>
                <w:highlight w:val="none"/>
              </w:rPr>
              <w:t>数字化能量多普勒成像单元</w:t>
            </w:r>
          </w:p>
          <w:p w14:paraId="7FF9D2F5">
            <w:pPr>
              <w:rPr>
                <w:rFonts w:hint="eastAsia"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highlight w:val="none"/>
              </w:rPr>
              <w:tab/>
            </w:r>
            <w:r>
              <w:rPr>
                <w:rFonts w:hint="eastAsia" w:ascii="宋体" w:hAnsi="宋体" w:eastAsia="宋体" w:cs="宋体"/>
                <w:color w:val="auto"/>
                <w:highlight w:val="none"/>
              </w:rPr>
              <w:t>PW脉冲波多普勒成像单元</w:t>
            </w:r>
          </w:p>
          <w:p w14:paraId="53298D57">
            <w:pPr>
              <w:rPr>
                <w:rFonts w:hint="eastAsia" w:ascii="宋体" w:hAnsi="宋体" w:eastAsia="宋体" w:cs="宋体"/>
                <w:color w:val="auto"/>
                <w:highlight w:val="none"/>
              </w:rPr>
            </w:pPr>
            <w:r>
              <w:rPr>
                <w:rFonts w:hint="eastAsia" w:ascii="宋体" w:hAnsi="宋体" w:eastAsia="宋体" w:cs="宋体"/>
                <w:color w:val="auto"/>
                <w:highlight w:val="none"/>
              </w:rPr>
              <w:t>1.7</w:t>
            </w:r>
            <w:r>
              <w:rPr>
                <w:rFonts w:hint="eastAsia" w:ascii="宋体" w:hAnsi="宋体" w:eastAsia="宋体" w:cs="宋体"/>
                <w:color w:val="auto"/>
                <w:highlight w:val="none"/>
              </w:rPr>
              <w:tab/>
            </w:r>
            <w:r>
              <w:rPr>
                <w:rFonts w:hint="eastAsia" w:ascii="宋体" w:hAnsi="宋体" w:eastAsia="宋体" w:cs="宋体"/>
                <w:color w:val="auto"/>
                <w:highlight w:val="none"/>
              </w:rPr>
              <w:t>CW连续波多普勒成像单元</w:t>
            </w:r>
          </w:p>
          <w:p w14:paraId="1D83B962">
            <w:pPr>
              <w:rPr>
                <w:rFonts w:hint="eastAsia" w:ascii="宋体" w:hAnsi="宋体" w:eastAsia="宋体" w:cs="宋体"/>
                <w:color w:val="auto"/>
                <w:highlight w:val="none"/>
              </w:rPr>
            </w:pPr>
            <w:r>
              <w:rPr>
                <w:rFonts w:hint="eastAsia" w:ascii="宋体" w:hAnsi="宋体" w:eastAsia="宋体" w:cs="宋体"/>
                <w:color w:val="auto"/>
                <w:highlight w:val="none"/>
              </w:rPr>
              <w:t>1.8</w:t>
            </w:r>
            <w:r>
              <w:rPr>
                <w:rFonts w:hint="eastAsia" w:ascii="宋体" w:hAnsi="宋体" w:eastAsia="宋体" w:cs="宋体"/>
                <w:color w:val="auto"/>
                <w:highlight w:val="none"/>
              </w:rPr>
              <w:tab/>
            </w:r>
            <w:r>
              <w:rPr>
                <w:rFonts w:hint="eastAsia" w:ascii="宋体" w:hAnsi="宋体" w:eastAsia="宋体" w:cs="宋体"/>
                <w:color w:val="auto"/>
                <w:highlight w:val="none"/>
              </w:rPr>
              <w:t>实时四维成像单元</w:t>
            </w:r>
          </w:p>
          <w:p w14:paraId="0228FF34">
            <w:pPr>
              <w:rPr>
                <w:rFonts w:hint="eastAsia" w:ascii="宋体" w:hAnsi="宋体" w:eastAsia="宋体" w:cs="宋体"/>
                <w:color w:val="auto"/>
                <w:highlight w:val="none"/>
              </w:rPr>
            </w:pPr>
            <w:r>
              <w:rPr>
                <w:rFonts w:hint="eastAsia" w:ascii="宋体" w:hAnsi="宋体" w:eastAsia="宋体" w:cs="宋体"/>
                <w:color w:val="auto"/>
                <w:highlight w:val="none"/>
              </w:rPr>
              <w:t>1.9</w:t>
            </w:r>
            <w:r>
              <w:rPr>
                <w:rFonts w:hint="eastAsia" w:ascii="宋体" w:hAnsi="宋体" w:eastAsia="宋体" w:cs="宋体"/>
                <w:color w:val="auto"/>
                <w:highlight w:val="none"/>
              </w:rPr>
              <w:tab/>
            </w:r>
            <w:r>
              <w:rPr>
                <w:rFonts w:hint="eastAsia" w:ascii="宋体" w:hAnsi="宋体" w:eastAsia="宋体" w:cs="宋体"/>
                <w:color w:val="auto"/>
                <w:highlight w:val="none"/>
              </w:rPr>
              <w:t>软件波束形成器技术</w:t>
            </w:r>
          </w:p>
          <w:p w14:paraId="476DE6BC">
            <w:pPr>
              <w:rPr>
                <w:rFonts w:hint="eastAsia" w:ascii="宋体" w:hAnsi="宋体" w:eastAsia="宋体" w:cs="宋体"/>
                <w:color w:val="auto"/>
                <w:highlight w:val="none"/>
                <w:lang w:eastAsia="zh-CN"/>
              </w:rPr>
            </w:pPr>
            <w:r>
              <w:rPr>
                <w:rFonts w:hint="eastAsia" w:ascii="宋体" w:hAnsi="宋体" w:eastAsia="宋体" w:cs="宋体"/>
                <w:color w:val="auto"/>
                <w:highlight w:val="none"/>
              </w:rPr>
              <w:t>1.10二维凸阵探头可以支持CW连续波多普勒成像，便于进行胎儿心脏血流速度测量</w:t>
            </w:r>
            <w:r>
              <w:rPr>
                <w:rFonts w:hint="eastAsia" w:ascii="宋体" w:hAnsi="宋体" w:eastAsia="宋体" w:cs="宋体"/>
                <w:color w:val="auto"/>
                <w:highlight w:val="none"/>
                <w:lang w:eastAsia="zh-CN"/>
              </w:rPr>
              <w:t>。</w:t>
            </w:r>
          </w:p>
          <w:p w14:paraId="1DAD26BA">
            <w:pPr>
              <w:rPr>
                <w:rFonts w:hint="eastAsia" w:ascii="宋体" w:hAnsi="宋体" w:eastAsia="宋体" w:cs="宋体"/>
                <w:color w:val="auto"/>
                <w:highlight w:val="none"/>
              </w:rPr>
            </w:pPr>
            <w:r>
              <w:rPr>
                <w:rFonts w:hint="eastAsia" w:ascii="宋体" w:hAnsi="宋体" w:eastAsia="宋体" w:cs="宋体"/>
                <w:color w:val="auto"/>
                <w:highlight w:val="none"/>
              </w:rPr>
              <w:t>1.11</w:t>
            </w:r>
            <w:r>
              <w:rPr>
                <w:rFonts w:hint="eastAsia" w:ascii="宋体" w:hAnsi="宋体" w:eastAsia="宋体" w:cs="宋体"/>
                <w:color w:val="auto"/>
                <w:highlight w:val="none"/>
                <w:lang w:val="en-US" w:eastAsia="zh-CN"/>
              </w:rPr>
              <w:t>具备血细胞级别的高级血流成像技术</w:t>
            </w:r>
            <w:r>
              <w:rPr>
                <w:rFonts w:hint="eastAsia" w:ascii="宋体" w:hAnsi="宋体" w:eastAsia="宋体" w:cs="宋体"/>
                <w:color w:val="auto"/>
                <w:highlight w:val="none"/>
              </w:rPr>
              <w:t>，采用非多普勒原理，无彩色取样框限制，不需要造影剂，可以对血流进行实时显示，</w:t>
            </w:r>
            <w:r>
              <w:rPr>
                <w:rFonts w:hint="eastAsia" w:ascii="宋体" w:hAnsi="宋体" w:eastAsia="宋体" w:cs="宋体"/>
                <w:color w:val="auto"/>
                <w:highlight w:val="none"/>
                <w:lang w:eastAsia="zh-CN"/>
              </w:rPr>
              <w:t>反映</w:t>
            </w:r>
            <w:r>
              <w:rPr>
                <w:rFonts w:hint="eastAsia" w:ascii="宋体" w:hAnsi="宋体" w:eastAsia="宋体" w:cs="宋体"/>
                <w:color w:val="auto"/>
                <w:highlight w:val="none"/>
              </w:rPr>
              <w:t>血流动力学真实状态。</w:t>
            </w:r>
          </w:p>
          <w:p w14:paraId="4C82777F">
            <w:pPr>
              <w:rPr>
                <w:rFonts w:hint="eastAsia" w:ascii="宋体" w:hAnsi="宋体" w:eastAsia="宋体" w:cs="宋体"/>
                <w:color w:val="auto"/>
                <w:highlight w:val="none"/>
              </w:rPr>
            </w:pPr>
            <w:r>
              <w:rPr>
                <w:rFonts w:hint="eastAsia" w:ascii="宋体" w:hAnsi="宋体" w:eastAsia="宋体" w:cs="宋体"/>
                <w:color w:val="auto"/>
                <w:highlight w:val="none"/>
              </w:rPr>
              <w:t>1.12二维立体血流成像技术，二维探头即可呈现立体血流形态，增强血流边界的显示及可视化效果。需要附产品白皮书，并有相关二维立体血流成像的描述说明。</w:t>
            </w:r>
          </w:p>
          <w:p w14:paraId="17AA866F">
            <w:pPr>
              <w:rPr>
                <w:rFonts w:hint="eastAsia" w:ascii="宋体" w:hAnsi="宋体" w:eastAsia="宋体" w:cs="宋体"/>
                <w:color w:val="auto"/>
                <w:highlight w:val="none"/>
              </w:rPr>
            </w:pPr>
            <w:r>
              <w:rPr>
                <w:rFonts w:hint="eastAsia" w:ascii="宋体" w:hAnsi="宋体" w:eastAsia="宋体" w:cs="宋体"/>
                <w:color w:val="auto"/>
                <w:highlight w:val="none"/>
              </w:rPr>
              <w:t>1.13具有二维超低速血流显示技术，三维超低速血流显示技术，全面显示组织器官微血流灌注状态。</w:t>
            </w:r>
          </w:p>
          <w:p w14:paraId="6B493442">
            <w:pPr>
              <w:rPr>
                <w:rFonts w:hint="eastAsia" w:ascii="宋体" w:hAnsi="宋体" w:eastAsia="宋体" w:cs="宋体"/>
                <w:color w:val="auto"/>
                <w:highlight w:val="none"/>
              </w:rPr>
            </w:pPr>
            <w:r>
              <w:rPr>
                <w:rFonts w:hint="eastAsia" w:ascii="宋体" w:hAnsi="宋体" w:eastAsia="宋体" w:cs="宋体"/>
                <w:color w:val="auto"/>
                <w:highlight w:val="none"/>
              </w:rPr>
              <w:t>1.14组织多普勒成像技术</w:t>
            </w:r>
          </w:p>
          <w:p w14:paraId="41FBB307">
            <w:pPr>
              <w:rPr>
                <w:rFonts w:hint="eastAsia" w:ascii="宋体" w:hAnsi="宋体" w:eastAsia="宋体" w:cs="宋体"/>
                <w:color w:val="auto"/>
                <w:highlight w:val="none"/>
              </w:rPr>
            </w:pPr>
            <w:r>
              <w:rPr>
                <w:rFonts w:hint="eastAsia" w:ascii="宋体" w:hAnsi="宋体" w:eastAsia="宋体" w:cs="宋体"/>
                <w:color w:val="auto"/>
                <w:highlight w:val="none"/>
              </w:rPr>
              <w:t>1.15应变式弹性成像技术</w:t>
            </w:r>
          </w:p>
          <w:p w14:paraId="3790BFC9">
            <w:pPr>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宽景成像技术，支持所有凸阵和线阵探头</w:t>
            </w:r>
          </w:p>
          <w:p w14:paraId="311978E3">
            <w:pPr>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支持机械指数和热指数警报设置，可自定义声输出限制并将其设定到系统中，将在扫描时提供超预设警报。</w:t>
            </w:r>
          </w:p>
          <w:p w14:paraId="2A6D984B">
            <w:pPr>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内置耦合剂加热功能，提升患者舒适度。</w:t>
            </w:r>
          </w:p>
          <w:p w14:paraId="79A5B29E">
            <w:pPr>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具备相应技术帮助恢复被声阴影遮挡的组织和边界，提供从近场到远场均匀一致的图像品质。</w:t>
            </w:r>
          </w:p>
          <w:p w14:paraId="3211EBFC">
            <w:pPr>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具备专门相应技术针对扫描困难条</w:t>
            </w:r>
            <w:r>
              <w:rPr>
                <w:rFonts w:hint="eastAsia" w:ascii="宋体" w:hAnsi="宋体" w:eastAsia="宋体" w:cs="宋体"/>
                <w:color w:val="auto"/>
                <w:highlight w:val="none"/>
                <w:lang w:eastAsia="zh-CN"/>
              </w:rPr>
              <w:t>件的</w:t>
            </w:r>
            <w:r>
              <w:rPr>
                <w:rFonts w:hint="eastAsia" w:ascii="宋体" w:hAnsi="宋体" w:eastAsia="宋体" w:cs="宋体"/>
                <w:color w:val="auto"/>
                <w:highlight w:val="none"/>
              </w:rPr>
              <w:t>患者，获得更清晰的图像。</w:t>
            </w:r>
          </w:p>
          <w:p w14:paraId="29A0EE8E">
            <w:pPr>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选取探头后，相应探头扫查界面自动激活，并</w:t>
            </w:r>
            <w:r>
              <w:rPr>
                <w:rFonts w:hint="eastAsia" w:ascii="宋体" w:hAnsi="宋体" w:eastAsia="宋体" w:cs="宋体"/>
                <w:color w:val="auto"/>
                <w:highlight w:val="none"/>
                <w:lang w:eastAsia="zh-CN"/>
              </w:rPr>
              <w:t>进入</w:t>
            </w:r>
            <w:r>
              <w:rPr>
                <w:rFonts w:hint="eastAsia" w:ascii="宋体" w:hAnsi="宋体" w:eastAsia="宋体" w:cs="宋体"/>
                <w:color w:val="auto"/>
                <w:highlight w:val="none"/>
              </w:rPr>
              <w:t>扫描状态</w:t>
            </w:r>
          </w:p>
          <w:p w14:paraId="6079543A">
            <w:pPr>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智能胎儿多普勒技术：六种血流预设，随心切换，提升彩色/频谱/测量工作效率，（可自定义设置）</w:t>
            </w:r>
          </w:p>
          <w:p w14:paraId="6F3E6F88">
            <w:pPr>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用户界面颜色、触摸屏配色方案 均可自定义设置，</w:t>
            </w:r>
          </w:p>
          <w:p w14:paraId="5719F61E">
            <w:pPr>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容积四维成像技术：</w:t>
            </w:r>
          </w:p>
          <w:p w14:paraId="3985545E">
            <w:pPr>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rPr>
              <w:tab/>
            </w:r>
            <w:r>
              <w:rPr>
                <w:rFonts w:hint="eastAsia" w:ascii="宋体" w:hAnsi="宋体" w:eastAsia="宋体" w:cs="宋体"/>
                <w:color w:val="auto"/>
                <w:highlight w:val="none"/>
              </w:rPr>
              <w:t>支持灰阶及血流三维/四维成像模式，具有虚拟光源移动技术，可同时支持3个独立的可移动光源。可实现表面成像和透视剪影成像，同时观察组织的外部轮廓和内部结构。彩色血流高清立体成像，立体直观显示血管空间结构关系，更容易判断血管走行及关系彩色血流容积透视剪影。彩色血流容积透视剪影，全新的血流显示方式，通过可调节的边界增强和内部透明技术，更好</w:t>
            </w:r>
            <w:r>
              <w:rPr>
                <w:rFonts w:hint="eastAsia" w:ascii="宋体" w:hAnsi="宋体" w:eastAsia="宋体" w:cs="宋体"/>
                <w:color w:val="auto"/>
                <w:highlight w:val="none"/>
                <w:lang w:eastAsia="zh-CN"/>
              </w:rPr>
              <w:t>地</w:t>
            </w:r>
            <w:r>
              <w:rPr>
                <w:rFonts w:hint="eastAsia" w:ascii="宋体" w:hAnsi="宋体" w:eastAsia="宋体" w:cs="宋体"/>
                <w:color w:val="auto"/>
                <w:highlight w:val="none"/>
              </w:rPr>
              <w:t>显示血管分布及空间关系。</w:t>
            </w:r>
          </w:p>
          <w:p w14:paraId="2C072E0F">
            <w:pPr>
              <w:rPr>
                <w:rFonts w:hint="eastAsia" w:ascii="宋体" w:hAnsi="宋体" w:eastAsia="宋体" w:cs="宋体"/>
                <w:color w:val="auto"/>
                <w:highlight w:val="none"/>
              </w:rPr>
            </w:pPr>
            <w:r>
              <w:rPr>
                <w:rFonts w:hint="eastAsia" w:ascii="宋体" w:hAnsi="宋体" w:eastAsia="宋体" w:cs="宋体"/>
                <w:color w:val="auto"/>
                <w:highlight w:val="none"/>
              </w:rPr>
              <w:t>2.2</w:t>
            </w:r>
            <w:r>
              <w:rPr>
                <w:rFonts w:hint="eastAsia" w:ascii="宋体" w:hAnsi="宋体" w:eastAsia="宋体" w:cs="宋体"/>
                <w:color w:val="auto"/>
                <w:highlight w:val="none"/>
              </w:rPr>
              <w:tab/>
            </w:r>
            <w:r>
              <w:rPr>
                <w:rFonts w:hint="eastAsia" w:ascii="宋体" w:hAnsi="宋体" w:eastAsia="宋体" w:cs="宋体"/>
                <w:color w:val="auto"/>
                <w:highlight w:val="none"/>
              </w:rPr>
              <w:t>断层超声显像技术</w:t>
            </w:r>
          </w:p>
          <w:p w14:paraId="463AD107">
            <w:pPr>
              <w:rPr>
                <w:rFonts w:hint="eastAsia" w:ascii="宋体" w:hAnsi="宋体" w:eastAsia="宋体" w:cs="宋体"/>
                <w:color w:val="auto"/>
                <w:highlight w:val="none"/>
              </w:rPr>
            </w:pPr>
            <w:r>
              <w:rPr>
                <w:rFonts w:hint="eastAsia" w:ascii="宋体" w:hAnsi="宋体" w:eastAsia="宋体" w:cs="宋体"/>
                <w:color w:val="auto"/>
                <w:highlight w:val="none"/>
              </w:rPr>
              <w:t>2.3</w:t>
            </w:r>
            <w:r>
              <w:rPr>
                <w:rFonts w:hint="eastAsia" w:ascii="宋体" w:hAnsi="宋体" w:eastAsia="宋体" w:cs="宋体"/>
                <w:color w:val="auto"/>
                <w:highlight w:val="none"/>
              </w:rPr>
              <w:tab/>
            </w:r>
            <w:r>
              <w:rPr>
                <w:rFonts w:hint="eastAsia" w:ascii="宋体" w:hAnsi="宋体" w:eastAsia="宋体" w:cs="宋体"/>
                <w:color w:val="auto"/>
                <w:highlight w:val="none"/>
              </w:rPr>
              <w:t>具有胎儿自动识别技术，可实时自动跟踪胎儿运动并调整容积成像框位置，快速获得胎儿表面容积成像，提高工作效率。</w:t>
            </w:r>
          </w:p>
          <w:p w14:paraId="263C31C2">
            <w:pPr>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rPr>
              <w:tab/>
            </w:r>
            <w:r>
              <w:rPr>
                <w:rFonts w:hint="eastAsia" w:ascii="宋体" w:hAnsi="宋体" w:eastAsia="宋体" w:cs="宋体"/>
                <w:color w:val="auto"/>
                <w:highlight w:val="none"/>
              </w:rPr>
              <w:t>卵泡智能容积成像，自动彩色编码显示，并按照体积大小排序及计数。</w:t>
            </w:r>
          </w:p>
          <w:p w14:paraId="5FCCC7F0">
            <w:pPr>
              <w:rPr>
                <w:rFonts w:hint="eastAsia" w:ascii="宋体" w:hAnsi="宋体" w:eastAsia="宋体" w:cs="宋体"/>
                <w:color w:val="auto"/>
                <w:highlight w:val="none"/>
              </w:rPr>
            </w:pPr>
            <w:r>
              <w:rPr>
                <w:rFonts w:hint="eastAsia" w:ascii="宋体" w:hAnsi="宋体" w:eastAsia="宋体" w:cs="宋体"/>
                <w:color w:val="auto"/>
                <w:highlight w:val="none"/>
              </w:rPr>
              <w:t>2.5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专用窦卵泡智能容积成像，自动彩色编码显示，并按照体积大小排序及计数。</w:t>
            </w:r>
          </w:p>
          <w:p w14:paraId="1D0BBDBC">
            <w:pPr>
              <w:rPr>
                <w:rFonts w:hint="eastAsia" w:ascii="宋体" w:hAnsi="宋体" w:eastAsia="宋体" w:cs="宋体"/>
                <w:color w:val="auto"/>
                <w:highlight w:val="none"/>
              </w:rPr>
            </w:pPr>
            <w:r>
              <w:rPr>
                <w:rFonts w:hint="eastAsia" w:ascii="宋体" w:hAnsi="宋体" w:eastAsia="宋体" w:cs="宋体"/>
                <w:color w:val="auto"/>
                <w:highlight w:val="none"/>
              </w:rPr>
              <w:t>2.6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STIC时间空间相关成像技术</w:t>
            </w:r>
          </w:p>
          <w:p w14:paraId="7246029D">
            <w:pPr>
              <w:rPr>
                <w:rFonts w:hint="eastAsia" w:ascii="宋体" w:hAnsi="宋体" w:eastAsia="宋体" w:cs="宋体"/>
                <w:color w:val="auto"/>
                <w:highlight w:val="none"/>
              </w:rPr>
            </w:pPr>
            <w:r>
              <w:rPr>
                <w:rFonts w:hint="eastAsia" w:ascii="宋体" w:hAnsi="宋体" w:eastAsia="宋体" w:cs="宋体"/>
                <w:color w:val="auto"/>
                <w:highlight w:val="none"/>
              </w:rPr>
              <w:t>2.7胎心容积导航技术，2步自动获取包括四腔心、左室流出道、右室流出道、胃泡、静脉连接、导管弓、主动脉弓、三血管气管切面。</w:t>
            </w:r>
          </w:p>
          <w:p w14:paraId="229F07A6">
            <w:pPr>
              <w:rPr>
                <w:rFonts w:hint="eastAsia" w:ascii="宋体" w:hAnsi="宋体" w:eastAsia="宋体" w:cs="宋体"/>
                <w:color w:val="auto"/>
                <w:highlight w:val="none"/>
              </w:rPr>
            </w:pPr>
            <w:r>
              <w:rPr>
                <w:rFonts w:hint="eastAsia" w:ascii="宋体" w:hAnsi="宋体" w:eastAsia="宋体" w:cs="宋体"/>
                <w:color w:val="auto"/>
                <w:highlight w:val="none"/>
              </w:rPr>
              <w:t xml:space="preserve">2.8具有实时四维穿刺引导功能，有穿刺引导线。 </w:t>
            </w:r>
          </w:p>
          <w:p w14:paraId="1A90E7C8">
            <w:pPr>
              <w:rPr>
                <w:rFonts w:hint="eastAsia" w:ascii="宋体" w:hAnsi="宋体" w:eastAsia="宋体" w:cs="宋体"/>
                <w:color w:val="auto"/>
                <w:highlight w:val="none"/>
              </w:rPr>
            </w:pPr>
            <w:r>
              <w:rPr>
                <w:rFonts w:hint="eastAsia" w:ascii="宋体" w:hAnsi="宋体" w:eastAsia="宋体" w:cs="宋体"/>
                <w:color w:val="auto"/>
                <w:highlight w:val="none"/>
              </w:rPr>
              <w:t>2.9腔内容积探头具有四维实时对比谐波造影功能，支持阴道子宫输卵管超声造影检查。</w:t>
            </w:r>
          </w:p>
          <w:p w14:paraId="2817D9DB">
            <w:pPr>
              <w:rPr>
                <w:rFonts w:hint="eastAsia" w:ascii="宋体" w:hAnsi="宋体" w:eastAsia="宋体" w:cs="宋体"/>
                <w:color w:val="auto"/>
                <w:highlight w:val="none"/>
              </w:rPr>
            </w:pPr>
            <w:r>
              <w:rPr>
                <w:rFonts w:hint="eastAsia" w:ascii="宋体" w:hAnsi="宋体" w:eastAsia="宋体" w:cs="宋体"/>
                <w:color w:val="auto"/>
                <w:highlight w:val="none"/>
              </w:rPr>
              <w:t xml:space="preserve">2.10可支持高频线阵容积探头，提供探头型号 </w:t>
            </w:r>
          </w:p>
          <w:p w14:paraId="3125D7D2">
            <w:pPr>
              <w:rPr>
                <w:rFonts w:hint="eastAsia" w:ascii="宋体" w:hAnsi="宋体" w:eastAsia="宋体" w:cs="宋体"/>
                <w:color w:val="auto"/>
                <w:highlight w:val="none"/>
              </w:rPr>
            </w:pPr>
            <w:r>
              <w:rPr>
                <w:rFonts w:hint="eastAsia" w:ascii="宋体" w:hAnsi="宋体" w:eastAsia="宋体" w:cs="宋体"/>
                <w:color w:val="auto"/>
                <w:highlight w:val="none"/>
              </w:rPr>
              <w:t>2.11智能中枢神经系统检查：人工智能（AI ）工具，基于深度学习算法支持，通过自动寻找成像切面位置，显示3D容积数据中的检查胎儿大脑的推荐切面和测量来帮助提高工作效率。自动识别胎儿颅脑正中矢状面，经丘脑平面，经小脑平面，经侧脑室平面4个标准平面。自动同时测量BPD,HC,OFD, CM 后颅窝池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Cerebellum小脑横径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Vp 侧脑室后脚6组生物指标。</w:t>
            </w:r>
          </w:p>
          <w:p w14:paraId="7D0B35C4">
            <w:pPr>
              <w:rPr>
                <w:rFonts w:hint="eastAsia" w:ascii="宋体" w:hAnsi="宋体" w:eastAsia="宋体" w:cs="宋体"/>
                <w:color w:val="auto"/>
                <w:highlight w:val="none"/>
              </w:rPr>
            </w:pPr>
            <w:r>
              <w:rPr>
                <w:rFonts w:hint="eastAsia" w:ascii="宋体" w:hAnsi="宋体" w:eastAsia="宋体" w:cs="宋体"/>
                <w:color w:val="auto"/>
                <w:highlight w:val="none"/>
              </w:rPr>
              <w:t>2.12智能产程监测功能：能够测量胎儿头部进程、旋转和方向，并同时自动产生一个</w:t>
            </w:r>
            <w:r>
              <w:rPr>
                <w:rFonts w:hint="eastAsia" w:ascii="宋体" w:hAnsi="宋体" w:eastAsia="宋体" w:cs="宋体"/>
                <w:color w:val="auto"/>
                <w:highlight w:val="none"/>
                <w:lang w:eastAsia="zh-CN"/>
              </w:rPr>
              <w:t>包括</w:t>
            </w:r>
            <w:r>
              <w:rPr>
                <w:rFonts w:hint="eastAsia" w:ascii="宋体" w:hAnsi="宋体" w:eastAsia="宋体" w:cs="宋体"/>
                <w:color w:val="auto"/>
                <w:highlight w:val="none"/>
              </w:rPr>
              <w:t>超声波客观数据、手动输入数据在内的产程报告。</w:t>
            </w:r>
          </w:p>
          <w:p w14:paraId="062B4386">
            <w:pPr>
              <w:rPr>
                <w:rFonts w:hint="eastAsia" w:ascii="宋体" w:hAnsi="宋体" w:eastAsia="宋体" w:cs="宋体"/>
                <w:color w:val="auto"/>
                <w:highlight w:val="none"/>
              </w:rPr>
            </w:pPr>
            <w:r>
              <w:rPr>
                <w:rFonts w:hint="eastAsia" w:ascii="宋体" w:hAnsi="宋体" w:eastAsia="宋体" w:cs="宋体"/>
                <w:color w:val="auto"/>
                <w:highlight w:val="none"/>
              </w:rPr>
              <w:t>2.13容积智能斑点噪声抑制技术：通过特殊算法对体素进行实时优化，可优化重建容积图像以及各个平面特别是冠状面上的图像品质。</w:t>
            </w:r>
          </w:p>
          <w:p w14:paraId="4F842F42">
            <w:pPr>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Ai智能筛查系列技术：</w:t>
            </w:r>
          </w:p>
          <w:p w14:paraId="7891446B">
            <w:pPr>
              <w:rPr>
                <w:rFonts w:hint="eastAsia" w:ascii="宋体" w:hAnsi="宋体" w:eastAsia="宋体" w:cs="宋体"/>
                <w:color w:val="auto"/>
                <w:highlight w:val="none"/>
              </w:rPr>
            </w:pPr>
            <w:r>
              <w:rPr>
                <w:rFonts w:hint="eastAsia" w:ascii="宋体" w:hAnsi="宋体" w:eastAsia="宋体" w:cs="宋体"/>
                <w:color w:val="auto"/>
                <w:highlight w:val="none"/>
              </w:rPr>
              <w:t>3.1智能产筛切面识别：遵循 ISUOG 常规孕中期胎儿超声扫描实践指南，自动检测识别≥21个推荐切面。自动注释及测量。改进产筛工作流程，减少操作的差异性，提高一致性。</w:t>
            </w:r>
          </w:p>
          <w:p w14:paraId="54D34D84">
            <w:pPr>
              <w:rPr>
                <w:rFonts w:hint="eastAsia" w:ascii="宋体" w:hAnsi="宋体" w:eastAsia="宋体" w:cs="宋体"/>
                <w:color w:val="auto"/>
                <w:highlight w:val="none"/>
              </w:rPr>
            </w:pPr>
            <w:r>
              <w:rPr>
                <w:rFonts w:hint="eastAsia" w:ascii="宋体" w:hAnsi="宋体" w:eastAsia="宋体" w:cs="宋体"/>
                <w:color w:val="auto"/>
                <w:highlight w:val="none"/>
              </w:rPr>
              <w:t>3.2智能产筛质量控制，系统将获取的图像或切面与标准切面进行比较，以确保其符合临床标准。能够帮助提高准确性和质量，有解剖示意图和并可插入标准图像进行参考比较。防漏筛及确保最高图像质量标准和一致性。</w:t>
            </w:r>
          </w:p>
          <w:p w14:paraId="468EECBB">
            <w:pPr>
              <w:rPr>
                <w:rFonts w:hint="eastAsia" w:ascii="宋体" w:hAnsi="宋体" w:eastAsia="宋体" w:cs="宋体"/>
                <w:color w:val="auto"/>
                <w:highlight w:val="none"/>
              </w:rPr>
            </w:pPr>
            <w:r>
              <w:rPr>
                <w:rFonts w:hint="eastAsia" w:ascii="宋体" w:hAnsi="宋体" w:eastAsia="宋体" w:cs="宋体"/>
                <w:color w:val="auto"/>
                <w:highlight w:val="none"/>
              </w:rPr>
              <w:t>3.3智能先心病筛查技术：AI-胎心检查导航，通过文字说明、参考图像和正常解剖结构示意图，分步指导如何识别正常解剖结构及扫描流程。AI智能生成四腔心切面、三血管/三血管气管切面以及心轴角度。</w:t>
            </w:r>
          </w:p>
          <w:p w14:paraId="36D2AC9F">
            <w:pPr>
              <w:rPr>
                <w:rFonts w:hint="eastAsia" w:ascii="宋体" w:hAnsi="宋体" w:eastAsia="宋体" w:cs="宋体"/>
                <w:color w:val="auto"/>
                <w:highlight w:val="none"/>
              </w:rPr>
            </w:pPr>
            <w:r>
              <w:rPr>
                <w:rFonts w:hint="eastAsia" w:ascii="宋体" w:hAnsi="宋体" w:eastAsia="宋体" w:cs="宋体"/>
                <w:color w:val="auto"/>
                <w:highlight w:val="none"/>
              </w:rPr>
              <w:t>3.4智能盆底检查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基于人工智能（AI），遵循国际规范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自动获得盆底测量，重复性好。</w:t>
            </w:r>
          </w:p>
          <w:p w14:paraId="4A86F4A0">
            <w:pPr>
              <w:rPr>
                <w:rFonts w:hint="eastAsia" w:ascii="宋体" w:hAnsi="宋体" w:eastAsia="宋体" w:cs="宋体"/>
                <w:color w:val="auto"/>
                <w:highlight w:val="none"/>
              </w:rPr>
            </w:pPr>
            <w:r>
              <w:rPr>
                <w:rFonts w:hint="eastAsia" w:ascii="宋体" w:hAnsi="宋体" w:eastAsia="宋体" w:cs="宋体"/>
                <w:color w:val="auto"/>
                <w:highlight w:val="none"/>
              </w:rPr>
              <w:t>自动寻找valsalva和缩肛状态下，最大裂孔平面位置</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自动测量肛提肌裂孔的面积、周长、前后径和左右径。</w:t>
            </w:r>
          </w:p>
          <w:p w14:paraId="49CFFB7F">
            <w:pPr>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测量和分析（B型、M型、频谱多普勒、彩色模式）</w:t>
            </w:r>
          </w:p>
          <w:p w14:paraId="1BC1BB14">
            <w:pPr>
              <w:rPr>
                <w:rFonts w:hint="eastAsia" w:ascii="宋体" w:hAnsi="宋体" w:eastAsia="宋体" w:cs="宋体"/>
                <w:color w:val="auto"/>
                <w:highlight w:val="none"/>
              </w:rPr>
            </w:pPr>
            <w:r>
              <w:rPr>
                <w:rFonts w:hint="eastAsia" w:ascii="宋体" w:hAnsi="宋体" w:eastAsia="宋体" w:cs="宋体"/>
                <w:color w:val="auto"/>
                <w:highlight w:val="none"/>
              </w:rPr>
              <w:t>4.1</w:t>
            </w:r>
            <w:r>
              <w:rPr>
                <w:rFonts w:hint="eastAsia" w:ascii="宋体" w:hAnsi="宋体" w:eastAsia="宋体" w:cs="宋体"/>
                <w:color w:val="auto"/>
                <w:highlight w:val="none"/>
              </w:rPr>
              <w:tab/>
            </w:r>
            <w:r>
              <w:rPr>
                <w:rFonts w:hint="eastAsia" w:ascii="宋体" w:hAnsi="宋体" w:eastAsia="宋体" w:cs="宋体"/>
                <w:color w:val="auto"/>
                <w:highlight w:val="none"/>
              </w:rPr>
              <w:t>一般测量</w:t>
            </w:r>
          </w:p>
          <w:p w14:paraId="2CCC00E6">
            <w:pPr>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rPr>
              <w:tab/>
            </w:r>
            <w:r>
              <w:rPr>
                <w:rFonts w:hint="eastAsia" w:ascii="宋体" w:hAnsi="宋体" w:eastAsia="宋体" w:cs="宋体"/>
                <w:color w:val="auto"/>
                <w:highlight w:val="none"/>
              </w:rPr>
              <w:t>多普勒血流测量与分析，具有自动包络功能</w:t>
            </w:r>
          </w:p>
          <w:p w14:paraId="657938B1">
            <w:pPr>
              <w:rPr>
                <w:rFonts w:hint="eastAsia" w:ascii="宋体" w:hAnsi="宋体" w:eastAsia="宋体" w:cs="宋体"/>
                <w:color w:val="auto"/>
                <w:highlight w:val="none"/>
              </w:rPr>
            </w:pPr>
            <w:r>
              <w:rPr>
                <w:rFonts w:hint="eastAsia" w:ascii="宋体" w:hAnsi="宋体" w:eastAsia="宋体" w:cs="宋体"/>
                <w:color w:val="auto"/>
                <w:highlight w:val="none"/>
              </w:rPr>
              <w:t>4.3</w:t>
            </w:r>
            <w:r>
              <w:rPr>
                <w:rFonts w:hint="eastAsia" w:ascii="宋体" w:hAnsi="宋体" w:eastAsia="宋体" w:cs="宋体"/>
                <w:color w:val="auto"/>
                <w:highlight w:val="none"/>
              </w:rPr>
              <w:tab/>
            </w:r>
            <w:r>
              <w:rPr>
                <w:rFonts w:hint="eastAsia" w:ascii="宋体" w:hAnsi="宋体" w:eastAsia="宋体" w:cs="宋体"/>
                <w:color w:val="auto"/>
                <w:highlight w:val="none"/>
              </w:rPr>
              <w:t>妇产，心脏，血管，儿科等测量与分析</w:t>
            </w:r>
          </w:p>
          <w:p w14:paraId="6BD5D449">
            <w:pPr>
              <w:rPr>
                <w:rFonts w:hint="eastAsia" w:ascii="宋体" w:hAnsi="宋体" w:eastAsia="宋体" w:cs="宋体"/>
                <w:color w:val="auto"/>
                <w:highlight w:val="none"/>
              </w:rPr>
            </w:pPr>
            <w:r>
              <w:rPr>
                <w:rFonts w:hint="eastAsia" w:ascii="宋体" w:hAnsi="宋体" w:eastAsia="宋体" w:cs="宋体"/>
                <w:color w:val="auto"/>
                <w:highlight w:val="none"/>
              </w:rPr>
              <w:t>4.4</w:t>
            </w:r>
            <w:r>
              <w:rPr>
                <w:rFonts w:hint="eastAsia" w:ascii="宋体" w:hAnsi="宋体" w:eastAsia="宋体" w:cs="宋体"/>
                <w:color w:val="auto"/>
                <w:highlight w:val="none"/>
              </w:rPr>
              <w:tab/>
            </w:r>
            <w:r>
              <w:rPr>
                <w:rFonts w:hint="eastAsia" w:ascii="宋体" w:hAnsi="宋体" w:eastAsia="宋体" w:cs="宋体"/>
                <w:color w:val="auto"/>
                <w:highlight w:val="none"/>
              </w:rPr>
              <w:t>胎儿生长指标自动测量功能，包括胎儿双顶径、枕额径、头围、腹围、股骨长、肱骨长</w:t>
            </w:r>
          </w:p>
          <w:p w14:paraId="6347734C">
            <w:pPr>
              <w:rPr>
                <w:rFonts w:hint="eastAsia" w:ascii="宋体" w:hAnsi="宋体" w:eastAsia="宋体" w:cs="宋体"/>
                <w:color w:val="auto"/>
                <w:highlight w:val="none"/>
              </w:rPr>
            </w:pPr>
            <w:r>
              <w:rPr>
                <w:rFonts w:hint="eastAsia" w:ascii="宋体" w:hAnsi="宋体" w:eastAsia="宋体" w:cs="宋体"/>
                <w:color w:val="auto"/>
                <w:highlight w:val="none"/>
              </w:rPr>
              <w:t>4.5</w:t>
            </w:r>
            <w:r>
              <w:rPr>
                <w:rFonts w:hint="eastAsia" w:ascii="宋体" w:hAnsi="宋体" w:eastAsia="宋体" w:cs="宋体"/>
                <w:color w:val="auto"/>
                <w:highlight w:val="none"/>
              </w:rPr>
              <w:tab/>
            </w:r>
            <w:r>
              <w:rPr>
                <w:rFonts w:hint="eastAsia" w:ascii="宋体" w:hAnsi="宋体" w:eastAsia="宋体" w:cs="宋体"/>
                <w:color w:val="auto"/>
                <w:highlight w:val="none"/>
              </w:rPr>
              <w:t>自动NT及IT测量技术</w:t>
            </w:r>
          </w:p>
          <w:p w14:paraId="792E7ABC">
            <w:pPr>
              <w:rPr>
                <w:rFonts w:hint="eastAsia" w:ascii="宋体" w:hAnsi="宋体" w:eastAsia="宋体" w:cs="宋体"/>
                <w:color w:val="auto"/>
                <w:highlight w:val="none"/>
              </w:rPr>
            </w:pPr>
            <w:r>
              <w:rPr>
                <w:rFonts w:hint="eastAsia" w:ascii="宋体" w:hAnsi="宋体" w:eastAsia="宋体" w:cs="宋体"/>
                <w:color w:val="auto"/>
                <w:highlight w:val="none"/>
              </w:rPr>
              <w:t>4.6</w:t>
            </w:r>
            <w:r>
              <w:rPr>
                <w:rFonts w:hint="eastAsia" w:ascii="宋体" w:hAnsi="宋体" w:eastAsia="宋体" w:cs="宋体"/>
                <w:color w:val="auto"/>
                <w:highlight w:val="none"/>
              </w:rPr>
              <w:tab/>
            </w:r>
            <w:r>
              <w:rPr>
                <w:rFonts w:hint="eastAsia" w:ascii="宋体" w:hAnsi="宋体" w:eastAsia="宋体" w:cs="宋体"/>
                <w:color w:val="auto"/>
                <w:highlight w:val="none"/>
              </w:rPr>
              <w:t>自动胎心率测量技术</w:t>
            </w:r>
          </w:p>
          <w:p w14:paraId="50DF48C7">
            <w:pPr>
              <w:rPr>
                <w:rFonts w:hint="eastAsia" w:ascii="宋体" w:hAnsi="宋体" w:eastAsia="宋体" w:cs="宋体"/>
                <w:color w:val="auto"/>
                <w:highlight w:val="none"/>
              </w:rPr>
            </w:pPr>
            <w:r>
              <w:rPr>
                <w:rFonts w:hint="eastAsia" w:ascii="宋体" w:hAnsi="宋体" w:eastAsia="宋体" w:cs="宋体"/>
                <w:color w:val="auto"/>
                <w:highlight w:val="none"/>
              </w:rPr>
              <w:t>4.7</w:t>
            </w:r>
            <w:r>
              <w:rPr>
                <w:rFonts w:hint="eastAsia" w:ascii="宋体" w:hAnsi="宋体" w:eastAsia="宋体" w:cs="宋体"/>
                <w:color w:val="auto"/>
                <w:highlight w:val="none"/>
              </w:rPr>
              <w:tab/>
            </w:r>
            <w:r>
              <w:rPr>
                <w:rFonts w:hint="eastAsia" w:ascii="宋体" w:hAnsi="宋体" w:eastAsia="宋体" w:cs="宋体"/>
                <w:color w:val="auto"/>
                <w:highlight w:val="none"/>
              </w:rPr>
              <w:t>不规则体积测量技术，快速测量一个或多个低回声的不规则体的体积</w:t>
            </w:r>
          </w:p>
          <w:p w14:paraId="59E8F9B3">
            <w:pPr>
              <w:rPr>
                <w:rFonts w:hint="eastAsia" w:ascii="宋体" w:hAnsi="宋体" w:eastAsia="宋体" w:cs="宋体"/>
                <w:color w:val="auto"/>
                <w:highlight w:val="none"/>
              </w:rPr>
            </w:pPr>
            <w:r>
              <w:rPr>
                <w:rFonts w:hint="eastAsia" w:ascii="宋体" w:hAnsi="宋体" w:eastAsia="宋体" w:cs="宋体"/>
                <w:color w:val="auto"/>
                <w:highlight w:val="none"/>
              </w:rPr>
              <w:t>4.8</w:t>
            </w:r>
            <w:r>
              <w:rPr>
                <w:rFonts w:hint="eastAsia" w:ascii="宋体" w:hAnsi="宋体" w:eastAsia="宋体" w:cs="宋体"/>
                <w:color w:val="auto"/>
                <w:highlight w:val="none"/>
              </w:rPr>
              <w:tab/>
            </w:r>
            <w:r>
              <w:rPr>
                <w:rFonts w:hint="eastAsia" w:ascii="宋体" w:hAnsi="宋体" w:eastAsia="宋体" w:cs="宋体"/>
                <w:color w:val="auto"/>
                <w:highlight w:val="none"/>
              </w:rPr>
              <w:t>容积能量模式直方图技术，结合不规则体积测量可计算血管指数VI，FI和VFI</w:t>
            </w:r>
          </w:p>
          <w:p w14:paraId="64618A7A">
            <w:pPr>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rPr>
              <w:tab/>
            </w:r>
            <w:r>
              <w:rPr>
                <w:rFonts w:hint="eastAsia" w:ascii="宋体" w:hAnsi="宋体" w:eastAsia="宋体" w:cs="宋体"/>
                <w:color w:val="auto"/>
                <w:highlight w:val="none"/>
              </w:rPr>
              <w:t>图像存储、管理及回放重现</w:t>
            </w:r>
          </w:p>
          <w:p w14:paraId="7EC89FD1">
            <w:pPr>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eastAsia="宋体" w:cs="宋体"/>
                <w:color w:val="auto"/>
                <w:highlight w:val="none"/>
              </w:rPr>
              <w:tab/>
            </w:r>
            <w:r>
              <w:rPr>
                <w:rFonts w:hint="eastAsia" w:ascii="宋体" w:hAnsi="宋体" w:eastAsia="宋体" w:cs="宋体"/>
                <w:color w:val="auto"/>
                <w:highlight w:val="none"/>
              </w:rPr>
              <w:t>输入/输出信号：USB, HDMI, S-Video, VGA</w:t>
            </w:r>
          </w:p>
          <w:p w14:paraId="51BE0670">
            <w:pPr>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eastAsia="宋体" w:cs="宋体"/>
                <w:color w:val="auto"/>
                <w:highlight w:val="none"/>
              </w:rPr>
              <w:tab/>
            </w:r>
            <w:r>
              <w:rPr>
                <w:rFonts w:hint="eastAsia" w:ascii="宋体" w:hAnsi="宋体" w:eastAsia="宋体" w:cs="宋体"/>
                <w:color w:val="auto"/>
                <w:highlight w:val="none"/>
              </w:rPr>
              <w:t>连通性：医学数字图像和通信DICOM 3.0</w:t>
            </w:r>
          </w:p>
          <w:p w14:paraId="39379EEA">
            <w:pPr>
              <w:rPr>
                <w:rFonts w:hint="eastAsia" w:ascii="宋体" w:hAnsi="宋体" w:eastAsia="宋体" w:cs="宋体"/>
                <w:color w:val="auto"/>
                <w:highlight w:val="none"/>
              </w:rPr>
            </w:pPr>
            <w:r>
              <w:rPr>
                <w:rFonts w:hint="eastAsia" w:ascii="宋体" w:hAnsi="宋体" w:eastAsia="宋体" w:cs="宋体"/>
                <w:color w:val="auto"/>
                <w:highlight w:val="none"/>
              </w:rPr>
              <w:t>5.3</w:t>
            </w:r>
            <w:r>
              <w:rPr>
                <w:rFonts w:hint="eastAsia" w:ascii="宋体" w:hAnsi="宋体" w:eastAsia="宋体" w:cs="宋体"/>
                <w:color w:val="auto"/>
                <w:highlight w:val="none"/>
              </w:rPr>
              <w:tab/>
            </w:r>
            <w:r>
              <w:rPr>
                <w:rFonts w:hint="eastAsia" w:ascii="宋体" w:hAnsi="宋体" w:eastAsia="宋体" w:cs="宋体"/>
                <w:color w:val="auto"/>
                <w:highlight w:val="none"/>
              </w:rPr>
              <w:t>超声图像存档与病案管理系统</w:t>
            </w:r>
          </w:p>
          <w:p w14:paraId="3B6F8F3E">
            <w:pPr>
              <w:rPr>
                <w:rFonts w:hint="eastAsia" w:ascii="宋体" w:hAnsi="宋体" w:eastAsia="宋体" w:cs="宋体"/>
                <w:color w:val="auto"/>
                <w:highlight w:val="none"/>
              </w:rPr>
            </w:pPr>
            <w:r>
              <w:rPr>
                <w:rFonts w:hint="eastAsia" w:ascii="宋体" w:hAnsi="宋体" w:eastAsia="宋体" w:cs="宋体"/>
                <w:color w:val="auto"/>
                <w:highlight w:val="none"/>
              </w:rPr>
              <w:t>5.4</w:t>
            </w:r>
            <w:r>
              <w:rPr>
                <w:rFonts w:hint="eastAsia" w:ascii="宋体" w:hAnsi="宋体" w:eastAsia="宋体" w:cs="宋体"/>
                <w:color w:val="auto"/>
                <w:highlight w:val="none"/>
              </w:rPr>
              <w:tab/>
            </w:r>
            <w:r>
              <w:rPr>
                <w:rFonts w:hint="eastAsia" w:ascii="宋体" w:hAnsi="宋体" w:eastAsia="宋体" w:cs="宋体"/>
                <w:color w:val="auto"/>
                <w:highlight w:val="none"/>
              </w:rPr>
              <w:t>回放重现单元</w:t>
            </w:r>
          </w:p>
          <w:p w14:paraId="70E1ED40">
            <w:pPr>
              <w:rPr>
                <w:rFonts w:hint="eastAsia" w:ascii="宋体" w:hAnsi="宋体" w:eastAsia="宋体" w:cs="宋体"/>
                <w:color w:val="auto"/>
                <w:highlight w:val="none"/>
              </w:rPr>
            </w:pPr>
            <w:r>
              <w:rPr>
                <w:rFonts w:hint="eastAsia" w:ascii="宋体" w:hAnsi="宋体" w:eastAsia="宋体" w:cs="宋体"/>
                <w:color w:val="auto"/>
                <w:highlight w:val="none"/>
              </w:rPr>
              <w:t>5.5</w:t>
            </w:r>
            <w:r>
              <w:rPr>
                <w:rFonts w:hint="eastAsia" w:ascii="宋体" w:hAnsi="宋体" w:eastAsia="宋体" w:cs="宋体"/>
                <w:color w:val="auto"/>
                <w:highlight w:val="none"/>
              </w:rPr>
              <w:tab/>
            </w:r>
            <w:r>
              <w:rPr>
                <w:rFonts w:hint="eastAsia" w:ascii="宋体" w:hAnsi="宋体" w:eastAsia="宋体" w:cs="宋体"/>
                <w:color w:val="auto"/>
                <w:highlight w:val="none"/>
              </w:rPr>
              <w:t>硬盘容量≥1T</w:t>
            </w:r>
          </w:p>
          <w:p w14:paraId="0C174681">
            <w:pPr>
              <w:rPr>
                <w:rFonts w:hint="eastAsia" w:ascii="宋体" w:hAnsi="宋体" w:eastAsia="宋体" w:cs="宋体"/>
                <w:color w:val="auto"/>
                <w:highlight w:val="none"/>
              </w:rPr>
            </w:pPr>
            <w:r>
              <w:rPr>
                <w:rFonts w:hint="eastAsia" w:ascii="宋体" w:hAnsi="宋体" w:eastAsia="宋体" w:cs="宋体"/>
                <w:color w:val="auto"/>
                <w:highlight w:val="none"/>
              </w:rPr>
              <w:t>5.6</w:t>
            </w:r>
            <w:r>
              <w:rPr>
                <w:rFonts w:hint="eastAsia" w:ascii="宋体" w:hAnsi="宋体" w:eastAsia="宋体" w:cs="宋体"/>
                <w:color w:val="auto"/>
                <w:highlight w:val="none"/>
              </w:rPr>
              <w:tab/>
            </w:r>
            <w:r>
              <w:rPr>
                <w:rFonts w:hint="eastAsia" w:ascii="宋体" w:hAnsi="宋体" w:eastAsia="宋体" w:cs="宋体"/>
                <w:color w:val="auto"/>
                <w:highlight w:val="none"/>
              </w:rPr>
              <w:t>一体化</w:t>
            </w:r>
            <w:r>
              <w:rPr>
                <w:rFonts w:hint="eastAsia" w:ascii="宋体" w:hAnsi="宋体" w:eastAsia="宋体" w:cs="宋体"/>
                <w:color w:val="auto"/>
                <w:highlight w:val="none"/>
                <w:lang w:eastAsia="zh-CN"/>
              </w:rPr>
              <w:t>剪贴板</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在屏幕上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可以存储和回放动态及静态图像</w:t>
            </w:r>
          </w:p>
          <w:p w14:paraId="33D04C74">
            <w:pPr>
              <w:rPr>
                <w:rFonts w:hint="eastAsia" w:ascii="宋体" w:hAnsi="宋体" w:eastAsia="宋体" w:cs="宋体"/>
                <w:color w:val="auto"/>
                <w:highlight w:val="none"/>
              </w:rPr>
            </w:pPr>
            <w:r>
              <w:rPr>
                <w:rFonts w:hint="eastAsia" w:ascii="宋体" w:hAnsi="宋体" w:eastAsia="宋体" w:cs="宋体"/>
                <w:color w:val="auto"/>
                <w:highlight w:val="none"/>
              </w:rPr>
              <w:t>5.8支持一键式输出3D打印格式，包括STL、OBJ、PLY、3MF、XYZ格式（附原厂技术白皮书证明）</w:t>
            </w:r>
          </w:p>
          <w:p w14:paraId="24D640C7">
            <w:pPr>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rPr>
              <w:tab/>
            </w:r>
            <w:r>
              <w:rPr>
                <w:rFonts w:hint="eastAsia" w:ascii="宋体" w:hAnsi="宋体" w:eastAsia="宋体" w:cs="宋体"/>
                <w:color w:val="auto"/>
                <w:highlight w:val="none"/>
              </w:rPr>
              <w:t>技术参数要求</w:t>
            </w:r>
          </w:p>
          <w:p w14:paraId="22B96F2A">
            <w:pPr>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rPr>
              <w:tab/>
            </w:r>
            <w:r>
              <w:rPr>
                <w:rFonts w:hint="eastAsia" w:ascii="宋体" w:hAnsi="宋体" w:eastAsia="宋体" w:cs="宋体"/>
                <w:color w:val="auto"/>
                <w:highlight w:val="none"/>
              </w:rPr>
              <w:t>监视器≥23英寸高分辨率LCD监视器</w:t>
            </w:r>
          </w:p>
          <w:p w14:paraId="20192705">
            <w:pPr>
              <w:rPr>
                <w:rFonts w:hint="eastAsia" w:ascii="宋体" w:hAnsi="宋体" w:eastAsia="宋体" w:cs="宋体"/>
                <w:color w:val="auto"/>
                <w:highlight w:val="none"/>
              </w:rPr>
            </w:pPr>
            <w:r>
              <w:rPr>
                <w:rFonts w:hint="eastAsia" w:ascii="宋体" w:hAnsi="宋体" w:eastAsia="宋体" w:cs="宋体"/>
                <w:color w:val="auto"/>
                <w:highlight w:val="none"/>
              </w:rPr>
              <w:t>6.2</w:t>
            </w:r>
            <w:r>
              <w:rPr>
                <w:rFonts w:hint="eastAsia" w:ascii="宋体" w:hAnsi="宋体" w:eastAsia="宋体" w:cs="宋体"/>
                <w:color w:val="auto"/>
                <w:highlight w:val="none"/>
              </w:rPr>
              <w:tab/>
            </w:r>
            <w:r>
              <w:rPr>
                <w:rFonts w:hint="eastAsia" w:ascii="宋体" w:hAnsi="宋体" w:eastAsia="宋体" w:cs="宋体"/>
                <w:color w:val="auto"/>
                <w:highlight w:val="none"/>
              </w:rPr>
              <w:t>操作控制台，可单键电动垂直调节高度，并可左右转动、前后移动和锁定</w:t>
            </w:r>
          </w:p>
          <w:p w14:paraId="2C7DE2C9">
            <w:pPr>
              <w:rPr>
                <w:rFonts w:hint="eastAsia" w:ascii="宋体" w:hAnsi="宋体" w:eastAsia="宋体" w:cs="宋体"/>
                <w:color w:val="auto"/>
                <w:highlight w:val="none"/>
              </w:rPr>
            </w:pPr>
            <w:r>
              <w:rPr>
                <w:rFonts w:hint="eastAsia" w:ascii="宋体" w:hAnsi="宋体" w:eastAsia="宋体" w:cs="宋体"/>
                <w:color w:val="auto"/>
                <w:highlight w:val="none"/>
              </w:rPr>
              <w:t>6.3</w:t>
            </w:r>
            <w:r>
              <w:rPr>
                <w:rFonts w:hint="eastAsia" w:ascii="宋体" w:hAnsi="宋体" w:eastAsia="宋体" w:cs="宋体"/>
                <w:color w:val="auto"/>
                <w:highlight w:val="none"/>
              </w:rPr>
              <w:tab/>
            </w:r>
            <w:r>
              <w:rPr>
                <w:rFonts w:hint="eastAsia" w:ascii="宋体" w:hAnsi="宋体" w:eastAsia="宋体" w:cs="宋体"/>
                <w:color w:val="auto"/>
                <w:highlight w:val="none"/>
              </w:rPr>
              <w:t>探头接口：≥4个，探头接口为无针式接口</w:t>
            </w:r>
          </w:p>
          <w:p w14:paraId="34539558">
            <w:pPr>
              <w:rPr>
                <w:rFonts w:hint="eastAsia" w:ascii="宋体" w:hAnsi="宋体" w:eastAsia="宋体" w:cs="宋体"/>
                <w:color w:val="auto"/>
                <w:highlight w:val="none"/>
              </w:rPr>
            </w:pPr>
            <w:r>
              <w:rPr>
                <w:rFonts w:hint="eastAsia" w:ascii="宋体" w:hAnsi="宋体" w:eastAsia="宋体" w:cs="宋体"/>
                <w:color w:val="auto"/>
                <w:highlight w:val="none"/>
              </w:rPr>
              <w:t>6.4</w:t>
            </w:r>
            <w:r>
              <w:rPr>
                <w:rFonts w:hint="eastAsia" w:ascii="宋体" w:hAnsi="宋体" w:eastAsia="宋体" w:cs="宋体"/>
                <w:color w:val="auto"/>
                <w:highlight w:val="none"/>
              </w:rPr>
              <w:tab/>
            </w:r>
            <w:r>
              <w:rPr>
                <w:rFonts w:hint="eastAsia" w:ascii="宋体" w:hAnsi="宋体" w:eastAsia="宋体" w:cs="宋体"/>
                <w:color w:val="auto"/>
                <w:highlight w:val="none"/>
              </w:rPr>
              <w:t>≥15英寸多点触控触摸屏</w:t>
            </w:r>
          </w:p>
          <w:p w14:paraId="76CB0935">
            <w:pPr>
              <w:rPr>
                <w:rFonts w:hint="eastAsia" w:ascii="宋体" w:hAnsi="宋体" w:eastAsia="宋体" w:cs="宋体"/>
                <w:color w:val="auto"/>
                <w:highlight w:val="none"/>
              </w:rPr>
            </w:pPr>
            <w:r>
              <w:rPr>
                <w:rFonts w:hint="eastAsia" w:ascii="宋体" w:hAnsi="宋体" w:eastAsia="宋体" w:cs="宋体"/>
                <w:color w:val="auto"/>
                <w:highlight w:val="none"/>
              </w:rPr>
              <w:t>6.5</w:t>
            </w:r>
            <w:r>
              <w:rPr>
                <w:rFonts w:hint="eastAsia" w:ascii="宋体" w:hAnsi="宋体" w:eastAsia="宋体" w:cs="宋体"/>
                <w:color w:val="auto"/>
                <w:highlight w:val="none"/>
              </w:rPr>
              <w:tab/>
            </w:r>
            <w:r>
              <w:rPr>
                <w:rFonts w:hint="eastAsia" w:ascii="宋体" w:hAnsi="宋体" w:eastAsia="宋体" w:cs="宋体"/>
                <w:color w:val="auto"/>
                <w:highlight w:val="none"/>
              </w:rPr>
              <w:t>空间分辨率符合国家标准</w:t>
            </w:r>
          </w:p>
          <w:p w14:paraId="1FCB0045">
            <w:pPr>
              <w:rPr>
                <w:rFonts w:hint="eastAsia" w:ascii="宋体" w:hAnsi="宋体" w:eastAsia="宋体" w:cs="宋体"/>
                <w:color w:val="auto"/>
                <w:highlight w:val="none"/>
              </w:rPr>
            </w:pPr>
            <w:r>
              <w:rPr>
                <w:rFonts w:hint="eastAsia" w:ascii="宋体" w:hAnsi="宋体" w:eastAsia="宋体" w:cs="宋体"/>
                <w:color w:val="auto"/>
                <w:highlight w:val="none"/>
              </w:rPr>
              <w:t>6.6</w:t>
            </w:r>
            <w:r>
              <w:rPr>
                <w:rFonts w:hint="eastAsia" w:ascii="宋体" w:hAnsi="宋体" w:eastAsia="宋体" w:cs="宋体"/>
                <w:color w:val="auto"/>
                <w:highlight w:val="none"/>
              </w:rPr>
              <w:tab/>
            </w:r>
            <w:r>
              <w:rPr>
                <w:rFonts w:hint="eastAsia" w:ascii="宋体" w:hAnsi="宋体" w:eastAsia="宋体" w:cs="宋体"/>
                <w:color w:val="auto"/>
                <w:highlight w:val="none"/>
              </w:rPr>
              <w:t>超声功率输出调节：B/M、PWD、Color Doppler输出功率可调</w:t>
            </w:r>
          </w:p>
          <w:p w14:paraId="25702C02">
            <w:pPr>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ab/>
            </w:r>
            <w:r>
              <w:rPr>
                <w:rFonts w:hint="eastAsia" w:ascii="宋体" w:hAnsi="宋体" w:eastAsia="宋体" w:cs="宋体"/>
                <w:color w:val="auto"/>
                <w:highlight w:val="none"/>
              </w:rPr>
              <w:t>探头</w:t>
            </w:r>
          </w:p>
          <w:p w14:paraId="32628EE3">
            <w:pPr>
              <w:rPr>
                <w:rFonts w:hint="eastAsia"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rPr>
              <w:tab/>
            </w:r>
            <w:r>
              <w:rPr>
                <w:rFonts w:hint="eastAsia" w:ascii="宋体" w:hAnsi="宋体" w:eastAsia="宋体" w:cs="宋体"/>
                <w:color w:val="auto"/>
                <w:highlight w:val="none"/>
              </w:rPr>
              <w:t>频率：超宽频、变频探头，工作频率可显示，变频探头中心频率可选择≥3种，多普勒频率≥3种。</w:t>
            </w:r>
          </w:p>
          <w:p w14:paraId="63B66585">
            <w:pPr>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腔内容积凸阵探头：超声频率4.0 — 9.0 MHz，阵元数≥192，成像角度≥185°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（附原厂技术白皮书证明）</w:t>
            </w:r>
          </w:p>
          <w:p w14:paraId="0B225E47">
            <w:pPr>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线阵探头： 超声频率2.4-10.0MHz</w:t>
            </w:r>
          </w:p>
          <w:p w14:paraId="38014961">
            <w:pPr>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腹部二维凸阵探头（非微凸阵探头），阵元数≥192，成像角度≥90°。（附原厂技术白皮书证明）</w:t>
            </w:r>
          </w:p>
          <w:p w14:paraId="56E6DE9F">
            <w:pPr>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ab/>
            </w:r>
            <w:r>
              <w:rPr>
                <w:rFonts w:hint="eastAsia" w:ascii="宋体" w:hAnsi="宋体" w:eastAsia="宋体" w:cs="宋体"/>
                <w:color w:val="auto"/>
                <w:highlight w:val="none"/>
              </w:rPr>
              <w:t>腹部容积探头：超声频率2.0 —8.0 MHz，阵元数≥192阵元</w:t>
            </w:r>
          </w:p>
          <w:p w14:paraId="46DD4482">
            <w:pP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 xml:space="preserve">心脏探头：超声频率1.0-5.0MHz。 </w:t>
            </w:r>
          </w:p>
          <w:p w14:paraId="5CEE86A4">
            <w:pPr>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ab/>
            </w:r>
            <w:r>
              <w:rPr>
                <w:rFonts w:hint="eastAsia" w:ascii="宋体" w:hAnsi="宋体" w:eastAsia="宋体" w:cs="宋体"/>
                <w:color w:val="auto"/>
                <w:highlight w:val="none"/>
              </w:rPr>
              <w:t>二维灰阶及容积成像主要参数</w:t>
            </w:r>
          </w:p>
          <w:p w14:paraId="0516FDA2">
            <w:pPr>
              <w:rPr>
                <w:rFonts w:hint="eastAsia" w:ascii="宋体" w:hAnsi="宋体" w:eastAsia="宋体" w:cs="宋体"/>
                <w:color w:val="auto"/>
                <w:highlight w:val="none"/>
              </w:rPr>
            </w:pPr>
            <w:r>
              <w:rPr>
                <w:rFonts w:hint="eastAsia" w:ascii="宋体" w:hAnsi="宋体" w:eastAsia="宋体" w:cs="宋体"/>
                <w:color w:val="auto"/>
                <w:highlight w:val="none"/>
              </w:rPr>
              <w:t>8.1</w:t>
            </w:r>
            <w:r>
              <w:rPr>
                <w:rFonts w:hint="eastAsia" w:ascii="宋体" w:hAnsi="宋体" w:eastAsia="宋体" w:cs="宋体"/>
                <w:color w:val="auto"/>
                <w:highlight w:val="none"/>
              </w:rPr>
              <w:tab/>
            </w:r>
            <w:r>
              <w:rPr>
                <w:rFonts w:hint="eastAsia" w:ascii="宋体" w:hAnsi="宋体" w:eastAsia="宋体" w:cs="宋体"/>
                <w:color w:val="auto"/>
                <w:highlight w:val="none"/>
              </w:rPr>
              <w:t>凸阵探头，全视野，17cm深度时，在最高线密度下，二维帧频≥30帧/秒；</w:t>
            </w:r>
          </w:p>
          <w:p w14:paraId="2D238B7D">
            <w:pPr>
              <w:rPr>
                <w:rFonts w:hint="eastAsia" w:ascii="宋体" w:hAnsi="宋体" w:eastAsia="宋体" w:cs="宋体"/>
                <w:color w:val="auto"/>
                <w:highlight w:val="none"/>
              </w:rPr>
            </w:pPr>
            <w:r>
              <w:rPr>
                <w:rFonts w:hint="eastAsia" w:ascii="宋体" w:hAnsi="宋体" w:eastAsia="宋体" w:cs="宋体"/>
                <w:color w:val="auto"/>
                <w:highlight w:val="none"/>
              </w:rPr>
              <w:t>8.2</w:t>
            </w:r>
            <w:r>
              <w:rPr>
                <w:rFonts w:hint="eastAsia" w:ascii="宋体" w:hAnsi="宋体" w:eastAsia="宋体" w:cs="宋体"/>
                <w:color w:val="auto"/>
                <w:highlight w:val="none"/>
              </w:rPr>
              <w:tab/>
            </w:r>
            <w:r>
              <w:rPr>
                <w:rFonts w:hint="eastAsia" w:ascii="宋体" w:hAnsi="宋体" w:eastAsia="宋体" w:cs="宋体"/>
                <w:color w:val="auto"/>
                <w:highlight w:val="none"/>
              </w:rPr>
              <w:t>凸阵容积探头，全视野，17cm深度时，四维成像帧频≥30帧/秒</w:t>
            </w:r>
          </w:p>
          <w:p w14:paraId="0EF2A60A">
            <w:pPr>
              <w:rPr>
                <w:rFonts w:hint="eastAsia" w:ascii="宋体" w:hAnsi="宋体" w:eastAsia="宋体" w:cs="宋体"/>
                <w:color w:val="auto"/>
                <w:highlight w:val="none"/>
              </w:rPr>
            </w:pPr>
            <w:r>
              <w:rPr>
                <w:rFonts w:hint="eastAsia" w:ascii="宋体" w:hAnsi="宋体" w:eastAsia="宋体" w:cs="宋体"/>
                <w:color w:val="auto"/>
                <w:highlight w:val="none"/>
              </w:rPr>
              <w:t>8.3</w:t>
            </w:r>
            <w:r>
              <w:rPr>
                <w:rFonts w:hint="eastAsia" w:ascii="宋体" w:hAnsi="宋体" w:eastAsia="宋体" w:cs="宋体"/>
                <w:color w:val="auto"/>
                <w:highlight w:val="none"/>
              </w:rPr>
              <w:tab/>
            </w:r>
            <w:r>
              <w:rPr>
                <w:rFonts w:hint="eastAsia" w:ascii="宋体" w:hAnsi="宋体" w:eastAsia="宋体" w:cs="宋体"/>
                <w:color w:val="auto"/>
                <w:highlight w:val="none"/>
              </w:rPr>
              <w:t>数字集成化智能TGC分段≥8段</w:t>
            </w:r>
          </w:p>
          <w:p w14:paraId="0ACC0D35">
            <w:pPr>
              <w:rPr>
                <w:rFonts w:hint="eastAsia" w:ascii="宋体" w:hAnsi="宋体" w:eastAsia="宋体" w:cs="宋体"/>
                <w:color w:val="auto"/>
                <w:highlight w:val="none"/>
              </w:rPr>
            </w:pPr>
            <w:r>
              <w:rPr>
                <w:rFonts w:hint="eastAsia" w:ascii="宋体" w:hAnsi="宋体" w:eastAsia="宋体" w:cs="宋体"/>
                <w:color w:val="auto"/>
                <w:highlight w:val="none"/>
              </w:rPr>
              <w:t>8.4</w:t>
            </w:r>
            <w:r>
              <w:rPr>
                <w:rFonts w:hint="eastAsia" w:ascii="宋体" w:hAnsi="宋体" w:eastAsia="宋体" w:cs="宋体"/>
                <w:color w:val="auto"/>
                <w:highlight w:val="none"/>
              </w:rPr>
              <w:tab/>
            </w:r>
            <w:r>
              <w:rPr>
                <w:rFonts w:hint="eastAsia" w:ascii="宋体" w:hAnsi="宋体" w:eastAsia="宋体" w:cs="宋体"/>
                <w:color w:val="auto"/>
                <w:highlight w:val="none"/>
              </w:rPr>
              <w:t>二维成像扫描深度≥46cm</w:t>
            </w:r>
          </w:p>
          <w:p w14:paraId="392A1B39">
            <w:pPr>
              <w:rPr>
                <w:rFonts w:hint="eastAsia" w:ascii="宋体" w:hAnsi="宋体" w:eastAsia="宋体" w:cs="宋体"/>
                <w:color w:val="auto"/>
                <w:highlight w:val="none"/>
              </w:rPr>
            </w:pPr>
            <w:r>
              <w:rPr>
                <w:rFonts w:hint="eastAsia" w:ascii="宋体" w:hAnsi="宋体" w:eastAsia="宋体" w:cs="宋体"/>
                <w:color w:val="auto"/>
                <w:highlight w:val="none"/>
              </w:rPr>
              <w:t>8.5</w:t>
            </w:r>
            <w:r>
              <w:rPr>
                <w:rFonts w:hint="eastAsia" w:ascii="宋体" w:hAnsi="宋体" w:eastAsia="宋体" w:cs="宋体"/>
                <w:color w:val="auto"/>
                <w:highlight w:val="none"/>
              </w:rPr>
              <w:tab/>
            </w:r>
            <w:r>
              <w:rPr>
                <w:rFonts w:hint="eastAsia" w:ascii="宋体" w:hAnsi="宋体" w:eastAsia="宋体" w:cs="宋体"/>
                <w:color w:val="auto"/>
                <w:highlight w:val="none"/>
              </w:rPr>
              <w:t>回放重现：灰阶图像回放≥4000幅，四维图像回放≥400容积帧。</w:t>
            </w:r>
          </w:p>
          <w:p w14:paraId="66A43D0C">
            <w:pPr>
              <w:rPr>
                <w:rFonts w:hint="eastAsia" w:ascii="宋体" w:hAnsi="宋体" w:eastAsia="宋体" w:cs="宋体"/>
                <w:color w:val="auto"/>
                <w:highlight w:val="none"/>
              </w:rPr>
            </w:pPr>
            <w:r>
              <w:rPr>
                <w:rFonts w:hint="eastAsia" w:ascii="宋体" w:hAnsi="宋体" w:eastAsia="宋体" w:cs="宋体"/>
                <w:color w:val="auto"/>
                <w:highlight w:val="none"/>
              </w:rPr>
              <w:t>8.6</w:t>
            </w:r>
            <w:r>
              <w:rPr>
                <w:rFonts w:hint="eastAsia" w:ascii="宋体" w:hAnsi="宋体" w:eastAsia="宋体" w:cs="宋体"/>
                <w:color w:val="auto"/>
                <w:highlight w:val="none"/>
              </w:rPr>
              <w:tab/>
            </w:r>
            <w:r>
              <w:rPr>
                <w:rFonts w:hint="eastAsia" w:ascii="宋体" w:hAnsi="宋体" w:eastAsia="宋体" w:cs="宋体"/>
                <w:color w:val="auto"/>
                <w:highlight w:val="none"/>
              </w:rPr>
              <w:t xml:space="preserve">系统动态范围≥400dB </w:t>
            </w:r>
          </w:p>
          <w:p w14:paraId="57DB185C">
            <w:pPr>
              <w:rPr>
                <w:rFonts w:hint="eastAsia" w:ascii="宋体" w:hAnsi="宋体" w:eastAsia="宋体" w:cs="宋体"/>
                <w:color w:val="auto"/>
                <w:highlight w:val="none"/>
              </w:rPr>
            </w:pPr>
            <w:r>
              <w:rPr>
                <w:rFonts w:hint="eastAsia" w:ascii="宋体" w:hAnsi="宋体" w:eastAsia="宋体" w:cs="宋体"/>
                <w:color w:val="auto"/>
                <w:highlight w:val="none"/>
              </w:rPr>
              <w:t>8.7</w:t>
            </w:r>
            <w:r>
              <w:rPr>
                <w:rFonts w:hint="eastAsia" w:ascii="宋体" w:hAnsi="宋体" w:eastAsia="宋体" w:cs="宋体"/>
                <w:color w:val="auto"/>
                <w:highlight w:val="none"/>
              </w:rPr>
              <w:tab/>
            </w:r>
            <w:r>
              <w:rPr>
                <w:rFonts w:hint="eastAsia" w:ascii="宋体" w:hAnsi="宋体" w:eastAsia="宋体" w:cs="宋体"/>
                <w:color w:val="auto"/>
                <w:highlight w:val="none"/>
              </w:rPr>
              <w:t>预设条件 针对不同的检查脏器，预置最佳化图像的检查条件，减少操作时的调节，及常用所需的外部调节及组合调节</w:t>
            </w:r>
          </w:p>
          <w:p w14:paraId="7E146388">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ab/>
            </w:r>
            <w:r>
              <w:rPr>
                <w:rFonts w:hint="eastAsia" w:ascii="宋体" w:hAnsi="宋体" w:eastAsia="宋体" w:cs="宋体"/>
                <w:color w:val="auto"/>
                <w:highlight w:val="none"/>
              </w:rPr>
              <w:t>频谱多普勒</w:t>
            </w:r>
          </w:p>
          <w:p w14:paraId="5B53E0D7">
            <w:pPr>
              <w:rPr>
                <w:rFonts w:hint="eastAsia" w:ascii="宋体" w:hAnsi="宋体" w:eastAsia="宋体" w:cs="宋体"/>
                <w:color w:val="auto"/>
                <w:highlight w:val="none"/>
              </w:rPr>
            </w:pPr>
            <w:r>
              <w:rPr>
                <w:rFonts w:hint="eastAsia" w:ascii="宋体" w:hAnsi="宋体" w:eastAsia="宋体" w:cs="宋体"/>
                <w:color w:val="auto"/>
                <w:highlight w:val="none"/>
              </w:rPr>
              <w:t>9.1</w:t>
            </w:r>
            <w:r>
              <w:rPr>
                <w:rFonts w:hint="eastAsia" w:ascii="宋体" w:hAnsi="宋体" w:eastAsia="宋体" w:cs="宋体"/>
                <w:color w:val="auto"/>
                <w:highlight w:val="none"/>
              </w:rPr>
              <w:tab/>
            </w:r>
            <w:r>
              <w:rPr>
                <w:rFonts w:hint="eastAsia" w:ascii="宋体" w:hAnsi="宋体" w:eastAsia="宋体" w:cs="宋体"/>
                <w:color w:val="auto"/>
                <w:highlight w:val="none"/>
              </w:rPr>
              <w:t>方式：PW，CW</w:t>
            </w:r>
          </w:p>
          <w:p w14:paraId="41C9E051">
            <w:pPr>
              <w:rPr>
                <w:rFonts w:hint="eastAsia" w:ascii="宋体" w:hAnsi="宋体" w:eastAsia="宋体" w:cs="宋体"/>
                <w:color w:val="auto"/>
                <w:highlight w:val="none"/>
              </w:rPr>
            </w:pPr>
            <w:r>
              <w:rPr>
                <w:rFonts w:hint="eastAsia" w:ascii="宋体" w:hAnsi="宋体" w:eastAsia="宋体" w:cs="宋体"/>
                <w:color w:val="auto"/>
                <w:highlight w:val="none"/>
              </w:rPr>
              <w:t>9.2</w:t>
            </w:r>
            <w:r>
              <w:rPr>
                <w:rFonts w:hint="eastAsia" w:ascii="宋体" w:hAnsi="宋体" w:eastAsia="宋体" w:cs="宋体"/>
                <w:color w:val="auto"/>
                <w:highlight w:val="none"/>
              </w:rPr>
              <w:tab/>
            </w:r>
            <w:r>
              <w:rPr>
                <w:rFonts w:hint="eastAsia" w:ascii="宋体" w:hAnsi="宋体" w:eastAsia="宋体" w:cs="宋体"/>
                <w:color w:val="auto"/>
                <w:highlight w:val="none"/>
              </w:rPr>
              <w:t>多普勒发射频率可视可调，中心频率明确显示</w:t>
            </w:r>
          </w:p>
          <w:p w14:paraId="1466BDD5">
            <w:pPr>
              <w:rPr>
                <w:rFonts w:hint="eastAsia" w:ascii="宋体" w:hAnsi="宋体" w:eastAsia="宋体" w:cs="宋体"/>
                <w:color w:val="auto"/>
                <w:highlight w:val="none"/>
              </w:rPr>
            </w:pPr>
            <w:r>
              <w:rPr>
                <w:rFonts w:hint="eastAsia" w:ascii="宋体" w:hAnsi="宋体" w:eastAsia="宋体" w:cs="宋体"/>
                <w:color w:val="auto"/>
                <w:highlight w:val="none"/>
              </w:rPr>
              <w:t>9.3</w:t>
            </w:r>
            <w:r>
              <w:rPr>
                <w:rFonts w:hint="eastAsia" w:ascii="宋体" w:hAnsi="宋体" w:eastAsia="宋体" w:cs="宋体"/>
                <w:color w:val="auto"/>
                <w:highlight w:val="none"/>
              </w:rPr>
              <w:tab/>
            </w:r>
            <w:r>
              <w:rPr>
                <w:rFonts w:hint="eastAsia" w:ascii="宋体" w:hAnsi="宋体" w:eastAsia="宋体" w:cs="宋体"/>
                <w:color w:val="auto"/>
                <w:highlight w:val="none"/>
              </w:rPr>
              <w:t>PWD：血流速度≥10m/s；CWD：血流速度≥21m/s</w:t>
            </w:r>
          </w:p>
          <w:p w14:paraId="171FCFC5">
            <w:pPr>
              <w:rPr>
                <w:rFonts w:hint="eastAsia" w:ascii="宋体" w:hAnsi="宋体" w:eastAsia="宋体" w:cs="宋体"/>
                <w:color w:val="auto"/>
                <w:highlight w:val="none"/>
              </w:rPr>
            </w:pPr>
            <w:r>
              <w:rPr>
                <w:rFonts w:hint="eastAsia" w:ascii="宋体" w:hAnsi="宋体" w:eastAsia="宋体" w:cs="宋体"/>
                <w:color w:val="auto"/>
                <w:highlight w:val="none"/>
              </w:rPr>
              <w:t>9.4</w:t>
            </w:r>
            <w:r>
              <w:rPr>
                <w:rFonts w:hint="eastAsia" w:ascii="宋体" w:hAnsi="宋体" w:eastAsia="宋体" w:cs="宋体"/>
                <w:color w:val="auto"/>
                <w:highlight w:val="none"/>
              </w:rPr>
              <w:tab/>
            </w:r>
            <w:r>
              <w:rPr>
                <w:rFonts w:hint="eastAsia" w:ascii="宋体" w:hAnsi="宋体" w:eastAsia="宋体" w:cs="宋体"/>
                <w:color w:val="auto"/>
                <w:highlight w:val="none"/>
              </w:rPr>
              <w:t xml:space="preserve">最低测量速度：≤10mm/s </w:t>
            </w:r>
          </w:p>
          <w:p w14:paraId="28BB194A">
            <w:pPr>
              <w:rPr>
                <w:rFonts w:hint="eastAsia" w:ascii="宋体" w:hAnsi="宋体" w:eastAsia="宋体" w:cs="宋体"/>
                <w:color w:val="auto"/>
                <w:highlight w:val="none"/>
              </w:rPr>
            </w:pPr>
            <w:r>
              <w:rPr>
                <w:rFonts w:hint="eastAsia" w:ascii="宋体" w:hAnsi="宋体" w:eastAsia="宋体" w:cs="宋体"/>
                <w:color w:val="auto"/>
                <w:highlight w:val="none"/>
              </w:rPr>
              <w:t>9.5</w:t>
            </w:r>
            <w:r>
              <w:rPr>
                <w:rFonts w:hint="eastAsia" w:ascii="宋体" w:hAnsi="宋体" w:eastAsia="宋体" w:cs="宋体"/>
                <w:color w:val="auto"/>
                <w:highlight w:val="none"/>
              </w:rPr>
              <w:tab/>
            </w:r>
            <w:r>
              <w:rPr>
                <w:rFonts w:hint="eastAsia" w:ascii="宋体" w:hAnsi="宋体" w:eastAsia="宋体" w:cs="宋体"/>
                <w:color w:val="auto"/>
                <w:highlight w:val="none"/>
              </w:rPr>
              <w:t>零位移动：≥10级</w:t>
            </w:r>
          </w:p>
          <w:p w14:paraId="0100DD39">
            <w:pPr>
              <w:rPr>
                <w:rFonts w:hint="eastAsia" w:ascii="宋体" w:hAnsi="宋体" w:eastAsia="宋体" w:cs="宋体"/>
                <w:color w:val="auto"/>
                <w:highlight w:val="none"/>
              </w:rPr>
            </w:pPr>
            <w:r>
              <w:rPr>
                <w:rFonts w:hint="eastAsia" w:ascii="宋体" w:hAnsi="宋体" w:eastAsia="宋体" w:cs="宋体"/>
                <w:color w:val="auto"/>
                <w:highlight w:val="none"/>
              </w:rPr>
              <w:t>9.6</w:t>
            </w:r>
            <w:r>
              <w:rPr>
                <w:rFonts w:hint="eastAsia" w:ascii="宋体" w:hAnsi="宋体" w:eastAsia="宋体" w:cs="宋体"/>
                <w:color w:val="auto"/>
                <w:highlight w:val="none"/>
              </w:rPr>
              <w:tab/>
            </w:r>
            <w:r>
              <w:rPr>
                <w:rFonts w:hint="eastAsia" w:ascii="宋体" w:hAnsi="宋体" w:eastAsia="宋体" w:cs="宋体"/>
                <w:color w:val="auto"/>
                <w:highlight w:val="none"/>
              </w:rPr>
              <w:t>PWD取样宽度：0.1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20mm, 分级可调</w:t>
            </w:r>
          </w:p>
          <w:p w14:paraId="219FB06A">
            <w:pPr>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rPr>
              <w:tab/>
            </w:r>
            <w:r>
              <w:rPr>
                <w:rFonts w:hint="eastAsia" w:ascii="宋体" w:hAnsi="宋体" w:eastAsia="宋体" w:cs="宋体"/>
                <w:color w:val="auto"/>
                <w:highlight w:val="none"/>
              </w:rPr>
              <w:t>彩色多普勒</w:t>
            </w:r>
          </w:p>
          <w:p w14:paraId="7B13A390">
            <w:pPr>
              <w:rPr>
                <w:rFonts w:hint="eastAsia" w:ascii="宋体" w:hAnsi="宋体" w:eastAsia="宋体" w:cs="宋体"/>
                <w:color w:val="auto"/>
                <w:highlight w:val="none"/>
              </w:rPr>
            </w:pPr>
            <w:r>
              <w:rPr>
                <w:rFonts w:hint="eastAsia" w:ascii="宋体" w:hAnsi="宋体" w:eastAsia="宋体" w:cs="宋体"/>
                <w:color w:val="auto"/>
                <w:highlight w:val="none"/>
              </w:rPr>
              <w:t>10.1</w:t>
            </w:r>
            <w:r>
              <w:rPr>
                <w:rFonts w:hint="eastAsia" w:ascii="宋体" w:hAnsi="宋体" w:eastAsia="宋体" w:cs="宋体"/>
                <w:color w:val="auto"/>
                <w:highlight w:val="none"/>
              </w:rPr>
              <w:tab/>
            </w:r>
            <w:r>
              <w:rPr>
                <w:rFonts w:hint="eastAsia" w:ascii="宋体" w:hAnsi="宋体" w:eastAsia="宋体" w:cs="宋体"/>
                <w:color w:val="auto"/>
                <w:highlight w:val="none"/>
              </w:rPr>
              <w:t>显示方式：能量显示，速度显示、二维立体血流显示</w:t>
            </w:r>
          </w:p>
          <w:p w14:paraId="45946196">
            <w:pPr>
              <w:rPr>
                <w:rFonts w:hint="eastAsia" w:ascii="宋体" w:hAnsi="宋体" w:eastAsia="宋体" w:cs="宋体"/>
                <w:color w:val="auto"/>
                <w:highlight w:val="none"/>
              </w:rPr>
            </w:pPr>
            <w:r>
              <w:rPr>
                <w:rFonts w:hint="eastAsia" w:ascii="宋体" w:hAnsi="宋体" w:eastAsia="宋体" w:cs="宋体"/>
                <w:color w:val="auto"/>
                <w:highlight w:val="none"/>
              </w:rPr>
              <w:t>10.2</w:t>
            </w:r>
            <w:r>
              <w:rPr>
                <w:rFonts w:hint="eastAsia" w:ascii="宋体" w:hAnsi="宋体" w:eastAsia="宋体" w:cs="宋体"/>
                <w:color w:val="auto"/>
                <w:highlight w:val="none"/>
              </w:rPr>
              <w:tab/>
            </w:r>
            <w:r>
              <w:rPr>
                <w:rFonts w:hint="eastAsia" w:ascii="宋体" w:hAnsi="宋体" w:eastAsia="宋体" w:cs="宋体"/>
                <w:color w:val="auto"/>
                <w:highlight w:val="none"/>
              </w:rPr>
              <w:t>凸阵探头，全视野，17cm深度时，在最高线密度下，彩色帧频≥10帧/秒；</w:t>
            </w:r>
          </w:p>
          <w:p w14:paraId="2A3C9F65">
            <w:pPr>
              <w:rPr>
                <w:rFonts w:hint="eastAsia" w:ascii="宋体" w:hAnsi="宋体" w:eastAsia="宋体" w:cs="宋体"/>
                <w:color w:val="auto"/>
                <w:highlight w:val="none"/>
              </w:rPr>
            </w:pPr>
            <w:r>
              <w:rPr>
                <w:rFonts w:hint="eastAsia" w:ascii="宋体" w:hAnsi="宋体" w:eastAsia="宋体" w:cs="宋体"/>
                <w:color w:val="auto"/>
                <w:highlight w:val="none"/>
              </w:rPr>
              <w:t>10.3</w:t>
            </w:r>
            <w:r>
              <w:rPr>
                <w:rFonts w:hint="eastAsia" w:ascii="宋体" w:hAnsi="宋体" w:eastAsia="宋体" w:cs="宋体"/>
                <w:color w:val="auto"/>
                <w:highlight w:val="none"/>
              </w:rPr>
              <w:tab/>
            </w:r>
            <w:r>
              <w:rPr>
                <w:rFonts w:hint="eastAsia" w:ascii="宋体" w:hAnsi="宋体" w:eastAsia="宋体" w:cs="宋体"/>
                <w:color w:val="auto"/>
                <w:highlight w:val="none"/>
              </w:rPr>
              <w:t>凸阵容积探头，全视野，17cm深度时，四维彩色成像帧频≥9帧/秒</w:t>
            </w:r>
          </w:p>
          <w:p w14:paraId="173339EB">
            <w:pPr>
              <w:rPr>
                <w:rFonts w:hint="eastAsia" w:ascii="宋体" w:hAnsi="宋体" w:eastAsia="宋体" w:cs="宋体"/>
                <w:color w:val="auto"/>
                <w:highlight w:val="none"/>
              </w:rPr>
            </w:pPr>
            <w:r>
              <w:rPr>
                <w:rFonts w:hint="eastAsia" w:ascii="宋体" w:hAnsi="宋体" w:eastAsia="宋体" w:cs="宋体"/>
                <w:color w:val="auto"/>
                <w:highlight w:val="none"/>
              </w:rPr>
              <w:t>10.4</w:t>
            </w:r>
            <w:r>
              <w:rPr>
                <w:rFonts w:hint="eastAsia" w:ascii="宋体" w:hAnsi="宋体" w:eastAsia="宋体" w:cs="宋体"/>
                <w:color w:val="auto"/>
                <w:highlight w:val="none"/>
              </w:rPr>
              <w:tab/>
            </w:r>
            <w:r>
              <w:rPr>
                <w:rFonts w:hint="eastAsia" w:ascii="宋体" w:hAnsi="宋体" w:eastAsia="宋体" w:cs="宋体"/>
                <w:color w:val="auto"/>
                <w:highlight w:val="none"/>
              </w:rPr>
              <w:t>彩色显示速度：最低平均血流测量速度≤5mm/s（非噪声信号）</w:t>
            </w:r>
          </w:p>
          <w:p w14:paraId="61CDA64F">
            <w:pPr>
              <w:rPr>
                <w:rFonts w:hint="eastAsia" w:ascii="宋体" w:hAnsi="宋体" w:eastAsia="宋体" w:cs="宋体"/>
                <w:color w:val="auto"/>
                <w:highlight w:val="none"/>
              </w:rPr>
            </w:pPr>
            <w:r>
              <w:rPr>
                <w:rFonts w:hint="eastAsia" w:ascii="宋体" w:hAnsi="宋体" w:eastAsia="宋体" w:cs="宋体"/>
                <w:color w:val="auto"/>
                <w:highlight w:val="none"/>
              </w:rPr>
              <w:t>10.5</w:t>
            </w:r>
            <w:r>
              <w:rPr>
                <w:rFonts w:hint="eastAsia" w:ascii="宋体" w:hAnsi="宋体" w:eastAsia="宋体" w:cs="宋体"/>
                <w:color w:val="auto"/>
                <w:highlight w:val="none"/>
              </w:rPr>
              <w:tab/>
            </w:r>
            <w:r>
              <w:rPr>
                <w:rFonts w:hint="eastAsia" w:ascii="宋体" w:hAnsi="宋体" w:eastAsia="宋体" w:cs="宋体"/>
                <w:color w:val="auto"/>
                <w:highlight w:val="none"/>
              </w:rPr>
              <w:t>彩色增强功能：彩色多普勒能量图，方向性能量图</w:t>
            </w:r>
          </w:p>
          <w:p w14:paraId="1F2AA54D">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 附件及其他要求</w:t>
            </w:r>
          </w:p>
          <w:p w14:paraId="62542F3F">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11.1 提供具备图像信息一体化处理的超声数字主机工作站一套</w:t>
            </w:r>
          </w:p>
          <w:p w14:paraId="44B0392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11.2 提供人体工学椅1把</w:t>
            </w:r>
          </w:p>
          <w:p w14:paraId="762452A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11.3 提供超声专用检查床一张</w:t>
            </w:r>
          </w:p>
          <w:p w14:paraId="46A0DE9F">
            <w:pPr>
              <w:rPr>
                <w:rFonts w:hint="eastAsia" w:ascii="宋体" w:hAnsi="宋体"/>
                <w:b/>
                <w:color w:val="auto"/>
                <w:szCs w:val="21"/>
              </w:rPr>
            </w:pPr>
            <w:r>
              <w:rPr>
                <w:rFonts w:hint="eastAsia" w:ascii="宋体" w:hAnsi="宋体" w:eastAsia="宋体" w:cs="宋体"/>
                <w:color w:val="auto"/>
                <w:highlight w:val="none"/>
                <w:lang w:val="en-US" w:eastAsia="zh-CN"/>
              </w:rPr>
              <w:t>11.4 提供一套触摸一体显示器</w:t>
            </w:r>
            <w:r>
              <w:rPr>
                <w:rFonts w:hint="eastAsia" w:ascii="微软雅黑" w:hAnsi="微软雅黑" w:eastAsia="微软雅黑" w:cs="微软雅黑"/>
                <w:color w:val="auto"/>
                <w:highlight w:val="none"/>
                <w:lang w:val="en-US" w:eastAsia="zh-CN"/>
              </w:rPr>
              <w:t>≧55寸</w:t>
            </w:r>
          </w:p>
        </w:tc>
        <w:tc>
          <w:tcPr>
            <w:tcW w:w="715" w:type="dxa"/>
            <w:vAlign w:val="center"/>
          </w:tcPr>
          <w:p w14:paraId="2B89CFB7">
            <w:pPr>
              <w:spacing w:line="440" w:lineRule="exact"/>
              <w:contextualSpacing/>
              <w:jc w:val="center"/>
              <w:rPr>
                <w:rFonts w:hint="eastAsia" w:ascii="宋体" w:hAnsi="宋体"/>
                <w:b/>
                <w:color w:val="auto"/>
                <w:szCs w:val="21"/>
              </w:rPr>
            </w:pPr>
          </w:p>
          <w:p w14:paraId="2B89CFB8">
            <w:pPr>
              <w:spacing w:line="440" w:lineRule="exact"/>
              <w:contextualSpacing/>
              <w:jc w:val="center"/>
              <w:rPr>
                <w:rFonts w:hint="eastAsia" w:ascii="宋体" w:hAnsi="宋体"/>
                <w:b/>
                <w:color w:val="auto"/>
                <w:szCs w:val="21"/>
              </w:rPr>
            </w:pPr>
          </w:p>
          <w:p w14:paraId="2B89CFB9">
            <w:pPr>
              <w:spacing w:line="440" w:lineRule="exact"/>
              <w:contextualSpacing/>
              <w:jc w:val="center"/>
              <w:rPr>
                <w:rFonts w:hint="eastAsia" w:ascii="宋体" w:hAnsi="宋体"/>
                <w:b/>
                <w:color w:val="auto"/>
                <w:szCs w:val="21"/>
              </w:rPr>
            </w:pPr>
          </w:p>
          <w:p w14:paraId="2B89CFBA">
            <w:pPr>
              <w:spacing w:line="440" w:lineRule="exact"/>
              <w:contextualSpacing/>
              <w:jc w:val="center"/>
              <w:rPr>
                <w:rFonts w:hint="eastAsia" w:ascii="宋体" w:hAnsi="宋体"/>
                <w:b/>
                <w:color w:val="auto"/>
                <w:szCs w:val="21"/>
              </w:rPr>
            </w:pPr>
          </w:p>
          <w:p w14:paraId="2B89CFBB">
            <w:pPr>
              <w:spacing w:line="440" w:lineRule="exact"/>
              <w:contextualSpacing/>
              <w:jc w:val="center"/>
              <w:rPr>
                <w:rFonts w:hint="eastAsia" w:ascii="宋体" w:hAnsi="宋体"/>
                <w:b/>
                <w:color w:val="auto"/>
                <w:szCs w:val="21"/>
              </w:rPr>
            </w:pPr>
          </w:p>
          <w:p w14:paraId="2B89CFBC">
            <w:pPr>
              <w:spacing w:line="440" w:lineRule="exact"/>
              <w:contextualSpacing/>
              <w:jc w:val="center"/>
              <w:rPr>
                <w:rFonts w:hint="eastAsia" w:ascii="宋体" w:hAnsi="宋体"/>
                <w:b/>
                <w:color w:val="auto"/>
                <w:szCs w:val="21"/>
              </w:rPr>
            </w:pPr>
          </w:p>
          <w:p w14:paraId="2B89CFBD">
            <w:pPr>
              <w:spacing w:line="440" w:lineRule="exact"/>
              <w:contextualSpacing/>
              <w:jc w:val="center"/>
              <w:rPr>
                <w:rFonts w:hint="eastAsia" w:ascii="宋体" w:hAnsi="宋体"/>
                <w:b/>
                <w:color w:val="auto"/>
                <w:szCs w:val="21"/>
              </w:rPr>
            </w:pPr>
          </w:p>
          <w:p w14:paraId="2B89CFBE">
            <w:pPr>
              <w:spacing w:line="440" w:lineRule="exact"/>
              <w:contextualSpacing/>
              <w:jc w:val="center"/>
              <w:rPr>
                <w:rFonts w:hint="eastAsia" w:ascii="宋体" w:hAnsi="宋体"/>
                <w:b/>
                <w:color w:val="auto"/>
                <w:szCs w:val="21"/>
              </w:rPr>
            </w:pPr>
          </w:p>
          <w:p w14:paraId="2B89CFBF">
            <w:pPr>
              <w:spacing w:line="440" w:lineRule="exact"/>
              <w:contextualSpacing/>
              <w:jc w:val="center"/>
              <w:rPr>
                <w:rFonts w:hint="eastAsia" w:ascii="宋体" w:hAnsi="宋体"/>
                <w:b/>
                <w:color w:val="auto"/>
                <w:szCs w:val="21"/>
              </w:rPr>
            </w:pPr>
          </w:p>
          <w:p w14:paraId="2B89CFC0">
            <w:pPr>
              <w:spacing w:line="440" w:lineRule="exact"/>
              <w:contextualSpacing/>
              <w:jc w:val="center"/>
              <w:rPr>
                <w:rFonts w:hint="eastAsia" w:ascii="宋体" w:hAnsi="宋体"/>
                <w:b/>
                <w:color w:val="auto"/>
                <w:szCs w:val="21"/>
              </w:rPr>
            </w:pPr>
          </w:p>
          <w:p w14:paraId="2B89CFC1">
            <w:pPr>
              <w:spacing w:line="440" w:lineRule="exact"/>
              <w:contextualSpacing/>
              <w:jc w:val="center"/>
              <w:rPr>
                <w:rFonts w:hint="eastAsia" w:ascii="宋体" w:hAnsi="宋体"/>
                <w:b/>
                <w:color w:val="auto"/>
                <w:szCs w:val="21"/>
              </w:rPr>
            </w:pPr>
          </w:p>
          <w:p w14:paraId="2B89CFC2">
            <w:pPr>
              <w:spacing w:line="440" w:lineRule="exact"/>
              <w:contextualSpacing/>
              <w:rPr>
                <w:rFonts w:hint="eastAsia" w:ascii="宋体" w:hAnsi="宋体"/>
                <w:b/>
                <w:color w:val="auto"/>
                <w:szCs w:val="21"/>
              </w:rPr>
            </w:pPr>
          </w:p>
          <w:p w14:paraId="2B89CFC3">
            <w:pPr>
              <w:spacing w:line="440" w:lineRule="exact"/>
              <w:contextualSpacing/>
              <w:jc w:val="center"/>
              <w:rPr>
                <w:rFonts w:hint="eastAsia" w:ascii="宋体" w:hAnsi="宋体"/>
                <w:b/>
                <w:color w:val="auto"/>
                <w:szCs w:val="21"/>
              </w:rPr>
            </w:pPr>
          </w:p>
          <w:p w14:paraId="2B89CFC4">
            <w:pPr>
              <w:spacing w:line="440" w:lineRule="exact"/>
              <w:contextualSpacing/>
              <w:jc w:val="center"/>
              <w:rPr>
                <w:rFonts w:hint="eastAsia" w:ascii="宋体" w:hAnsi="宋体"/>
                <w:b/>
                <w:color w:val="auto"/>
                <w:szCs w:val="21"/>
              </w:rPr>
            </w:pPr>
          </w:p>
          <w:p w14:paraId="2B89CFC5">
            <w:pPr>
              <w:spacing w:line="440" w:lineRule="exact"/>
              <w:contextualSpacing/>
              <w:jc w:val="center"/>
              <w:rPr>
                <w:rFonts w:hint="eastAsia" w:ascii="宋体" w:hAnsi="宋体"/>
                <w:b/>
                <w:color w:val="auto"/>
                <w:szCs w:val="21"/>
              </w:rPr>
            </w:pPr>
            <w:r>
              <w:rPr>
                <w:rFonts w:hint="eastAsia" w:ascii="宋体" w:hAnsi="宋体"/>
                <w:b/>
                <w:color w:val="auto"/>
                <w:szCs w:val="21"/>
              </w:rPr>
              <w:t>套</w:t>
            </w:r>
          </w:p>
        </w:tc>
        <w:tc>
          <w:tcPr>
            <w:tcW w:w="767" w:type="dxa"/>
            <w:vAlign w:val="center"/>
          </w:tcPr>
          <w:p w14:paraId="2B89CFC6">
            <w:pPr>
              <w:spacing w:line="440" w:lineRule="exact"/>
              <w:contextualSpacing/>
              <w:jc w:val="center"/>
              <w:rPr>
                <w:rFonts w:hint="eastAsia" w:ascii="宋体" w:hAnsi="宋体"/>
                <w:b/>
                <w:color w:val="auto"/>
                <w:szCs w:val="21"/>
              </w:rPr>
            </w:pPr>
          </w:p>
          <w:p w14:paraId="2B89CFC7">
            <w:pPr>
              <w:spacing w:line="440" w:lineRule="exact"/>
              <w:contextualSpacing/>
              <w:jc w:val="center"/>
              <w:rPr>
                <w:rFonts w:hint="eastAsia" w:ascii="宋体" w:hAnsi="宋体"/>
                <w:b/>
                <w:color w:val="auto"/>
                <w:szCs w:val="21"/>
              </w:rPr>
            </w:pPr>
          </w:p>
          <w:p w14:paraId="2B89CFC8">
            <w:pPr>
              <w:spacing w:line="440" w:lineRule="exact"/>
              <w:contextualSpacing/>
              <w:jc w:val="center"/>
              <w:rPr>
                <w:rFonts w:hint="eastAsia" w:ascii="宋体" w:hAnsi="宋体"/>
                <w:b/>
                <w:color w:val="auto"/>
                <w:szCs w:val="21"/>
              </w:rPr>
            </w:pPr>
          </w:p>
          <w:p w14:paraId="2B89CFC9">
            <w:pPr>
              <w:spacing w:line="440" w:lineRule="exact"/>
              <w:contextualSpacing/>
              <w:jc w:val="center"/>
              <w:rPr>
                <w:rFonts w:hint="eastAsia" w:ascii="宋体" w:hAnsi="宋体"/>
                <w:b/>
                <w:color w:val="auto"/>
                <w:szCs w:val="21"/>
              </w:rPr>
            </w:pPr>
          </w:p>
          <w:p w14:paraId="2B89CFCA">
            <w:pPr>
              <w:spacing w:line="440" w:lineRule="exact"/>
              <w:contextualSpacing/>
              <w:jc w:val="center"/>
              <w:rPr>
                <w:rFonts w:hint="eastAsia" w:ascii="宋体" w:hAnsi="宋体"/>
                <w:b/>
                <w:color w:val="auto"/>
                <w:szCs w:val="21"/>
              </w:rPr>
            </w:pPr>
          </w:p>
          <w:p w14:paraId="2B89CFCB">
            <w:pPr>
              <w:spacing w:line="440" w:lineRule="exact"/>
              <w:contextualSpacing/>
              <w:rPr>
                <w:rFonts w:hint="eastAsia" w:ascii="宋体" w:hAnsi="宋体"/>
                <w:b/>
                <w:color w:val="auto"/>
                <w:szCs w:val="21"/>
              </w:rPr>
            </w:pPr>
          </w:p>
          <w:p w14:paraId="2B89CFCC">
            <w:pPr>
              <w:spacing w:line="440" w:lineRule="exact"/>
              <w:contextualSpacing/>
              <w:jc w:val="center"/>
              <w:rPr>
                <w:rFonts w:hint="eastAsia" w:ascii="宋体" w:hAnsi="宋体"/>
                <w:b/>
                <w:color w:val="auto"/>
                <w:szCs w:val="21"/>
              </w:rPr>
            </w:pPr>
          </w:p>
          <w:p w14:paraId="2B89CFCD">
            <w:pPr>
              <w:spacing w:line="440" w:lineRule="exact"/>
              <w:contextualSpacing/>
              <w:jc w:val="center"/>
              <w:rPr>
                <w:rFonts w:hint="eastAsia" w:ascii="宋体" w:hAnsi="宋体"/>
                <w:b/>
                <w:color w:val="auto"/>
                <w:szCs w:val="21"/>
              </w:rPr>
            </w:pPr>
          </w:p>
          <w:p w14:paraId="2B89CFCE">
            <w:pPr>
              <w:spacing w:line="440" w:lineRule="exact"/>
              <w:contextualSpacing/>
              <w:jc w:val="center"/>
              <w:rPr>
                <w:rFonts w:hint="eastAsia" w:ascii="宋体" w:hAnsi="宋体"/>
                <w:b/>
                <w:color w:val="auto"/>
                <w:szCs w:val="21"/>
              </w:rPr>
            </w:pPr>
          </w:p>
          <w:p w14:paraId="2B89CFCF">
            <w:pPr>
              <w:spacing w:line="440" w:lineRule="exact"/>
              <w:contextualSpacing/>
              <w:jc w:val="center"/>
              <w:rPr>
                <w:rFonts w:hint="eastAsia" w:ascii="宋体" w:hAnsi="宋体"/>
                <w:b/>
                <w:color w:val="auto"/>
                <w:szCs w:val="21"/>
              </w:rPr>
            </w:pPr>
          </w:p>
          <w:p w14:paraId="2B89CFD0">
            <w:pPr>
              <w:spacing w:line="440" w:lineRule="exact"/>
              <w:contextualSpacing/>
              <w:jc w:val="center"/>
              <w:rPr>
                <w:rFonts w:hint="eastAsia" w:ascii="宋体" w:hAnsi="宋体"/>
                <w:b/>
                <w:color w:val="auto"/>
                <w:szCs w:val="21"/>
              </w:rPr>
            </w:pPr>
          </w:p>
          <w:p w14:paraId="2B89CFD1">
            <w:pPr>
              <w:spacing w:line="440" w:lineRule="exact"/>
              <w:contextualSpacing/>
              <w:jc w:val="center"/>
              <w:rPr>
                <w:rFonts w:hint="eastAsia" w:ascii="宋体" w:hAnsi="宋体"/>
                <w:b/>
                <w:color w:val="auto"/>
                <w:szCs w:val="21"/>
              </w:rPr>
            </w:pPr>
          </w:p>
          <w:p w14:paraId="2B89CFD2">
            <w:pPr>
              <w:spacing w:line="440" w:lineRule="exact"/>
              <w:contextualSpacing/>
              <w:jc w:val="center"/>
              <w:rPr>
                <w:rFonts w:hint="eastAsia" w:ascii="宋体" w:hAnsi="宋体"/>
                <w:b/>
                <w:color w:val="auto"/>
                <w:szCs w:val="21"/>
              </w:rPr>
            </w:pPr>
          </w:p>
          <w:p w14:paraId="2B89CFD3">
            <w:pPr>
              <w:spacing w:line="440" w:lineRule="exact"/>
              <w:contextualSpacing/>
              <w:jc w:val="center"/>
              <w:rPr>
                <w:rFonts w:hint="eastAsia" w:ascii="宋体" w:hAnsi="宋体"/>
                <w:b/>
                <w:color w:val="auto"/>
                <w:szCs w:val="21"/>
              </w:rPr>
            </w:pPr>
          </w:p>
          <w:p w14:paraId="2B89CFD4">
            <w:pPr>
              <w:spacing w:line="440" w:lineRule="exact"/>
              <w:contextualSpacing/>
              <w:jc w:val="center"/>
              <w:rPr>
                <w:rFonts w:hint="eastAsia" w:ascii="宋体" w:hAnsi="宋体"/>
                <w:b/>
                <w:color w:val="auto"/>
                <w:szCs w:val="21"/>
              </w:rPr>
            </w:pPr>
            <w:r>
              <w:rPr>
                <w:rFonts w:hint="eastAsia" w:ascii="宋体" w:hAnsi="宋体"/>
                <w:b/>
                <w:color w:val="auto"/>
                <w:szCs w:val="21"/>
              </w:rPr>
              <w:t>1</w:t>
            </w:r>
          </w:p>
        </w:tc>
        <w:tc>
          <w:tcPr>
            <w:tcW w:w="1919" w:type="dxa"/>
            <w:vAlign w:val="center"/>
          </w:tcPr>
          <w:p w14:paraId="2B89CFD5">
            <w:pPr>
              <w:spacing w:line="440" w:lineRule="exact"/>
              <w:contextualSpacing/>
              <w:jc w:val="center"/>
              <w:rPr>
                <w:rFonts w:hint="eastAsia" w:ascii="宋体" w:hAnsi="宋体"/>
                <w:b/>
                <w:color w:val="auto"/>
                <w:szCs w:val="21"/>
              </w:rPr>
            </w:pPr>
          </w:p>
          <w:p w14:paraId="2B89CFD6">
            <w:pPr>
              <w:spacing w:line="440" w:lineRule="exact"/>
              <w:contextualSpacing/>
              <w:jc w:val="center"/>
              <w:rPr>
                <w:rFonts w:hint="eastAsia" w:ascii="宋体" w:hAnsi="宋体"/>
                <w:b/>
                <w:color w:val="auto"/>
                <w:szCs w:val="21"/>
              </w:rPr>
            </w:pPr>
          </w:p>
          <w:p w14:paraId="2B89CFD7">
            <w:pPr>
              <w:spacing w:line="440" w:lineRule="exact"/>
              <w:contextualSpacing/>
              <w:jc w:val="center"/>
              <w:rPr>
                <w:rFonts w:hint="eastAsia" w:ascii="宋体" w:hAnsi="宋体"/>
                <w:b/>
                <w:color w:val="auto"/>
                <w:szCs w:val="21"/>
              </w:rPr>
            </w:pPr>
          </w:p>
          <w:p w14:paraId="2B89CFD8">
            <w:pPr>
              <w:spacing w:line="440" w:lineRule="exact"/>
              <w:contextualSpacing/>
              <w:jc w:val="center"/>
              <w:rPr>
                <w:rFonts w:hint="eastAsia" w:ascii="宋体" w:hAnsi="宋体"/>
                <w:b/>
                <w:color w:val="auto"/>
                <w:szCs w:val="21"/>
              </w:rPr>
            </w:pPr>
          </w:p>
          <w:p w14:paraId="2B89CFD9">
            <w:pPr>
              <w:spacing w:line="440" w:lineRule="exact"/>
              <w:contextualSpacing/>
              <w:jc w:val="center"/>
              <w:rPr>
                <w:rFonts w:hint="eastAsia" w:ascii="宋体" w:hAnsi="宋体"/>
                <w:b/>
                <w:color w:val="auto"/>
                <w:szCs w:val="21"/>
              </w:rPr>
            </w:pPr>
          </w:p>
          <w:p w14:paraId="2B89CFDA">
            <w:pPr>
              <w:spacing w:line="440" w:lineRule="exact"/>
              <w:contextualSpacing/>
              <w:jc w:val="center"/>
              <w:rPr>
                <w:rFonts w:hint="eastAsia" w:ascii="宋体" w:hAnsi="宋体"/>
                <w:b/>
                <w:color w:val="auto"/>
                <w:szCs w:val="21"/>
              </w:rPr>
            </w:pPr>
          </w:p>
          <w:p w14:paraId="2B89CFDB">
            <w:pPr>
              <w:spacing w:line="440" w:lineRule="exact"/>
              <w:contextualSpacing/>
              <w:jc w:val="center"/>
              <w:rPr>
                <w:rFonts w:hint="eastAsia" w:ascii="宋体" w:hAnsi="宋体"/>
                <w:b/>
                <w:color w:val="auto"/>
                <w:szCs w:val="21"/>
              </w:rPr>
            </w:pPr>
          </w:p>
          <w:p w14:paraId="2B89CFDC">
            <w:pPr>
              <w:spacing w:line="440" w:lineRule="exact"/>
              <w:contextualSpacing/>
              <w:jc w:val="center"/>
              <w:rPr>
                <w:rFonts w:hint="eastAsia" w:ascii="宋体" w:hAnsi="宋体"/>
                <w:b/>
                <w:color w:val="auto"/>
                <w:szCs w:val="21"/>
              </w:rPr>
            </w:pPr>
          </w:p>
          <w:p w14:paraId="2B89CFDD">
            <w:pPr>
              <w:spacing w:line="440" w:lineRule="exact"/>
              <w:contextualSpacing/>
              <w:rPr>
                <w:rFonts w:hint="eastAsia" w:ascii="宋体" w:hAnsi="宋体"/>
                <w:b/>
                <w:color w:val="auto"/>
                <w:szCs w:val="21"/>
              </w:rPr>
            </w:pPr>
          </w:p>
          <w:p w14:paraId="2B89CFDE">
            <w:pPr>
              <w:spacing w:line="440" w:lineRule="exact"/>
              <w:contextualSpacing/>
              <w:jc w:val="center"/>
              <w:rPr>
                <w:rFonts w:hint="eastAsia" w:ascii="宋体" w:hAnsi="宋体"/>
                <w:b/>
                <w:color w:val="auto"/>
                <w:szCs w:val="21"/>
              </w:rPr>
            </w:pPr>
          </w:p>
          <w:p w14:paraId="2B89CFDF">
            <w:pPr>
              <w:spacing w:line="440" w:lineRule="exact"/>
              <w:contextualSpacing/>
              <w:jc w:val="center"/>
              <w:rPr>
                <w:rFonts w:hint="eastAsia" w:ascii="宋体" w:hAnsi="宋体"/>
                <w:b/>
                <w:color w:val="auto"/>
                <w:szCs w:val="21"/>
              </w:rPr>
            </w:pPr>
          </w:p>
          <w:p w14:paraId="2B89CFE0">
            <w:pPr>
              <w:spacing w:line="440" w:lineRule="exact"/>
              <w:contextualSpacing/>
              <w:jc w:val="center"/>
              <w:rPr>
                <w:rFonts w:hint="eastAsia" w:ascii="宋体" w:hAnsi="宋体"/>
                <w:b/>
                <w:color w:val="auto"/>
                <w:szCs w:val="21"/>
              </w:rPr>
            </w:pPr>
          </w:p>
          <w:p w14:paraId="2B89CFE1">
            <w:pPr>
              <w:spacing w:line="440" w:lineRule="exact"/>
              <w:contextualSpacing/>
              <w:jc w:val="center"/>
              <w:rPr>
                <w:rFonts w:hint="eastAsia" w:ascii="宋体" w:hAnsi="宋体"/>
                <w:b/>
                <w:color w:val="auto"/>
                <w:szCs w:val="21"/>
              </w:rPr>
            </w:pPr>
          </w:p>
          <w:p w14:paraId="2B89CFE2">
            <w:pPr>
              <w:spacing w:line="440" w:lineRule="exact"/>
              <w:contextualSpacing/>
              <w:jc w:val="center"/>
              <w:rPr>
                <w:rFonts w:hint="eastAsia" w:ascii="宋体" w:hAnsi="宋体"/>
                <w:b/>
                <w:color w:val="auto"/>
                <w:szCs w:val="21"/>
              </w:rPr>
            </w:pPr>
          </w:p>
          <w:p w14:paraId="2B89CFE3">
            <w:pPr>
              <w:spacing w:line="440" w:lineRule="exact"/>
              <w:contextualSpacing/>
              <w:jc w:val="center"/>
              <w:rPr>
                <w:rFonts w:hint="eastAsia" w:ascii="宋体" w:hAnsi="宋体"/>
                <w:b/>
                <w:color w:val="auto"/>
                <w:szCs w:val="21"/>
              </w:rPr>
            </w:pPr>
            <w:r>
              <w:rPr>
                <w:rFonts w:hint="eastAsia" w:ascii="宋体" w:hAnsi="宋体"/>
                <w:b/>
                <w:color w:val="auto"/>
                <w:szCs w:val="21"/>
                <w:lang w:val="en-US" w:eastAsia="zh-CN"/>
              </w:rPr>
              <w:t>工业</w:t>
            </w:r>
          </w:p>
        </w:tc>
        <w:tc>
          <w:tcPr>
            <w:tcW w:w="815" w:type="dxa"/>
            <w:vAlign w:val="center"/>
          </w:tcPr>
          <w:p w14:paraId="14F80D47">
            <w:pPr>
              <w:spacing w:line="440" w:lineRule="exact"/>
              <w:contextualSpacing/>
              <w:jc w:val="center"/>
              <w:rPr>
                <w:rFonts w:hint="eastAsia" w:ascii="宋体" w:hAnsi="宋体"/>
                <w:b/>
                <w:color w:val="auto"/>
                <w:szCs w:val="21"/>
                <w:lang w:val="en-US" w:eastAsia="zh-CN"/>
              </w:rPr>
            </w:pPr>
          </w:p>
          <w:p w14:paraId="20C3D85E">
            <w:pPr>
              <w:spacing w:line="440" w:lineRule="exact"/>
              <w:contextualSpacing/>
              <w:jc w:val="center"/>
              <w:rPr>
                <w:rFonts w:hint="eastAsia" w:ascii="宋体" w:hAnsi="宋体"/>
                <w:b/>
                <w:color w:val="auto"/>
                <w:szCs w:val="21"/>
                <w:lang w:val="en-US" w:eastAsia="zh-CN"/>
              </w:rPr>
            </w:pPr>
          </w:p>
          <w:p w14:paraId="224FDA4B">
            <w:pPr>
              <w:spacing w:line="440" w:lineRule="exact"/>
              <w:contextualSpacing/>
              <w:jc w:val="center"/>
              <w:rPr>
                <w:rFonts w:hint="eastAsia" w:ascii="宋体" w:hAnsi="宋体"/>
                <w:b/>
                <w:color w:val="auto"/>
                <w:szCs w:val="21"/>
                <w:lang w:val="en-US" w:eastAsia="zh-CN"/>
              </w:rPr>
            </w:pPr>
          </w:p>
          <w:p w14:paraId="5C0C9105">
            <w:pPr>
              <w:spacing w:line="440" w:lineRule="exact"/>
              <w:contextualSpacing/>
              <w:jc w:val="center"/>
              <w:rPr>
                <w:rFonts w:hint="eastAsia" w:ascii="宋体" w:hAnsi="宋体"/>
                <w:b/>
                <w:color w:val="auto"/>
                <w:szCs w:val="21"/>
                <w:lang w:val="en-US" w:eastAsia="zh-CN"/>
              </w:rPr>
            </w:pPr>
          </w:p>
          <w:p w14:paraId="04C1AD2B">
            <w:pPr>
              <w:spacing w:line="440" w:lineRule="exact"/>
              <w:contextualSpacing/>
              <w:jc w:val="center"/>
              <w:rPr>
                <w:rFonts w:hint="eastAsia" w:ascii="宋体" w:hAnsi="宋体"/>
                <w:b/>
                <w:color w:val="auto"/>
                <w:szCs w:val="21"/>
                <w:lang w:val="en-US" w:eastAsia="zh-CN"/>
              </w:rPr>
            </w:pPr>
          </w:p>
          <w:p w14:paraId="2F2755A3">
            <w:pPr>
              <w:spacing w:line="440" w:lineRule="exact"/>
              <w:contextualSpacing/>
              <w:jc w:val="center"/>
              <w:rPr>
                <w:rFonts w:hint="eastAsia" w:ascii="宋体" w:hAnsi="宋体"/>
                <w:b/>
                <w:color w:val="auto"/>
                <w:szCs w:val="21"/>
                <w:lang w:val="en-US" w:eastAsia="zh-CN"/>
              </w:rPr>
            </w:pPr>
          </w:p>
          <w:p w14:paraId="670D292F">
            <w:pPr>
              <w:spacing w:line="440" w:lineRule="exact"/>
              <w:contextualSpacing/>
              <w:jc w:val="center"/>
              <w:rPr>
                <w:rFonts w:hint="eastAsia" w:ascii="宋体" w:hAnsi="宋体"/>
                <w:b/>
                <w:color w:val="auto"/>
                <w:szCs w:val="21"/>
                <w:lang w:val="en-US" w:eastAsia="zh-CN"/>
              </w:rPr>
            </w:pPr>
          </w:p>
          <w:p w14:paraId="52CFA62D">
            <w:pPr>
              <w:spacing w:line="440" w:lineRule="exact"/>
              <w:contextualSpacing/>
              <w:jc w:val="center"/>
              <w:rPr>
                <w:rFonts w:hint="eastAsia" w:ascii="宋体" w:hAnsi="宋体"/>
                <w:b/>
                <w:color w:val="auto"/>
                <w:szCs w:val="21"/>
                <w:lang w:val="en-US" w:eastAsia="zh-CN"/>
              </w:rPr>
            </w:pPr>
          </w:p>
          <w:p w14:paraId="593B235F">
            <w:pPr>
              <w:spacing w:line="440" w:lineRule="exact"/>
              <w:contextualSpacing/>
              <w:jc w:val="center"/>
              <w:rPr>
                <w:rFonts w:hint="eastAsia" w:ascii="宋体" w:hAnsi="宋体"/>
                <w:b/>
                <w:color w:val="auto"/>
                <w:szCs w:val="21"/>
                <w:lang w:val="en-US" w:eastAsia="zh-CN"/>
              </w:rPr>
            </w:pPr>
          </w:p>
          <w:p w14:paraId="7A076530">
            <w:pPr>
              <w:spacing w:line="440" w:lineRule="exact"/>
              <w:contextualSpacing/>
              <w:jc w:val="center"/>
              <w:rPr>
                <w:rFonts w:hint="eastAsia" w:ascii="宋体" w:hAnsi="宋体"/>
                <w:b/>
                <w:color w:val="auto"/>
                <w:szCs w:val="21"/>
                <w:lang w:val="en-US" w:eastAsia="zh-CN"/>
              </w:rPr>
            </w:pPr>
          </w:p>
          <w:p w14:paraId="05562F0F">
            <w:pPr>
              <w:spacing w:line="440" w:lineRule="exact"/>
              <w:contextualSpacing/>
              <w:jc w:val="center"/>
              <w:rPr>
                <w:rFonts w:hint="eastAsia" w:ascii="宋体" w:hAnsi="宋体"/>
                <w:b/>
                <w:color w:val="auto"/>
                <w:szCs w:val="21"/>
                <w:lang w:val="en-US" w:eastAsia="zh-CN"/>
              </w:rPr>
            </w:pPr>
          </w:p>
          <w:p w14:paraId="62103E01">
            <w:pPr>
              <w:spacing w:line="440" w:lineRule="exact"/>
              <w:contextualSpacing/>
              <w:jc w:val="center"/>
              <w:rPr>
                <w:rFonts w:hint="eastAsia" w:ascii="宋体" w:hAnsi="宋体"/>
                <w:b/>
                <w:color w:val="auto"/>
                <w:szCs w:val="21"/>
                <w:lang w:val="en-US" w:eastAsia="zh-CN"/>
              </w:rPr>
            </w:pPr>
          </w:p>
          <w:p w14:paraId="23EB56F8">
            <w:pPr>
              <w:spacing w:line="440" w:lineRule="exact"/>
              <w:contextualSpacing/>
              <w:jc w:val="center"/>
              <w:rPr>
                <w:rFonts w:hint="eastAsia" w:ascii="宋体" w:hAnsi="宋体"/>
                <w:b/>
                <w:color w:val="auto"/>
                <w:szCs w:val="21"/>
                <w:lang w:val="en-US" w:eastAsia="zh-CN"/>
              </w:rPr>
            </w:pPr>
          </w:p>
          <w:p w14:paraId="630E5DD1">
            <w:pPr>
              <w:spacing w:line="440" w:lineRule="exact"/>
              <w:contextualSpacing/>
              <w:jc w:val="center"/>
              <w:rPr>
                <w:rFonts w:hint="eastAsia" w:ascii="宋体" w:hAnsi="宋体"/>
                <w:b/>
                <w:color w:val="auto"/>
                <w:szCs w:val="21"/>
                <w:lang w:val="en-US" w:eastAsia="zh-CN"/>
              </w:rPr>
            </w:pPr>
          </w:p>
          <w:p w14:paraId="2B89CFE4">
            <w:pPr>
              <w:spacing w:line="440" w:lineRule="exact"/>
              <w:contextualSpacing/>
              <w:jc w:val="center"/>
              <w:rPr>
                <w:rFonts w:hint="eastAsia" w:ascii="宋体" w:hAnsi="宋体" w:eastAsiaTheme="minorEastAsia"/>
                <w:b/>
                <w:color w:val="auto"/>
                <w:szCs w:val="21"/>
                <w:lang w:val="en-US" w:eastAsia="zh-CN"/>
              </w:rPr>
            </w:pPr>
            <w:r>
              <w:rPr>
                <w:rFonts w:hint="eastAsia" w:ascii="宋体" w:hAnsi="宋体"/>
                <w:b/>
                <w:color w:val="auto"/>
                <w:szCs w:val="21"/>
                <w:lang w:val="en-US" w:eastAsia="zh-CN"/>
              </w:rPr>
              <w:t>是</w:t>
            </w:r>
          </w:p>
        </w:tc>
      </w:tr>
    </w:tbl>
    <w:p w14:paraId="428FBBB8">
      <w:pPr>
        <w:keepNext w:val="0"/>
        <w:keepLines w:val="0"/>
        <w:pageBreakBefore w:val="0"/>
        <w:widowControl/>
        <w:shd w:val="clear" w:color="auto" w:fill="FFFFFF"/>
        <w:kinsoku/>
        <w:wordWrap/>
        <w:overflowPunct/>
        <w:topLinePunct w:val="0"/>
        <w:autoSpaceDE/>
        <w:autoSpaceDN/>
        <w:bidi w:val="0"/>
        <w:adjustRightInd/>
        <w:spacing w:line="440" w:lineRule="exact"/>
        <w:ind w:firstLine="422" w:firstLineChars="200"/>
        <w:contextualSpacing/>
        <w:jc w:val="left"/>
        <w:textAlignment w:val="auto"/>
        <w:rPr>
          <w:rFonts w:hint="eastAsia" w:ascii="宋体" w:hAnsi="宋体" w:eastAsia="宋体" w:cs="仿宋_GB2312"/>
          <w:color w:val="auto"/>
          <w:szCs w:val="21"/>
          <w:highlight w:val="none"/>
        </w:rPr>
      </w:pPr>
      <w:r>
        <w:rPr>
          <w:rFonts w:hint="eastAsia" w:ascii="宋体" w:hAnsi="宋体" w:cs="宋体"/>
          <w:b/>
          <w:color w:val="auto"/>
          <w:sz w:val="21"/>
          <w:szCs w:val="21"/>
          <w:highlight w:val="none"/>
          <w:lang w:val="zh-CN"/>
        </w:rPr>
        <w:t>采购清单中</w:t>
      </w:r>
      <w:r>
        <w:rPr>
          <w:rFonts w:hint="eastAsia" w:ascii="宋体" w:hAnsi="宋体" w:cs="宋体"/>
          <w:b/>
          <w:color w:val="auto"/>
          <w:sz w:val="21"/>
          <w:szCs w:val="21"/>
          <w:highlight w:val="none"/>
        </w:rPr>
        <w:t>技术性能或技术参数</w:t>
      </w:r>
      <w:r>
        <w:rPr>
          <w:rFonts w:hint="eastAsia" w:ascii="宋体" w:hAnsi="宋体" w:cs="宋体"/>
          <w:b/>
          <w:color w:val="auto"/>
          <w:sz w:val="21"/>
          <w:szCs w:val="21"/>
          <w:highlight w:val="none"/>
          <w:lang w:val="zh-CN"/>
        </w:rPr>
        <w:t>所列</w:t>
      </w:r>
      <w:r>
        <w:rPr>
          <w:rFonts w:hint="eastAsia" w:ascii="宋体" w:hAnsi="宋体" w:cs="宋体"/>
          <w:b/>
          <w:color w:val="auto"/>
          <w:sz w:val="21"/>
          <w:szCs w:val="21"/>
          <w:highlight w:val="none"/>
        </w:rPr>
        <w:t>要求</w:t>
      </w:r>
      <w:r>
        <w:rPr>
          <w:rFonts w:hint="eastAsia" w:ascii="宋体" w:hAnsi="宋体" w:cs="宋体"/>
          <w:b/>
          <w:color w:val="auto"/>
          <w:sz w:val="21"/>
          <w:szCs w:val="21"/>
          <w:highlight w:val="none"/>
          <w:lang w:val="zh-CN"/>
        </w:rPr>
        <w:t>为最低要求，不允许负偏离，否则将承担其投标被视为非实质性响应投标的风险。</w:t>
      </w:r>
    </w:p>
    <w:p w14:paraId="2B89CFE6">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三、报价要求及其他相关要求</w:t>
      </w:r>
      <w:r>
        <w:rPr>
          <w:rFonts w:hint="eastAsia" w:ascii="宋体" w:hAnsi="宋体" w:eastAsia="宋体" w:cs="仿宋_GB2312"/>
          <w:color w:val="auto"/>
          <w:szCs w:val="21"/>
          <w:lang w:eastAsia="zh-CN"/>
        </w:rPr>
        <w:t>：</w:t>
      </w:r>
    </w:p>
    <w:p w14:paraId="2B89CFE7">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1.投标人应就该项目完整投标</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报价含设备、安装调试、保修、运输、培训、税费等综合费用</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否则为无效投标。</w:t>
      </w:r>
    </w:p>
    <w:p w14:paraId="2B89CFE8">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2.投标文件中须有详细合理的实施</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技术</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方案。</w:t>
      </w:r>
    </w:p>
    <w:p w14:paraId="2B89CFE9">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3.投标人须明确投标产品的厂家、产地、品牌、型号、详细参数。</w:t>
      </w:r>
    </w:p>
    <w:p w14:paraId="2B89CFEA">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4.产品必须符合国家质量检测标准和本招标文件规定标准的全新正品现货，提供随货物《产品合格证》，产品应符合最新版本的国家或行业的标准，完全符合规定的质量、规格和性能的要求。投标人应保证所提供的产品在正确安装、正常运转和正常保养条件下，可满足采购人使用需求并在其使用寿命期内应具有满意的性能。在产品质量保证期之内，投标人应对由于设计、工艺或材料的缺陷而发生的任何不足或故障负责。</w:t>
      </w:r>
    </w:p>
    <w:p w14:paraId="2B89CFEB">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5.专利权</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投标人应保证所投设备及软件产品</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模块</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不涉及专利和知识产权侵权等问题</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投标人须承诺所投产品涉及到的专利和专有技术的来源和使用均合法，免受第三方提出的侵犯其专利权商标权或其他知识产权的起诉。如发生此类纠纷，由中标方承担一切责任，如因此给甲方造成损失的，中标方负责全额赔偿。</w:t>
      </w:r>
    </w:p>
    <w:p w14:paraId="2B89CFEC">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6.本项目为交钥匙工程</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包括设备、材料、元件等购置、安装调试、验收、与</w:t>
      </w:r>
      <w:r>
        <w:rPr>
          <w:rFonts w:hint="eastAsia" w:ascii="宋体" w:hAnsi="宋体" w:eastAsia="宋体" w:cs="仿宋_GB2312"/>
          <w:color w:val="auto"/>
          <w:szCs w:val="21"/>
          <w:lang w:eastAsia="zh-CN"/>
        </w:rPr>
        <w:t>其他</w:t>
      </w:r>
      <w:r>
        <w:rPr>
          <w:rFonts w:hint="eastAsia" w:ascii="宋体" w:hAnsi="宋体" w:eastAsia="宋体" w:cs="仿宋_GB2312"/>
          <w:color w:val="auto"/>
          <w:szCs w:val="21"/>
        </w:rPr>
        <w:t>施工单位协作所产生的费用等</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w:t>
      </w:r>
    </w:p>
    <w:p w14:paraId="2B89CFED">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7.中标人供货时随货提供维护手册、维修手册、软件备份、故障代码表、备件清单、零部件、维修密码等维护维修必需的材料和信息。</w:t>
      </w:r>
    </w:p>
    <w:p w14:paraId="2B89CFEE">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8.设备交付正常使用前产生的所有费用均由投标人承担。</w:t>
      </w:r>
    </w:p>
    <w:p w14:paraId="2B89CFEF">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四、服务标准、期限、效率等要求</w:t>
      </w:r>
    </w:p>
    <w:p w14:paraId="2B89CFF0">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1.本次采购某些技术标准与国家所要求的标准不统一或有不兼容的地方</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均以国家强制性标准或最新出台的标准为准。</w:t>
      </w:r>
    </w:p>
    <w:p w14:paraId="2B89CFF1">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2.如果未在招标文件中要求提供其相关行业标准或国家强制性标准的</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则投标人有责任给予补充说明。</w:t>
      </w:r>
    </w:p>
    <w:p w14:paraId="2B89CFF2">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3.中标方未达到作业计划标准及工作违规或引起纠纷、被上级部门处罚等不良后果，造成重大经济损失或服务严重失误，采购方有权终止本合同，并追究中标方的经济责任</w:t>
      </w:r>
      <w:r>
        <w:rPr>
          <w:rFonts w:hint="eastAsia" w:ascii="宋体" w:hAnsi="宋体" w:eastAsia="宋体" w:cs="仿宋_GB2312"/>
          <w:color w:val="auto"/>
          <w:szCs w:val="21"/>
          <w:lang w:eastAsia="zh-CN"/>
        </w:rPr>
        <w:t>：</w:t>
      </w:r>
    </w:p>
    <w:p w14:paraId="2B89CFF3">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4.质保期</w:t>
      </w:r>
    </w:p>
    <w:p w14:paraId="2B89CFF4">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4.1按采购清单及技术参数中要求执行。且符合国家三包政策及相关强制性条款。</w:t>
      </w:r>
    </w:p>
    <w:p w14:paraId="2B89CFF5">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4.2质保期为设备安装调试验收合格后不少于1年</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产品参数中有特殊要求的以参数要求的为准</w:t>
      </w:r>
      <w:r>
        <w:rPr>
          <w:rFonts w:hint="eastAsia" w:ascii="宋体" w:hAnsi="宋体" w:eastAsia="宋体" w:cs="仿宋_GB2312"/>
          <w:color w:val="auto"/>
          <w:szCs w:val="21"/>
          <w:lang w:eastAsia="zh-CN"/>
        </w:rPr>
        <w:t>），投标人中标后所供货物必须是投标截止日期前6个月内生产的</w:t>
      </w:r>
      <w:r>
        <w:rPr>
          <w:rFonts w:hint="eastAsia" w:ascii="宋体" w:hAnsi="宋体" w:eastAsia="宋体" w:cs="仿宋_GB2312"/>
          <w:color w:val="auto"/>
          <w:szCs w:val="21"/>
        </w:rPr>
        <w:t>。</w:t>
      </w:r>
    </w:p>
    <w:p w14:paraId="2B89CFF6">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4.3质保期内免费提供产品维护并提供技术支持及免费软件升级更新</w:t>
      </w:r>
    </w:p>
    <w:p w14:paraId="2B89CFF7">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4.4质保年限外维修收取成本费用</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价格以当年市场行情以成本价收取</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w:t>
      </w:r>
    </w:p>
    <w:p w14:paraId="2B89CFF8">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5.售后服务</w:t>
      </w:r>
    </w:p>
    <w:p w14:paraId="2B89CFF9">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5.1产品使用期间，中标人应当为用户提供技术援助电话，解答用户在使用中遇到的问题，及时为用户提出解决问题的建议。</w:t>
      </w:r>
    </w:p>
    <w:p w14:paraId="2B89CFFA">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5.2维修配件</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中标人应提供备品备件</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保证用户应急所需。使用的维修零配件应为原厂配件</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未经用户同意不得使用非原厂配件。</w:t>
      </w:r>
    </w:p>
    <w:p w14:paraId="2B89CFFB">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5.3中标人在交货安装调试完成后，需按照采购方的要求，为采购方工作人员提供免费的产品技能培训，使其能够独立操作，并可以简单地维护和保养。</w:t>
      </w:r>
    </w:p>
    <w:p w14:paraId="2B89CFFC">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5.4中标人应在产品质保期内为采购方提供优质的技术服务，配合招标人适配及效果评估等服务。质保期内发生故障或质量问题，卖方在接到通知后1小时进行响应，12 小时到达，24 小时内处理问题，否则需提供备用机直至原设备修好为止</w:t>
      </w:r>
      <w:r>
        <w:rPr>
          <w:rFonts w:hint="eastAsia" w:ascii="宋体" w:hAnsi="宋体" w:eastAsia="宋体" w:cs="仿宋_GB2312"/>
          <w:color w:val="auto"/>
          <w:szCs w:val="21"/>
          <w:lang w:eastAsia="zh-CN"/>
        </w:rPr>
        <w:t>；</w:t>
      </w:r>
    </w:p>
    <w:p w14:paraId="2B89CFFD">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五、验收标准</w:t>
      </w:r>
    </w:p>
    <w:p w14:paraId="2B89CFFE">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1.采购人有权要求中标候选人提供所有与本次投标相关资料原件进行查验</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无法提供或有造假等违法违规行为根据相关规定执行处理。</w:t>
      </w:r>
    </w:p>
    <w:p w14:paraId="2B89CFFF">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2.本次采购的货物安装调试结束后，由中标供应商会同采购单位按双方规定的标准及合同要求进行联合验收。按照采购合同的约定对中标人履约情况进行验收。验收时</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按照采购合同的约定对每一项技术、服务、安全标准的履约情况进行确认。验收结束后</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出具验收书</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列明各项标准的验收情况及项目总体评价</w:t>
      </w:r>
      <w:r>
        <w:rPr>
          <w:rFonts w:hint="eastAsia" w:ascii="宋体" w:hAnsi="宋体" w:eastAsia="宋体" w:cs="仿宋_GB2312"/>
          <w:color w:val="auto"/>
          <w:szCs w:val="21"/>
          <w:lang w:eastAsia="zh-CN"/>
        </w:rPr>
        <w:t>，</w:t>
      </w:r>
      <w:r>
        <w:rPr>
          <w:rFonts w:hint="eastAsia" w:ascii="宋体" w:hAnsi="宋体" w:eastAsia="宋体" w:cs="仿宋_GB2312"/>
          <w:color w:val="auto"/>
          <w:szCs w:val="21"/>
        </w:rPr>
        <w:t>由验收双方共同签署。</w:t>
      </w:r>
    </w:p>
    <w:p w14:paraId="2B89D000">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3.系统安装、调试过程，中标人应</w:t>
      </w:r>
      <w:r>
        <w:rPr>
          <w:rFonts w:hint="eastAsia" w:ascii="宋体" w:hAnsi="宋体" w:eastAsia="宋体" w:cs="仿宋_GB2312"/>
          <w:color w:val="auto"/>
          <w:szCs w:val="21"/>
          <w:lang w:eastAsia="zh-CN"/>
        </w:rPr>
        <w:t>做</w:t>
      </w:r>
      <w:r>
        <w:rPr>
          <w:rFonts w:hint="eastAsia" w:ascii="宋体" w:hAnsi="宋体" w:eastAsia="宋体" w:cs="仿宋_GB2312"/>
          <w:color w:val="auto"/>
          <w:szCs w:val="21"/>
        </w:rPr>
        <w:t>详细检验记录。安装调试检验结果应符合国家规定的技术规范和招投标文件规定。检验记录应真实并提供给采购人。系统安装调试完毕后，开始为期一周的试运行，在试运行期间系统工作稳定、可靠，设备性能指标、质量不变的情况下，采购人根据招标文件组织相关人员进行最终验收。</w:t>
      </w:r>
    </w:p>
    <w:p w14:paraId="2B89D001">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4.货物的功能符合招投标技术参数要求。</w:t>
      </w:r>
    </w:p>
    <w:p w14:paraId="2B89D002">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5.按照国家相关标准、行业标准、地方标准或者其他标准、规范验收</w:t>
      </w:r>
      <w:r>
        <w:rPr>
          <w:rFonts w:hint="eastAsia" w:ascii="宋体" w:hAnsi="宋体" w:eastAsia="宋体" w:cs="仿宋_GB2312"/>
          <w:color w:val="auto"/>
          <w:szCs w:val="21"/>
          <w:lang w:eastAsia="zh-CN"/>
        </w:rPr>
        <w:t>；</w:t>
      </w:r>
    </w:p>
    <w:p w14:paraId="2B89D003">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6.按照招标文件要求、投标文件响应和承诺验收。</w:t>
      </w:r>
    </w:p>
    <w:p w14:paraId="2B89D004">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7.本项目验收如需要第三方验收，中标方将承担所有产生的费用，</w:t>
      </w:r>
    </w:p>
    <w:p w14:paraId="2B89D005">
      <w:pPr>
        <w:spacing w:line="360" w:lineRule="auto"/>
        <w:ind w:firstLine="420" w:firstLineChars="200"/>
        <w:jc w:val="left"/>
        <w:rPr>
          <w:rFonts w:hint="eastAsia" w:ascii="宋体" w:hAnsi="宋体" w:eastAsia="宋体" w:cs="仿宋_GB2312"/>
          <w:color w:val="auto"/>
          <w:szCs w:val="21"/>
        </w:rPr>
      </w:pPr>
      <w:r>
        <w:rPr>
          <w:rFonts w:hint="eastAsia" w:ascii="宋体" w:hAnsi="宋体" w:eastAsia="宋体" w:cs="仿宋_GB2312"/>
          <w:color w:val="auto"/>
          <w:szCs w:val="21"/>
        </w:rPr>
        <w:t>六、支付方式：</w:t>
      </w:r>
    </w:p>
    <w:p w14:paraId="2B89D006">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eastAsia="zh-CN"/>
        </w:rPr>
        <w:t>1.</w:t>
      </w:r>
      <w:r>
        <w:rPr>
          <w:rFonts w:hint="eastAsia" w:ascii="宋体" w:hAnsi="宋体" w:eastAsia="宋体" w:cs="宋体"/>
          <w:color w:val="auto"/>
          <w:szCs w:val="21"/>
        </w:rPr>
        <w:t>支付方式：</w:t>
      </w:r>
      <w:r>
        <w:rPr>
          <w:rFonts w:hint="eastAsia" w:ascii="宋体" w:hAnsi="宋体" w:eastAsia="宋体" w:cs="仿宋_GB2312"/>
          <w:color w:val="auto"/>
          <w:szCs w:val="21"/>
        </w:rPr>
        <w:t>双方签订合同约定</w:t>
      </w:r>
      <w:r>
        <w:rPr>
          <w:rFonts w:hint="eastAsia" w:ascii="宋体" w:hAnsi="宋体" w:eastAsia="宋体" w:cs="宋体"/>
          <w:color w:val="auto"/>
          <w:szCs w:val="21"/>
        </w:rPr>
        <w:t>。</w:t>
      </w:r>
    </w:p>
    <w:p w14:paraId="2B89D007">
      <w:pPr>
        <w:spacing w:line="360" w:lineRule="auto"/>
        <w:ind w:firstLine="420" w:firstLineChars="200"/>
        <w:jc w:val="left"/>
        <w:rPr>
          <w:rFonts w:hint="eastAsia" w:ascii="宋体" w:hAnsi="宋体" w:eastAsia="宋体" w:cs="宋体"/>
          <w:color w:val="auto"/>
          <w:sz w:val="24"/>
          <w:szCs w:val="24"/>
        </w:rPr>
      </w:pPr>
      <w:r>
        <w:rPr>
          <w:rFonts w:hint="eastAsia" w:ascii="宋体" w:hAnsi="宋体" w:eastAsia="宋体" w:cs="宋体"/>
          <w:color w:val="auto"/>
          <w:szCs w:val="21"/>
          <w:lang w:eastAsia="zh-CN"/>
        </w:rPr>
        <w:t>2.</w:t>
      </w:r>
      <w:r>
        <w:rPr>
          <w:rFonts w:hint="eastAsia" w:ascii="宋体" w:hAnsi="宋体" w:eastAsia="宋体" w:cs="宋体"/>
          <w:color w:val="auto"/>
          <w:szCs w:val="21"/>
        </w:rPr>
        <w:t>支付时间及条件：</w:t>
      </w:r>
      <w:r>
        <w:rPr>
          <w:rFonts w:hint="eastAsia" w:ascii="宋体" w:hAnsi="宋体" w:eastAsia="宋体" w:cs="仿宋_GB2312"/>
          <w:color w:val="auto"/>
          <w:szCs w:val="21"/>
        </w:rPr>
        <w:t>双方签订合同约定</w:t>
      </w:r>
      <w:r>
        <w:rPr>
          <w:rFonts w:hint="eastAsia" w:ascii="宋体" w:hAnsi="宋体" w:eastAsia="宋体" w:cs="宋体"/>
          <w:color w:val="auto"/>
          <w:szCs w:val="21"/>
        </w:rPr>
        <w:t>。</w:t>
      </w:r>
    </w:p>
    <w:p w14:paraId="2B89D008">
      <w:pPr>
        <w:jc w:val="left"/>
        <w:rPr>
          <w:rFonts w:ascii="Calibri" w:hAnsi="Calibri" w:eastAsia="宋体" w:cs="Helvetica"/>
          <w:bCs/>
          <w:color w:val="auto"/>
        </w:rPr>
      </w:pPr>
    </w:p>
    <w:p w14:paraId="2B89D009">
      <w:pPr>
        <w:pStyle w:val="2"/>
        <w:rPr>
          <w:color w:val="auto"/>
        </w:rPr>
      </w:pPr>
    </w:p>
    <w:p w14:paraId="6A148183">
      <w:pPr>
        <w:pStyle w:val="2"/>
        <w:rPr>
          <w:color w:val="auto"/>
        </w:rPr>
      </w:pPr>
    </w:p>
    <w:p w14:paraId="5557DDDD">
      <w:pPr>
        <w:pStyle w:val="2"/>
        <w:rPr>
          <w:color w:val="auto"/>
        </w:rPr>
      </w:pPr>
    </w:p>
    <w:p w14:paraId="4BFF874A">
      <w:pPr>
        <w:pStyle w:val="2"/>
        <w:rPr>
          <w:color w:val="auto"/>
        </w:rPr>
      </w:pPr>
    </w:p>
    <w:p w14:paraId="101BE737">
      <w:pPr>
        <w:pStyle w:val="2"/>
        <w:rPr>
          <w:color w:val="auto"/>
        </w:rPr>
      </w:pPr>
    </w:p>
    <w:p w14:paraId="65053803">
      <w:pPr>
        <w:pStyle w:val="2"/>
        <w:rPr>
          <w:color w:val="auto"/>
        </w:rPr>
      </w:pPr>
    </w:p>
    <w:p w14:paraId="487056A8">
      <w:pPr>
        <w:pStyle w:val="2"/>
        <w:rPr>
          <w:color w:val="auto"/>
        </w:rPr>
      </w:pPr>
    </w:p>
    <w:p w14:paraId="71A74B39">
      <w:pPr>
        <w:pStyle w:val="2"/>
        <w:rPr>
          <w:color w:val="auto"/>
        </w:rPr>
      </w:pPr>
    </w:p>
    <w:p w14:paraId="4A2770D3">
      <w:pPr>
        <w:pStyle w:val="2"/>
        <w:rPr>
          <w:color w:val="auto"/>
        </w:rPr>
      </w:pPr>
    </w:p>
    <w:p w14:paraId="2C6A00D1">
      <w:pPr>
        <w:pStyle w:val="2"/>
        <w:rPr>
          <w:color w:val="auto"/>
        </w:rPr>
      </w:pPr>
    </w:p>
    <w:p w14:paraId="17423958">
      <w:pPr>
        <w:pStyle w:val="2"/>
        <w:rPr>
          <w:color w:val="auto"/>
        </w:rPr>
      </w:pPr>
    </w:p>
    <w:p w14:paraId="1B9DD511">
      <w:pPr>
        <w:pStyle w:val="2"/>
        <w:rPr>
          <w:color w:val="auto"/>
        </w:rPr>
      </w:pPr>
    </w:p>
    <w:p w14:paraId="3720A8AA">
      <w:pPr>
        <w:pStyle w:val="2"/>
        <w:rPr>
          <w:color w:val="auto"/>
        </w:rPr>
      </w:pPr>
    </w:p>
    <w:p w14:paraId="536995DC">
      <w:pPr>
        <w:pStyle w:val="2"/>
        <w:rPr>
          <w:color w:val="auto"/>
        </w:rPr>
      </w:pPr>
    </w:p>
    <w:p w14:paraId="1D1758ED">
      <w:pPr>
        <w:pStyle w:val="2"/>
        <w:rPr>
          <w:color w:val="auto"/>
        </w:rPr>
      </w:pPr>
    </w:p>
    <w:p w14:paraId="3F8F9A45">
      <w:pPr>
        <w:pStyle w:val="2"/>
        <w:rPr>
          <w:color w:val="auto"/>
        </w:rPr>
      </w:pPr>
    </w:p>
    <w:p w14:paraId="5B536D38">
      <w:pPr>
        <w:pStyle w:val="2"/>
        <w:rPr>
          <w:color w:val="auto"/>
        </w:rPr>
      </w:pPr>
    </w:p>
    <w:p w14:paraId="4CA4F226">
      <w:pPr>
        <w:pStyle w:val="2"/>
        <w:rPr>
          <w:color w:val="auto"/>
        </w:rPr>
      </w:pPr>
    </w:p>
    <w:p w14:paraId="592E5B81">
      <w:pPr>
        <w:pStyle w:val="2"/>
        <w:rPr>
          <w:color w:val="auto"/>
        </w:rPr>
      </w:pPr>
    </w:p>
    <w:p w14:paraId="0B0DE649">
      <w:pPr>
        <w:pStyle w:val="2"/>
        <w:rPr>
          <w:color w:val="auto"/>
        </w:rPr>
      </w:pPr>
    </w:p>
    <w:p w14:paraId="72AC0720">
      <w:pPr>
        <w:pStyle w:val="2"/>
        <w:rPr>
          <w:color w:val="auto"/>
        </w:rPr>
      </w:pPr>
    </w:p>
    <w:p w14:paraId="2A32F4DA">
      <w:pPr>
        <w:pStyle w:val="2"/>
        <w:rPr>
          <w:color w:val="auto"/>
        </w:rPr>
      </w:pPr>
    </w:p>
    <w:p w14:paraId="2B89D00A">
      <w:pPr>
        <w:rPr>
          <w:color w:val="auto"/>
        </w:rPr>
      </w:pPr>
    </w:p>
    <w:p w14:paraId="2B89D00B">
      <w:pPr>
        <w:autoSpaceDE w:val="0"/>
        <w:autoSpaceDN w:val="0"/>
        <w:adjustRightInd w:val="0"/>
        <w:jc w:val="center"/>
        <w:rPr>
          <w:rFonts w:hint="eastAsia"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投标人须知前附表</w:t>
      </w:r>
    </w:p>
    <w:p w14:paraId="2B89D00C">
      <w:pPr>
        <w:autoSpaceDE w:val="0"/>
        <w:autoSpaceDN w:val="0"/>
        <w:adjustRightInd w:val="0"/>
        <w:spacing w:line="360" w:lineRule="auto"/>
        <w:ind w:right="-11"/>
        <w:jc w:val="left"/>
        <w:rPr>
          <w:rFonts w:hint="eastAsia" w:cs="宋体" w:asciiTheme="minorEastAsia" w:hAnsiTheme="minorEastAsia"/>
          <w:b/>
          <w:color w:val="auto"/>
          <w:kern w:val="0"/>
          <w:szCs w:val="21"/>
        </w:rPr>
      </w:pPr>
      <w:r>
        <w:rPr>
          <w:rFonts w:hint="eastAsia" w:cs="微软雅黑"/>
          <w:b/>
          <w:color w:val="auto"/>
          <w:szCs w:val="21"/>
        </w:rPr>
        <w:t>招标文件中凡标有</w:t>
      </w:r>
      <w:r>
        <w:rPr>
          <w:rFonts w:hint="eastAsia" w:cs="微软雅黑" w:asciiTheme="minorEastAsia" w:hAnsiTheme="minorEastAsia"/>
          <w:b/>
          <w:color w:val="auto"/>
          <w:szCs w:val="21"/>
        </w:rPr>
        <w:t>★</w:t>
      </w:r>
      <w:r>
        <w:rPr>
          <w:rFonts w:hint="eastAsia" w:cs="微软雅黑"/>
          <w:b/>
          <w:color w:val="auto"/>
          <w:szCs w:val="21"/>
        </w:rPr>
        <w:t>条款均为实质性要求条款，投标文件须完全响应，未实质响应的，按照无效投标处理。</w:t>
      </w:r>
    </w:p>
    <w:tbl>
      <w:tblPr>
        <w:tblStyle w:val="14"/>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B89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2B89D00D">
            <w:pPr>
              <w:autoSpaceDE w:val="0"/>
              <w:autoSpaceDN w:val="0"/>
              <w:adjustRightInd w:val="0"/>
              <w:spacing w:line="276" w:lineRule="auto"/>
              <w:jc w:val="center"/>
              <w:rPr>
                <w:rFonts w:hint="eastAsia" w:cs="仿宋_GB2312" w:asciiTheme="minorEastAsia" w:hAnsiTheme="minorEastAsia"/>
                <w:b/>
                <w:color w:val="auto"/>
                <w:szCs w:val="21"/>
              </w:rPr>
            </w:pPr>
            <w:r>
              <w:rPr>
                <w:rFonts w:hint="eastAsia" w:cs="仿宋_GB2312" w:asciiTheme="minorEastAsia" w:hAnsiTheme="minorEastAsia"/>
                <w:b/>
                <w:color w:val="auto"/>
                <w:szCs w:val="21"/>
              </w:rPr>
              <w:t>序号</w:t>
            </w:r>
          </w:p>
        </w:tc>
        <w:tc>
          <w:tcPr>
            <w:tcW w:w="2268" w:type="dxa"/>
            <w:vAlign w:val="center"/>
          </w:tcPr>
          <w:p w14:paraId="2B89D00E">
            <w:pPr>
              <w:autoSpaceDE w:val="0"/>
              <w:autoSpaceDN w:val="0"/>
              <w:adjustRightInd w:val="0"/>
              <w:spacing w:line="276" w:lineRule="auto"/>
              <w:jc w:val="center"/>
              <w:rPr>
                <w:rFonts w:hint="eastAsia" w:cs="仿宋_GB2312" w:asciiTheme="minorEastAsia" w:hAnsiTheme="minorEastAsia"/>
                <w:b/>
                <w:color w:val="auto"/>
                <w:szCs w:val="21"/>
              </w:rPr>
            </w:pPr>
            <w:r>
              <w:rPr>
                <w:rFonts w:hint="eastAsia" w:cs="仿宋_GB2312" w:asciiTheme="minorEastAsia" w:hAnsiTheme="minorEastAsia"/>
                <w:b/>
                <w:color w:val="auto"/>
                <w:szCs w:val="21"/>
              </w:rPr>
              <w:t>条款名称</w:t>
            </w:r>
          </w:p>
        </w:tc>
        <w:tc>
          <w:tcPr>
            <w:tcW w:w="6813" w:type="dxa"/>
            <w:vAlign w:val="center"/>
          </w:tcPr>
          <w:p w14:paraId="2B89D00F">
            <w:pPr>
              <w:autoSpaceDE w:val="0"/>
              <w:autoSpaceDN w:val="0"/>
              <w:adjustRightInd w:val="0"/>
              <w:spacing w:line="276" w:lineRule="auto"/>
              <w:jc w:val="center"/>
              <w:rPr>
                <w:rFonts w:hint="eastAsia" w:cs="仿宋_GB2312" w:asciiTheme="minorEastAsia" w:hAnsiTheme="minorEastAsia"/>
                <w:b/>
                <w:color w:val="auto"/>
                <w:szCs w:val="21"/>
              </w:rPr>
            </w:pPr>
            <w:r>
              <w:rPr>
                <w:rFonts w:hint="eastAsia" w:cs="仿宋_GB2312" w:asciiTheme="minorEastAsia" w:hAnsiTheme="minorEastAsia"/>
                <w:b/>
                <w:color w:val="auto"/>
                <w:szCs w:val="21"/>
              </w:rPr>
              <w:t>说明和要求</w:t>
            </w:r>
          </w:p>
        </w:tc>
      </w:tr>
      <w:tr w14:paraId="2B89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06" w:type="dxa"/>
            <w:vAlign w:val="center"/>
          </w:tcPr>
          <w:p w14:paraId="2B89D011">
            <w:pPr>
              <w:autoSpaceDE w:val="0"/>
              <w:autoSpaceDN w:val="0"/>
              <w:adjustRightInd w:val="0"/>
              <w:spacing w:line="276" w:lineRule="auto"/>
              <w:rPr>
                <w:rFonts w:hint="eastAsia" w:cs="黑体" w:asciiTheme="minorEastAsia" w:hAnsiTheme="minorEastAsia"/>
                <w:color w:val="auto"/>
                <w:szCs w:val="21"/>
              </w:rPr>
            </w:pPr>
            <w:r>
              <w:rPr>
                <w:rFonts w:hint="eastAsia" w:ascii="宋体" w:hAnsi="宋体" w:cs="宋体"/>
                <w:color w:val="auto"/>
                <w:szCs w:val="21"/>
              </w:rPr>
              <w:t>1</w:t>
            </w:r>
          </w:p>
        </w:tc>
        <w:tc>
          <w:tcPr>
            <w:tcW w:w="2268" w:type="dxa"/>
            <w:vAlign w:val="center"/>
          </w:tcPr>
          <w:p w14:paraId="2B89D012">
            <w:pPr>
              <w:autoSpaceDE w:val="0"/>
              <w:autoSpaceDN w:val="0"/>
              <w:adjustRightInd w:val="0"/>
              <w:spacing w:line="276" w:lineRule="auto"/>
              <w:jc w:val="center"/>
              <w:rPr>
                <w:rFonts w:hint="default" w:cs="仿宋_GB2312" w:asciiTheme="minorEastAsia" w:hAnsiTheme="minorEastAsia" w:eastAsiaTheme="minorEastAsia"/>
                <w:color w:val="auto"/>
                <w:szCs w:val="21"/>
                <w:lang w:val="en-US" w:eastAsia="zh-CN"/>
              </w:rPr>
            </w:pPr>
            <w:r>
              <w:rPr>
                <w:rFonts w:hint="eastAsia" w:ascii="宋体" w:hAnsi="宋体" w:cs="宋体"/>
                <w:color w:val="auto"/>
                <w:szCs w:val="21"/>
                <w:lang w:val="en-US" w:eastAsia="zh-CN"/>
              </w:rPr>
              <w:t>采购项目</w:t>
            </w:r>
          </w:p>
        </w:tc>
        <w:tc>
          <w:tcPr>
            <w:tcW w:w="6813" w:type="dxa"/>
            <w:vAlign w:val="center"/>
          </w:tcPr>
          <w:p w14:paraId="2B89D013">
            <w:pPr>
              <w:autoSpaceDE w:val="0"/>
              <w:autoSpaceDN w:val="0"/>
              <w:adjustRightInd w:val="0"/>
              <w:spacing w:line="48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项目名称：</w:t>
            </w:r>
            <w:r>
              <w:rPr>
                <w:rFonts w:hint="eastAsia" w:asciiTheme="majorEastAsia" w:hAnsiTheme="majorEastAsia" w:eastAsiaTheme="majorEastAsia" w:cstheme="majorEastAsia"/>
                <w:color w:val="auto"/>
                <w:szCs w:val="21"/>
              </w:rPr>
              <w:t>禹州市妇幼保健院采购高档智能麻醉机及彩色多普勒超声诊断仪项目</w:t>
            </w:r>
          </w:p>
          <w:p w14:paraId="4775EFA7">
            <w:pPr>
              <w:autoSpaceDE w:val="0"/>
              <w:autoSpaceDN w:val="0"/>
              <w:adjustRightInd w:val="0"/>
              <w:spacing w:line="480" w:lineRule="auto"/>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项目编号：</w:t>
            </w:r>
            <w:r>
              <w:rPr>
                <w:rFonts w:hint="eastAsia" w:asciiTheme="majorEastAsia" w:hAnsiTheme="majorEastAsia" w:eastAsiaTheme="majorEastAsia" w:cstheme="majorEastAsia"/>
                <w:color w:val="auto"/>
                <w:szCs w:val="21"/>
              </w:rPr>
              <w:t>YZCG-DLG2025</w:t>
            </w:r>
            <w:r>
              <w:rPr>
                <w:rFonts w:hint="eastAsia" w:asciiTheme="majorEastAsia" w:hAnsiTheme="majorEastAsia" w:eastAsiaTheme="majorEastAsia" w:cstheme="majorEastAsia"/>
                <w:color w:val="auto"/>
                <w:szCs w:val="21"/>
                <w:lang w:val="en-US" w:eastAsia="zh-CN"/>
              </w:rPr>
              <w:t>063</w:t>
            </w:r>
          </w:p>
          <w:p w14:paraId="164F9984">
            <w:pPr>
              <w:autoSpaceDE w:val="0"/>
              <w:autoSpaceDN w:val="0"/>
              <w:adjustRightInd w:val="0"/>
              <w:spacing w:line="360" w:lineRule="auto"/>
              <w:ind w:right="-11"/>
              <w:rPr>
                <w:rFonts w:hint="eastAsia"/>
                <w:color w:val="auto"/>
                <w:lang w:val="en-US" w:eastAsia="zh-CN"/>
              </w:rPr>
            </w:pPr>
            <w:r>
              <w:rPr>
                <w:rFonts w:hint="eastAsia"/>
                <w:color w:val="auto"/>
                <w:lang w:val="en-US" w:eastAsia="zh-CN"/>
              </w:rPr>
              <w:t>项目内容：详见招标文件第二章项目需求</w:t>
            </w:r>
          </w:p>
          <w:p w14:paraId="37372CEE">
            <w:pPr>
              <w:autoSpaceDE w:val="0"/>
              <w:autoSpaceDN w:val="0"/>
              <w:adjustRightInd w:val="0"/>
              <w:spacing w:line="360" w:lineRule="auto"/>
              <w:ind w:right="-11"/>
              <w:rPr>
                <w:rFonts w:hint="default"/>
                <w:color w:val="auto"/>
                <w:lang w:val="en-US" w:eastAsia="zh-CN"/>
              </w:rPr>
            </w:pPr>
            <w:r>
              <w:rPr>
                <w:rFonts w:hint="eastAsia"/>
                <w:color w:val="auto"/>
                <w:lang w:val="en-US" w:eastAsia="zh-CN"/>
              </w:rPr>
              <w:t>项目地点：该项目位于</w:t>
            </w:r>
            <w:r>
              <w:rPr>
                <w:rFonts w:hint="eastAsia" w:asciiTheme="minorEastAsia" w:hAnsiTheme="minorEastAsia"/>
                <w:color w:val="auto"/>
                <w:szCs w:val="21"/>
              </w:rPr>
              <w:t>禹州市妇幼保健院</w:t>
            </w:r>
          </w:p>
        </w:tc>
      </w:tr>
      <w:tr w14:paraId="2B89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806" w:type="dxa"/>
            <w:vAlign w:val="center"/>
          </w:tcPr>
          <w:p w14:paraId="2B89D015">
            <w:pPr>
              <w:autoSpaceDE w:val="0"/>
              <w:autoSpaceDN w:val="0"/>
              <w:adjustRightInd w:val="0"/>
              <w:spacing w:line="276" w:lineRule="auto"/>
              <w:rPr>
                <w:rFonts w:hint="eastAsia" w:cs="TimesNewRomanPSMT" w:asciiTheme="minorEastAsia" w:hAnsiTheme="minorEastAsia"/>
                <w:color w:val="auto"/>
                <w:szCs w:val="21"/>
              </w:rPr>
            </w:pPr>
            <w:r>
              <w:rPr>
                <w:rFonts w:hint="eastAsia" w:ascii="宋体" w:hAnsi="宋体" w:cs="宋体"/>
                <w:color w:val="auto"/>
                <w:szCs w:val="21"/>
              </w:rPr>
              <w:t>2</w:t>
            </w:r>
          </w:p>
        </w:tc>
        <w:tc>
          <w:tcPr>
            <w:tcW w:w="2268" w:type="dxa"/>
            <w:vAlign w:val="center"/>
          </w:tcPr>
          <w:p w14:paraId="2B89D016">
            <w:pPr>
              <w:autoSpaceDE w:val="0"/>
              <w:autoSpaceDN w:val="0"/>
              <w:adjustRightInd w:val="0"/>
              <w:spacing w:line="276" w:lineRule="auto"/>
              <w:jc w:val="center"/>
              <w:rPr>
                <w:rFonts w:hint="eastAsia" w:cs="仿宋_GB2312" w:asciiTheme="minorEastAsia" w:hAnsiTheme="minorEastAsia"/>
                <w:color w:val="auto"/>
                <w:szCs w:val="21"/>
              </w:rPr>
            </w:pPr>
            <w:r>
              <w:rPr>
                <w:rFonts w:hint="eastAsia" w:ascii="宋体" w:hAnsi="宋体" w:cs="宋体"/>
                <w:color w:val="auto"/>
                <w:szCs w:val="21"/>
              </w:rPr>
              <w:t>采购人</w:t>
            </w:r>
          </w:p>
        </w:tc>
        <w:tc>
          <w:tcPr>
            <w:tcW w:w="6813" w:type="dxa"/>
            <w:vAlign w:val="center"/>
          </w:tcPr>
          <w:p w14:paraId="2B89D017">
            <w:pPr>
              <w:autoSpaceDE w:val="0"/>
              <w:autoSpaceDN w:val="0"/>
              <w:adjustRightInd w:val="0"/>
              <w:spacing w:line="48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采购单位：禹州市妇幼保健院</w:t>
            </w:r>
          </w:p>
          <w:p w14:paraId="2B89D018">
            <w:pPr>
              <w:autoSpaceDE w:val="0"/>
              <w:autoSpaceDN w:val="0"/>
              <w:adjustRightInd w:val="0"/>
              <w:spacing w:line="48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地址：禹州市健康路118号 </w:t>
            </w:r>
          </w:p>
          <w:p w14:paraId="2B89D019">
            <w:pPr>
              <w:autoSpaceDE w:val="0"/>
              <w:autoSpaceDN w:val="0"/>
              <w:adjustRightInd w:val="0"/>
              <w:spacing w:line="48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联系人：</w:t>
            </w:r>
            <w:r>
              <w:rPr>
                <w:rFonts w:hint="eastAsia" w:asciiTheme="majorEastAsia" w:hAnsiTheme="majorEastAsia" w:eastAsiaTheme="majorEastAsia" w:cstheme="majorEastAsia"/>
                <w:color w:val="auto"/>
                <w:szCs w:val="21"/>
                <w:lang w:eastAsia="zh-CN"/>
              </w:rPr>
              <w:t>李</w:t>
            </w:r>
            <w:r>
              <w:rPr>
                <w:rFonts w:hint="eastAsia" w:asciiTheme="majorEastAsia" w:hAnsiTheme="majorEastAsia" w:eastAsiaTheme="majorEastAsia" w:cstheme="majorEastAsia"/>
                <w:color w:val="auto"/>
                <w:szCs w:val="21"/>
              </w:rPr>
              <w:t xml:space="preserve">女士 </w:t>
            </w:r>
          </w:p>
          <w:p w14:paraId="2B89D01A">
            <w:pPr>
              <w:autoSpaceDE w:val="0"/>
              <w:autoSpaceDN w:val="0"/>
              <w:adjustRightInd w:val="0"/>
              <w:spacing w:line="48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联系电话：0374-8222887</w:t>
            </w:r>
          </w:p>
        </w:tc>
      </w:tr>
      <w:tr w14:paraId="2B89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06" w:type="dxa"/>
            <w:vAlign w:val="center"/>
          </w:tcPr>
          <w:p w14:paraId="2B89D01C">
            <w:pPr>
              <w:autoSpaceDE w:val="0"/>
              <w:autoSpaceDN w:val="0"/>
              <w:adjustRightInd w:val="0"/>
              <w:spacing w:line="276" w:lineRule="auto"/>
              <w:rPr>
                <w:rFonts w:hint="eastAsia" w:cs="黑体" w:asciiTheme="minorEastAsia" w:hAnsiTheme="minorEastAsia"/>
                <w:color w:val="auto"/>
                <w:szCs w:val="21"/>
              </w:rPr>
            </w:pPr>
            <w:r>
              <w:rPr>
                <w:rFonts w:hint="eastAsia" w:ascii="宋体" w:hAnsi="宋体" w:cs="宋体"/>
                <w:color w:val="auto"/>
                <w:szCs w:val="21"/>
              </w:rPr>
              <w:t>3</w:t>
            </w:r>
          </w:p>
        </w:tc>
        <w:tc>
          <w:tcPr>
            <w:tcW w:w="2268" w:type="dxa"/>
            <w:vAlign w:val="center"/>
          </w:tcPr>
          <w:p w14:paraId="2B89D01D">
            <w:pPr>
              <w:autoSpaceDE w:val="0"/>
              <w:autoSpaceDN w:val="0"/>
              <w:adjustRightInd w:val="0"/>
              <w:spacing w:line="276" w:lineRule="auto"/>
              <w:jc w:val="center"/>
              <w:rPr>
                <w:rFonts w:hint="eastAsia" w:cs="仿宋_GB2312" w:asciiTheme="minorEastAsia" w:hAnsiTheme="minorEastAsia"/>
                <w:color w:val="auto"/>
                <w:szCs w:val="21"/>
              </w:rPr>
            </w:pPr>
            <w:r>
              <w:rPr>
                <w:rFonts w:hint="eastAsia" w:ascii="宋体" w:hAnsi="宋体" w:cs="宋体"/>
                <w:color w:val="auto"/>
                <w:szCs w:val="21"/>
              </w:rPr>
              <w:t>代理机构</w:t>
            </w:r>
          </w:p>
        </w:tc>
        <w:tc>
          <w:tcPr>
            <w:tcW w:w="6813" w:type="dxa"/>
            <w:vAlign w:val="center"/>
          </w:tcPr>
          <w:p w14:paraId="2B89D01E">
            <w:pPr>
              <w:tabs>
                <w:tab w:val="left" w:pos="7095"/>
              </w:tabs>
              <w:spacing w:line="384" w:lineRule="auto"/>
              <w:contextualSpacing/>
              <w:rPr>
                <w:color w:val="auto"/>
              </w:rPr>
            </w:pPr>
            <w:r>
              <w:rPr>
                <w:rFonts w:hint="eastAsia"/>
                <w:color w:val="auto"/>
              </w:rPr>
              <w:t>招标代理机构：河南嘉泰工程管理有限公司</w:t>
            </w:r>
          </w:p>
          <w:p w14:paraId="2B89D01F">
            <w:pPr>
              <w:tabs>
                <w:tab w:val="left" w:pos="7095"/>
              </w:tabs>
              <w:spacing w:line="384" w:lineRule="auto"/>
              <w:contextualSpacing/>
              <w:rPr>
                <w:color w:val="auto"/>
              </w:rPr>
            </w:pPr>
            <w:r>
              <w:rPr>
                <w:rFonts w:hint="eastAsia"/>
                <w:color w:val="auto"/>
              </w:rPr>
              <w:t>地址：河南自贸试验区郑州片区（郑东）商都路100号</w:t>
            </w:r>
          </w:p>
          <w:p w14:paraId="2B89D020">
            <w:pPr>
              <w:tabs>
                <w:tab w:val="left" w:pos="7095"/>
              </w:tabs>
              <w:spacing w:line="384" w:lineRule="auto"/>
              <w:contextualSpacing/>
              <w:rPr>
                <w:rFonts w:hint="eastAsia" w:eastAsiaTheme="minorEastAsia"/>
                <w:color w:val="auto"/>
                <w:lang w:eastAsia="zh-CN"/>
              </w:rPr>
            </w:pPr>
            <w:r>
              <w:rPr>
                <w:rFonts w:hint="eastAsia"/>
                <w:color w:val="auto"/>
              </w:rPr>
              <w:t>联系人：黄</w:t>
            </w:r>
            <w:r>
              <w:rPr>
                <w:rFonts w:hint="eastAsia"/>
                <w:color w:val="auto"/>
                <w:lang w:eastAsia="zh-CN"/>
              </w:rPr>
              <w:t>女士</w:t>
            </w:r>
          </w:p>
          <w:p w14:paraId="2B89D021">
            <w:pPr>
              <w:tabs>
                <w:tab w:val="left" w:pos="7095"/>
              </w:tabs>
              <w:spacing w:line="384" w:lineRule="auto"/>
              <w:contextualSpacing/>
              <w:rPr>
                <w:color w:val="auto"/>
              </w:rPr>
            </w:pPr>
            <w:r>
              <w:rPr>
                <w:rFonts w:hint="eastAsia"/>
                <w:color w:val="auto"/>
              </w:rPr>
              <w:t>联系电话：17746990629</w:t>
            </w:r>
          </w:p>
        </w:tc>
      </w:tr>
      <w:tr w14:paraId="2B89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5" w:hRule="atLeast"/>
          <w:jc w:val="center"/>
        </w:trPr>
        <w:tc>
          <w:tcPr>
            <w:tcW w:w="806" w:type="dxa"/>
            <w:vAlign w:val="center"/>
          </w:tcPr>
          <w:p w14:paraId="2B89D023">
            <w:pPr>
              <w:autoSpaceDE w:val="0"/>
              <w:autoSpaceDN w:val="0"/>
              <w:adjustRightInd w:val="0"/>
              <w:spacing w:line="276" w:lineRule="auto"/>
              <w:rPr>
                <w:rFonts w:hint="eastAsia" w:cs="黑体" w:asciiTheme="minorEastAsia" w:hAnsiTheme="minorEastAsia"/>
                <w:color w:val="auto"/>
                <w:szCs w:val="21"/>
              </w:rPr>
            </w:pPr>
            <w:r>
              <w:rPr>
                <w:rFonts w:hint="eastAsia" w:cs="黑体" w:asciiTheme="minorEastAsia" w:hAnsiTheme="minorEastAsia"/>
                <w:color w:val="auto"/>
                <w:szCs w:val="21"/>
              </w:rPr>
              <w:t>4</w:t>
            </w:r>
          </w:p>
        </w:tc>
        <w:tc>
          <w:tcPr>
            <w:tcW w:w="2268" w:type="dxa"/>
            <w:vAlign w:val="center"/>
          </w:tcPr>
          <w:p w14:paraId="2B89D024">
            <w:pPr>
              <w:autoSpaceDE w:val="0"/>
              <w:autoSpaceDN w:val="0"/>
              <w:adjustRightInd w:val="0"/>
              <w:spacing w:line="276" w:lineRule="auto"/>
              <w:jc w:val="center"/>
              <w:rPr>
                <w:rFonts w:hint="eastAsia"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供应商资格</w:t>
            </w:r>
          </w:p>
        </w:tc>
        <w:tc>
          <w:tcPr>
            <w:tcW w:w="6813" w:type="dxa"/>
            <w:vAlign w:val="center"/>
          </w:tcPr>
          <w:p w14:paraId="3494054B">
            <w:pPr>
              <w:autoSpaceDE w:val="0"/>
              <w:autoSpaceDN w:val="0"/>
              <w:adjustRightInd w:val="0"/>
              <w:spacing w:line="480" w:lineRule="auto"/>
              <w:jc w:val="both"/>
              <w:rPr>
                <w:rFonts w:hint="eastAsia" w:cs="仿宋_GB2312" w:asciiTheme="minorEastAsia" w:hAnsiTheme="minorEastAsia"/>
                <w:color w:val="auto"/>
                <w:szCs w:val="21"/>
              </w:rPr>
            </w:pPr>
            <w:r>
              <w:rPr>
                <w:rFonts w:hint="eastAsia" w:cs="仿宋_GB2312" w:asciiTheme="minorEastAsia" w:hAnsiTheme="minorEastAsia"/>
                <w:color w:val="auto"/>
                <w:szCs w:val="21"/>
                <w:lang w:eastAsia="zh-CN"/>
              </w:rPr>
              <w:t>一</w:t>
            </w:r>
            <w:r>
              <w:rPr>
                <w:rFonts w:hint="eastAsia" w:cs="仿宋_GB2312" w:asciiTheme="minorEastAsia" w:hAnsiTheme="minorEastAsia"/>
                <w:color w:val="auto"/>
                <w:szCs w:val="21"/>
              </w:rPr>
              <w:t>、符合《中华人民共和国政府采购法》第二十二条规定</w:t>
            </w:r>
          </w:p>
          <w:p w14:paraId="6328EFBE">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1.具有独立承担民事责任的能力；</w:t>
            </w:r>
          </w:p>
          <w:p w14:paraId="3C3E4BCD">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2.具有良好的商业信誉和健全的财务会计制度；</w:t>
            </w:r>
          </w:p>
          <w:p w14:paraId="23BDCDF1">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3.具有履行合同所必需的设备和专业技术能力；</w:t>
            </w:r>
          </w:p>
          <w:p w14:paraId="77D478C7">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4.具有依法缴纳税收和社会保障资金的良好记录；</w:t>
            </w:r>
          </w:p>
          <w:p w14:paraId="751FA48B">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5.参加政府采购活动前三年内，在经营活动中没有重大违法记录。</w:t>
            </w:r>
          </w:p>
          <w:p w14:paraId="4DA72D00">
            <w:pPr>
              <w:spacing w:line="440" w:lineRule="exact"/>
              <w:jc w:val="left"/>
              <w:rPr>
                <w:rFonts w:hint="eastAsia" w:ascii="宋体" w:hAnsi="宋体" w:eastAsia="宋体" w:cstheme="majorEastAsia"/>
                <w:color w:val="auto"/>
                <w:szCs w:val="21"/>
                <w:lang w:val="en-US" w:eastAsia="zh-CN"/>
              </w:rPr>
            </w:pPr>
            <w:r>
              <w:rPr>
                <w:rFonts w:hint="eastAsia" w:ascii="宋体" w:hAnsi="宋体" w:eastAsia="宋体" w:cstheme="majorEastAsia"/>
                <w:color w:val="auto"/>
                <w:szCs w:val="21"/>
                <w:lang w:val="en-US" w:eastAsia="zh-CN"/>
              </w:rPr>
              <w:t>注：</w:t>
            </w:r>
          </w:p>
          <w:p w14:paraId="7470DDBD">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1.供应商在响应时，提供《</w:t>
            </w:r>
            <w:r>
              <w:rPr>
                <w:rFonts w:hint="eastAsia" w:ascii="宋体" w:hAnsi="宋体" w:eastAsia="宋体" w:cstheme="majorEastAsia"/>
                <w:color w:val="auto"/>
                <w:szCs w:val="21"/>
                <w:lang w:val="en-US" w:eastAsia="zh-CN"/>
              </w:rPr>
              <w:t>禹州市</w:t>
            </w:r>
            <w:r>
              <w:rPr>
                <w:rFonts w:hint="eastAsia" w:ascii="宋体" w:hAnsi="宋体" w:eastAsia="宋体" w:cstheme="majorEastAsia"/>
                <w:color w:val="auto"/>
                <w:szCs w:val="21"/>
                <w:lang w:val="zh-CN"/>
              </w:rPr>
              <w:t>政府采购供应商信用承诺函》（详见</w:t>
            </w:r>
            <w:r>
              <w:rPr>
                <w:rFonts w:hint="eastAsia" w:ascii="宋体" w:hAnsi="宋体" w:eastAsia="宋体" w:cstheme="majorEastAsia"/>
                <w:color w:val="auto"/>
                <w:szCs w:val="21"/>
                <w:lang w:val="en-US" w:eastAsia="zh-CN"/>
              </w:rPr>
              <w:t>投标</w:t>
            </w:r>
            <w:r>
              <w:rPr>
                <w:rFonts w:hint="eastAsia" w:ascii="宋体" w:hAnsi="宋体" w:eastAsia="宋体" w:cstheme="majorEastAsia"/>
                <w:color w:val="auto"/>
                <w:szCs w:val="21"/>
                <w:lang w:val="zh-CN"/>
              </w:rPr>
              <w:t>文件第八章3.</w:t>
            </w:r>
            <w:r>
              <w:rPr>
                <w:rFonts w:hint="eastAsia" w:ascii="宋体" w:hAnsi="宋体" w:eastAsia="宋体" w:cstheme="majorEastAsia"/>
                <w:color w:val="auto"/>
                <w:szCs w:val="21"/>
                <w:lang w:val="en-US" w:eastAsia="zh-CN"/>
              </w:rPr>
              <w:t>4</w:t>
            </w:r>
            <w:r>
              <w:rPr>
                <w:rFonts w:hint="eastAsia" w:ascii="宋体" w:hAnsi="宋体" w:eastAsia="宋体" w:cstheme="majorEastAsia"/>
                <w:color w:val="auto"/>
                <w:szCs w:val="21"/>
                <w:lang w:val="zh-CN"/>
              </w:rPr>
              <w:t>格式），无需再提交上述证明材料。</w:t>
            </w:r>
          </w:p>
          <w:p w14:paraId="669DE162">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2.采购人有权在签订合同前要求成交供应商提供相关证明材料以核实成交供应商承诺事项的真实性。</w:t>
            </w:r>
          </w:p>
          <w:p w14:paraId="25786C13">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3.供应商对信用承诺内容的真实性、合法性、有效性负责。如作出虚假信用承诺，视同为“提供虚假材料谋取中标”的违法行为。</w:t>
            </w:r>
          </w:p>
          <w:p w14:paraId="2B89D02B">
            <w:pPr>
              <w:autoSpaceDE w:val="0"/>
              <w:autoSpaceDN w:val="0"/>
              <w:adjustRightInd w:val="0"/>
              <w:spacing w:line="480" w:lineRule="auto"/>
              <w:rPr>
                <w:rFonts w:hint="eastAsia" w:cs="仿宋_GB2312" w:asciiTheme="minorEastAsia" w:hAnsiTheme="minorEastAsia"/>
                <w:color w:val="auto"/>
                <w:szCs w:val="21"/>
              </w:rPr>
            </w:pPr>
            <w:r>
              <w:rPr>
                <w:rFonts w:hint="eastAsia" w:cs="仿宋_GB2312" w:asciiTheme="minorEastAsia" w:hAnsiTheme="minorEastAsia"/>
                <w:color w:val="auto"/>
                <w:szCs w:val="21"/>
                <w:lang w:eastAsia="zh-CN"/>
              </w:rPr>
              <w:t>二</w:t>
            </w:r>
            <w:r>
              <w:rPr>
                <w:rFonts w:hint="eastAsia" w:cs="仿宋_GB2312" w:asciiTheme="minorEastAsia" w:hAnsiTheme="minorEastAsia"/>
                <w:color w:val="auto"/>
                <w:szCs w:val="21"/>
              </w:rPr>
              <w:t>、特定资格要求：详见招标公告</w:t>
            </w:r>
          </w:p>
        </w:tc>
      </w:tr>
      <w:tr w14:paraId="2B89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55">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5</w:t>
            </w:r>
          </w:p>
        </w:tc>
        <w:tc>
          <w:tcPr>
            <w:tcW w:w="2268" w:type="dxa"/>
            <w:vAlign w:val="center"/>
          </w:tcPr>
          <w:p w14:paraId="2B89D056">
            <w:pPr>
              <w:autoSpaceDE w:val="0"/>
              <w:autoSpaceDN w:val="0"/>
              <w:adjustRightInd w:val="0"/>
              <w:spacing w:line="276" w:lineRule="auto"/>
              <w:jc w:val="center"/>
              <w:rPr>
                <w:rFonts w:hint="eastAsia"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联合体投标</w:t>
            </w:r>
          </w:p>
        </w:tc>
        <w:tc>
          <w:tcPr>
            <w:tcW w:w="6813" w:type="dxa"/>
            <w:vAlign w:val="center"/>
          </w:tcPr>
          <w:p w14:paraId="2B89D057">
            <w:pPr>
              <w:autoSpaceDE w:val="0"/>
              <w:autoSpaceDN w:val="0"/>
              <w:adjustRightInd w:val="0"/>
              <w:spacing w:line="276" w:lineRule="auto"/>
              <w:rPr>
                <w:rFonts w:hint="eastAsia" w:cs="宋体" w:asciiTheme="minorEastAsia" w:hAnsiTheme="minorEastAsia"/>
                <w:bCs/>
                <w:color w:val="auto"/>
                <w:szCs w:val="21"/>
                <w:lang w:val="zh-CN"/>
              </w:rPr>
            </w:pPr>
            <w:r>
              <w:rPr>
                <w:rFonts w:hint="eastAsia" w:cs="宋体" w:asciiTheme="minorEastAsia" w:hAnsiTheme="minorEastAsia"/>
                <w:color w:val="auto"/>
                <w:kern w:val="0"/>
                <w:szCs w:val="21"/>
              </w:rPr>
              <w:t>本项目</w:t>
            </w: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color w:val="auto"/>
                <w:kern w:val="0"/>
                <w:szCs w:val="21"/>
              </w:rPr>
              <w:t>不接受</w:t>
            </w:r>
            <w:r>
              <w:rPr>
                <w:rFonts w:hint="eastAsia" w:cs="宋体" w:asciiTheme="minorEastAsia" w:hAnsiTheme="minorEastAsia"/>
                <w:bCs/>
                <w:color w:val="auto"/>
                <w:szCs w:val="21"/>
                <w:lang w:val="zh-CN"/>
              </w:rPr>
              <w:t>□接受</w:t>
            </w:r>
            <w:r>
              <w:rPr>
                <w:rFonts w:hint="eastAsia" w:cs="宋体" w:asciiTheme="minorEastAsia" w:hAnsiTheme="minorEastAsia"/>
                <w:color w:val="auto"/>
                <w:kern w:val="0"/>
                <w:szCs w:val="21"/>
              </w:rPr>
              <w:t>联合体</w:t>
            </w:r>
          </w:p>
        </w:tc>
      </w:tr>
      <w:tr w14:paraId="2B8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59">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6</w:t>
            </w:r>
          </w:p>
        </w:tc>
        <w:tc>
          <w:tcPr>
            <w:tcW w:w="2268" w:type="dxa"/>
            <w:vAlign w:val="center"/>
          </w:tcPr>
          <w:p w14:paraId="2B89D05A">
            <w:pPr>
              <w:autoSpaceDE w:val="0"/>
              <w:autoSpaceDN w:val="0"/>
              <w:adjustRightInd w:val="0"/>
              <w:spacing w:line="276" w:lineRule="auto"/>
              <w:jc w:val="center"/>
              <w:rPr>
                <w:rFonts w:hint="eastAsia"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最高限价</w:t>
            </w:r>
          </w:p>
        </w:tc>
        <w:tc>
          <w:tcPr>
            <w:tcW w:w="6813" w:type="dxa"/>
            <w:vAlign w:val="center"/>
          </w:tcPr>
          <w:p w14:paraId="2B89D05B">
            <w:pPr>
              <w:tabs>
                <w:tab w:val="left" w:pos="7095"/>
              </w:tabs>
              <w:spacing w:line="384" w:lineRule="auto"/>
              <w:contextualSpacing/>
              <w:rPr>
                <w:rFonts w:hint="eastAsia" w:asciiTheme="minorEastAsia" w:hAnsiTheme="minorEastAsia" w:cstheme="minorEastAsia"/>
                <w:bCs/>
                <w:color w:val="auto"/>
              </w:rPr>
            </w:pPr>
            <w:r>
              <w:rPr>
                <w:rFonts w:hint="eastAsia" w:asciiTheme="minorEastAsia" w:hAnsiTheme="minorEastAsia" w:cstheme="minorEastAsia"/>
                <w:bCs/>
                <w:color w:val="auto"/>
              </w:rPr>
              <w:t>采购预算（最高限价）：</w:t>
            </w:r>
          </w:p>
          <w:p w14:paraId="2B89D05C">
            <w:pPr>
              <w:tabs>
                <w:tab w:val="left" w:pos="7095"/>
              </w:tabs>
              <w:spacing w:line="384" w:lineRule="auto"/>
              <w:contextualSpacing/>
              <w:rPr>
                <w:rFonts w:hint="eastAsia" w:asciiTheme="minorEastAsia" w:hAnsiTheme="minorEastAsia" w:cstheme="minorEastAsia"/>
                <w:bCs/>
                <w:color w:val="auto"/>
              </w:rPr>
            </w:pPr>
            <w:r>
              <w:rPr>
                <w:rFonts w:hint="eastAsia" w:asciiTheme="minorEastAsia" w:hAnsiTheme="minorEastAsia" w:cstheme="minorEastAsia"/>
                <w:bCs/>
                <w:color w:val="auto"/>
              </w:rPr>
              <w:t>第一标段：420000.00元。</w:t>
            </w:r>
          </w:p>
          <w:p w14:paraId="2B89D05D">
            <w:pPr>
              <w:tabs>
                <w:tab w:val="left" w:pos="7095"/>
              </w:tabs>
              <w:spacing w:line="384" w:lineRule="auto"/>
              <w:contextualSpacing/>
              <w:rPr>
                <w:rFonts w:hint="eastAsia" w:asciiTheme="minorEastAsia" w:hAnsiTheme="minorEastAsia" w:cstheme="minorEastAsia"/>
                <w:bCs/>
                <w:color w:val="auto"/>
              </w:rPr>
            </w:pPr>
            <w:r>
              <w:rPr>
                <w:rFonts w:hint="eastAsia" w:asciiTheme="minorEastAsia" w:hAnsiTheme="minorEastAsia" w:cstheme="minorEastAsia"/>
                <w:bCs/>
                <w:color w:val="auto"/>
              </w:rPr>
              <w:t>第二标段：2550000.00元。</w:t>
            </w:r>
          </w:p>
          <w:p w14:paraId="2B89D05E">
            <w:pPr>
              <w:tabs>
                <w:tab w:val="left" w:pos="7095"/>
              </w:tabs>
              <w:spacing w:line="384" w:lineRule="auto"/>
              <w:contextualSpacing/>
              <w:rPr>
                <w:rFonts w:hint="eastAsia" w:cs="宋体" w:asciiTheme="minorEastAsia" w:hAnsiTheme="minorEastAsia"/>
                <w:bCs/>
                <w:color w:val="auto"/>
                <w:szCs w:val="21"/>
                <w:lang w:val="zh-CN"/>
              </w:rPr>
            </w:pPr>
            <w:r>
              <w:rPr>
                <w:rFonts w:hint="eastAsia" w:asciiTheme="minorEastAsia" w:hAnsiTheme="minorEastAsia" w:cstheme="minorEastAsia"/>
                <w:bCs/>
                <w:color w:val="auto"/>
                <w:lang w:val="zh-CN"/>
              </w:rPr>
              <w:t>注</w:t>
            </w:r>
            <w:r>
              <w:rPr>
                <w:rFonts w:hint="eastAsia" w:cs="宋体" w:asciiTheme="minorEastAsia" w:hAnsiTheme="minorEastAsia"/>
                <w:bCs/>
                <w:color w:val="auto"/>
                <w:szCs w:val="21"/>
                <w:lang w:val="zh-CN"/>
              </w:rPr>
              <w:t>：超出最高限价的投标无效</w:t>
            </w:r>
            <w:r>
              <w:rPr>
                <w:rFonts w:hint="eastAsia" w:asciiTheme="minorEastAsia" w:hAnsiTheme="minorEastAsia" w:cstheme="minorEastAsia"/>
                <w:bCs/>
                <w:color w:val="auto"/>
              </w:rPr>
              <w:t>。</w:t>
            </w:r>
          </w:p>
        </w:tc>
      </w:tr>
      <w:tr w14:paraId="2B89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B89D060">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7</w:t>
            </w:r>
          </w:p>
        </w:tc>
        <w:tc>
          <w:tcPr>
            <w:tcW w:w="2268" w:type="dxa"/>
            <w:vAlign w:val="center"/>
          </w:tcPr>
          <w:p w14:paraId="2B89D061">
            <w:pPr>
              <w:autoSpaceDE w:val="0"/>
              <w:autoSpaceDN w:val="0"/>
              <w:adjustRightInd w:val="0"/>
              <w:spacing w:line="276" w:lineRule="auto"/>
              <w:jc w:val="center"/>
              <w:rPr>
                <w:rFonts w:hint="eastAsia" w:cs="宋体" w:asciiTheme="minorEastAsia" w:hAnsiTheme="minorEastAsia"/>
                <w:bCs/>
                <w:color w:val="auto"/>
                <w:szCs w:val="21"/>
                <w:lang w:val="zh-CN"/>
              </w:rPr>
            </w:pPr>
            <w:r>
              <w:rPr>
                <w:rFonts w:cs="宋体" w:asciiTheme="minorEastAsia" w:hAnsiTheme="minorEastAsia"/>
                <w:bCs/>
                <w:color w:val="auto"/>
                <w:szCs w:val="21"/>
                <w:lang w:val="zh-CN"/>
              </w:rPr>
              <w:t>现场考察</w:t>
            </w:r>
          </w:p>
        </w:tc>
        <w:tc>
          <w:tcPr>
            <w:tcW w:w="6813" w:type="dxa"/>
            <w:vAlign w:val="center"/>
          </w:tcPr>
          <w:p w14:paraId="2B89D062">
            <w:pPr>
              <w:autoSpaceDE w:val="0"/>
              <w:autoSpaceDN w:val="0"/>
              <w:adjustRightInd w:val="0"/>
              <w:spacing w:line="360" w:lineRule="auto"/>
              <w:rPr>
                <w:rFonts w:hint="eastAsia"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不组织</w:t>
            </w:r>
          </w:p>
          <w:p w14:paraId="2B89D063">
            <w:pPr>
              <w:autoSpaceDE w:val="0"/>
              <w:autoSpaceDN w:val="0"/>
              <w:adjustRightInd w:val="0"/>
              <w:spacing w:line="360" w:lineRule="auto"/>
              <w:rPr>
                <w:rFonts w:hint="eastAsia"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bCs/>
                <w:color w:val="auto"/>
                <w:szCs w:val="21"/>
                <w:lang w:val="zh-CN"/>
              </w:rPr>
              <w:t>组织，时间：      地点：</w:t>
            </w:r>
          </w:p>
        </w:tc>
      </w:tr>
      <w:tr w14:paraId="2B8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B89D065">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8</w:t>
            </w:r>
          </w:p>
        </w:tc>
        <w:tc>
          <w:tcPr>
            <w:tcW w:w="2268" w:type="dxa"/>
            <w:vAlign w:val="center"/>
          </w:tcPr>
          <w:p w14:paraId="2B89D066">
            <w:pPr>
              <w:autoSpaceDE w:val="0"/>
              <w:autoSpaceDN w:val="0"/>
              <w:adjustRightInd w:val="0"/>
              <w:spacing w:line="276" w:lineRule="auto"/>
              <w:jc w:val="center"/>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开标</w:t>
            </w:r>
            <w:r>
              <w:rPr>
                <w:rFonts w:cs="宋体" w:asciiTheme="minorEastAsia" w:hAnsiTheme="minorEastAsia"/>
                <w:bCs/>
                <w:color w:val="auto"/>
                <w:szCs w:val="21"/>
                <w:lang w:val="zh-CN"/>
              </w:rPr>
              <w:t>前答疑会</w:t>
            </w:r>
          </w:p>
        </w:tc>
        <w:tc>
          <w:tcPr>
            <w:tcW w:w="6813" w:type="dxa"/>
            <w:vAlign w:val="center"/>
          </w:tcPr>
          <w:p w14:paraId="2B89D067">
            <w:pPr>
              <w:autoSpaceDE w:val="0"/>
              <w:autoSpaceDN w:val="0"/>
              <w:adjustRightInd w:val="0"/>
              <w:spacing w:line="360" w:lineRule="auto"/>
              <w:rPr>
                <w:rFonts w:hint="eastAsia"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不召开</w:t>
            </w:r>
          </w:p>
          <w:p w14:paraId="2B89D068">
            <w:pPr>
              <w:autoSpaceDE w:val="0"/>
              <w:autoSpaceDN w:val="0"/>
              <w:adjustRightInd w:val="0"/>
              <w:spacing w:line="360" w:lineRule="auto"/>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□召开，时间：      地点：</w:t>
            </w:r>
          </w:p>
        </w:tc>
      </w:tr>
      <w:tr w14:paraId="2B8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6A">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9</w:t>
            </w:r>
          </w:p>
        </w:tc>
        <w:tc>
          <w:tcPr>
            <w:tcW w:w="2268" w:type="dxa"/>
            <w:vAlign w:val="center"/>
          </w:tcPr>
          <w:p w14:paraId="2B89D06B">
            <w:pPr>
              <w:autoSpaceDE w:val="0"/>
              <w:autoSpaceDN w:val="0"/>
              <w:adjustRightInd w:val="0"/>
              <w:spacing w:line="276" w:lineRule="auto"/>
              <w:jc w:val="center"/>
              <w:rPr>
                <w:rFonts w:hint="eastAsia" w:cs="仿宋_GB2312" w:asciiTheme="minorEastAsia" w:hAnsiTheme="minorEastAsia"/>
                <w:color w:val="auto"/>
                <w:szCs w:val="21"/>
              </w:rPr>
            </w:pPr>
            <w:r>
              <w:rPr>
                <w:rFonts w:hint="eastAsia" w:cs="仿宋_GB2312" w:asciiTheme="minorEastAsia" w:hAnsiTheme="minorEastAsia"/>
                <w:color w:val="auto"/>
                <w:szCs w:val="21"/>
              </w:rPr>
              <w:t>进口产品参与</w:t>
            </w:r>
          </w:p>
        </w:tc>
        <w:tc>
          <w:tcPr>
            <w:tcW w:w="6813" w:type="dxa"/>
            <w:vAlign w:val="center"/>
          </w:tcPr>
          <w:p w14:paraId="2B89D06C">
            <w:pPr>
              <w:autoSpaceDE w:val="0"/>
              <w:autoSpaceDN w:val="0"/>
              <w:adjustRightInd w:val="0"/>
              <w:spacing w:line="276" w:lineRule="auto"/>
              <w:rPr>
                <w:rFonts w:hint="eastAsia"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asciiTheme="minorEastAsia" w:hAnsiTheme="minorEastAsia"/>
                <w:color w:val="auto"/>
                <w:szCs w:val="21"/>
              </w:rPr>
              <w:t>允许</w:t>
            </w:r>
          </w:p>
        </w:tc>
      </w:tr>
      <w:tr w14:paraId="2B8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6E">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10</w:t>
            </w:r>
          </w:p>
        </w:tc>
        <w:tc>
          <w:tcPr>
            <w:tcW w:w="2268" w:type="dxa"/>
            <w:vAlign w:val="center"/>
          </w:tcPr>
          <w:p w14:paraId="2B89D06F">
            <w:pPr>
              <w:autoSpaceDE w:val="0"/>
              <w:autoSpaceDN w:val="0"/>
              <w:adjustRightInd w:val="0"/>
              <w:spacing w:line="276" w:lineRule="auto"/>
              <w:jc w:val="center"/>
              <w:rPr>
                <w:rFonts w:hint="eastAsia"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投标有效期</w:t>
            </w:r>
          </w:p>
        </w:tc>
        <w:tc>
          <w:tcPr>
            <w:tcW w:w="6813" w:type="dxa"/>
            <w:vAlign w:val="center"/>
          </w:tcPr>
          <w:p w14:paraId="2B89D070">
            <w:pPr>
              <w:autoSpaceDE w:val="0"/>
              <w:autoSpaceDN w:val="0"/>
              <w:adjustRightInd w:val="0"/>
              <w:spacing w:line="360" w:lineRule="auto"/>
              <w:rPr>
                <w:rFonts w:hint="eastAsia" w:cs="仿宋_GB2312" w:asciiTheme="minorEastAsia" w:hAnsiTheme="minorEastAsia"/>
                <w:color w:val="auto"/>
                <w:szCs w:val="21"/>
              </w:rPr>
            </w:pPr>
            <w:r>
              <w:rPr>
                <w:rFonts w:hint="eastAsia" w:cs="仿宋_GB2312" w:asciiTheme="minorEastAsia" w:hAnsiTheme="minorEastAsia"/>
                <w:color w:val="auto"/>
                <w:szCs w:val="21"/>
              </w:rPr>
              <w:t>90天（自</w:t>
            </w:r>
            <w:r>
              <w:rPr>
                <w:rFonts w:hint="eastAsia" w:cs="宋体" w:asciiTheme="minorEastAsia" w:hAnsiTheme="minorEastAsia"/>
                <w:color w:val="auto"/>
                <w:kern w:val="0"/>
                <w:szCs w:val="21"/>
              </w:rPr>
              <w:t>提交投标文件的截止之日起算</w:t>
            </w:r>
            <w:r>
              <w:rPr>
                <w:rFonts w:hint="eastAsia" w:cs="仿宋_GB2312" w:asciiTheme="minorEastAsia" w:hAnsiTheme="minorEastAsia"/>
                <w:color w:val="auto"/>
                <w:szCs w:val="21"/>
              </w:rPr>
              <w:t>）</w:t>
            </w:r>
          </w:p>
          <w:p w14:paraId="2B89D071">
            <w:pPr>
              <w:autoSpaceDE w:val="0"/>
              <w:autoSpaceDN w:val="0"/>
              <w:adjustRightInd w:val="0"/>
              <w:spacing w:line="360" w:lineRule="auto"/>
              <w:rPr>
                <w:rFonts w:hint="eastAsia" w:cs="仿宋_GB2312" w:asciiTheme="minorEastAsia" w:hAnsiTheme="minorEastAsia"/>
                <w:color w:val="auto"/>
                <w:szCs w:val="21"/>
              </w:rPr>
            </w:pPr>
            <w:r>
              <w:rPr>
                <w:rFonts w:cs="仿宋_GB2312" w:asciiTheme="minorEastAsia" w:hAnsiTheme="minorEastAsia"/>
                <w:color w:val="auto"/>
                <w:szCs w:val="21"/>
                <w:lang w:val="zh-CN"/>
              </w:rPr>
              <w:t>中标</w:t>
            </w:r>
            <w:r>
              <w:rPr>
                <w:rFonts w:hint="eastAsia" w:cs="仿宋_GB2312" w:asciiTheme="minorEastAsia" w:hAnsiTheme="minorEastAsia"/>
                <w:color w:val="auto"/>
                <w:szCs w:val="21"/>
                <w:lang w:val="zh-CN"/>
              </w:rPr>
              <w:t>人投标</w:t>
            </w:r>
            <w:r>
              <w:rPr>
                <w:rFonts w:cs="仿宋_GB2312" w:asciiTheme="minorEastAsia" w:hAnsiTheme="minorEastAsia"/>
                <w:color w:val="auto"/>
                <w:szCs w:val="21"/>
                <w:lang w:val="zh-CN"/>
              </w:rPr>
              <w:t>有效期延</w:t>
            </w:r>
            <w:r>
              <w:rPr>
                <w:rFonts w:hint="eastAsia" w:cs="仿宋_GB2312" w:asciiTheme="minorEastAsia" w:hAnsiTheme="minorEastAsia"/>
                <w:color w:val="auto"/>
                <w:szCs w:val="21"/>
                <w:lang w:val="zh-CN"/>
              </w:rPr>
              <w:t>至合同</w:t>
            </w:r>
            <w:r>
              <w:rPr>
                <w:rFonts w:cs="仿宋_GB2312" w:asciiTheme="minorEastAsia" w:hAnsiTheme="minorEastAsia"/>
                <w:color w:val="auto"/>
                <w:szCs w:val="21"/>
                <w:lang w:val="zh-CN"/>
              </w:rPr>
              <w:t>验收之日</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中标人全部合同义务履行完毕为止。</w:t>
            </w:r>
          </w:p>
        </w:tc>
      </w:tr>
      <w:tr w14:paraId="2B8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3">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11</w:t>
            </w:r>
          </w:p>
        </w:tc>
        <w:tc>
          <w:tcPr>
            <w:tcW w:w="2268" w:type="dxa"/>
            <w:vAlign w:val="center"/>
          </w:tcPr>
          <w:p w14:paraId="2B89D074">
            <w:pPr>
              <w:autoSpaceDE w:val="0"/>
              <w:autoSpaceDN w:val="0"/>
              <w:adjustRightInd w:val="0"/>
              <w:spacing w:line="360" w:lineRule="auto"/>
              <w:rPr>
                <w:rFonts w:hint="eastAsia" w:cs="仿宋_GB2312" w:asciiTheme="minorEastAsia" w:hAnsiTheme="minorEastAsia"/>
                <w:color w:val="auto"/>
                <w:szCs w:val="21"/>
              </w:rPr>
            </w:pPr>
            <w:r>
              <w:rPr>
                <w:rFonts w:hint="eastAsia" w:cs="宋体" w:asciiTheme="minorEastAsia" w:hAnsiTheme="minorEastAsia"/>
                <w:bCs/>
                <w:color w:val="auto"/>
                <w:szCs w:val="21"/>
                <w:lang w:val="zh-CN"/>
              </w:rPr>
              <w:t>成交供应商</w:t>
            </w:r>
            <w:r>
              <w:rPr>
                <w:rFonts w:cs="宋体" w:asciiTheme="minorEastAsia" w:hAnsiTheme="minorEastAsia"/>
                <w:bCs/>
                <w:color w:val="auto"/>
                <w:szCs w:val="21"/>
                <w:lang w:val="zh-CN"/>
              </w:rPr>
              <w:t>将本项目非主体、非关键性工作分包</w:t>
            </w:r>
          </w:p>
        </w:tc>
        <w:tc>
          <w:tcPr>
            <w:tcW w:w="6813" w:type="dxa"/>
            <w:vAlign w:val="center"/>
          </w:tcPr>
          <w:p w14:paraId="2B89D075">
            <w:pPr>
              <w:autoSpaceDE w:val="0"/>
              <w:autoSpaceDN w:val="0"/>
              <w:adjustRightInd w:val="0"/>
              <w:spacing w:line="276" w:lineRule="auto"/>
              <w:rPr>
                <w:rFonts w:hint="eastAsia" w:cs="仿宋_GB2312"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 w:val="13"/>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rPr>
              <w:t>允许</w:t>
            </w:r>
          </w:p>
        </w:tc>
      </w:tr>
      <w:tr w14:paraId="2B89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7">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12</w:t>
            </w:r>
          </w:p>
        </w:tc>
        <w:tc>
          <w:tcPr>
            <w:tcW w:w="2268" w:type="dxa"/>
            <w:vAlign w:val="center"/>
          </w:tcPr>
          <w:p w14:paraId="2B89D078">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cs="仿宋_GB2312" w:asciiTheme="minorEastAsia" w:hAnsiTheme="minorEastAsia"/>
                <w:color w:val="auto"/>
                <w:szCs w:val="21"/>
                <w:shd w:val="clear" w:color="auto" w:fill="FFFFFF"/>
              </w:rPr>
              <w:t>投标文件提交截止</w:t>
            </w:r>
            <w:r>
              <w:rPr>
                <w:rFonts w:hint="eastAsia" w:cs="宋体" w:asciiTheme="minorEastAsia" w:hAnsiTheme="minorEastAsia"/>
                <w:bCs/>
                <w:color w:val="auto"/>
                <w:szCs w:val="21"/>
                <w:lang w:val="zh-CN"/>
              </w:rPr>
              <w:t>及开标时间</w:t>
            </w:r>
          </w:p>
        </w:tc>
        <w:tc>
          <w:tcPr>
            <w:tcW w:w="6813" w:type="dxa"/>
            <w:vAlign w:val="center"/>
          </w:tcPr>
          <w:p w14:paraId="2B89D079">
            <w:pPr>
              <w:autoSpaceDE w:val="0"/>
              <w:autoSpaceDN w:val="0"/>
              <w:adjustRightInd w:val="0"/>
              <w:spacing w:line="360" w:lineRule="auto"/>
              <w:rPr>
                <w:rFonts w:hint="eastAsia" w:cs="宋体" w:asciiTheme="minorEastAsia" w:hAnsiTheme="minorEastAsia"/>
                <w:bCs/>
                <w:color w:val="auto"/>
                <w:szCs w:val="21"/>
                <w:lang w:val="zh-CN"/>
              </w:rPr>
            </w:pPr>
            <w:r>
              <w:rPr>
                <w:rFonts w:hint="eastAsia" w:hAnsi="宋体"/>
                <w:color w:val="auto"/>
                <w:szCs w:val="21"/>
              </w:rPr>
              <w:t>2025年</w:t>
            </w:r>
            <w:r>
              <w:rPr>
                <w:rFonts w:hint="eastAsia" w:hAnsi="宋体"/>
                <w:color w:val="auto"/>
                <w:szCs w:val="21"/>
                <w:lang w:val="en-US" w:eastAsia="zh-CN"/>
              </w:rPr>
              <w:t>10</w:t>
            </w:r>
            <w:r>
              <w:rPr>
                <w:rFonts w:hint="eastAsia" w:hAnsi="宋体"/>
                <w:color w:val="auto"/>
                <w:szCs w:val="21"/>
              </w:rPr>
              <w:t>月</w:t>
            </w:r>
            <w:r>
              <w:rPr>
                <w:rFonts w:hint="eastAsia" w:hAnsi="宋体"/>
                <w:color w:val="auto"/>
                <w:szCs w:val="21"/>
                <w:lang w:val="en-US" w:eastAsia="zh-CN"/>
              </w:rPr>
              <w:t>22</w:t>
            </w:r>
            <w:r>
              <w:rPr>
                <w:rFonts w:hint="eastAsia" w:hAnsi="宋体"/>
                <w:color w:val="auto"/>
                <w:szCs w:val="21"/>
              </w:rPr>
              <w:t>日08时</w:t>
            </w:r>
            <w:r>
              <w:rPr>
                <w:rFonts w:hint="eastAsia" w:ascii="宋体" w:hAnsi="宋体" w:eastAsia="宋体" w:cs="宋体"/>
                <w:color w:val="auto"/>
                <w:szCs w:val="21"/>
                <w:shd w:val="clear" w:color="auto" w:fill="FFFFFF"/>
              </w:rPr>
              <w:t>30分</w:t>
            </w:r>
            <w:r>
              <w:rPr>
                <w:rFonts w:hint="eastAsia" w:cs="仿宋_GB2312" w:asciiTheme="minorEastAsia" w:hAnsiTheme="minorEastAsia"/>
                <w:color w:val="auto"/>
                <w:szCs w:val="21"/>
                <w:lang w:val="zh-CN"/>
              </w:rPr>
              <w:t>（北京时间）</w:t>
            </w:r>
          </w:p>
        </w:tc>
      </w:tr>
      <w:tr w14:paraId="2B8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B">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13</w:t>
            </w:r>
          </w:p>
        </w:tc>
        <w:tc>
          <w:tcPr>
            <w:tcW w:w="2268" w:type="dxa"/>
            <w:vAlign w:val="center"/>
          </w:tcPr>
          <w:p w14:paraId="2B89D07C">
            <w:pPr>
              <w:autoSpaceDE w:val="0"/>
              <w:autoSpaceDN w:val="0"/>
              <w:adjustRightInd w:val="0"/>
              <w:spacing w:line="360" w:lineRule="auto"/>
              <w:jc w:val="center"/>
              <w:rPr>
                <w:rFonts w:hint="eastAsia" w:cs="黑体" w:asciiTheme="minorEastAsia" w:hAnsiTheme="minorEastAsia"/>
                <w:color w:val="auto"/>
                <w:szCs w:val="21"/>
              </w:rPr>
            </w:pPr>
            <w:r>
              <w:rPr>
                <w:rFonts w:hint="eastAsia" w:cs="黑体" w:asciiTheme="minorEastAsia" w:hAnsiTheme="minorEastAsia"/>
                <w:color w:val="auto"/>
                <w:szCs w:val="21"/>
                <w:lang w:val="en-US" w:eastAsia="zh-CN"/>
              </w:rPr>
              <w:t>递交</w:t>
            </w:r>
            <w:r>
              <w:rPr>
                <w:rFonts w:hint="eastAsia" w:cs="黑体" w:asciiTheme="minorEastAsia" w:hAnsiTheme="minorEastAsia"/>
                <w:color w:val="auto"/>
                <w:szCs w:val="21"/>
              </w:rPr>
              <w:t>投标文件</w:t>
            </w:r>
          </w:p>
          <w:p w14:paraId="2B89D07D">
            <w:pPr>
              <w:autoSpaceDE w:val="0"/>
              <w:autoSpaceDN w:val="0"/>
              <w:adjustRightInd w:val="0"/>
              <w:spacing w:line="360" w:lineRule="auto"/>
              <w:jc w:val="center"/>
              <w:rPr>
                <w:rFonts w:hint="default" w:cs="黑体" w:asciiTheme="minorEastAsia" w:hAnsiTheme="minorEastAsia" w:eastAsiaTheme="minorEastAsia"/>
                <w:color w:val="auto"/>
                <w:szCs w:val="21"/>
                <w:lang w:val="en-US" w:eastAsia="zh-CN"/>
              </w:rPr>
            </w:pPr>
            <w:r>
              <w:rPr>
                <w:rFonts w:hint="eastAsia" w:cs="黑体" w:asciiTheme="minorEastAsia" w:hAnsiTheme="minorEastAsia"/>
                <w:color w:val="auto"/>
                <w:szCs w:val="21"/>
                <w:lang w:val="en-US" w:eastAsia="zh-CN"/>
              </w:rPr>
              <w:t>及开标地点</w:t>
            </w:r>
          </w:p>
        </w:tc>
        <w:tc>
          <w:tcPr>
            <w:tcW w:w="6813" w:type="dxa"/>
            <w:vAlign w:val="center"/>
          </w:tcPr>
          <w:p w14:paraId="28A22C4C">
            <w:pPr>
              <w:autoSpaceDE w:val="0"/>
              <w:autoSpaceDN w:val="0"/>
              <w:adjustRightInd w:val="0"/>
              <w:spacing w:line="360" w:lineRule="auto"/>
              <w:rPr>
                <w:rFonts w:hint="eastAsia" w:cs="仿宋_GB2312" w:asciiTheme="minorEastAsia" w:hAnsiTheme="minorEastAsia"/>
                <w:color w:val="auto"/>
                <w:szCs w:val="21"/>
              </w:rPr>
            </w:pPr>
            <w:r>
              <w:rPr>
                <w:rFonts w:hint="eastAsia" w:cs="仿宋_GB2312" w:asciiTheme="minorEastAsia" w:hAnsiTheme="minorEastAsia"/>
                <w:color w:val="auto"/>
                <w:szCs w:val="21"/>
              </w:rPr>
              <w:t>电子投标文件递交地点</w:t>
            </w:r>
            <w:r>
              <w:rPr>
                <w:rFonts w:hint="eastAsia" w:cs="仿宋_GB2312" w:asciiTheme="minorEastAsia" w:hAnsiTheme="minorEastAsia"/>
                <w:color w:val="auto"/>
                <w:szCs w:val="21"/>
                <w:lang w:eastAsia="zh-CN"/>
              </w:rPr>
              <w:t>：</w:t>
            </w:r>
            <w:r>
              <w:rPr>
                <w:rFonts w:hint="eastAsia" w:cs="仿宋_GB2312" w:asciiTheme="minorEastAsia" w:hAnsiTheme="minorEastAsia"/>
                <w:color w:val="auto"/>
                <w:szCs w:val="21"/>
              </w:rPr>
              <w:t>电子投标文件应按规定在投标截止时间之前成功提交至【全国公共资源交易平台</w:t>
            </w:r>
            <w:r>
              <w:rPr>
                <w:rFonts w:hint="eastAsia" w:cs="仿宋_GB2312" w:asciiTheme="minorEastAsia" w:hAnsiTheme="minorEastAsia"/>
                <w:color w:val="auto"/>
                <w:szCs w:val="21"/>
                <w:lang w:eastAsia="zh-CN"/>
              </w:rPr>
              <w:t>（</w:t>
            </w:r>
            <w:r>
              <w:rPr>
                <w:rFonts w:hint="eastAsia" w:cs="仿宋_GB2312" w:asciiTheme="minorEastAsia" w:hAnsiTheme="minorEastAsia"/>
                <w:color w:val="auto"/>
                <w:szCs w:val="21"/>
              </w:rPr>
              <w:t>河南省·许昌市</w:t>
            </w:r>
            <w:r>
              <w:rPr>
                <w:rFonts w:hint="eastAsia" w:cs="仿宋_GB2312" w:asciiTheme="minorEastAsia" w:hAnsiTheme="minorEastAsia"/>
                <w:color w:val="auto"/>
                <w:szCs w:val="21"/>
                <w:lang w:eastAsia="zh-CN"/>
              </w:rPr>
              <w:t>）</w:t>
            </w:r>
            <w:r>
              <w:rPr>
                <w:rFonts w:hint="eastAsia" w:cs="仿宋_GB2312" w:asciiTheme="minorEastAsia" w:hAnsiTheme="minorEastAsia"/>
                <w:color w:val="auto"/>
                <w:szCs w:val="21"/>
              </w:rPr>
              <w:t>】公共资源交易系统</w:t>
            </w:r>
            <w:r>
              <w:rPr>
                <w:rFonts w:hint="eastAsia" w:cs="仿宋_GB2312" w:asciiTheme="minorEastAsia" w:hAnsiTheme="minorEastAsia"/>
                <w:color w:val="auto"/>
                <w:szCs w:val="21"/>
                <w:lang w:eastAsia="zh-CN"/>
              </w:rPr>
              <w:t>（</w:t>
            </w:r>
            <w:r>
              <w:rPr>
                <w:rFonts w:hint="eastAsia" w:ascii="宋体" w:hAnsi="宋体" w:cs="仿宋_GB2312"/>
                <w:color w:val="auto"/>
                <w:szCs w:val="21"/>
                <w:lang w:val="zh-CN"/>
              </w:rPr>
              <w:t>https://ggzy.xuchang.gov.cn</w:t>
            </w:r>
            <w:r>
              <w:rPr>
                <w:rFonts w:hint="eastAsia" w:cs="仿宋_GB2312" w:asciiTheme="minorEastAsia" w:hAnsiTheme="minorEastAsia"/>
                <w:color w:val="auto"/>
                <w:szCs w:val="21"/>
              </w:rPr>
              <w:t>)</w:t>
            </w:r>
          </w:p>
          <w:p w14:paraId="2B89D07E">
            <w:pPr>
              <w:autoSpaceDE w:val="0"/>
              <w:autoSpaceDN w:val="0"/>
              <w:adjustRightInd w:val="0"/>
              <w:spacing w:line="360" w:lineRule="auto"/>
              <w:rPr>
                <w:rFonts w:hint="eastAsia" w:cs="宋体" w:asciiTheme="minorEastAsia" w:hAnsiTheme="minorEastAsia"/>
                <w:bCs/>
                <w:color w:val="auto"/>
                <w:szCs w:val="21"/>
                <w:lang w:val="zh-CN"/>
              </w:rPr>
            </w:pPr>
            <w:r>
              <w:rPr>
                <w:rFonts w:hint="eastAsia" w:cs="仿宋_GB2312" w:asciiTheme="minorEastAsia" w:hAnsiTheme="minorEastAsia"/>
                <w:color w:val="auto"/>
                <w:szCs w:val="21"/>
                <w:lang w:val="en-US" w:eastAsia="zh-CN"/>
              </w:rPr>
              <w:t>开标地点：</w:t>
            </w:r>
            <w:r>
              <w:rPr>
                <w:rFonts w:hint="eastAsia" w:cs="仿宋_GB2312" w:asciiTheme="minorEastAsia" w:hAnsiTheme="minorEastAsia"/>
                <w:color w:val="auto"/>
                <w:szCs w:val="21"/>
              </w:rPr>
              <w:t>禹州市公共资源交易中心开标</w:t>
            </w:r>
            <w:r>
              <w:rPr>
                <w:rFonts w:hint="eastAsia" w:cs="仿宋_GB2312" w:asciiTheme="minorEastAsia" w:hAnsiTheme="minorEastAsia"/>
                <w:color w:val="auto"/>
                <w:szCs w:val="21"/>
                <w:lang w:eastAsia="zh-CN"/>
              </w:rPr>
              <w:t>二</w:t>
            </w:r>
            <w:r>
              <w:rPr>
                <w:rFonts w:hint="eastAsia" w:cs="仿宋_GB2312" w:asciiTheme="minorEastAsia" w:hAnsiTheme="minorEastAsia"/>
                <w:color w:val="auto"/>
                <w:szCs w:val="21"/>
              </w:rPr>
              <w:t>室（地址：禹州市行政服务中心楼九楼）（</w:t>
            </w:r>
            <w:r>
              <w:rPr>
                <w:rFonts w:hint="eastAsia" w:cs="Arial" w:asciiTheme="minorEastAsia" w:hAnsiTheme="minorEastAsia"/>
                <w:b/>
                <w:color w:val="auto"/>
                <w:szCs w:val="21"/>
              </w:rPr>
              <w:t>本项目采用远程不见面开标，供应商无须到达现场</w:t>
            </w:r>
            <w:r>
              <w:rPr>
                <w:rFonts w:hint="eastAsia" w:cs="Arial" w:asciiTheme="minorEastAsia" w:hAnsiTheme="minorEastAsia"/>
                <w:color w:val="auto"/>
                <w:szCs w:val="21"/>
              </w:rPr>
              <w:t>）</w:t>
            </w:r>
          </w:p>
        </w:tc>
      </w:tr>
      <w:tr w14:paraId="2B89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80">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14</w:t>
            </w:r>
          </w:p>
        </w:tc>
        <w:tc>
          <w:tcPr>
            <w:tcW w:w="2268" w:type="dxa"/>
            <w:vAlign w:val="center"/>
          </w:tcPr>
          <w:p w14:paraId="2B89D081">
            <w:pPr>
              <w:autoSpaceDE w:val="0"/>
              <w:autoSpaceDN w:val="0"/>
              <w:adjustRightInd w:val="0"/>
              <w:spacing w:line="276" w:lineRule="auto"/>
              <w:jc w:val="center"/>
              <w:rPr>
                <w:rFonts w:hint="eastAsia" w:cs="宋体" w:asciiTheme="minorEastAsia" w:hAnsiTheme="minorEastAsia"/>
                <w:bCs/>
                <w:color w:val="auto"/>
                <w:szCs w:val="21"/>
                <w:lang w:val="zh-CN"/>
              </w:rPr>
            </w:pPr>
            <w:r>
              <w:rPr>
                <w:rFonts w:hint="eastAsia" w:cs="宋体" w:asciiTheme="minorEastAsia" w:hAnsiTheme="minorEastAsia"/>
                <w:color w:val="auto"/>
                <w:kern w:val="0"/>
                <w:szCs w:val="21"/>
              </w:rPr>
              <w:t>投标保证金</w:t>
            </w:r>
          </w:p>
        </w:tc>
        <w:tc>
          <w:tcPr>
            <w:tcW w:w="6813" w:type="dxa"/>
            <w:vAlign w:val="center"/>
          </w:tcPr>
          <w:p w14:paraId="2B89D082">
            <w:pPr>
              <w:tabs>
                <w:tab w:val="left" w:pos="1260"/>
              </w:tabs>
              <w:autoSpaceDE w:val="0"/>
              <w:autoSpaceDN w:val="0"/>
              <w:adjustRightInd w:val="0"/>
              <w:spacing w:line="360" w:lineRule="auto"/>
              <w:contextualSpacing/>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本项目不收取。</w:t>
            </w:r>
          </w:p>
          <w:p w14:paraId="2B89D083">
            <w:pPr>
              <w:tabs>
                <w:tab w:val="left" w:pos="1260"/>
              </w:tabs>
              <w:autoSpaceDE w:val="0"/>
              <w:autoSpaceDN w:val="0"/>
              <w:spacing w:line="360" w:lineRule="auto"/>
              <w:contextualSpacing/>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供应商应提供投标承诺函。</w:t>
            </w:r>
          </w:p>
        </w:tc>
      </w:tr>
      <w:tr w14:paraId="2B89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2B89D085">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15</w:t>
            </w:r>
          </w:p>
        </w:tc>
        <w:tc>
          <w:tcPr>
            <w:tcW w:w="2268" w:type="dxa"/>
            <w:vAlign w:val="center"/>
          </w:tcPr>
          <w:p w14:paraId="2B89D086">
            <w:pPr>
              <w:autoSpaceDE w:val="0"/>
              <w:autoSpaceDN w:val="0"/>
              <w:adjustRightInd w:val="0"/>
              <w:spacing w:line="276" w:lineRule="auto"/>
              <w:jc w:val="center"/>
              <w:rPr>
                <w:rFonts w:hint="eastAsia" w:cs="仿宋_GB2312" w:asciiTheme="minorEastAsia" w:hAnsiTheme="minorEastAsia"/>
                <w:color w:val="auto"/>
                <w:szCs w:val="21"/>
              </w:rPr>
            </w:pPr>
            <w:r>
              <w:rPr>
                <w:rFonts w:hint="eastAsia" w:cs="仿宋_GB2312" w:asciiTheme="minorEastAsia" w:hAnsiTheme="minorEastAsia"/>
                <w:color w:val="auto"/>
                <w:szCs w:val="21"/>
              </w:rPr>
              <w:t>公告发布</w:t>
            </w:r>
          </w:p>
        </w:tc>
        <w:tc>
          <w:tcPr>
            <w:tcW w:w="6813" w:type="dxa"/>
            <w:tcBorders>
              <w:top w:val="single" w:color="auto" w:sz="4" w:space="0"/>
            </w:tcBorders>
            <w:vAlign w:val="center"/>
          </w:tcPr>
          <w:p w14:paraId="2B89D087">
            <w:pPr>
              <w:autoSpaceDE w:val="0"/>
              <w:autoSpaceDN w:val="0"/>
              <w:adjustRightInd w:val="0"/>
              <w:spacing w:line="360" w:lineRule="auto"/>
              <w:rPr>
                <w:rFonts w:hint="eastAsia" w:cs="宋体" w:asciiTheme="minorEastAsia" w:hAnsiTheme="minorEastAsia"/>
                <w:bCs/>
                <w:color w:val="auto"/>
                <w:szCs w:val="21"/>
                <w:lang w:val="zh-CN"/>
              </w:rPr>
            </w:pPr>
            <w:r>
              <w:rPr>
                <w:rFonts w:hint="eastAsia" w:cs="宋体" w:asciiTheme="minorEastAsia" w:hAnsiTheme="minorEastAsia"/>
                <w:color w:val="auto"/>
                <w:szCs w:val="21"/>
              </w:rPr>
              <w:t>采购公告、成交公告、变更（更正）公告、现场勘察答复等相关信息同时在以下网站发布：</w:t>
            </w:r>
            <w:r>
              <w:rPr>
                <w:rFonts w:hint="eastAsia" w:hAnsi="宋体"/>
                <w:color w:val="auto"/>
                <w:szCs w:val="21"/>
              </w:rPr>
              <w:t>《河南省政府采购网》《许昌市政府采购网》</w:t>
            </w:r>
            <w:r>
              <w:rPr>
                <w:rFonts w:hint="eastAsia" w:cs="宋体" w:asciiTheme="minorEastAsia" w:hAnsiTheme="minorEastAsia"/>
                <w:color w:val="auto"/>
                <w:szCs w:val="21"/>
              </w:rPr>
              <w:t>《全国公共资源交易平台（河南省·许昌市）》。</w:t>
            </w:r>
          </w:p>
        </w:tc>
      </w:tr>
      <w:tr w14:paraId="2B89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89">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16</w:t>
            </w:r>
          </w:p>
        </w:tc>
        <w:tc>
          <w:tcPr>
            <w:tcW w:w="2268" w:type="dxa"/>
            <w:vAlign w:val="center"/>
          </w:tcPr>
          <w:p w14:paraId="2B89D08A">
            <w:pPr>
              <w:autoSpaceDE w:val="0"/>
              <w:autoSpaceDN w:val="0"/>
              <w:adjustRightInd w:val="0"/>
              <w:spacing w:line="360" w:lineRule="auto"/>
              <w:jc w:val="center"/>
              <w:rPr>
                <w:rFonts w:hint="eastAsia" w:cs="仿宋_GB2312" w:asciiTheme="minorEastAsia" w:hAnsiTheme="minorEastAsia"/>
                <w:color w:val="auto"/>
                <w:szCs w:val="21"/>
              </w:rPr>
            </w:pPr>
            <w:r>
              <w:rPr>
                <w:rFonts w:hint="eastAsia" w:cs="仿宋_GB2312" w:asciiTheme="minorEastAsia" w:hAnsiTheme="minorEastAsia"/>
                <w:color w:val="auto"/>
                <w:szCs w:val="21"/>
              </w:rPr>
              <w:t>采购人澄清或修改</w:t>
            </w:r>
          </w:p>
          <w:p w14:paraId="2B89D08B">
            <w:pPr>
              <w:autoSpaceDE w:val="0"/>
              <w:autoSpaceDN w:val="0"/>
              <w:adjustRightInd w:val="0"/>
              <w:spacing w:line="360" w:lineRule="auto"/>
              <w:jc w:val="center"/>
              <w:rPr>
                <w:rFonts w:hint="eastAsia" w:cs="黑体" w:asciiTheme="minorEastAsia" w:hAnsiTheme="minorEastAsia"/>
                <w:color w:val="auto"/>
                <w:szCs w:val="21"/>
              </w:rPr>
            </w:pPr>
            <w:r>
              <w:rPr>
                <w:rFonts w:hint="eastAsia" w:cs="仿宋_GB2312" w:asciiTheme="minorEastAsia" w:hAnsiTheme="minorEastAsia"/>
                <w:color w:val="auto"/>
                <w:szCs w:val="21"/>
              </w:rPr>
              <w:t>招标文件时间</w:t>
            </w:r>
          </w:p>
        </w:tc>
        <w:tc>
          <w:tcPr>
            <w:tcW w:w="6813" w:type="dxa"/>
            <w:vAlign w:val="center"/>
          </w:tcPr>
          <w:p w14:paraId="2B89D08C">
            <w:pPr>
              <w:autoSpaceDE w:val="0"/>
              <w:autoSpaceDN w:val="0"/>
              <w:adjustRightInd w:val="0"/>
              <w:spacing w:line="360" w:lineRule="auto"/>
              <w:rPr>
                <w:rFonts w:hint="default" w:cs="宋体" w:asciiTheme="minorEastAsia" w:hAnsiTheme="minorEastAsia" w:eastAsiaTheme="minorEastAsia"/>
                <w:bCs/>
                <w:color w:val="auto"/>
                <w:szCs w:val="21"/>
                <w:lang w:val="en-US" w:eastAsia="zh-CN"/>
              </w:rPr>
            </w:pPr>
            <w:r>
              <w:rPr>
                <w:rFonts w:hint="eastAsia" w:cs="宋体" w:asciiTheme="minorEastAsia" w:hAnsiTheme="minorEastAsia"/>
                <w:bCs/>
                <w:color w:val="auto"/>
                <w:szCs w:val="21"/>
                <w:lang w:val="zh-CN"/>
              </w:rPr>
              <w:t>投标截止时间</w:t>
            </w:r>
            <w:r>
              <w:rPr>
                <w:rFonts w:hint="eastAsia" w:cs="宋体" w:asciiTheme="minorEastAsia" w:hAnsiTheme="minorEastAsia"/>
                <w:bCs/>
                <w:color w:val="auto"/>
                <w:szCs w:val="21"/>
              </w:rPr>
              <w:t>15</w:t>
            </w:r>
            <w:r>
              <w:rPr>
                <w:rFonts w:hint="eastAsia" w:cs="宋体" w:asciiTheme="minorEastAsia" w:hAnsiTheme="minorEastAsia"/>
                <w:bCs/>
                <w:color w:val="auto"/>
                <w:szCs w:val="21"/>
                <w:lang w:val="zh-CN"/>
              </w:rPr>
              <w:t>个工作日前（</w:t>
            </w:r>
            <w:r>
              <w:rPr>
                <w:rFonts w:hint="eastAsia" w:cs="仿宋_GB2312" w:asciiTheme="minorEastAsia" w:hAnsiTheme="minorEastAsia"/>
                <w:color w:val="auto"/>
                <w:szCs w:val="21"/>
                <w:lang w:val="zh-CN"/>
              </w:rPr>
              <w:t>澄清内容可能影响投标文件编制的），</w:t>
            </w:r>
            <w:r>
              <w:rPr>
                <w:rFonts w:hint="eastAsia" w:cs="仿宋_GB2312" w:asciiTheme="minorEastAsia" w:hAnsiTheme="minorEastAsia"/>
                <w:color w:val="auto"/>
                <w:szCs w:val="21"/>
                <w:lang w:val="en-US" w:eastAsia="zh-CN"/>
              </w:rPr>
              <w:t>通过全国公共资源交易平台（河南省.许昌市）交易系统电子平台发出；不足15日的，采购人或者采购代理机构应当顺延提交投标文件的截止时间。</w:t>
            </w:r>
          </w:p>
        </w:tc>
      </w:tr>
      <w:tr w14:paraId="2B89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8E">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17</w:t>
            </w:r>
          </w:p>
        </w:tc>
        <w:tc>
          <w:tcPr>
            <w:tcW w:w="2268" w:type="dxa"/>
            <w:vAlign w:val="center"/>
          </w:tcPr>
          <w:p w14:paraId="2B89D08F">
            <w:pPr>
              <w:autoSpaceDE w:val="0"/>
              <w:autoSpaceDN w:val="0"/>
              <w:adjustRightInd w:val="0"/>
              <w:spacing w:line="360"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供应商对招标文件</w:t>
            </w:r>
          </w:p>
          <w:p w14:paraId="2B89D090">
            <w:pPr>
              <w:autoSpaceDE w:val="0"/>
              <w:autoSpaceDN w:val="0"/>
              <w:adjustRightInd w:val="0"/>
              <w:spacing w:line="360"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质疑截止时间</w:t>
            </w:r>
          </w:p>
        </w:tc>
        <w:tc>
          <w:tcPr>
            <w:tcW w:w="6813" w:type="dxa"/>
            <w:vAlign w:val="center"/>
          </w:tcPr>
          <w:p w14:paraId="2B89D091">
            <w:pPr>
              <w:autoSpaceDE w:val="0"/>
              <w:autoSpaceDN w:val="0"/>
              <w:adjustRightInd w:val="0"/>
              <w:spacing w:line="360" w:lineRule="auto"/>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采购公告期满之日起七个工作日</w:t>
            </w:r>
          </w:p>
        </w:tc>
      </w:tr>
      <w:tr w14:paraId="2B89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3">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18</w:t>
            </w:r>
          </w:p>
        </w:tc>
        <w:tc>
          <w:tcPr>
            <w:tcW w:w="2268" w:type="dxa"/>
            <w:vAlign w:val="center"/>
          </w:tcPr>
          <w:p w14:paraId="2B89D094">
            <w:pPr>
              <w:autoSpaceDE w:val="0"/>
              <w:autoSpaceDN w:val="0"/>
              <w:adjustRightInd w:val="0"/>
              <w:spacing w:line="360"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投标文件份数</w:t>
            </w:r>
          </w:p>
        </w:tc>
        <w:tc>
          <w:tcPr>
            <w:tcW w:w="6813" w:type="dxa"/>
            <w:vAlign w:val="center"/>
          </w:tcPr>
          <w:p w14:paraId="2B89D095">
            <w:pPr>
              <w:autoSpaceDE w:val="0"/>
              <w:autoSpaceDN w:val="0"/>
              <w:adjustRightInd w:val="0"/>
              <w:spacing w:line="340" w:lineRule="exact"/>
              <w:rPr>
                <w:rFonts w:hint="eastAsia" w:ascii="宋体" w:hAnsi="宋体" w:cs="仿宋_GB2312"/>
                <w:bCs/>
                <w:color w:val="auto"/>
                <w:szCs w:val="21"/>
                <w:lang w:val="zh-CN"/>
              </w:rPr>
            </w:pPr>
            <w:r>
              <w:rPr>
                <w:rFonts w:ascii="新宋体" w:hAnsi="新宋体" w:eastAsia="新宋体"/>
                <w:bCs/>
                <w:color w:val="auto"/>
                <w:szCs w:val="21"/>
              </w:rPr>
              <w:fldChar w:fldCharType="begin"/>
            </w:r>
            <w:r>
              <w:rPr>
                <w:rFonts w:hint="eastAsia" w:ascii="新宋体" w:hAnsi="新宋体" w:eastAsia="新宋体"/>
                <w:bCs/>
                <w:color w:val="auto"/>
                <w:szCs w:val="21"/>
              </w:rPr>
              <w:instrText xml:space="preserve">eq \o\ac(</w:instrText>
            </w:r>
            <w:r>
              <w:rPr>
                <w:rFonts w:hint="eastAsia" w:ascii="新宋体" w:hAnsi="新宋体" w:eastAsia="新宋体"/>
                <w:bCs/>
                <w:color w:val="auto"/>
                <w:position w:val="-4"/>
                <w:sz w:val="31"/>
                <w:szCs w:val="21"/>
              </w:rPr>
              <w:instrText xml:space="preserve">□</w:instrText>
            </w:r>
            <w:r>
              <w:rPr>
                <w:rFonts w:hint="eastAsia" w:ascii="新宋体" w:hAnsi="新宋体" w:eastAsia="新宋体"/>
                <w:bCs/>
                <w:color w:val="auto"/>
                <w:szCs w:val="21"/>
              </w:rPr>
              <w:instrText xml:space="preserve">,√)</w:instrText>
            </w:r>
            <w:r>
              <w:rPr>
                <w:rFonts w:ascii="新宋体" w:hAnsi="新宋体" w:eastAsia="新宋体"/>
                <w:bCs/>
                <w:color w:val="auto"/>
                <w:szCs w:val="21"/>
              </w:rPr>
              <w:fldChar w:fldCharType="end"/>
            </w:r>
            <w:r>
              <w:rPr>
                <w:rFonts w:hint="eastAsia" w:ascii="新宋体" w:hAnsi="新宋体" w:eastAsia="新宋体"/>
                <w:bCs/>
                <w:color w:val="auto"/>
                <w:szCs w:val="21"/>
              </w:rPr>
              <w:t>电子投标文件：</w:t>
            </w:r>
            <w:r>
              <w:rPr>
                <w:rFonts w:hint="eastAsia" w:ascii="宋体" w:hAnsi="宋体" w:cs="仿宋_GB2312"/>
                <w:bCs/>
                <w:color w:val="auto"/>
                <w:szCs w:val="21"/>
                <w:lang w:val="zh-CN"/>
              </w:rPr>
              <w:t>成功上传至《全国公共资源交易平台（河南省·许昌市）》公共资源交易系统加密电子投标文件1份（后缀格式为“.XCSTF”的加密电子响应文件）。</w:t>
            </w:r>
          </w:p>
          <w:p w14:paraId="2B89D096">
            <w:pPr>
              <w:autoSpaceDE w:val="0"/>
              <w:autoSpaceDN w:val="0"/>
              <w:adjustRightInd w:val="0"/>
              <w:spacing w:line="340" w:lineRule="exact"/>
              <w:rPr>
                <w:rFonts w:hint="eastAsia" w:ascii="宋体" w:hAnsi="宋体" w:cs="仿宋_GB2312"/>
                <w:bCs/>
                <w:color w:val="auto"/>
                <w:szCs w:val="21"/>
                <w:lang w:val="zh-CN"/>
              </w:rPr>
            </w:pPr>
            <w:r>
              <w:rPr>
                <w:rFonts w:hint="eastAsia" w:ascii="宋体" w:hAnsi="宋体" w:cs="仿宋_GB2312"/>
                <w:bCs/>
                <w:color w:val="auto"/>
                <w:szCs w:val="21"/>
                <w:lang w:val="zh-CN"/>
              </w:rPr>
              <w:t>注：供应商登录“全国公共资源交易平台（河南省·许昌市）”下载“新点投标文件制作软件（河南省版）”的最新版本制作电子响应文件。</w:t>
            </w:r>
          </w:p>
          <w:p w14:paraId="2B89D097">
            <w:pPr>
              <w:autoSpaceDE w:val="0"/>
              <w:autoSpaceDN w:val="0"/>
              <w:adjustRightInd w:val="0"/>
              <w:spacing w:line="360" w:lineRule="auto"/>
              <w:rPr>
                <w:rFonts w:hint="eastAsia" w:cs="宋体" w:asciiTheme="minorEastAsia" w:hAnsiTheme="minorEastAsia"/>
                <w:bCs/>
                <w:color w:val="auto"/>
                <w:szCs w:val="21"/>
                <w:lang w:val="zh-CN"/>
              </w:rPr>
            </w:pPr>
            <w:r>
              <w:rPr>
                <w:rFonts w:hint="eastAsia" w:ascii="宋体" w:hAnsi="宋体" w:cs="仿宋_GB2312"/>
                <w:bCs/>
                <w:color w:val="auto"/>
                <w:szCs w:val="21"/>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2B89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9">
            <w:pPr>
              <w:autoSpaceDE w:val="0"/>
              <w:autoSpaceDN w:val="0"/>
              <w:adjustRightInd w:val="0"/>
              <w:spacing w:line="276" w:lineRule="auto"/>
              <w:jc w:val="center"/>
              <w:rPr>
                <w:rFonts w:hint="eastAsia" w:cs="黑体" w:asciiTheme="minorEastAsia" w:hAnsiTheme="minorEastAsia"/>
                <w:color w:val="auto"/>
                <w:szCs w:val="21"/>
              </w:rPr>
            </w:pPr>
            <w:r>
              <w:rPr>
                <w:rFonts w:hint="eastAsia" w:cs="TimesNewRomanPSMT" w:asciiTheme="minorEastAsia" w:hAnsiTheme="minorEastAsia"/>
                <w:color w:val="auto"/>
                <w:szCs w:val="21"/>
              </w:rPr>
              <w:t>19</w:t>
            </w:r>
          </w:p>
        </w:tc>
        <w:tc>
          <w:tcPr>
            <w:tcW w:w="2268" w:type="dxa"/>
            <w:vAlign w:val="center"/>
          </w:tcPr>
          <w:p w14:paraId="2B89D09A">
            <w:pPr>
              <w:autoSpaceDE w:val="0"/>
              <w:autoSpaceDN w:val="0"/>
              <w:adjustRightInd w:val="0"/>
              <w:spacing w:line="360"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投标文件的</w:t>
            </w:r>
          </w:p>
          <w:p w14:paraId="2B89D09B">
            <w:pPr>
              <w:autoSpaceDE w:val="0"/>
              <w:autoSpaceDN w:val="0"/>
              <w:adjustRightInd w:val="0"/>
              <w:spacing w:line="360"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签署盖章</w:t>
            </w:r>
          </w:p>
        </w:tc>
        <w:tc>
          <w:tcPr>
            <w:tcW w:w="6813" w:type="dxa"/>
            <w:vAlign w:val="center"/>
          </w:tcPr>
          <w:p w14:paraId="2B89D09C">
            <w:pPr>
              <w:autoSpaceDE w:val="0"/>
              <w:autoSpaceDN w:val="0"/>
              <w:adjustRightInd w:val="0"/>
              <w:spacing w:line="420" w:lineRule="exact"/>
              <w:rPr>
                <w:rFonts w:hint="eastAsia"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w:t>
            </w:r>
            <w:r>
              <w:rPr>
                <w:rFonts w:hint="eastAsia" w:cs="黑体" w:asciiTheme="minorEastAsia" w:hAnsiTheme="minorEastAsia"/>
                <w:color w:val="auto"/>
                <w:szCs w:val="21"/>
              </w:rPr>
              <w:t>投标</w:t>
            </w:r>
            <w:r>
              <w:rPr>
                <w:rFonts w:hint="eastAsia" w:ascii="新宋体" w:hAnsi="新宋体" w:eastAsia="新宋体"/>
                <w:color w:val="auto"/>
                <w:szCs w:val="21"/>
              </w:rPr>
              <w:t>文件：按招标文件要求加盖供应商电子印章和法人电子印章。</w:t>
            </w:r>
          </w:p>
          <w:p w14:paraId="2B89D09D">
            <w:pPr>
              <w:autoSpaceDE w:val="0"/>
              <w:autoSpaceDN w:val="0"/>
              <w:adjustRightInd w:val="0"/>
              <w:spacing w:line="420" w:lineRule="exact"/>
              <w:rPr>
                <w:rFonts w:hint="eastAsia" w:cs="仿宋_GB2312" w:asciiTheme="minorEastAsia" w:hAnsiTheme="minorEastAsia"/>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w:t>
            </w:r>
            <w:r>
              <w:rPr>
                <w:rFonts w:hint="eastAsia" w:cs="黑体" w:asciiTheme="minorEastAsia" w:hAnsiTheme="minorEastAsia"/>
                <w:color w:val="auto"/>
                <w:szCs w:val="21"/>
              </w:rPr>
              <w:t>投标</w:t>
            </w:r>
            <w:r>
              <w:rPr>
                <w:rFonts w:hint="eastAsia" w:ascii="新宋体" w:hAnsi="新宋体" w:eastAsia="新宋体"/>
                <w:color w:val="auto"/>
                <w:szCs w:val="21"/>
              </w:rPr>
              <w:t>文件：投标文件封面加盖投标人公章（投标文件是指投标人电子投标文件制作完成后生成的后缀名为</w:t>
            </w:r>
            <w:r>
              <w:rPr>
                <w:rFonts w:hint="eastAsia" w:hAnsi="宋体"/>
                <w:color w:val="auto"/>
                <w:szCs w:val="21"/>
              </w:rPr>
              <w:t>“.PDF”的文件</w:t>
            </w:r>
            <w:r>
              <w:rPr>
                <w:rFonts w:hint="eastAsia" w:ascii="新宋体" w:hAnsi="新宋体" w:eastAsia="新宋体"/>
                <w:color w:val="auto"/>
                <w:szCs w:val="21"/>
              </w:rPr>
              <w:t>打印的纸质投标文件）。</w:t>
            </w:r>
          </w:p>
        </w:tc>
      </w:tr>
      <w:tr w14:paraId="2B89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F">
            <w:pPr>
              <w:autoSpaceDE w:val="0"/>
              <w:autoSpaceDN w:val="0"/>
              <w:adjustRightInd w:val="0"/>
              <w:spacing w:line="276" w:lineRule="auto"/>
              <w:jc w:val="center"/>
              <w:rPr>
                <w:rFonts w:hint="eastAsia" w:cs="TimesNewRomanPSMT" w:asciiTheme="minorEastAsia" w:hAnsiTheme="minorEastAsia"/>
                <w:color w:val="auto"/>
                <w:szCs w:val="21"/>
              </w:rPr>
            </w:pPr>
            <w:r>
              <w:rPr>
                <w:rFonts w:hint="eastAsia" w:cs="TimesNewRomanPSMT" w:asciiTheme="minorEastAsia" w:hAnsiTheme="minorEastAsia"/>
                <w:color w:val="auto"/>
                <w:szCs w:val="21"/>
              </w:rPr>
              <w:t>20</w:t>
            </w:r>
          </w:p>
        </w:tc>
        <w:tc>
          <w:tcPr>
            <w:tcW w:w="2268" w:type="dxa"/>
            <w:vAlign w:val="center"/>
          </w:tcPr>
          <w:p w14:paraId="2B89D0A0">
            <w:pPr>
              <w:autoSpaceDE w:val="0"/>
              <w:autoSpaceDN w:val="0"/>
              <w:adjustRightInd w:val="0"/>
              <w:spacing w:line="360" w:lineRule="auto"/>
              <w:jc w:val="center"/>
              <w:rPr>
                <w:rFonts w:hint="eastAsia" w:cs="仿宋_GB2312" w:asciiTheme="minorEastAsia" w:hAnsiTheme="minorEastAsia"/>
                <w:color w:val="auto"/>
                <w:szCs w:val="21"/>
              </w:rPr>
            </w:pPr>
            <w:r>
              <w:rPr>
                <w:rFonts w:hint="eastAsia" w:cs="黑体" w:asciiTheme="minorEastAsia" w:hAnsiTheme="minorEastAsia"/>
                <w:color w:val="auto"/>
                <w:szCs w:val="21"/>
              </w:rPr>
              <w:t>评标委员会组建</w:t>
            </w:r>
          </w:p>
        </w:tc>
        <w:tc>
          <w:tcPr>
            <w:tcW w:w="6813" w:type="dxa"/>
            <w:vAlign w:val="center"/>
          </w:tcPr>
          <w:p w14:paraId="2B89D0A1">
            <w:pPr>
              <w:autoSpaceDE w:val="0"/>
              <w:autoSpaceDN w:val="0"/>
              <w:adjustRightInd w:val="0"/>
              <w:spacing w:line="360" w:lineRule="auto"/>
              <w:rPr>
                <w:rFonts w:hint="eastAsia" w:asciiTheme="minorEastAsia" w:hAnsiTheme="minorEastAsia" w:cstheme="minorEastAsia"/>
                <w:color w:val="auto"/>
                <w:szCs w:val="21"/>
                <w:lang w:val="zh-CN"/>
              </w:rPr>
            </w:pPr>
            <w:r>
              <w:rPr>
                <w:rFonts w:hint="eastAsia" w:asciiTheme="minorEastAsia" w:hAnsiTheme="minorEastAsia" w:cstheme="minorEastAsia"/>
                <w:b/>
                <w:color w:val="auto"/>
                <w:szCs w:val="21"/>
              </w:rPr>
              <w:fldChar w:fldCharType="begin"/>
            </w:r>
            <w:r>
              <w:rPr>
                <w:rFonts w:hint="eastAsia" w:asciiTheme="minorEastAsia" w:hAnsiTheme="minorEastAsia" w:cstheme="minorEastAsia"/>
                <w:b/>
                <w:color w:val="auto"/>
                <w:szCs w:val="21"/>
              </w:rPr>
              <w:instrText xml:space="preserve">eq \o\ac(□,</w:instrText>
            </w:r>
            <w:r>
              <w:rPr>
                <w:rFonts w:hint="eastAsia" w:asciiTheme="minorEastAsia" w:hAnsiTheme="minorEastAsia" w:cstheme="minorEastAsia"/>
                <w:b/>
                <w:color w:val="auto"/>
                <w:position w:val="2"/>
                <w:sz w:val="13"/>
                <w:szCs w:val="21"/>
              </w:rPr>
              <w:instrText xml:space="preserve">√</w:instrText>
            </w:r>
            <w:r>
              <w:rPr>
                <w:rFonts w:hint="eastAsia" w:asciiTheme="minorEastAsia" w:hAnsiTheme="minorEastAsia" w:cstheme="minorEastAsia"/>
                <w:b/>
                <w:color w:val="auto"/>
                <w:szCs w:val="21"/>
              </w:rPr>
              <w:instrText xml:space="preserve">)</w:instrText>
            </w:r>
            <w:r>
              <w:rPr>
                <w:rFonts w:hint="eastAsia" w:asciiTheme="minorEastAsia" w:hAnsiTheme="minorEastAsia" w:cstheme="minorEastAsia"/>
                <w:b/>
                <w:color w:val="auto"/>
                <w:szCs w:val="21"/>
              </w:rPr>
              <w:fldChar w:fldCharType="end"/>
            </w:r>
            <w:r>
              <w:rPr>
                <w:rFonts w:hint="eastAsia" w:asciiTheme="minorEastAsia" w:hAnsiTheme="minorEastAsia" w:cstheme="minorEastAsia"/>
                <w:color w:val="auto"/>
                <w:szCs w:val="21"/>
                <w:lang w:val="zh-CN"/>
              </w:rPr>
              <w:t>由采购人代表</w:t>
            </w:r>
            <w:r>
              <w:rPr>
                <w:rFonts w:hint="eastAsia" w:asciiTheme="minorEastAsia" w:hAnsiTheme="minorEastAsia" w:cstheme="minorEastAsia"/>
                <w:color w:val="auto"/>
                <w:szCs w:val="21"/>
              </w:rPr>
              <w:t>1人</w:t>
            </w:r>
            <w:r>
              <w:rPr>
                <w:rFonts w:hint="eastAsia" w:asciiTheme="minorEastAsia" w:hAnsiTheme="minorEastAsia" w:cstheme="minorEastAsia"/>
                <w:color w:val="auto"/>
                <w:szCs w:val="21"/>
                <w:lang w:val="zh-CN"/>
              </w:rPr>
              <w:t>和评审专家</w:t>
            </w:r>
            <w:r>
              <w:rPr>
                <w:rFonts w:hint="eastAsia" w:asciiTheme="minorEastAsia" w:hAnsiTheme="minorEastAsia" w:cstheme="minorEastAsia"/>
                <w:color w:val="auto"/>
                <w:szCs w:val="21"/>
              </w:rPr>
              <w:t>4人</w:t>
            </w:r>
            <w:r>
              <w:rPr>
                <w:rFonts w:hint="eastAsia" w:asciiTheme="minorEastAsia" w:hAnsiTheme="minorEastAsia" w:cstheme="minorEastAsia"/>
                <w:color w:val="auto"/>
                <w:szCs w:val="21"/>
                <w:lang w:val="zh-CN"/>
              </w:rPr>
              <w:t>组成，其中评审专家的人数不少于评标委员会成员总数的三分之二。评审专家从政府采购评审专家库中随机抽取。</w:t>
            </w:r>
          </w:p>
          <w:p w14:paraId="2B89D0A2">
            <w:pPr>
              <w:autoSpaceDE w:val="0"/>
              <w:autoSpaceDN w:val="0"/>
              <w:adjustRightInd w:val="0"/>
              <w:spacing w:line="360" w:lineRule="auto"/>
              <w:rPr>
                <w:rFonts w:hint="eastAsia" w:cs="宋体" w:asciiTheme="minorEastAsia" w:hAnsiTheme="minorEastAsia"/>
                <w:bCs/>
                <w:color w:val="auto"/>
                <w:szCs w:val="21"/>
                <w:lang w:val="zh-CN"/>
              </w:rPr>
            </w:pPr>
            <w:r>
              <w:rPr>
                <w:rFonts w:hint="eastAsia" w:asciiTheme="minorEastAsia" w:hAnsiTheme="minorEastAsia" w:cstheme="minorEastAsia"/>
                <w:b/>
                <w:color w:val="auto"/>
                <w:szCs w:val="21"/>
              </w:rPr>
              <w:fldChar w:fldCharType="begin"/>
            </w:r>
            <w:r>
              <w:rPr>
                <w:rFonts w:hint="eastAsia" w:asciiTheme="minorEastAsia" w:hAnsiTheme="minorEastAsia" w:cstheme="minorEastAsia"/>
                <w:b/>
                <w:color w:val="auto"/>
                <w:szCs w:val="21"/>
              </w:rPr>
              <w:instrText xml:space="preserve">eq \o\ac(□)</w:instrText>
            </w:r>
            <w:r>
              <w:rPr>
                <w:rFonts w:hint="eastAsia" w:asciiTheme="minorEastAsia" w:hAnsiTheme="minorEastAsia" w:cstheme="minorEastAsia"/>
                <w:b/>
                <w:color w:val="auto"/>
                <w:szCs w:val="21"/>
              </w:rPr>
              <w:fldChar w:fldCharType="end"/>
            </w:r>
            <w:r>
              <w:rPr>
                <w:rFonts w:hint="eastAsia" w:asciiTheme="minorEastAsia" w:hAnsiTheme="minorEastAsia" w:cstheme="minorEastAsia"/>
                <w:color w:val="auto"/>
                <w:szCs w:val="21"/>
                <w:lang w:val="zh-CN"/>
              </w:rPr>
              <w:t>由评审专家组成。评审专家从政府采购评审专家库中随机抽取。</w:t>
            </w:r>
          </w:p>
        </w:tc>
      </w:tr>
      <w:tr w14:paraId="2B89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A4">
            <w:pPr>
              <w:autoSpaceDE w:val="0"/>
              <w:autoSpaceDN w:val="0"/>
              <w:adjustRightInd w:val="0"/>
              <w:spacing w:line="276" w:lineRule="auto"/>
              <w:jc w:val="center"/>
              <w:rPr>
                <w:rFonts w:hint="eastAsia" w:cs="TimesNewRomanPSMT" w:asciiTheme="minorEastAsia" w:hAnsiTheme="minorEastAsia"/>
                <w:color w:val="auto"/>
                <w:szCs w:val="21"/>
              </w:rPr>
            </w:pPr>
            <w:r>
              <w:rPr>
                <w:rFonts w:hint="eastAsia" w:cs="黑体" w:asciiTheme="minorEastAsia" w:hAnsiTheme="minorEastAsia"/>
                <w:color w:val="auto"/>
                <w:szCs w:val="21"/>
              </w:rPr>
              <w:t>21</w:t>
            </w:r>
          </w:p>
        </w:tc>
        <w:tc>
          <w:tcPr>
            <w:tcW w:w="2268" w:type="dxa"/>
            <w:vAlign w:val="center"/>
          </w:tcPr>
          <w:p w14:paraId="2B89D0A5">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cs="仿宋_GB2312" w:asciiTheme="minorEastAsia" w:hAnsiTheme="minorEastAsia"/>
                <w:color w:val="auto"/>
                <w:szCs w:val="21"/>
              </w:rPr>
              <w:t>评标方法</w:t>
            </w:r>
          </w:p>
        </w:tc>
        <w:tc>
          <w:tcPr>
            <w:tcW w:w="6813" w:type="dxa"/>
            <w:vAlign w:val="center"/>
          </w:tcPr>
          <w:p w14:paraId="2B89D0A6">
            <w:pPr>
              <w:autoSpaceDE w:val="0"/>
              <w:autoSpaceDN w:val="0"/>
              <w:adjustRightInd w:val="0"/>
              <w:spacing w:line="360" w:lineRule="auto"/>
              <w:rPr>
                <w:rFonts w:hint="eastAsia" w:cs="宋体" w:asciiTheme="minorEastAsia" w:hAnsiTheme="minorEastAsia"/>
                <w:bCs/>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综合评分法</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lang w:val="zh-CN"/>
              </w:rPr>
              <w:t>最低评标价法</w:t>
            </w:r>
          </w:p>
        </w:tc>
      </w:tr>
      <w:tr w14:paraId="2B89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A8">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22</w:t>
            </w:r>
          </w:p>
        </w:tc>
        <w:tc>
          <w:tcPr>
            <w:tcW w:w="2268" w:type="dxa"/>
            <w:vAlign w:val="center"/>
          </w:tcPr>
          <w:p w14:paraId="2B89D0A9">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授权函</w:t>
            </w:r>
          </w:p>
        </w:tc>
        <w:tc>
          <w:tcPr>
            <w:tcW w:w="6813" w:type="dxa"/>
            <w:vAlign w:val="center"/>
          </w:tcPr>
          <w:p w14:paraId="71179137">
            <w:pPr>
              <w:pStyle w:val="20"/>
              <w:spacing w:line="360" w:lineRule="auto"/>
              <w:ind w:left="0" w:leftChars="0" w:firstLine="0" w:firstLineChars="0"/>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采购单位委派代表参加资格审查和评审委员会的，须出具授权函。除授权代表外，采购单位委派监察人员对评标过程实施监督的须进入禹州市公共资源交易中心电子监督室，且不得超过2人。监察人员对评审工作实施监督，并签字登记备案、备查，监督人员应切实履行监督责任。</w:t>
            </w:r>
          </w:p>
        </w:tc>
      </w:tr>
      <w:tr w14:paraId="2B89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AC">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23</w:t>
            </w:r>
          </w:p>
        </w:tc>
        <w:tc>
          <w:tcPr>
            <w:tcW w:w="2268" w:type="dxa"/>
            <w:vAlign w:val="center"/>
          </w:tcPr>
          <w:p w14:paraId="5741EE7A">
            <w:pPr>
              <w:autoSpaceDE w:val="0"/>
              <w:autoSpaceDN w:val="0"/>
              <w:adjustRightInd w:val="0"/>
              <w:spacing w:line="360" w:lineRule="auto"/>
              <w:jc w:val="both"/>
              <w:rPr>
                <w:rFonts w:hint="eastAsia" w:cs="宋体" w:asciiTheme="minorEastAsia" w:hAnsiTheme="minorEastAsia"/>
                <w:bCs/>
                <w:color w:val="auto"/>
                <w:szCs w:val="21"/>
                <w:lang w:val="zh-CN"/>
              </w:rPr>
            </w:pPr>
          </w:p>
          <w:p w14:paraId="2B89D0AD">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813" w:type="dxa"/>
            <w:vAlign w:val="center"/>
          </w:tcPr>
          <w:p w14:paraId="2B89D0B0">
            <w:pPr>
              <w:autoSpaceDE w:val="0"/>
              <w:autoSpaceDN w:val="0"/>
              <w:adjustRightInd w:val="0"/>
              <w:spacing w:line="360" w:lineRule="auto"/>
              <w:contextualSpacing/>
              <w:rPr>
                <w:rFonts w:hint="eastAsia" w:ascii="ˎ̥" w:hAnsi="ˎ̥"/>
                <w:color w:val="auto"/>
                <w:highlight w:val="red"/>
              </w:rPr>
            </w:pPr>
            <w:r>
              <w:rPr>
                <w:rFonts w:hint="eastAsia" w:ascii="ˎ̥" w:hAnsi="ˎ̥"/>
                <w:color w:val="auto"/>
                <w:lang w:val="en-US" w:eastAsia="zh-CN"/>
              </w:rPr>
              <w:t>1.</w:t>
            </w:r>
            <w:r>
              <w:rPr>
                <w:rFonts w:hint="eastAsia" w:ascii="ˎ̥" w:hAnsi="ˎ̥"/>
                <w:color w:val="auto"/>
                <w:highlight w:val="none"/>
              </w:rPr>
              <w:t>本项目属于</w:t>
            </w:r>
            <w:r>
              <w:rPr>
                <w:rFonts w:hint="eastAsia" w:ascii="ˎ̥" w:hAnsi="ˎ̥"/>
                <w:color w:val="auto"/>
                <w:highlight w:val="none"/>
                <w:lang w:eastAsia="zh-CN"/>
              </w:rPr>
              <w:t>不</w:t>
            </w:r>
            <w:r>
              <w:rPr>
                <w:rFonts w:hint="eastAsia" w:ascii="ˎ̥" w:hAnsi="ˎ̥"/>
                <w:color w:val="auto"/>
                <w:highlight w:val="none"/>
              </w:rPr>
              <w:t>专门面向</w:t>
            </w:r>
            <w:r>
              <w:rPr>
                <w:rFonts w:hint="eastAsia" w:ascii="ˎ̥" w:hAnsi="ˎ̥"/>
                <w:color w:val="auto"/>
                <w:highlight w:val="none"/>
                <w:lang w:val="en-US" w:eastAsia="zh-CN"/>
              </w:rPr>
              <w:t>中小</w:t>
            </w:r>
            <w:r>
              <w:rPr>
                <w:rFonts w:hint="eastAsia" w:ascii="ˎ̥" w:hAnsi="ˎ̥"/>
                <w:color w:val="auto"/>
                <w:highlight w:val="none"/>
              </w:rPr>
              <w:t>型企业采购的项目</w:t>
            </w:r>
            <w:r>
              <w:rPr>
                <w:rFonts w:hint="eastAsia" w:ascii="ˎ̥" w:hAnsi="ˎ̥"/>
                <w:color w:val="auto"/>
                <w:highlight w:val="none"/>
                <w:lang w:eastAsia="zh-CN"/>
              </w:rPr>
              <w:t>，</w:t>
            </w:r>
            <w:r>
              <w:rPr>
                <w:rFonts w:hint="eastAsia" w:ascii="ˎ̥" w:hAnsi="ˎ̥"/>
                <w:color w:val="auto"/>
                <w:lang w:val="zh-CN"/>
              </w:rPr>
              <w:t>本次采购标的对应的中小企业划分标准所属行业：</w:t>
            </w:r>
            <w:r>
              <w:rPr>
                <w:rFonts w:hint="eastAsia" w:ascii="ˎ̥" w:hAnsi="ˎ̥"/>
                <w:color w:val="auto"/>
                <w:highlight w:val="none"/>
                <w:u w:val="single"/>
                <w:lang w:val="zh-CN"/>
              </w:rPr>
              <w:t>工业</w:t>
            </w:r>
            <w:r>
              <w:rPr>
                <w:rFonts w:hint="eastAsia" w:ascii="ˎ̥" w:hAnsi="ˎ̥"/>
                <w:color w:val="auto"/>
                <w:highlight w:val="none"/>
                <w:lang w:val="zh-CN"/>
              </w:rPr>
              <w:t>。</w:t>
            </w:r>
          </w:p>
          <w:p w14:paraId="2B89D0B1">
            <w:pPr>
              <w:autoSpaceDE w:val="0"/>
              <w:autoSpaceDN w:val="0"/>
              <w:adjustRightInd w:val="0"/>
              <w:spacing w:line="360" w:lineRule="auto"/>
              <w:contextualSpacing/>
              <w:rPr>
                <w:rFonts w:hint="eastAsia" w:asciiTheme="minorEastAsia" w:hAnsiTheme="minorEastAsia" w:cstheme="minorEastAsia"/>
                <w:color w:val="auto"/>
              </w:rPr>
            </w:pPr>
            <w:r>
              <w:rPr>
                <w:rFonts w:hint="eastAsia" w:asciiTheme="minorEastAsia" w:hAnsiTheme="minorEastAsia" w:cstheme="minorEastAsia"/>
                <w:color w:val="auto"/>
                <w:lang w:val="en-US" w:eastAsia="zh-CN"/>
              </w:rPr>
              <w:t>2.</w:t>
            </w:r>
            <w:r>
              <w:rPr>
                <w:rFonts w:hint="eastAsia" w:asciiTheme="minorEastAsia" w:hAnsiTheme="minorEastAsia" w:cstheme="minorEastAsia"/>
                <w:color w:val="auto"/>
              </w:rPr>
              <w:t>提供由省级以上监狱管理局、戒毒管理局（含新疆生产建设兵团）出具的属于监狱企业证明文件的，视同为小型和微型企业。</w:t>
            </w:r>
          </w:p>
          <w:p w14:paraId="2B89D0B4">
            <w:pPr>
              <w:spacing w:line="450" w:lineRule="exact"/>
              <w:rPr>
                <w:rFonts w:hint="eastAsia" w:ascii="ˎ̥" w:hAnsi="ˎ̥" w:eastAsiaTheme="minorEastAsia"/>
                <w:color w:val="auto"/>
                <w:lang w:eastAsia="zh-CN"/>
              </w:rPr>
            </w:pPr>
            <w:r>
              <w:rPr>
                <w:rFonts w:hint="eastAsia" w:asciiTheme="minorEastAsia" w:hAnsiTheme="minorEastAsia" w:cstheme="minorEastAsia"/>
                <w:color w:val="auto"/>
                <w:lang w:val="en-US" w:eastAsia="zh-CN"/>
              </w:rPr>
              <w:t>3.</w:t>
            </w:r>
            <w:r>
              <w:rPr>
                <w:rFonts w:hint="eastAsia" w:asciiTheme="minorEastAsia" w:hAnsiTheme="minorEastAsia" w:cstheme="minorEastAsia"/>
                <w:color w:val="auto"/>
              </w:rPr>
              <w:t>符合享受政府采购支持政策的残疾人福利性单位条件且提供《残疾人福利性单位声明函》的，视同为小型和微型企业。</w:t>
            </w:r>
          </w:p>
        </w:tc>
      </w:tr>
      <w:tr w14:paraId="2B89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B6">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24</w:t>
            </w:r>
          </w:p>
        </w:tc>
        <w:tc>
          <w:tcPr>
            <w:tcW w:w="2268" w:type="dxa"/>
            <w:vAlign w:val="center"/>
          </w:tcPr>
          <w:p w14:paraId="2B89D0B7">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节能环保要求</w:t>
            </w:r>
          </w:p>
        </w:tc>
        <w:tc>
          <w:tcPr>
            <w:tcW w:w="6813" w:type="dxa"/>
            <w:vAlign w:val="center"/>
          </w:tcPr>
          <w:p w14:paraId="2B89D0B8">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1.</w:t>
            </w:r>
            <w:r>
              <w:rPr>
                <w:rFonts w:ascii="宋体" w:hAnsi="宋体" w:eastAsia="宋体" w:cs="宋体"/>
                <w:bCs/>
                <w:color w:val="auto"/>
                <w:szCs w:val="21"/>
                <w:lang w:val="zh-CN"/>
              </w:rPr>
              <w:t xml:space="preserve">本项目强制采购的节能产品：（无） </w:t>
            </w:r>
          </w:p>
          <w:p w14:paraId="2B89D0B9">
            <w:pPr>
              <w:autoSpaceDE w:val="0"/>
              <w:autoSpaceDN w:val="0"/>
              <w:adjustRightInd w:val="0"/>
              <w:spacing w:line="360" w:lineRule="auto"/>
              <w:rPr>
                <w:rFonts w:hint="eastAsia" w:ascii="ˎ̥" w:hAnsi="ˎ̥"/>
                <w:color w:val="auto"/>
                <w:lang w:val="zh-CN"/>
              </w:rPr>
            </w:pPr>
            <w:r>
              <w:rPr>
                <w:rFonts w:hint="eastAsia" w:ascii="宋体" w:hAnsi="宋体" w:eastAsia="宋体" w:cs="宋体"/>
                <w:bCs/>
                <w:color w:val="auto"/>
                <w:szCs w:val="21"/>
                <w:lang w:val="zh-CN"/>
              </w:rPr>
              <w:t>2.</w:t>
            </w:r>
            <w:r>
              <w:rPr>
                <w:rFonts w:ascii="宋体" w:hAnsi="宋体" w:eastAsia="宋体" w:cs="宋体"/>
                <w:bCs/>
                <w:color w:val="auto"/>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color w:val="auto"/>
                <w:szCs w:val="21"/>
                <w:lang w:val="zh-CN"/>
              </w:rPr>
              <w:t>则投标无效；属于政府优先采购产品类别的，须按照要求提供依据国家确定的认证机构出具的、处于有效期之内的节能产品、环境标志产品认证证书，否则不予认定。</w:t>
            </w:r>
          </w:p>
        </w:tc>
      </w:tr>
      <w:tr w14:paraId="2B89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BB">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25</w:t>
            </w:r>
          </w:p>
        </w:tc>
        <w:tc>
          <w:tcPr>
            <w:tcW w:w="2268" w:type="dxa"/>
            <w:vAlign w:val="center"/>
          </w:tcPr>
          <w:p w14:paraId="2B89D0BC">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ascii="宋体" w:hAnsi="宋体" w:eastAsia="宋体" w:cs="宋体"/>
                <w:color w:val="auto"/>
                <w:szCs w:val="21"/>
              </w:rPr>
              <w:t>网络关键设备、网络安全专用产品要求</w:t>
            </w:r>
          </w:p>
        </w:tc>
        <w:tc>
          <w:tcPr>
            <w:tcW w:w="6813" w:type="dxa"/>
            <w:vAlign w:val="center"/>
          </w:tcPr>
          <w:p w14:paraId="2B89D0BD">
            <w:pPr>
              <w:numPr>
                <w:ilvl w:val="0"/>
                <w:numId w:val="8"/>
              </w:numPr>
              <w:autoSpaceDE w:val="0"/>
              <w:autoSpaceDN w:val="0"/>
              <w:adjustRightInd w:val="0"/>
              <w:spacing w:line="420" w:lineRule="exact"/>
              <w:rPr>
                <w:rFonts w:hint="eastAsia" w:ascii="宋体" w:hAnsi="宋体" w:eastAsia="宋体" w:cs="宋体"/>
                <w:color w:val="auto"/>
                <w:szCs w:val="21"/>
              </w:rPr>
            </w:pPr>
            <w:r>
              <w:rPr>
                <w:rFonts w:hint="eastAsia" w:ascii="宋体" w:hAnsi="宋体" w:eastAsia="宋体" w:cs="宋体"/>
                <w:color w:val="auto"/>
                <w:szCs w:val="21"/>
              </w:rPr>
              <w:t>本项目网络关键设备：（无）；网络安全专用产品：（无）</w:t>
            </w:r>
          </w:p>
          <w:p w14:paraId="2B89D0BE">
            <w:pPr>
              <w:numPr>
                <w:ilvl w:val="0"/>
                <w:numId w:val="8"/>
              </w:numPr>
              <w:autoSpaceDE w:val="0"/>
              <w:autoSpaceDN w:val="0"/>
              <w:adjustRightInd w:val="0"/>
              <w:spacing w:line="420" w:lineRule="exact"/>
              <w:rPr>
                <w:rFonts w:hint="eastAsia" w:ascii="宋体" w:hAnsi="宋体" w:eastAsia="宋体" w:cs="宋体"/>
                <w:bCs/>
                <w:color w:val="auto"/>
                <w:szCs w:val="21"/>
                <w:lang w:val="zh-CN"/>
              </w:rPr>
            </w:pPr>
            <w:r>
              <w:rPr>
                <w:rFonts w:hint="eastAsia" w:ascii="宋体" w:hAnsi="宋体" w:eastAsia="宋体" w:cs="宋体"/>
                <w:color w:val="auto"/>
                <w:szCs w:val="21"/>
              </w:rPr>
              <w:t>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89D0BF">
            <w:pPr>
              <w:autoSpaceDE w:val="0"/>
              <w:autoSpaceDN w:val="0"/>
              <w:adjustRightInd w:val="0"/>
              <w:spacing w:line="420" w:lineRule="exact"/>
              <w:rPr>
                <w:rFonts w:hint="eastAsia" w:cs="宋体" w:asciiTheme="minorEastAsia" w:hAnsiTheme="minorEastAsia"/>
                <w:bCs/>
                <w:color w:val="auto"/>
                <w:szCs w:val="21"/>
                <w:lang w:val="zh-CN"/>
              </w:rPr>
            </w:pPr>
            <w:r>
              <w:rPr>
                <w:rFonts w:hint="eastAsia" w:ascii="宋体" w:hAnsi="宋体" w:eastAsia="宋体" w:cs="宋体"/>
                <w:color w:val="auto"/>
                <w:szCs w:val="21"/>
                <w:lang w:eastAsia="zh-CN"/>
              </w:rPr>
              <w:t>3.</w:t>
            </w:r>
            <w:r>
              <w:rPr>
                <w:rFonts w:hint="eastAsia" w:ascii="宋体" w:hAnsi="宋体" w:eastAsia="宋体" w:cs="宋体"/>
                <w:color w:val="auto"/>
                <w:szCs w:val="21"/>
              </w:rPr>
              <w:t>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2B89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C1">
            <w:pPr>
              <w:autoSpaceDE w:val="0"/>
              <w:autoSpaceDN w:val="0"/>
              <w:adjustRightInd w:val="0"/>
              <w:spacing w:line="276" w:lineRule="auto"/>
              <w:jc w:val="center"/>
              <w:rPr>
                <w:rFonts w:hint="eastAsia" w:cs="黑体" w:asciiTheme="minorEastAsia" w:hAnsiTheme="minorEastAsia"/>
                <w:color w:val="auto"/>
                <w:szCs w:val="21"/>
              </w:rPr>
            </w:pPr>
          </w:p>
          <w:p w14:paraId="2B89D0C2">
            <w:pPr>
              <w:autoSpaceDE w:val="0"/>
              <w:autoSpaceDN w:val="0"/>
              <w:adjustRightInd w:val="0"/>
              <w:spacing w:line="276" w:lineRule="auto"/>
              <w:jc w:val="center"/>
              <w:rPr>
                <w:rFonts w:hint="eastAsia" w:cs="黑体" w:asciiTheme="minorEastAsia" w:hAnsiTheme="minorEastAsia"/>
                <w:color w:val="auto"/>
                <w:szCs w:val="21"/>
              </w:rPr>
            </w:pPr>
          </w:p>
          <w:p w14:paraId="2B89D0C3">
            <w:pPr>
              <w:autoSpaceDE w:val="0"/>
              <w:autoSpaceDN w:val="0"/>
              <w:adjustRightInd w:val="0"/>
              <w:spacing w:line="276" w:lineRule="auto"/>
              <w:jc w:val="center"/>
              <w:rPr>
                <w:rFonts w:hint="eastAsia" w:cs="黑体" w:asciiTheme="minorEastAsia" w:hAnsiTheme="minorEastAsia"/>
                <w:color w:val="auto"/>
                <w:szCs w:val="21"/>
              </w:rPr>
            </w:pPr>
          </w:p>
          <w:p w14:paraId="2B89D0C4">
            <w:pPr>
              <w:autoSpaceDE w:val="0"/>
              <w:autoSpaceDN w:val="0"/>
              <w:adjustRightInd w:val="0"/>
              <w:spacing w:line="276" w:lineRule="auto"/>
              <w:jc w:val="center"/>
              <w:rPr>
                <w:rFonts w:hint="eastAsia" w:cs="黑体" w:asciiTheme="minorEastAsia" w:hAnsiTheme="minorEastAsia"/>
                <w:color w:val="auto"/>
                <w:szCs w:val="21"/>
              </w:rPr>
            </w:pPr>
          </w:p>
          <w:p w14:paraId="2B89D0C5">
            <w:pPr>
              <w:autoSpaceDE w:val="0"/>
              <w:autoSpaceDN w:val="0"/>
              <w:adjustRightInd w:val="0"/>
              <w:spacing w:line="276" w:lineRule="auto"/>
              <w:jc w:val="center"/>
              <w:rPr>
                <w:rFonts w:hint="eastAsia" w:cs="黑体" w:asciiTheme="minorEastAsia" w:hAnsiTheme="minorEastAsia"/>
                <w:color w:val="auto"/>
                <w:szCs w:val="21"/>
              </w:rPr>
            </w:pPr>
          </w:p>
          <w:p w14:paraId="2B89D0C6">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26</w:t>
            </w:r>
          </w:p>
        </w:tc>
        <w:tc>
          <w:tcPr>
            <w:tcW w:w="2268" w:type="dxa"/>
            <w:vAlign w:val="center"/>
          </w:tcPr>
          <w:p w14:paraId="2B89D0C7">
            <w:pPr>
              <w:autoSpaceDE w:val="0"/>
              <w:autoSpaceDN w:val="0"/>
              <w:adjustRightInd w:val="0"/>
              <w:spacing w:line="360" w:lineRule="auto"/>
              <w:jc w:val="center"/>
              <w:rPr>
                <w:rFonts w:hint="eastAsia" w:cs="宋体" w:asciiTheme="minorEastAsia" w:hAnsiTheme="minorEastAsia"/>
                <w:color w:val="auto"/>
                <w:szCs w:val="21"/>
                <w:lang w:val="zh-CN"/>
              </w:rPr>
            </w:pPr>
          </w:p>
          <w:p w14:paraId="2B89D0C8">
            <w:pPr>
              <w:autoSpaceDE w:val="0"/>
              <w:autoSpaceDN w:val="0"/>
              <w:adjustRightInd w:val="0"/>
              <w:spacing w:line="360" w:lineRule="auto"/>
              <w:jc w:val="center"/>
              <w:rPr>
                <w:rFonts w:hint="eastAsia" w:cs="宋体" w:asciiTheme="minorEastAsia" w:hAnsiTheme="minorEastAsia"/>
                <w:color w:val="auto"/>
                <w:szCs w:val="21"/>
                <w:lang w:val="zh-CN"/>
              </w:rPr>
            </w:pPr>
          </w:p>
          <w:p w14:paraId="2B89D0C9">
            <w:pPr>
              <w:autoSpaceDE w:val="0"/>
              <w:autoSpaceDN w:val="0"/>
              <w:adjustRightInd w:val="0"/>
              <w:spacing w:line="360" w:lineRule="auto"/>
              <w:jc w:val="center"/>
              <w:rPr>
                <w:rFonts w:hint="eastAsia" w:cs="宋体" w:asciiTheme="minorEastAsia" w:hAnsiTheme="minorEastAsia"/>
                <w:color w:val="auto"/>
                <w:szCs w:val="21"/>
                <w:lang w:val="zh-CN"/>
              </w:rPr>
            </w:pPr>
          </w:p>
          <w:p w14:paraId="2B89D0CA">
            <w:pPr>
              <w:autoSpaceDE w:val="0"/>
              <w:autoSpaceDN w:val="0"/>
              <w:adjustRightInd w:val="0"/>
              <w:spacing w:line="360" w:lineRule="auto"/>
              <w:jc w:val="center"/>
              <w:rPr>
                <w:rFonts w:hint="eastAsia" w:cs="宋体" w:asciiTheme="minorEastAsia" w:hAnsiTheme="minorEastAsia"/>
                <w:color w:val="auto"/>
                <w:szCs w:val="21"/>
                <w:lang w:val="zh-CN"/>
              </w:rPr>
            </w:pPr>
            <w:r>
              <w:rPr>
                <w:rFonts w:hint="eastAsia" w:cs="宋体" w:asciiTheme="minorEastAsia" w:hAnsiTheme="minorEastAsia"/>
                <w:color w:val="auto"/>
                <w:szCs w:val="21"/>
                <w:lang w:val="zh-CN"/>
              </w:rPr>
              <w:t xml:space="preserve">政府采购合同融资 </w:t>
            </w:r>
          </w:p>
          <w:p w14:paraId="2B89D0CB">
            <w:pPr>
              <w:autoSpaceDE w:val="0"/>
              <w:autoSpaceDN w:val="0"/>
              <w:adjustRightInd w:val="0"/>
              <w:spacing w:line="360" w:lineRule="auto"/>
              <w:jc w:val="center"/>
              <w:rPr>
                <w:rFonts w:hint="eastAsia" w:cs="宋体" w:asciiTheme="minorEastAsia" w:hAnsiTheme="minorEastAsia"/>
                <w:color w:val="auto"/>
                <w:szCs w:val="21"/>
                <w:lang w:val="zh-CN"/>
              </w:rPr>
            </w:pPr>
            <w:r>
              <w:rPr>
                <w:rFonts w:hint="eastAsia" w:cs="宋体" w:asciiTheme="minorEastAsia" w:hAnsiTheme="minorEastAsia"/>
                <w:color w:val="auto"/>
                <w:szCs w:val="21"/>
                <w:lang w:val="zh-CN"/>
              </w:rPr>
              <w:t>政策告知函</w:t>
            </w:r>
          </w:p>
        </w:tc>
        <w:tc>
          <w:tcPr>
            <w:tcW w:w="6813" w:type="dxa"/>
            <w:vAlign w:val="center"/>
          </w:tcPr>
          <w:p w14:paraId="2B89D0CC">
            <w:pPr>
              <w:autoSpaceDE w:val="0"/>
              <w:autoSpaceDN w:val="0"/>
              <w:adjustRightInd w:val="0"/>
              <w:spacing w:line="360" w:lineRule="auto"/>
              <w:rPr>
                <w:rFonts w:hint="eastAsia" w:cs="宋体" w:asciiTheme="minorEastAsia" w:hAnsiTheme="minorEastAsia"/>
                <w:color w:val="auto"/>
                <w:szCs w:val="21"/>
                <w:lang w:val="zh-CN"/>
              </w:rPr>
            </w:pPr>
            <w:r>
              <w:rPr>
                <w:rFonts w:hint="eastAsia" w:cs="宋体" w:asciiTheme="minorEastAsia" w:hAnsiTheme="minorEastAsia"/>
                <w:color w:val="auto"/>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2B89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CE">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27</w:t>
            </w:r>
          </w:p>
        </w:tc>
        <w:tc>
          <w:tcPr>
            <w:tcW w:w="2268" w:type="dxa"/>
            <w:vAlign w:val="center"/>
          </w:tcPr>
          <w:p w14:paraId="2B89D0CF">
            <w:pPr>
              <w:autoSpaceDE w:val="0"/>
              <w:autoSpaceDN w:val="0"/>
              <w:adjustRightInd w:val="0"/>
              <w:spacing w:line="360" w:lineRule="auto"/>
              <w:jc w:val="center"/>
              <w:rPr>
                <w:rFonts w:hint="eastAsia" w:cs="宋体" w:asciiTheme="minorEastAsia" w:hAnsiTheme="minorEastAsia"/>
                <w:color w:val="auto"/>
                <w:szCs w:val="21"/>
                <w:lang w:val="zh-CN"/>
              </w:rPr>
            </w:pPr>
            <w:r>
              <w:rPr>
                <w:rFonts w:hint="eastAsia" w:ascii="宋体" w:hAnsi="宋体" w:eastAsia="宋体" w:cs="宋体"/>
                <w:color w:val="auto"/>
                <w:kern w:val="0"/>
                <w:szCs w:val="21"/>
              </w:rPr>
              <w:t>加快推广绿色建材发展应用</w:t>
            </w:r>
          </w:p>
        </w:tc>
        <w:tc>
          <w:tcPr>
            <w:tcW w:w="6813" w:type="dxa"/>
            <w:vAlign w:val="center"/>
          </w:tcPr>
          <w:p w14:paraId="2B89D0D0">
            <w:pPr>
              <w:autoSpaceDE w:val="0"/>
              <w:autoSpaceDN w:val="0"/>
              <w:adjustRightInd w:val="0"/>
              <w:spacing w:line="360" w:lineRule="auto"/>
              <w:ind w:right="-11"/>
              <w:rPr>
                <w:rFonts w:hint="eastAsia" w:ascii="宋体" w:hAnsi="宋体" w:eastAsia="宋体" w:cs="宋体"/>
                <w:color w:val="auto"/>
                <w:kern w:val="0"/>
                <w:szCs w:val="21"/>
              </w:rPr>
            </w:pPr>
            <w:r>
              <w:rPr>
                <w:rFonts w:ascii="宋体" w:hAnsi="宋体" w:eastAsia="宋体" w:cs="宋体"/>
                <w:bCs/>
                <w:color w:val="auto"/>
                <w:szCs w:val="21"/>
                <w:lang w:val="zh-CN"/>
              </w:rPr>
              <w:t>本项目</w:t>
            </w:r>
            <w:r>
              <w:rPr>
                <w:rFonts w:hint="eastAsia" w:ascii="宋体" w:hAnsi="宋体" w:eastAsia="宋体" w:cs="宋体"/>
                <w:color w:val="auto"/>
                <w:kern w:val="0"/>
                <w:szCs w:val="21"/>
              </w:rPr>
              <w:t>绿色建材</w:t>
            </w:r>
            <w:r>
              <w:rPr>
                <w:rFonts w:ascii="宋体" w:hAnsi="宋体" w:eastAsia="宋体" w:cs="宋体"/>
                <w:bCs/>
                <w:color w:val="auto"/>
                <w:szCs w:val="21"/>
                <w:lang w:val="zh-CN"/>
              </w:rPr>
              <w:t xml:space="preserve">产品：（无） </w:t>
            </w:r>
          </w:p>
          <w:p w14:paraId="2B89D0D1">
            <w:pPr>
              <w:autoSpaceDE w:val="0"/>
              <w:autoSpaceDN w:val="0"/>
              <w:adjustRightInd w:val="0"/>
              <w:spacing w:line="360" w:lineRule="auto"/>
              <w:ind w:right="-11"/>
              <w:rPr>
                <w:rFonts w:hint="eastAsia" w:cs="宋体" w:asciiTheme="minorEastAsia" w:hAnsiTheme="minorEastAsia"/>
                <w:color w:val="auto"/>
                <w:szCs w:val="21"/>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B89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3">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28</w:t>
            </w:r>
          </w:p>
        </w:tc>
        <w:tc>
          <w:tcPr>
            <w:tcW w:w="2268" w:type="dxa"/>
            <w:vAlign w:val="center"/>
          </w:tcPr>
          <w:p w14:paraId="2B89D0D4">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履约保证金</w:t>
            </w:r>
          </w:p>
        </w:tc>
        <w:tc>
          <w:tcPr>
            <w:tcW w:w="6813" w:type="dxa"/>
            <w:vAlign w:val="center"/>
          </w:tcPr>
          <w:p w14:paraId="2B89D0D5">
            <w:pPr>
              <w:autoSpaceDE w:val="0"/>
              <w:autoSpaceDN w:val="0"/>
              <w:adjustRightInd w:val="0"/>
              <w:spacing w:line="360" w:lineRule="auto"/>
              <w:rPr>
                <w:rFonts w:hint="eastAsia"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无要求</w:t>
            </w:r>
          </w:p>
          <w:p w14:paraId="2B89D0D6">
            <w:pPr>
              <w:autoSpaceDE w:val="0"/>
              <w:autoSpaceDN w:val="0"/>
              <w:adjustRightInd w:val="0"/>
              <w:spacing w:line="360" w:lineRule="auto"/>
              <w:rPr>
                <w:rFonts w:hint="eastAsia"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lang w:val="zh-CN"/>
              </w:rPr>
              <w:t>要求提交。履约保证金的数额为合同金额的%。成交供应商以支票、汇票、本票或者金融机构、担保机构出具的保函等非现金形式向采购人提交。</w:t>
            </w:r>
          </w:p>
        </w:tc>
      </w:tr>
      <w:tr w14:paraId="2B89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8">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29</w:t>
            </w:r>
          </w:p>
        </w:tc>
        <w:tc>
          <w:tcPr>
            <w:tcW w:w="2268" w:type="dxa"/>
            <w:vAlign w:val="center"/>
          </w:tcPr>
          <w:p w14:paraId="2B89D0D9">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代理服务费</w:t>
            </w:r>
          </w:p>
        </w:tc>
        <w:tc>
          <w:tcPr>
            <w:tcW w:w="6813" w:type="dxa"/>
            <w:vAlign w:val="center"/>
          </w:tcPr>
          <w:p w14:paraId="2B89D0DA">
            <w:pPr>
              <w:autoSpaceDE w:val="0"/>
              <w:autoSpaceDN w:val="0"/>
              <w:spacing w:line="360" w:lineRule="auto"/>
              <w:contextualSpacing/>
              <w:rPr>
                <w:color w:val="auto"/>
              </w:rPr>
            </w:pPr>
            <w:r>
              <w:rPr>
                <w:color w:val="auto"/>
                <w:lang w:val="zh-CN"/>
              </w:rPr>
              <w:fldChar w:fldCharType="begin"/>
            </w:r>
            <w:r>
              <w:rPr>
                <w:rFonts w:hint="eastAsia"/>
                <w:color w:val="auto"/>
                <w:lang w:val="zh-CN"/>
              </w:rPr>
              <w:instrText xml:space="preserve">eq \o\ac(□,√)</w:instrText>
            </w:r>
            <w:r>
              <w:rPr>
                <w:color w:val="auto"/>
                <w:lang w:val="zh-CN"/>
              </w:rPr>
              <w:fldChar w:fldCharType="end"/>
            </w:r>
            <w:r>
              <w:rPr>
                <w:rFonts w:hint="eastAsia"/>
                <w:color w:val="auto"/>
                <w:lang w:val="zh-CN"/>
              </w:rPr>
              <w:t>收取，</w:t>
            </w:r>
            <w:r>
              <w:rPr>
                <w:rFonts w:hint="eastAsia"/>
                <w:color w:val="auto"/>
              </w:rPr>
              <w:t>招标代理服务费由中标人支付，按照豫招协〔</w:t>
            </w:r>
            <w:r>
              <w:rPr>
                <w:color w:val="auto"/>
              </w:rPr>
              <w:t>20</w:t>
            </w:r>
            <w:r>
              <w:rPr>
                <w:rFonts w:hint="eastAsia"/>
                <w:color w:val="auto"/>
              </w:rPr>
              <w:t>23〕002《河南省招标代理服务收费指导意见》收取，由中标单位在领取中标通知书时一次性支付给代理机构。</w:t>
            </w:r>
          </w:p>
          <w:p w14:paraId="2B89D0DB">
            <w:pPr>
              <w:autoSpaceDE w:val="0"/>
              <w:autoSpaceDN w:val="0"/>
              <w:spacing w:line="360" w:lineRule="auto"/>
              <w:contextualSpacing/>
              <w:rPr>
                <w:color w:val="auto"/>
                <w:szCs w:val="21"/>
              </w:rPr>
            </w:pPr>
            <w:r>
              <w:rPr>
                <w:rFonts w:hint="eastAsia"/>
                <w:color w:val="auto"/>
                <w:szCs w:val="21"/>
              </w:rPr>
              <w:t>招标代理服务收费按差额定率累计法计算：</w:t>
            </w:r>
          </w:p>
          <w:p w14:paraId="2B89D0DC">
            <w:pPr>
              <w:pStyle w:val="13"/>
              <w:ind w:firstLine="340"/>
              <w:rPr>
                <w:rFonts w:hint="eastAsia" w:cs="宋体" w:asciiTheme="minorEastAsia" w:hAnsiTheme="minorEastAsia"/>
                <w:bCs/>
                <w:color w:val="auto"/>
                <w:szCs w:val="21"/>
                <w:lang w:val="zh-CN"/>
              </w:rPr>
            </w:pPr>
            <w:r>
              <w:rPr>
                <w:rFonts w:hint="eastAsia"/>
                <w:color w:val="auto"/>
              </w:rPr>
              <w:drawing>
                <wp:inline distT="0" distB="0" distL="114300" distR="114300">
                  <wp:extent cx="3945255" cy="2764790"/>
                  <wp:effectExtent l="0" t="0" r="1905" b="889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4"/>
                          <a:stretch>
                            <a:fillRect/>
                          </a:stretch>
                        </pic:blipFill>
                        <pic:spPr>
                          <a:xfrm>
                            <a:off x="0" y="0"/>
                            <a:ext cx="3945255" cy="2764790"/>
                          </a:xfrm>
                          <a:prstGeom prst="rect">
                            <a:avLst/>
                          </a:prstGeom>
                          <a:noFill/>
                          <a:ln>
                            <a:noFill/>
                          </a:ln>
                        </pic:spPr>
                      </pic:pic>
                    </a:graphicData>
                  </a:graphic>
                </wp:inline>
              </w:drawing>
            </w:r>
          </w:p>
        </w:tc>
      </w:tr>
      <w:tr w14:paraId="2B89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E">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30</w:t>
            </w:r>
          </w:p>
        </w:tc>
        <w:tc>
          <w:tcPr>
            <w:tcW w:w="2268" w:type="dxa"/>
            <w:vAlign w:val="center"/>
          </w:tcPr>
          <w:p w14:paraId="2B89D0DF">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成交供应商需提交</w:t>
            </w:r>
          </w:p>
          <w:p w14:paraId="2B89D0E0">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的资料</w:t>
            </w:r>
          </w:p>
        </w:tc>
        <w:tc>
          <w:tcPr>
            <w:tcW w:w="6813" w:type="dxa"/>
            <w:vAlign w:val="center"/>
          </w:tcPr>
          <w:p w14:paraId="2B89D0E1">
            <w:pPr>
              <w:autoSpaceDE w:val="0"/>
              <w:autoSpaceDN w:val="0"/>
              <w:adjustRightInd w:val="0"/>
              <w:spacing w:line="360" w:lineRule="auto"/>
              <w:rPr>
                <w:rFonts w:hint="eastAsia" w:cs="宋体" w:asciiTheme="minorEastAsia" w:hAnsiTheme="minorEastAsia"/>
                <w:bCs/>
                <w:color w:val="auto"/>
                <w:szCs w:val="21"/>
                <w:lang w:val="zh-CN"/>
              </w:rPr>
            </w:pPr>
            <w:r>
              <w:rPr>
                <w:rFonts w:hint="eastAsia" w:ascii="宋体" w:hAnsi="宋体" w:cs="宋体"/>
                <w:color w:val="auto"/>
                <w:szCs w:val="21"/>
                <w:lang w:val="zh-CN"/>
              </w:rPr>
              <w:t>中标人在接到中标通知时，须向代理机构发送投标报价及分项报价一览表（包含主要中标标的的名称、规格型号、数量、单价、服务要求等）电子文档，联系电话：17746990629，邮箱：jiatai1034@126.com。并配合业主需要提供纸质投标文件。</w:t>
            </w:r>
          </w:p>
        </w:tc>
      </w:tr>
      <w:tr w14:paraId="2B89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E3">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31</w:t>
            </w:r>
          </w:p>
        </w:tc>
        <w:tc>
          <w:tcPr>
            <w:tcW w:w="2268" w:type="dxa"/>
            <w:vAlign w:val="center"/>
          </w:tcPr>
          <w:p w14:paraId="2B89D0E4">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电子化采购模式</w:t>
            </w:r>
          </w:p>
        </w:tc>
        <w:tc>
          <w:tcPr>
            <w:tcW w:w="6813" w:type="dxa"/>
            <w:vAlign w:val="center"/>
          </w:tcPr>
          <w:p w14:paraId="2B89D0E5">
            <w:pPr>
              <w:autoSpaceDE w:val="0"/>
              <w:autoSpaceDN w:val="0"/>
              <w:adjustRightInd w:val="0"/>
              <w:spacing w:line="360" w:lineRule="auto"/>
              <w:contextualSpacing/>
              <w:rPr>
                <w:rFonts w:hint="eastAsia" w:hAnsi="宋体" w:cs="宋体"/>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是。</w:t>
            </w:r>
            <w:r>
              <w:rPr>
                <w:rFonts w:hint="eastAsia" w:hAnsi="宋体" w:cs="宋体"/>
                <w:color w:val="auto"/>
                <w:szCs w:val="21"/>
                <w:lang w:val="zh-CN"/>
              </w:rPr>
              <w:t>投标人投标时须成功上传、解密电子投标文件。投标人资质、业绩、荣誉及相关人员证明材料等资料原件不再提交（本招标文件第六章另有要求提供原件的除外）。</w:t>
            </w:r>
          </w:p>
          <w:p w14:paraId="2B89D0E6">
            <w:pPr>
              <w:autoSpaceDE w:val="0"/>
              <w:autoSpaceDN w:val="0"/>
              <w:adjustRightInd w:val="0"/>
              <w:spacing w:line="360" w:lineRule="auto"/>
              <w:contextualSpacing/>
              <w:rPr>
                <w:rFonts w:hint="eastAsia" w:cs="宋体" w:asciiTheme="minorEastAsia" w:hAnsiTheme="minorEastAsia"/>
                <w:bCs/>
                <w:color w:val="auto"/>
                <w:szCs w:val="21"/>
                <w:lang w:val="zh-CN"/>
              </w:rPr>
            </w:pPr>
            <w:r>
              <w:rPr>
                <w:rFonts w:hint="eastAsia" w:hAnsi="宋体" w:cs="宋体"/>
                <w:color w:val="auto"/>
                <w:szCs w:val="21"/>
                <w:lang w:val="zh-CN"/>
              </w:rPr>
              <w:t>□否。投标人投标时须提供纸质投标文件。投标人资质、业绩、荣誉及相关人员证明材料等资料原件根据招标文件要求提供。</w:t>
            </w:r>
          </w:p>
        </w:tc>
      </w:tr>
      <w:tr w14:paraId="2B89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6" w:type="dxa"/>
            <w:vAlign w:val="center"/>
          </w:tcPr>
          <w:p w14:paraId="2B89D0E8">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32</w:t>
            </w:r>
          </w:p>
        </w:tc>
        <w:tc>
          <w:tcPr>
            <w:tcW w:w="2268" w:type="dxa"/>
            <w:vAlign w:val="center"/>
          </w:tcPr>
          <w:p w14:paraId="2B89D0E9">
            <w:pPr>
              <w:autoSpaceDE w:val="0"/>
              <w:autoSpaceDN w:val="0"/>
              <w:adjustRightInd w:val="0"/>
              <w:spacing w:line="360" w:lineRule="auto"/>
              <w:jc w:val="center"/>
              <w:rPr>
                <w:rFonts w:hint="eastAsia" w:hAnsi="宋体" w:cs="宋体"/>
                <w:color w:val="auto"/>
                <w:szCs w:val="21"/>
                <w:lang w:val="zh-CN"/>
              </w:rPr>
            </w:pPr>
            <w:r>
              <w:rPr>
                <w:rFonts w:hint="eastAsia" w:hAnsi="宋体" w:cs="宋体"/>
                <w:color w:val="auto"/>
                <w:szCs w:val="21"/>
                <w:lang w:val="zh-CN"/>
              </w:rPr>
              <w:t>投标人代表出席开标会及其他</w:t>
            </w:r>
          </w:p>
        </w:tc>
        <w:tc>
          <w:tcPr>
            <w:tcW w:w="6813" w:type="dxa"/>
            <w:vAlign w:val="center"/>
          </w:tcPr>
          <w:p w14:paraId="2B89D0EA">
            <w:pPr>
              <w:spacing w:line="312" w:lineRule="auto"/>
              <w:rPr>
                <w:rFonts w:hint="eastAsia" w:hAnsi="宋体" w:cs="宋体"/>
                <w:color w:val="auto"/>
                <w:szCs w:val="21"/>
                <w:lang w:val="zh-CN"/>
              </w:rPr>
            </w:pPr>
            <w:r>
              <w:rPr>
                <w:rFonts w:hint="eastAsia" w:hAnsi="宋体" w:cs="宋体"/>
                <w:color w:val="auto"/>
                <w:szCs w:val="21"/>
                <w:lang w:val="zh-CN"/>
              </w:rPr>
              <w:t>投标人准时在网上参加投标、开标活动。</w:t>
            </w:r>
          </w:p>
        </w:tc>
      </w:tr>
      <w:tr w14:paraId="2B89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EC">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33</w:t>
            </w:r>
          </w:p>
        </w:tc>
        <w:tc>
          <w:tcPr>
            <w:tcW w:w="2268" w:type="dxa"/>
            <w:vAlign w:val="center"/>
          </w:tcPr>
          <w:p w14:paraId="2B89D0ED">
            <w:pPr>
              <w:autoSpaceDE w:val="0"/>
              <w:autoSpaceDN w:val="0"/>
              <w:adjustRightInd w:val="0"/>
              <w:spacing w:line="360" w:lineRule="auto"/>
              <w:jc w:val="center"/>
              <w:rPr>
                <w:rFonts w:hint="eastAsia" w:hAnsi="宋体" w:cs="宋体"/>
                <w:color w:val="auto"/>
                <w:szCs w:val="21"/>
                <w:lang w:val="zh-CN"/>
              </w:rPr>
            </w:pPr>
            <w:r>
              <w:rPr>
                <w:rFonts w:hint="eastAsia" w:hAnsi="宋体" w:cs="宋体"/>
                <w:color w:val="auto"/>
                <w:szCs w:val="21"/>
                <w:lang w:val="zh-CN"/>
              </w:rPr>
              <w:t>解释权</w:t>
            </w:r>
          </w:p>
        </w:tc>
        <w:tc>
          <w:tcPr>
            <w:tcW w:w="6813" w:type="dxa"/>
            <w:vAlign w:val="center"/>
          </w:tcPr>
          <w:p w14:paraId="2B89D0EE">
            <w:pPr>
              <w:spacing w:line="360" w:lineRule="auto"/>
              <w:rPr>
                <w:rFonts w:hint="eastAsia" w:hAnsi="宋体" w:cs="宋体"/>
                <w:color w:val="auto"/>
                <w:szCs w:val="21"/>
                <w:lang w:val="zh-CN"/>
              </w:rPr>
            </w:pPr>
            <w:r>
              <w:rPr>
                <w:rFonts w:hint="eastAsia" w:hAnsi="宋体" w:cs="宋体"/>
                <w:color w:val="auto"/>
                <w:szCs w:val="21"/>
                <w:lang w:val="zh-CN"/>
              </w:rPr>
              <w:t>构成本招标文件的各个组成文件应互为解释，互为说明；</w:t>
            </w:r>
          </w:p>
          <w:p w14:paraId="2B89D0EF">
            <w:pPr>
              <w:spacing w:line="360" w:lineRule="auto"/>
              <w:rPr>
                <w:rFonts w:hint="eastAsia" w:hAnsi="宋体" w:cs="宋体"/>
                <w:color w:val="auto"/>
                <w:szCs w:val="21"/>
                <w:lang w:val="zh-CN"/>
              </w:rPr>
            </w:pPr>
            <w:r>
              <w:rPr>
                <w:rFonts w:hint="eastAsia" w:hAnsi="宋体" w:cs="宋体"/>
                <w:color w:val="auto"/>
                <w:szCs w:val="21"/>
                <w:lang w:val="zh-CN"/>
              </w:rPr>
              <w:t>1.除招标文件中有特别规定外，仅适用于招标投标阶段的规定，按招标公告（投标邀请书）、投标人须知、评标办法的先后顺序解释；</w:t>
            </w:r>
          </w:p>
          <w:p w14:paraId="2B89D0F0">
            <w:pPr>
              <w:spacing w:line="360" w:lineRule="auto"/>
              <w:rPr>
                <w:rFonts w:hint="eastAsia" w:hAnsi="宋体" w:cs="宋体"/>
                <w:color w:val="auto"/>
                <w:szCs w:val="21"/>
                <w:lang w:val="zh-CN"/>
              </w:rPr>
            </w:pPr>
            <w:r>
              <w:rPr>
                <w:rFonts w:hint="eastAsia" w:hAnsi="宋体" w:cs="宋体"/>
                <w:color w:val="auto"/>
                <w:szCs w:val="21"/>
                <w:lang w:eastAsia="zh-CN"/>
              </w:rPr>
              <w:t>2.</w:t>
            </w:r>
            <w:r>
              <w:rPr>
                <w:rFonts w:hint="eastAsia" w:hAnsi="宋体" w:cs="宋体"/>
                <w:color w:val="auto"/>
                <w:szCs w:val="21"/>
                <w:lang w:val="zh-CN"/>
              </w:rPr>
              <w:t>同一组成文件中就同一事项的规定或约定不一致的，以编排顺序在后者为准；</w:t>
            </w:r>
          </w:p>
          <w:p w14:paraId="2B89D0F1">
            <w:pPr>
              <w:spacing w:line="360" w:lineRule="auto"/>
              <w:rPr>
                <w:rFonts w:hint="eastAsia" w:hAnsi="宋体" w:cs="宋体"/>
                <w:color w:val="auto"/>
                <w:szCs w:val="21"/>
                <w:lang w:val="zh-CN"/>
              </w:rPr>
            </w:pPr>
            <w:r>
              <w:rPr>
                <w:rFonts w:hint="eastAsia" w:hAnsi="宋体" w:cs="宋体"/>
                <w:color w:val="auto"/>
                <w:szCs w:val="21"/>
                <w:lang w:eastAsia="zh-CN"/>
              </w:rPr>
              <w:t>3.</w:t>
            </w:r>
            <w:r>
              <w:rPr>
                <w:rFonts w:hint="eastAsia" w:hAnsi="宋体" w:cs="宋体"/>
                <w:color w:val="auto"/>
                <w:szCs w:val="21"/>
                <w:lang w:val="zh-CN"/>
              </w:rPr>
              <w:t>同一组成文件不同版本之间有不一致的，以形成时间在后者为准；</w:t>
            </w:r>
          </w:p>
          <w:p w14:paraId="2B89D0F2">
            <w:pPr>
              <w:autoSpaceDE w:val="0"/>
              <w:autoSpaceDN w:val="0"/>
              <w:adjustRightInd w:val="0"/>
              <w:spacing w:line="360" w:lineRule="auto"/>
              <w:contextualSpacing/>
              <w:rPr>
                <w:rFonts w:hint="eastAsia" w:hAnsi="宋体" w:cs="宋体"/>
                <w:color w:val="auto"/>
                <w:szCs w:val="21"/>
                <w:lang w:val="zh-CN"/>
              </w:rPr>
            </w:pPr>
            <w:r>
              <w:rPr>
                <w:rFonts w:hint="eastAsia" w:hAnsi="宋体" w:cs="宋体"/>
                <w:color w:val="auto"/>
                <w:szCs w:val="21"/>
                <w:lang w:val="zh-CN"/>
              </w:rPr>
              <w:t>按本款前述规定仍不能形成结论的，由招标人负责解释。</w:t>
            </w:r>
          </w:p>
        </w:tc>
      </w:tr>
      <w:tr w14:paraId="2B89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4">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34</w:t>
            </w:r>
          </w:p>
        </w:tc>
        <w:tc>
          <w:tcPr>
            <w:tcW w:w="2268" w:type="dxa"/>
            <w:vAlign w:val="center"/>
          </w:tcPr>
          <w:p w14:paraId="2B89D0F5">
            <w:pPr>
              <w:autoSpaceDE w:val="0"/>
              <w:autoSpaceDN w:val="0"/>
              <w:adjustRightInd w:val="0"/>
              <w:spacing w:line="360" w:lineRule="auto"/>
              <w:jc w:val="center"/>
              <w:rPr>
                <w:rFonts w:hint="eastAsia" w:hAnsi="宋体" w:cs="宋体"/>
                <w:color w:val="auto"/>
                <w:szCs w:val="21"/>
                <w:lang w:val="zh-CN"/>
              </w:rPr>
            </w:pPr>
            <w:r>
              <w:rPr>
                <w:rFonts w:hint="eastAsia" w:hAnsi="宋体" w:cs="宋体"/>
                <w:color w:val="auto"/>
                <w:szCs w:val="21"/>
                <w:lang w:val="zh-CN"/>
              </w:rPr>
              <w:t>知识产权</w:t>
            </w:r>
          </w:p>
        </w:tc>
        <w:tc>
          <w:tcPr>
            <w:tcW w:w="6813" w:type="dxa"/>
            <w:vAlign w:val="center"/>
          </w:tcPr>
          <w:p w14:paraId="2B89D0F6">
            <w:pPr>
              <w:spacing w:line="360" w:lineRule="auto"/>
              <w:rPr>
                <w:rFonts w:hint="eastAsia" w:hAnsi="宋体" w:cs="宋体"/>
                <w:color w:val="auto"/>
                <w:szCs w:val="21"/>
                <w:lang w:val="zh-CN"/>
              </w:rPr>
            </w:pPr>
            <w:r>
              <w:rPr>
                <w:rFonts w:hint="eastAsia" w:hAnsi="宋体" w:cs="宋体"/>
                <w:color w:val="auto"/>
                <w:szCs w:val="21"/>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2B89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8">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35</w:t>
            </w:r>
          </w:p>
        </w:tc>
        <w:tc>
          <w:tcPr>
            <w:tcW w:w="2268" w:type="dxa"/>
            <w:vAlign w:val="center"/>
          </w:tcPr>
          <w:p w14:paraId="2B89D0F9">
            <w:pPr>
              <w:autoSpaceDE w:val="0"/>
              <w:autoSpaceDN w:val="0"/>
              <w:adjustRightInd w:val="0"/>
              <w:spacing w:line="360" w:lineRule="auto"/>
              <w:jc w:val="center"/>
              <w:rPr>
                <w:rFonts w:hint="eastAsia" w:hAnsi="宋体" w:cs="宋体"/>
                <w:color w:val="auto"/>
                <w:szCs w:val="21"/>
                <w:lang w:val="zh-CN"/>
              </w:rPr>
            </w:pPr>
            <w:r>
              <w:rPr>
                <w:rFonts w:hint="eastAsia" w:hAnsi="宋体" w:cs="宋体"/>
                <w:color w:val="auto"/>
                <w:szCs w:val="21"/>
                <w:lang w:val="zh-CN"/>
              </w:rPr>
              <w:t>投标费用</w:t>
            </w:r>
          </w:p>
        </w:tc>
        <w:tc>
          <w:tcPr>
            <w:tcW w:w="6813" w:type="dxa"/>
            <w:vAlign w:val="center"/>
          </w:tcPr>
          <w:p w14:paraId="2B89D0FA">
            <w:pPr>
              <w:spacing w:line="360" w:lineRule="auto"/>
              <w:rPr>
                <w:rFonts w:hint="eastAsia" w:hAnsi="宋体" w:cs="宋体"/>
                <w:color w:val="auto"/>
                <w:szCs w:val="21"/>
                <w:lang w:val="zh-CN"/>
              </w:rPr>
            </w:pPr>
            <w:r>
              <w:rPr>
                <w:rFonts w:hint="eastAsia" w:hAnsi="宋体" w:cs="宋体"/>
                <w:color w:val="auto"/>
                <w:szCs w:val="21"/>
                <w:lang w:val="zh-CN"/>
              </w:rPr>
              <w:t>供应商应自行承担参加投标活动有关的全部费用，招标人和招标代理机构在任何情况下均无义务和责任承担上述费用。</w:t>
            </w:r>
          </w:p>
        </w:tc>
      </w:tr>
      <w:tr w14:paraId="2B89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C">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36</w:t>
            </w:r>
          </w:p>
        </w:tc>
        <w:tc>
          <w:tcPr>
            <w:tcW w:w="2268" w:type="dxa"/>
            <w:vAlign w:val="center"/>
          </w:tcPr>
          <w:p w14:paraId="2B89D0FD">
            <w:pPr>
              <w:autoSpaceDE w:val="0"/>
              <w:autoSpaceDN w:val="0"/>
              <w:adjustRightInd w:val="0"/>
              <w:spacing w:line="360" w:lineRule="auto"/>
              <w:jc w:val="center"/>
              <w:rPr>
                <w:rFonts w:hint="eastAsia" w:hAnsi="宋体" w:cs="宋体"/>
                <w:color w:val="auto"/>
                <w:szCs w:val="21"/>
                <w:lang w:val="zh-CN"/>
              </w:rPr>
            </w:pPr>
            <w:r>
              <w:rPr>
                <w:rFonts w:hint="eastAsia" w:hAnsi="宋体" w:cs="宋体"/>
                <w:color w:val="auto"/>
                <w:szCs w:val="21"/>
                <w:lang w:val="zh-CN"/>
              </w:rPr>
              <w:t>纪律和监督</w:t>
            </w:r>
          </w:p>
        </w:tc>
        <w:tc>
          <w:tcPr>
            <w:tcW w:w="6813" w:type="dxa"/>
            <w:vAlign w:val="center"/>
          </w:tcPr>
          <w:p w14:paraId="2B89D0FE">
            <w:pPr>
              <w:spacing w:line="360" w:lineRule="auto"/>
              <w:rPr>
                <w:rFonts w:hint="eastAsia" w:hAnsi="宋体" w:cs="宋体"/>
                <w:color w:val="auto"/>
                <w:szCs w:val="21"/>
                <w:lang w:val="zh-CN"/>
              </w:rPr>
            </w:pPr>
            <w:r>
              <w:rPr>
                <w:rFonts w:hint="eastAsia" w:hAnsi="宋体" w:cs="宋体"/>
                <w:color w:val="auto"/>
                <w:szCs w:val="21"/>
                <w:lang w:val="zh-CN"/>
              </w:rPr>
              <w:t>采购人或招标代理机构不得泄露招标投标活动中应当保密的情况和资料，不得与供应商串通损害国家利益、社会公共利益或者他人合法权益。</w:t>
            </w:r>
          </w:p>
        </w:tc>
      </w:tr>
      <w:tr w14:paraId="2B8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0">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37</w:t>
            </w:r>
          </w:p>
        </w:tc>
        <w:tc>
          <w:tcPr>
            <w:tcW w:w="2268" w:type="dxa"/>
            <w:vAlign w:val="center"/>
          </w:tcPr>
          <w:p w14:paraId="2B89D101">
            <w:pPr>
              <w:autoSpaceDE w:val="0"/>
              <w:autoSpaceDN w:val="0"/>
              <w:adjustRightInd w:val="0"/>
              <w:spacing w:line="360" w:lineRule="auto"/>
              <w:jc w:val="center"/>
              <w:rPr>
                <w:rFonts w:hint="eastAsia" w:hAnsi="宋体" w:cs="宋体"/>
                <w:color w:val="auto"/>
                <w:szCs w:val="21"/>
                <w:lang w:val="zh-CN"/>
              </w:rPr>
            </w:pPr>
            <w:r>
              <w:rPr>
                <w:rFonts w:hint="eastAsia" w:hAnsi="宋体" w:cs="宋体"/>
                <w:color w:val="auto"/>
                <w:szCs w:val="21"/>
                <w:lang w:val="zh-CN"/>
              </w:rPr>
              <w:t>投标文件的拒收</w:t>
            </w:r>
          </w:p>
        </w:tc>
        <w:tc>
          <w:tcPr>
            <w:tcW w:w="6813" w:type="dxa"/>
            <w:vAlign w:val="center"/>
          </w:tcPr>
          <w:p w14:paraId="2B89D102">
            <w:pPr>
              <w:autoSpaceDE w:val="0"/>
              <w:autoSpaceDN w:val="0"/>
              <w:adjustRightInd w:val="0"/>
              <w:spacing w:line="360" w:lineRule="auto"/>
              <w:contextualSpacing/>
              <w:rPr>
                <w:rFonts w:hint="eastAsia" w:hAnsi="宋体" w:cs="宋体"/>
                <w:color w:val="auto"/>
                <w:szCs w:val="21"/>
                <w:lang w:val="zh-CN"/>
              </w:rPr>
            </w:pPr>
            <w:r>
              <w:rPr>
                <w:rFonts w:hint="eastAsia" w:hAnsi="宋体" w:cs="宋体"/>
                <w:color w:val="auto"/>
                <w:szCs w:val="21"/>
                <w:lang w:val="zh-CN"/>
              </w:rPr>
              <w:t>1.未成功上传的投标文件；</w:t>
            </w:r>
          </w:p>
          <w:p w14:paraId="2B89D103">
            <w:pPr>
              <w:autoSpaceDE w:val="0"/>
              <w:autoSpaceDN w:val="0"/>
              <w:adjustRightInd w:val="0"/>
              <w:spacing w:line="360" w:lineRule="auto"/>
              <w:contextualSpacing/>
              <w:rPr>
                <w:rFonts w:hint="eastAsia" w:hAnsi="宋体" w:cs="宋体"/>
                <w:color w:val="auto"/>
                <w:szCs w:val="21"/>
                <w:lang w:val="zh-CN"/>
              </w:rPr>
            </w:pPr>
            <w:r>
              <w:rPr>
                <w:rFonts w:hint="eastAsia" w:hAnsi="宋体" w:cs="宋体"/>
                <w:color w:val="auto"/>
                <w:szCs w:val="21"/>
                <w:lang w:val="zh-CN"/>
              </w:rPr>
              <w:t>2.未进行解密或未按要求成功解密的投标文件。</w:t>
            </w:r>
          </w:p>
        </w:tc>
      </w:tr>
      <w:tr w14:paraId="2B89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5">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38</w:t>
            </w:r>
          </w:p>
        </w:tc>
        <w:tc>
          <w:tcPr>
            <w:tcW w:w="2268" w:type="dxa"/>
            <w:vAlign w:val="center"/>
          </w:tcPr>
          <w:p w14:paraId="2B89D106">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14:paraId="2B89D107">
            <w:pPr>
              <w:autoSpaceDE w:val="0"/>
              <w:autoSpaceDN w:val="0"/>
              <w:adjustRightInd w:val="0"/>
              <w:spacing w:line="360" w:lineRule="auto"/>
              <w:contextualSpacing/>
              <w:rPr>
                <w:color w:val="auto"/>
              </w:rPr>
            </w:pPr>
            <w:r>
              <w:rPr>
                <w:rFonts w:hint="eastAsia"/>
                <w:color w:val="auto"/>
                <w:lang w:eastAsia="zh-CN"/>
              </w:rPr>
              <w:t>1.</w:t>
            </w:r>
            <w:r>
              <w:rPr>
                <w:rFonts w:hint="eastAsia"/>
                <w:color w:val="auto"/>
              </w:rPr>
              <w:t>按照《关于推进全流程电子化交易和在线监管工作有关问题的通知》（许公管办〔2019〕3号）规定：</w:t>
            </w:r>
          </w:p>
          <w:p w14:paraId="2B89D108">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投标</w:t>
            </w:r>
            <w:r>
              <w:rPr>
                <w:color w:val="auto"/>
              </w:rPr>
              <w:t>事宜</w:t>
            </w:r>
            <w:r>
              <w:rPr>
                <w:rFonts w:hint="eastAsia"/>
                <w:color w:val="auto"/>
              </w:rPr>
              <w:t>’，其投标无效。</w:t>
            </w:r>
          </w:p>
          <w:p w14:paraId="2B89D109">
            <w:pPr>
              <w:autoSpaceDE w:val="0"/>
              <w:autoSpaceDN w:val="0"/>
              <w:adjustRightInd w:val="0"/>
              <w:spacing w:line="360" w:lineRule="auto"/>
              <w:contextualSpacing/>
              <w:rPr>
                <w:color w:val="auto"/>
              </w:rPr>
            </w:pPr>
            <w:r>
              <w:rPr>
                <w:rFonts w:hint="eastAsia"/>
                <w:color w:val="auto"/>
              </w:rPr>
              <w:t>评审专家应严格按照要求查看“硬件特征码” 相关信息并进行评审，在评审报告中显示“不同投标人电子投标文件制作硬件特征码”是否雷同的分析及判定结果。</w:t>
            </w:r>
          </w:p>
          <w:p w14:paraId="2B89D10A">
            <w:pPr>
              <w:pStyle w:val="2"/>
              <w:rPr>
                <w:color w:val="auto"/>
                <w:lang w:val="zh-CN"/>
              </w:rPr>
            </w:pPr>
            <w:r>
              <w:rPr>
                <w:rFonts w:hint="eastAsia"/>
                <w:color w:val="auto"/>
                <w:lang w:eastAsia="zh-CN"/>
              </w:rPr>
              <w:t>2.</w:t>
            </w:r>
            <w:r>
              <w:rPr>
                <w:rFonts w:hint="eastAsia"/>
                <w:color w:val="auto"/>
                <w:lang w:val="zh-CN"/>
              </w:rPr>
              <w:t>项目编号以本项目招标文件项目编号为准。</w:t>
            </w:r>
          </w:p>
          <w:p w14:paraId="2B89D10B">
            <w:pPr>
              <w:pStyle w:val="2"/>
              <w:rPr>
                <w:color w:val="auto"/>
                <w:lang w:val="zh-CN"/>
              </w:rPr>
            </w:pPr>
            <w:r>
              <w:rPr>
                <w:rFonts w:hint="eastAsia"/>
                <w:color w:val="auto"/>
                <w:lang w:eastAsia="zh-CN"/>
              </w:rPr>
              <w:t>3.</w:t>
            </w:r>
            <w:r>
              <w:rPr>
                <w:rFonts w:hint="eastAsia"/>
                <w:color w:val="auto"/>
                <w:lang w:val="zh-CN"/>
              </w:rPr>
              <w:t>投标文件格式的先后顺序不作为废标项。</w:t>
            </w:r>
          </w:p>
        </w:tc>
      </w:tr>
      <w:tr w14:paraId="2B89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D">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39</w:t>
            </w:r>
          </w:p>
        </w:tc>
        <w:tc>
          <w:tcPr>
            <w:tcW w:w="2268" w:type="dxa"/>
            <w:vAlign w:val="center"/>
          </w:tcPr>
          <w:p w14:paraId="2B89D10E">
            <w:pPr>
              <w:autoSpaceDE w:val="0"/>
              <w:autoSpaceDN w:val="0"/>
              <w:adjustRightInd w:val="0"/>
              <w:spacing w:line="276" w:lineRule="auto"/>
              <w:jc w:val="center"/>
              <w:rPr>
                <w:rFonts w:hint="eastAsia" w:cs="宋体" w:asciiTheme="minorEastAsia" w:hAnsiTheme="minorEastAsia"/>
                <w:bCs/>
                <w:color w:val="auto"/>
                <w:szCs w:val="21"/>
                <w:lang w:val="zh-CN"/>
              </w:rPr>
            </w:pPr>
            <w:r>
              <w:rPr>
                <w:rFonts w:hint="eastAsia" w:cs="仿宋_GB2312" w:asciiTheme="minorEastAsia" w:hAnsiTheme="minorEastAsia"/>
                <w:color w:val="auto"/>
                <w:szCs w:val="21"/>
              </w:rPr>
              <w:t>供应商资格核验</w:t>
            </w:r>
          </w:p>
        </w:tc>
        <w:tc>
          <w:tcPr>
            <w:tcW w:w="6813" w:type="dxa"/>
            <w:vAlign w:val="center"/>
          </w:tcPr>
          <w:p w14:paraId="2B89D10F">
            <w:pPr>
              <w:autoSpaceDE w:val="0"/>
              <w:autoSpaceDN w:val="0"/>
              <w:adjustRightInd w:val="0"/>
              <w:spacing w:line="360" w:lineRule="auto"/>
              <w:ind w:right="-11"/>
              <w:rPr>
                <w:rFonts w:hint="eastAsia" w:ascii="ˎ̥" w:hAnsi="ˎ̥"/>
                <w:color w:val="auto"/>
              </w:rPr>
            </w:pPr>
            <w:r>
              <w:rPr>
                <w:rFonts w:hint="eastAsia" w:ascii="ˎ̥" w:hAnsi="ˎ̥"/>
                <w:color w:val="auto"/>
              </w:rPr>
              <w:t>供应商在成交后，应将由《禹州市政府采购供应商信用承诺函》替代的证明材料提交采购人核验，经核验无误后，采购人发出成交通知书。</w:t>
            </w:r>
          </w:p>
          <w:p w14:paraId="2B89D110">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一、法人或者其他组织的营业执照等证明文件，自然人的身份证明</w:t>
            </w:r>
          </w:p>
          <w:p w14:paraId="2B89D111">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1.企业法人营业执照或营业执照。（企业提供）</w:t>
            </w:r>
          </w:p>
          <w:p w14:paraId="2B89D112">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2.事业单位法人证书。（事业单位提供）</w:t>
            </w:r>
          </w:p>
          <w:p w14:paraId="2B89D113">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3.执业许可证。（非企业专业服务机构提供）</w:t>
            </w:r>
          </w:p>
          <w:p w14:paraId="2B89D114">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4.个体工商户营业执照。（个体工商户提供）</w:t>
            </w:r>
          </w:p>
          <w:p w14:paraId="2B89D115">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5.自然人身份证明。（自然人提供）</w:t>
            </w:r>
          </w:p>
          <w:p w14:paraId="2B89D116">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6.民办非企业单位登记证书。（民办非企业单位提供）</w:t>
            </w:r>
          </w:p>
          <w:p w14:paraId="2B89D117">
            <w:pPr>
              <w:spacing w:line="440" w:lineRule="exact"/>
              <w:jc w:val="left"/>
              <w:rPr>
                <w:rFonts w:hint="eastAsia" w:ascii="宋体" w:hAnsi="宋体" w:eastAsia="宋体" w:cstheme="majorEastAsia"/>
                <w:color w:val="auto"/>
                <w:szCs w:val="21"/>
                <w:lang w:val="zh-CN"/>
              </w:rPr>
            </w:pPr>
            <w:r>
              <w:rPr>
                <w:rFonts w:hint="eastAsia" w:ascii="宋体" w:hAnsi="宋体" w:eastAsia="宋体" w:cstheme="majorEastAsia"/>
                <w:color w:val="auto"/>
                <w:szCs w:val="21"/>
                <w:lang w:val="zh-CN"/>
              </w:rPr>
              <w:t>二、财务状况报告相关材料</w:t>
            </w:r>
          </w:p>
          <w:p w14:paraId="2B89D118">
            <w:pPr>
              <w:spacing w:line="360" w:lineRule="auto"/>
              <w:rPr>
                <w:rFonts w:hint="eastAsia" w:ascii="宋体" w:hAnsi="宋体" w:eastAsia="宋体"/>
                <w:color w:val="auto"/>
              </w:rPr>
            </w:pPr>
            <w:r>
              <w:rPr>
                <w:rFonts w:hint="eastAsia" w:ascii="宋体" w:hAnsi="宋体" w:eastAsia="宋体"/>
                <w:color w:val="auto"/>
              </w:rPr>
              <w:t>（1）供应商是法人（法人包括企业法人、机关法人、事业单位法人和社会团体法人），提供本单位：</w:t>
            </w:r>
          </w:p>
          <w:p w14:paraId="2B89D119">
            <w:pPr>
              <w:spacing w:line="360" w:lineRule="auto"/>
              <w:rPr>
                <w:rFonts w:hint="eastAsia" w:ascii="宋体" w:hAnsi="宋体" w:eastAsia="宋体"/>
                <w:color w:val="auto"/>
              </w:rPr>
            </w:pPr>
            <w:r>
              <w:rPr>
                <w:rFonts w:hint="eastAsia" w:ascii="宋体" w:hAnsi="宋体" w:eastAsia="宋体"/>
                <w:color w:val="auto"/>
              </w:rPr>
              <w:t>①</w:t>
            </w:r>
            <w:r>
              <w:rPr>
                <w:rFonts w:hint="eastAsia" w:ascii="宋体" w:hAnsi="宋体" w:eastAsia="宋体" w:cs="仿宋_GB2312"/>
                <w:color w:val="auto"/>
                <w:szCs w:val="21"/>
              </w:rPr>
              <w:t>2023年度或2024年度</w:t>
            </w:r>
            <w:r>
              <w:rPr>
                <w:rFonts w:hint="eastAsia" w:ascii="宋体" w:hAnsi="宋体" w:eastAsia="宋体"/>
                <w:color w:val="auto"/>
              </w:rPr>
              <w:t>经审计的财务报告；</w:t>
            </w:r>
          </w:p>
          <w:p w14:paraId="2B89D11A">
            <w:pPr>
              <w:spacing w:line="360" w:lineRule="auto"/>
              <w:rPr>
                <w:rFonts w:hint="eastAsia" w:ascii="宋体" w:hAnsi="宋体" w:eastAsia="宋体"/>
                <w:color w:val="auto"/>
              </w:rPr>
            </w:pPr>
            <w:r>
              <w:rPr>
                <w:rFonts w:hint="eastAsia" w:ascii="宋体" w:hAnsi="宋体" w:eastAsia="宋体"/>
                <w:color w:val="auto"/>
              </w:rPr>
              <w:t>②基本开户银行出具的资信证明；</w:t>
            </w:r>
          </w:p>
          <w:p w14:paraId="2B89D11B">
            <w:pPr>
              <w:spacing w:line="360" w:lineRule="auto"/>
              <w:rPr>
                <w:rFonts w:hint="eastAsia" w:ascii="宋体" w:hAnsi="宋体" w:eastAsia="宋体"/>
                <w:color w:val="auto"/>
              </w:rPr>
            </w:pPr>
            <w:r>
              <w:rPr>
                <w:rFonts w:hint="eastAsia" w:ascii="宋体" w:hAnsi="宋体" w:eastAsia="宋体"/>
                <w:color w:val="auto"/>
              </w:rPr>
              <w:t>③财政部门认可的政府采购专业担保机构的证明文件和担保机构出具的投标担保函。</w:t>
            </w:r>
          </w:p>
          <w:p w14:paraId="2B89D11C">
            <w:pPr>
              <w:spacing w:line="360" w:lineRule="auto"/>
              <w:rPr>
                <w:rFonts w:hint="eastAsia" w:ascii="宋体" w:hAnsi="宋体" w:eastAsia="宋体"/>
                <w:color w:val="auto"/>
              </w:rPr>
            </w:pPr>
            <w:r>
              <w:rPr>
                <w:rFonts w:hint="eastAsia" w:ascii="宋体" w:hAnsi="宋体" w:eastAsia="宋体"/>
                <w:color w:val="auto"/>
                <w:lang w:val="zh-CN"/>
              </w:rPr>
              <w:t>注：仅需提供序号</w:t>
            </w:r>
            <w:r>
              <w:rPr>
                <w:rFonts w:hint="eastAsia" w:ascii="宋体" w:hAnsi="宋体" w:eastAsia="宋体"/>
                <w:color w:val="auto"/>
              </w:rPr>
              <w:t>①～③其中之一即可。</w:t>
            </w:r>
          </w:p>
          <w:p w14:paraId="2B89D11D">
            <w:pPr>
              <w:spacing w:line="360" w:lineRule="auto"/>
              <w:rPr>
                <w:rFonts w:hint="eastAsia" w:ascii="宋体" w:hAnsi="宋体" w:eastAsia="宋体"/>
                <w:color w:val="auto"/>
              </w:rPr>
            </w:pPr>
            <w:r>
              <w:rPr>
                <w:rFonts w:hint="eastAsia" w:ascii="宋体" w:hAnsi="宋体" w:eastAsia="宋体"/>
                <w:color w:val="auto"/>
              </w:rPr>
              <w:t>（2）供应商（其他组织和自然人）提供本单位：</w:t>
            </w:r>
          </w:p>
          <w:p w14:paraId="2B89D11E">
            <w:pPr>
              <w:spacing w:line="360" w:lineRule="auto"/>
              <w:rPr>
                <w:rFonts w:hint="eastAsia" w:ascii="宋体" w:hAnsi="宋体" w:eastAsia="宋体"/>
                <w:color w:val="auto"/>
              </w:rPr>
            </w:pPr>
            <w:r>
              <w:rPr>
                <w:rFonts w:hint="eastAsia" w:ascii="宋体" w:hAnsi="宋体" w:eastAsia="宋体"/>
                <w:color w:val="auto"/>
              </w:rPr>
              <w:t>①</w:t>
            </w:r>
            <w:r>
              <w:rPr>
                <w:rFonts w:hint="eastAsia" w:ascii="宋体" w:hAnsi="宋体" w:eastAsia="宋体" w:cs="仿宋_GB2312"/>
                <w:color w:val="auto"/>
                <w:szCs w:val="21"/>
              </w:rPr>
              <w:t>2023年度或2024年度</w:t>
            </w:r>
            <w:r>
              <w:rPr>
                <w:rFonts w:hint="eastAsia" w:ascii="宋体" w:hAnsi="宋体" w:eastAsia="宋体"/>
                <w:color w:val="auto"/>
              </w:rPr>
              <w:t>经审计的财务报告；</w:t>
            </w:r>
          </w:p>
          <w:p w14:paraId="2B89D11F">
            <w:pPr>
              <w:spacing w:line="360" w:lineRule="auto"/>
              <w:rPr>
                <w:rFonts w:hint="eastAsia" w:ascii="宋体" w:hAnsi="宋体" w:eastAsia="宋体"/>
                <w:color w:val="auto"/>
              </w:rPr>
            </w:pPr>
            <w:r>
              <w:rPr>
                <w:rFonts w:hint="eastAsia" w:ascii="宋体" w:hAnsi="宋体" w:eastAsia="宋体"/>
                <w:color w:val="auto"/>
              </w:rPr>
              <w:t>②银行出具的资信证明；</w:t>
            </w:r>
          </w:p>
          <w:p w14:paraId="2B89D120">
            <w:pPr>
              <w:spacing w:line="360" w:lineRule="auto"/>
              <w:rPr>
                <w:rFonts w:hint="eastAsia" w:ascii="宋体" w:hAnsi="宋体" w:eastAsia="宋体"/>
                <w:color w:val="auto"/>
              </w:rPr>
            </w:pPr>
            <w:r>
              <w:rPr>
                <w:rFonts w:hint="eastAsia" w:ascii="宋体" w:hAnsi="宋体" w:eastAsia="宋体"/>
                <w:color w:val="auto"/>
              </w:rPr>
              <w:t>③财政部门认可的政府采购专业担保机构的证明文件和担保机构出具的投标担保函。</w:t>
            </w:r>
          </w:p>
          <w:p w14:paraId="2B89D121">
            <w:pPr>
              <w:autoSpaceDE w:val="0"/>
              <w:autoSpaceDN w:val="0"/>
              <w:adjustRightInd w:val="0"/>
              <w:spacing w:line="360" w:lineRule="auto"/>
              <w:ind w:right="-11"/>
              <w:rPr>
                <w:rFonts w:hint="eastAsia" w:ascii="宋体" w:hAnsi="宋体" w:eastAsia="宋体"/>
                <w:color w:val="auto"/>
                <w:lang w:val="zh-CN"/>
              </w:rPr>
            </w:pPr>
            <w:r>
              <w:rPr>
                <w:rFonts w:hint="eastAsia" w:ascii="宋体" w:hAnsi="宋体" w:eastAsia="宋体"/>
                <w:color w:val="auto"/>
                <w:lang w:val="zh-CN"/>
              </w:rPr>
              <w:t>注：仅需提供序号</w:t>
            </w:r>
            <w:r>
              <w:rPr>
                <w:rFonts w:hint="eastAsia" w:ascii="宋体" w:hAnsi="宋体" w:eastAsia="宋体"/>
                <w:color w:val="auto"/>
              </w:rPr>
              <w:t>①～③其中之一即可。</w:t>
            </w:r>
          </w:p>
          <w:p w14:paraId="2B89D122">
            <w:pPr>
              <w:autoSpaceDE w:val="0"/>
              <w:autoSpaceDN w:val="0"/>
              <w:adjustRightInd w:val="0"/>
              <w:spacing w:line="360" w:lineRule="auto"/>
              <w:ind w:right="-11"/>
              <w:rPr>
                <w:rFonts w:hint="eastAsia" w:ascii="宋体" w:hAnsi="宋体" w:eastAsia="宋体"/>
                <w:color w:val="auto"/>
                <w:lang w:val="zh-CN"/>
              </w:rPr>
            </w:pPr>
            <w:r>
              <w:rPr>
                <w:rFonts w:hint="eastAsia" w:ascii="宋体" w:hAnsi="宋体" w:eastAsia="宋体"/>
                <w:color w:val="auto"/>
              </w:rPr>
              <w:t>三、依法缴纳税收相关材料</w:t>
            </w:r>
          </w:p>
          <w:p w14:paraId="2B89D123">
            <w:pPr>
              <w:autoSpaceDE w:val="0"/>
              <w:autoSpaceDN w:val="0"/>
              <w:adjustRightInd w:val="0"/>
              <w:spacing w:line="360" w:lineRule="auto"/>
              <w:ind w:right="-11"/>
              <w:rPr>
                <w:rFonts w:hint="eastAsia" w:ascii="宋体" w:hAnsi="宋体" w:eastAsia="宋体"/>
                <w:color w:val="auto"/>
                <w:lang w:val="zh-CN"/>
              </w:rPr>
            </w:pPr>
            <w:r>
              <w:rPr>
                <w:rFonts w:hint="eastAsia" w:ascii="宋体" w:hAnsi="宋体" w:eastAsia="宋体"/>
                <w:color w:val="auto"/>
                <w:lang w:val="zh-CN"/>
              </w:rPr>
              <w:t>参加本次政府采购项目谈判响应截止时间前一年内任意一个月缴纳税收凭据。（依法免税的供应商，应提供相应文件证明依法免税）</w:t>
            </w:r>
          </w:p>
          <w:p w14:paraId="2B89D124">
            <w:pPr>
              <w:autoSpaceDE w:val="0"/>
              <w:autoSpaceDN w:val="0"/>
              <w:adjustRightInd w:val="0"/>
              <w:spacing w:line="360" w:lineRule="auto"/>
              <w:ind w:right="-11"/>
              <w:rPr>
                <w:rFonts w:hint="eastAsia" w:ascii="宋体" w:hAnsi="宋体" w:eastAsia="宋体"/>
                <w:color w:val="auto"/>
                <w:lang w:val="zh-CN"/>
              </w:rPr>
            </w:pPr>
            <w:r>
              <w:rPr>
                <w:rFonts w:hint="eastAsia" w:ascii="宋体" w:hAnsi="宋体" w:eastAsia="宋体"/>
                <w:color w:val="auto"/>
                <w:lang w:val="zh-CN"/>
              </w:rPr>
              <w:t>四、依法缴纳社会保障资金的证明材料</w:t>
            </w:r>
          </w:p>
          <w:p w14:paraId="2B89D125">
            <w:pPr>
              <w:autoSpaceDE w:val="0"/>
              <w:autoSpaceDN w:val="0"/>
              <w:adjustRightInd w:val="0"/>
              <w:spacing w:line="360" w:lineRule="auto"/>
              <w:ind w:right="-11"/>
              <w:rPr>
                <w:rFonts w:hint="eastAsia" w:ascii="宋体" w:hAnsi="宋体" w:eastAsia="宋体"/>
                <w:color w:val="auto"/>
                <w:lang w:val="zh-CN"/>
              </w:rPr>
            </w:pPr>
            <w:r>
              <w:rPr>
                <w:rFonts w:hint="eastAsia" w:ascii="宋体" w:hAnsi="宋体" w:eastAsia="宋体"/>
                <w:color w:val="auto"/>
                <w:lang w:val="zh-CN"/>
              </w:rPr>
              <w:t>参加本次政府采购项目谈判响应截止时间前一年内月内任意一个月缴纳社会保险凭据。（依法不需要缴纳社会保障资金的供应商，应提供相应文件证明依法不需要缴纳社会保障资金）</w:t>
            </w:r>
          </w:p>
          <w:p w14:paraId="2B89D126">
            <w:pPr>
              <w:autoSpaceDE w:val="0"/>
              <w:autoSpaceDN w:val="0"/>
              <w:adjustRightInd w:val="0"/>
              <w:spacing w:line="360" w:lineRule="auto"/>
              <w:ind w:right="-11"/>
              <w:rPr>
                <w:rFonts w:hint="eastAsia" w:ascii="宋体" w:hAnsi="宋体" w:eastAsia="宋体"/>
                <w:color w:val="auto"/>
                <w:lang w:val="zh-CN"/>
              </w:rPr>
            </w:pPr>
            <w:r>
              <w:rPr>
                <w:rFonts w:hint="eastAsia" w:ascii="宋体" w:hAnsi="宋体" w:eastAsia="宋体"/>
                <w:color w:val="auto"/>
                <w:lang w:val="zh-CN"/>
              </w:rPr>
              <w:t>五、履行合同所必需的设备和专业技术能力的证明材料</w:t>
            </w:r>
          </w:p>
          <w:p w14:paraId="2B89D127">
            <w:pPr>
              <w:autoSpaceDE w:val="0"/>
              <w:autoSpaceDN w:val="0"/>
              <w:adjustRightInd w:val="0"/>
              <w:spacing w:line="360" w:lineRule="auto"/>
              <w:jc w:val="left"/>
              <w:rPr>
                <w:rFonts w:hint="eastAsia" w:ascii="宋体" w:hAnsi="宋体" w:eastAsia="宋体"/>
                <w:color w:val="auto"/>
                <w:lang w:val="zh-CN"/>
              </w:rPr>
            </w:pPr>
            <w:r>
              <w:rPr>
                <w:rFonts w:hint="eastAsia" w:ascii="宋体" w:hAnsi="宋体" w:eastAsia="宋体"/>
                <w:color w:val="auto"/>
                <w:lang w:val="zh-CN"/>
              </w:rPr>
              <w:t>①相关设备的购置发票、专业技术人员职称证书、用工合同等；</w:t>
            </w:r>
          </w:p>
          <w:p w14:paraId="2B89D128">
            <w:pPr>
              <w:spacing w:line="360" w:lineRule="auto"/>
              <w:rPr>
                <w:rFonts w:hint="eastAsia" w:ascii="宋体" w:hAnsi="宋体" w:eastAsia="宋体"/>
                <w:color w:val="auto"/>
              </w:rPr>
            </w:pPr>
            <w:r>
              <w:rPr>
                <w:rFonts w:hint="eastAsia" w:ascii="宋体" w:hAnsi="宋体" w:eastAsia="宋体"/>
                <w:color w:val="auto"/>
              </w:rPr>
              <w:t>②供应商具备履行合同所必需的设备和专业技术能力承诺函或声明（承诺函或声明格式自拟）。</w:t>
            </w:r>
          </w:p>
          <w:p w14:paraId="2B89D129">
            <w:pPr>
              <w:autoSpaceDE w:val="0"/>
              <w:autoSpaceDN w:val="0"/>
              <w:adjustRightInd w:val="0"/>
              <w:spacing w:line="360" w:lineRule="auto"/>
              <w:ind w:right="-11"/>
              <w:rPr>
                <w:rFonts w:hint="eastAsia" w:ascii="宋体" w:hAnsi="宋体" w:eastAsia="宋体"/>
                <w:color w:val="auto"/>
              </w:rPr>
            </w:pPr>
            <w:r>
              <w:rPr>
                <w:rFonts w:hint="eastAsia" w:ascii="宋体" w:hAnsi="宋体" w:eastAsia="宋体"/>
                <w:color w:val="auto"/>
                <w:lang w:val="zh-CN"/>
              </w:rPr>
              <w:t>注：仅需提供序号</w:t>
            </w:r>
            <w:r>
              <w:rPr>
                <w:rFonts w:hint="eastAsia" w:ascii="宋体" w:hAnsi="宋体" w:eastAsia="宋体"/>
                <w:color w:val="auto"/>
              </w:rPr>
              <w:t>①～②其中之一即可。</w:t>
            </w:r>
          </w:p>
          <w:p w14:paraId="2B89D12A">
            <w:pPr>
              <w:autoSpaceDE w:val="0"/>
              <w:autoSpaceDN w:val="0"/>
              <w:adjustRightInd w:val="0"/>
              <w:spacing w:line="360" w:lineRule="auto"/>
              <w:ind w:right="-11"/>
              <w:rPr>
                <w:rFonts w:hint="eastAsia" w:ascii="宋体" w:hAnsi="宋体" w:eastAsia="宋体"/>
                <w:color w:val="auto"/>
                <w:lang w:val="zh-CN"/>
              </w:rPr>
            </w:pPr>
            <w:r>
              <w:rPr>
                <w:rFonts w:hint="eastAsia" w:ascii="宋体" w:hAnsi="宋体" w:eastAsia="宋体"/>
                <w:color w:val="auto"/>
              </w:rPr>
              <w:t>六、</w:t>
            </w:r>
            <w:r>
              <w:rPr>
                <w:rFonts w:ascii="宋体" w:hAnsi="宋体" w:eastAsia="宋体"/>
                <w:color w:val="auto"/>
                <w:lang w:val="zh-CN"/>
              </w:rPr>
              <w:t>参加政府采购活动前3年内在经营活动中没有重大违法记录的声明</w:t>
            </w:r>
          </w:p>
          <w:p w14:paraId="2B89D12B">
            <w:pPr>
              <w:autoSpaceDE w:val="0"/>
              <w:autoSpaceDN w:val="0"/>
              <w:spacing w:line="360" w:lineRule="auto"/>
              <w:contextualSpacing/>
              <w:jc w:val="left"/>
              <w:rPr>
                <w:rFonts w:hint="eastAsia" w:ascii="宋体" w:hAnsi="宋体" w:eastAsia="宋体"/>
                <w:color w:val="auto"/>
                <w:lang w:val="zh-CN"/>
              </w:rPr>
            </w:pPr>
            <w:r>
              <w:rPr>
                <w:rFonts w:hint="eastAsia" w:ascii="宋体" w:hAnsi="宋体" w:eastAsia="宋体"/>
                <w:color w:val="auto"/>
                <w:lang w:val="zh-CN"/>
              </w:rPr>
              <w:t>供应商“</w:t>
            </w:r>
            <w:r>
              <w:rPr>
                <w:rFonts w:ascii="宋体" w:hAnsi="宋体" w:eastAsia="宋体"/>
                <w:color w:val="auto"/>
                <w:lang w:val="zh-CN"/>
              </w:rPr>
              <w:t>参加政府采购活动前3年内在经营活动中没有重大违法记录的书面声明</w:t>
            </w:r>
            <w:r>
              <w:rPr>
                <w:rFonts w:hint="eastAsia" w:ascii="宋体" w:hAnsi="宋体" w:eastAsia="宋体"/>
                <w:color w:val="auto"/>
                <w:lang w:val="zh-CN"/>
              </w:rPr>
              <w:t>”。重大违法记录，是指供应商因违法经营受到刑事处罚或者责令停产停业、吊销许可证或者执照、较大数额罚款等行政处罚。</w:t>
            </w:r>
          </w:p>
          <w:p w14:paraId="2B89D12C">
            <w:pPr>
              <w:wordWrap w:val="0"/>
              <w:autoSpaceDE w:val="0"/>
              <w:autoSpaceDN w:val="0"/>
              <w:spacing w:line="360" w:lineRule="auto"/>
              <w:contextualSpacing/>
              <w:jc w:val="left"/>
              <w:rPr>
                <w:rFonts w:hint="eastAsia" w:ascii="宋体" w:hAnsi="宋体" w:eastAsia="宋体" w:cs="宋体"/>
                <w:color w:val="auto"/>
                <w:kern w:val="0"/>
                <w:szCs w:val="21"/>
              </w:rPr>
            </w:pPr>
            <w:r>
              <w:rPr>
                <w:rFonts w:hint="eastAsia" w:ascii="宋体" w:hAnsi="宋体" w:eastAsia="宋体" w:cs="宋体"/>
                <w:bCs/>
                <w:color w:val="auto"/>
                <w:szCs w:val="21"/>
                <w:lang w:val="zh-CN"/>
              </w:rPr>
              <w:t>七、</w:t>
            </w:r>
            <w:r>
              <w:rPr>
                <w:rFonts w:ascii="宋体" w:hAnsi="宋体" w:eastAsia="宋体" w:cs="仿宋_GB2312"/>
                <w:color w:val="auto"/>
                <w:szCs w:val="21"/>
                <w:shd w:val="clear" w:color="auto" w:fill="FFFFFF"/>
              </w:rPr>
              <w:t>未被列入“信用中国”网站</w:t>
            </w:r>
            <w:r>
              <w:rPr>
                <w:rFonts w:hint="eastAsia" w:ascii="宋体" w:hAnsi="宋体" w:eastAsia="宋体" w:cs="仿宋_GB2312"/>
                <w:color w:val="auto"/>
                <w:szCs w:val="21"/>
                <w:shd w:val="clear" w:color="auto" w:fill="FFFFFF"/>
              </w:rPr>
              <w:t>（</w:t>
            </w:r>
            <w:r>
              <w:rPr>
                <w:rFonts w:ascii="宋体" w:hAnsi="宋体" w:eastAsia="宋体" w:cs="仿宋_GB2312"/>
                <w:color w:val="auto"/>
                <w:szCs w:val="21"/>
                <w:shd w:val="clear" w:color="auto" w:fill="FFFFFF"/>
              </w:rPr>
              <w:t>www.creditchina.gov.cn</w:t>
            </w:r>
            <w:r>
              <w:rPr>
                <w:rFonts w:hint="eastAsia" w:ascii="宋体" w:hAnsi="宋体" w:eastAsia="宋体" w:cs="仿宋_GB2312"/>
                <w:color w:val="auto"/>
                <w:szCs w:val="21"/>
                <w:shd w:val="clear" w:color="auto" w:fill="FFFFFF"/>
              </w:rPr>
              <w:t>）</w:t>
            </w:r>
            <w:r>
              <w:rPr>
                <w:rFonts w:ascii="宋体" w:hAnsi="宋体" w:eastAsia="宋体" w:cs="仿宋_GB2312"/>
                <w:color w:val="auto"/>
                <w:szCs w:val="21"/>
                <w:shd w:val="clear" w:color="auto" w:fill="FFFFFF"/>
              </w:rPr>
              <w:t>失信被执行人、</w:t>
            </w:r>
            <w:r>
              <w:rPr>
                <w:rFonts w:hint="eastAsia" w:ascii="宋体" w:hAnsi="宋体" w:eastAsia="宋体" w:cs="仿宋_GB2312"/>
                <w:color w:val="auto"/>
                <w:szCs w:val="21"/>
                <w:shd w:val="clear" w:color="auto" w:fill="FFFFFF"/>
              </w:rPr>
              <w:t>重大税收违法失信主体</w:t>
            </w:r>
            <w:r>
              <w:rPr>
                <w:rFonts w:ascii="宋体" w:hAnsi="宋体" w:eastAsia="宋体" w:cs="仿宋_GB2312"/>
                <w:color w:val="auto"/>
                <w:szCs w:val="21"/>
                <w:shd w:val="clear" w:color="auto" w:fill="FFFFFF"/>
              </w:rPr>
              <w:t>的</w:t>
            </w:r>
            <w:r>
              <w:rPr>
                <w:rFonts w:hint="eastAsia" w:ascii="宋体" w:hAnsi="宋体" w:eastAsia="宋体" w:cs="仿宋_GB2312"/>
                <w:color w:val="auto"/>
                <w:szCs w:val="21"/>
                <w:shd w:val="clear" w:color="auto" w:fill="FFFFFF"/>
              </w:rPr>
              <w:t>供应商</w:t>
            </w:r>
            <w:r>
              <w:rPr>
                <w:rFonts w:ascii="宋体" w:hAnsi="宋体" w:eastAsia="宋体" w:cs="仿宋_GB2312"/>
                <w:color w:val="auto"/>
                <w:szCs w:val="21"/>
                <w:shd w:val="clear" w:color="auto" w:fill="FFFFFF"/>
              </w:rPr>
              <w:t>；</w:t>
            </w:r>
            <w:r>
              <w:rPr>
                <w:rFonts w:hint="eastAsia" w:ascii="宋体" w:hAnsi="宋体" w:eastAsia="宋体" w:cs="仿宋_GB2312"/>
                <w:color w:val="auto"/>
                <w:szCs w:val="21"/>
                <w:shd w:val="clear" w:color="auto" w:fill="FFFFFF"/>
              </w:rPr>
              <w:t>“</w:t>
            </w:r>
            <w:r>
              <w:rPr>
                <w:rFonts w:ascii="宋体" w:hAnsi="宋体" w:eastAsia="宋体" w:cs="仿宋_GB2312"/>
                <w:color w:val="auto"/>
                <w:szCs w:val="21"/>
                <w:shd w:val="clear" w:color="auto" w:fill="FFFFFF"/>
              </w:rPr>
              <w:t>中国政府采购网</w:t>
            </w:r>
            <w:r>
              <w:rPr>
                <w:rFonts w:hint="eastAsia" w:ascii="宋体" w:hAnsi="宋体" w:eastAsia="宋体" w:cs="仿宋_GB2312"/>
                <w:color w:val="auto"/>
                <w:szCs w:val="21"/>
                <w:shd w:val="clear" w:color="auto" w:fill="FFFFFF"/>
              </w:rPr>
              <w:t>”（</w:t>
            </w:r>
            <w:r>
              <w:rPr>
                <w:rFonts w:ascii="宋体" w:hAnsi="宋体" w:eastAsia="宋体" w:cs="仿宋_GB2312"/>
                <w:color w:val="auto"/>
                <w:szCs w:val="21"/>
                <w:shd w:val="clear" w:color="auto" w:fill="FFFFFF"/>
              </w:rPr>
              <w:t>www.ccgp.gov.cn</w:t>
            </w:r>
            <w:r>
              <w:rPr>
                <w:rFonts w:hint="eastAsia" w:ascii="宋体" w:hAnsi="宋体" w:eastAsia="宋体" w:cs="仿宋_GB2312"/>
                <w:color w:val="auto"/>
                <w:szCs w:val="21"/>
                <w:shd w:val="clear" w:color="auto" w:fill="FFFFFF"/>
              </w:rPr>
              <w:t>）</w:t>
            </w:r>
            <w:r>
              <w:rPr>
                <w:rFonts w:ascii="宋体" w:hAnsi="宋体" w:eastAsia="宋体" w:cs="仿宋_GB2312"/>
                <w:color w:val="auto"/>
                <w:szCs w:val="21"/>
                <w:shd w:val="clear" w:color="auto" w:fill="FFFFFF"/>
              </w:rPr>
              <w:t>政府采购严重违法失信行为记录名单的</w:t>
            </w:r>
            <w:r>
              <w:rPr>
                <w:rFonts w:hint="eastAsia" w:ascii="宋体" w:hAnsi="宋体" w:eastAsia="宋体" w:cs="仿宋_GB2312"/>
                <w:color w:val="auto"/>
                <w:szCs w:val="21"/>
                <w:shd w:val="clear" w:color="auto" w:fill="FFFFFF"/>
              </w:rPr>
              <w:t>供应商</w:t>
            </w:r>
            <w:r>
              <w:rPr>
                <w:rFonts w:hint="eastAsia" w:ascii="宋体" w:hAnsi="宋体" w:eastAsia="宋体" w:cs="宋体"/>
                <w:bCs/>
                <w:color w:val="auto"/>
                <w:szCs w:val="21"/>
                <w:lang w:val="zh-CN"/>
              </w:rPr>
              <w:t>；</w:t>
            </w:r>
            <w:r>
              <w:rPr>
                <w:rFonts w:hint="eastAsia" w:ascii="宋体" w:hAnsi="宋体" w:eastAsia="宋体" w:cs="仿宋_GB2312"/>
                <w:color w:val="auto"/>
                <w:szCs w:val="21"/>
                <w:shd w:val="clear" w:color="auto" w:fill="FFFFFF"/>
              </w:rPr>
              <w:t xml:space="preserve"> “中国社会组织政务服务平台”网站（</w:t>
            </w:r>
            <w:r>
              <w:rPr>
                <w:rFonts w:ascii="宋体" w:hAnsi="宋体" w:eastAsia="宋体" w:cs="仿宋_GB2312"/>
                <w:color w:val="auto"/>
                <w:szCs w:val="21"/>
                <w:shd w:val="clear" w:color="auto" w:fill="FFFFFF"/>
              </w:rPr>
              <w:t>https://chinanpo.mca.gov.cn</w:t>
            </w:r>
            <w:r>
              <w:rPr>
                <w:rFonts w:hint="eastAsia" w:ascii="宋体" w:hAnsi="宋体" w:eastAsia="宋体" w:cs="仿宋_GB2312"/>
                <w:color w:val="auto"/>
                <w:szCs w:val="21"/>
                <w:shd w:val="clear" w:color="auto" w:fill="FFFFFF"/>
              </w:rPr>
              <w:t>）严重违法失信社会组织名单的供应商</w:t>
            </w:r>
            <w:r>
              <w:rPr>
                <w:rFonts w:hint="eastAsia" w:ascii="宋体" w:hAnsi="宋体" w:eastAsia="宋体" w:cs="仿宋_GB2312"/>
                <w:color w:val="auto"/>
                <w:szCs w:val="21"/>
                <w:shd w:val="clear" w:color="auto" w:fill="FFFFFF"/>
                <w:lang w:eastAsia="zh-CN"/>
              </w:rPr>
              <w:t>（以</w:t>
            </w:r>
            <w:r>
              <w:rPr>
                <w:rFonts w:hint="eastAsia" w:ascii="宋体" w:hAnsi="宋体" w:eastAsia="宋体" w:cs="宋体"/>
                <w:color w:val="auto"/>
                <w:kern w:val="0"/>
                <w:szCs w:val="21"/>
              </w:rPr>
              <w:t>联合体形式投标的，联合体成员存在不良信用记录，视同联合体存在不良信用记录）。</w:t>
            </w:r>
          </w:p>
          <w:p w14:paraId="2B89D12D">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kern w:val="0"/>
                <w:szCs w:val="21"/>
              </w:rPr>
              <w:t>查询渠道：</w:t>
            </w:r>
          </w:p>
          <w:p w14:paraId="2B89D12E">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eastAsia="宋体" w:cs="宋体"/>
                <w:color w:val="auto"/>
                <w:kern w:val="0"/>
              </w:rPr>
              <w:t>www.creditchina.gov.cn</w:t>
            </w:r>
            <w:r>
              <w:rPr>
                <w:rFonts w:hint="eastAsia" w:ascii="宋体" w:hAnsi="宋体" w:eastAsia="宋体" w:cs="宋体"/>
                <w:color w:val="auto"/>
                <w:kern w:val="0"/>
              </w:rPr>
              <w:fldChar w:fldCharType="end"/>
            </w:r>
            <w:r>
              <w:rPr>
                <w:rFonts w:hint="eastAsia" w:ascii="宋体" w:hAnsi="宋体" w:eastAsia="宋体" w:cs="宋体"/>
                <w:color w:val="auto"/>
                <w:kern w:val="0"/>
                <w:szCs w:val="21"/>
              </w:rPr>
              <w:t>）</w:t>
            </w:r>
          </w:p>
          <w:p w14:paraId="2B89D12F">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②“中国政府采购网”（www.ccgp.gov.cn）</w:t>
            </w:r>
          </w:p>
          <w:p w14:paraId="2B89D130">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③“中国社会组织政务服务平台”网站（</w:t>
            </w:r>
            <w:r>
              <w:rPr>
                <w:rFonts w:ascii="宋体" w:hAnsi="宋体" w:eastAsia="宋体" w:cs="宋体"/>
                <w:color w:val="auto"/>
                <w:kern w:val="0"/>
                <w:szCs w:val="21"/>
              </w:rPr>
              <w:t>https://chinanpo.mca.gov.cn</w:t>
            </w:r>
            <w:r>
              <w:rPr>
                <w:rFonts w:hint="eastAsia" w:ascii="宋体" w:hAnsi="宋体" w:eastAsia="宋体" w:cs="宋体"/>
                <w:color w:val="auto"/>
                <w:kern w:val="0"/>
                <w:szCs w:val="21"/>
              </w:rPr>
              <w:t>）（仅查询社会组织）；</w:t>
            </w:r>
          </w:p>
        </w:tc>
      </w:tr>
      <w:tr w14:paraId="2B89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32">
            <w:pPr>
              <w:autoSpaceDE w:val="0"/>
              <w:autoSpaceDN w:val="0"/>
              <w:adjustRightInd w:val="0"/>
              <w:spacing w:line="276" w:lineRule="auto"/>
              <w:jc w:val="center"/>
              <w:rPr>
                <w:rFonts w:hint="eastAsia" w:cs="黑体" w:asciiTheme="minorEastAsia" w:hAnsiTheme="minorEastAsia"/>
                <w:color w:val="auto"/>
                <w:szCs w:val="21"/>
              </w:rPr>
            </w:pPr>
            <w:r>
              <w:rPr>
                <w:rFonts w:hint="eastAsia" w:cs="黑体" w:asciiTheme="minorEastAsia" w:hAnsiTheme="minorEastAsia"/>
                <w:color w:val="auto"/>
                <w:szCs w:val="21"/>
              </w:rPr>
              <w:t>40</w:t>
            </w:r>
          </w:p>
        </w:tc>
        <w:tc>
          <w:tcPr>
            <w:tcW w:w="2268" w:type="dxa"/>
            <w:vAlign w:val="center"/>
          </w:tcPr>
          <w:p w14:paraId="2B89D133">
            <w:pPr>
              <w:autoSpaceDE w:val="0"/>
              <w:autoSpaceDN w:val="0"/>
              <w:adjustRightInd w:val="0"/>
              <w:spacing w:line="276" w:lineRule="auto"/>
              <w:jc w:val="center"/>
              <w:rPr>
                <w:rFonts w:hint="eastAsia" w:cs="仿宋_GB2312" w:asciiTheme="minorEastAsia" w:hAnsiTheme="minorEastAsia"/>
                <w:color w:val="auto"/>
                <w:szCs w:val="21"/>
              </w:rPr>
            </w:pPr>
            <w:r>
              <w:rPr>
                <w:rFonts w:hint="eastAsia" w:cs="仿宋_GB2312" w:asciiTheme="minorEastAsia" w:hAnsiTheme="minorEastAsia"/>
                <w:color w:val="auto"/>
                <w:szCs w:val="21"/>
              </w:rPr>
              <w:t>投诉渠道</w:t>
            </w:r>
          </w:p>
        </w:tc>
        <w:tc>
          <w:tcPr>
            <w:tcW w:w="6813" w:type="dxa"/>
            <w:vAlign w:val="center"/>
          </w:tcPr>
          <w:p w14:paraId="2B89D134">
            <w:pPr>
              <w:autoSpaceDE w:val="0"/>
              <w:autoSpaceDN w:val="0"/>
              <w:spacing w:line="360" w:lineRule="auto"/>
              <w:contextualSpacing/>
              <w:rPr>
                <w:rFonts w:hint="eastAsia"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 按照《政府采购质疑和投诉办法》的有关规定，已质疑的供应商可以依法向财政部门提起书面投诉。</w:t>
            </w:r>
          </w:p>
          <w:p w14:paraId="2B89D135">
            <w:pPr>
              <w:autoSpaceDE w:val="0"/>
              <w:autoSpaceDN w:val="0"/>
              <w:spacing w:line="360" w:lineRule="auto"/>
              <w:contextualSpacing/>
              <w:rPr>
                <w:rFonts w:hint="eastAsia"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14:paraId="2B89D136">
            <w:pPr>
              <w:autoSpaceDE w:val="0"/>
              <w:autoSpaceDN w:val="0"/>
              <w:spacing w:line="360" w:lineRule="auto"/>
              <w:contextualSpacing/>
              <w:rPr>
                <w:rFonts w:hint="eastAsia"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14:paraId="2B89D137">
            <w:pPr>
              <w:autoSpaceDE w:val="0"/>
              <w:autoSpaceDN w:val="0"/>
              <w:spacing w:line="360" w:lineRule="auto"/>
              <w:contextualSpacing/>
              <w:rPr>
                <w:rFonts w:hint="eastAsia"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14:paraId="2B89D138">
            <w:pPr>
              <w:autoSpaceDE w:val="0"/>
              <w:autoSpaceDN w:val="0"/>
              <w:spacing w:line="360" w:lineRule="auto"/>
              <w:contextualSpacing/>
              <w:rPr>
                <w:rFonts w:hint="eastAsia" w:cs="宋体" w:asciiTheme="minorEastAsia" w:hAnsiTheme="minorEastAsia"/>
                <w:color w:val="auto"/>
                <w:kern w:val="0"/>
                <w:szCs w:val="21"/>
              </w:rPr>
            </w:pPr>
            <w:r>
              <w:rPr>
                <w:rFonts w:hint="eastAsia" w:cs="宋体" w:asciiTheme="minorEastAsia" w:hAnsiTheme="minorEastAsia"/>
                <w:color w:val="auto"/>
                <w:kern w:val="0"/>
                <w:szCs w:val="21"/>
              </w:rPr>
              <w:t xml:space="preserve">   通讯地址：禹州市行政北路2号禹州市财政局1305房间</w:t>
            </w:r>
          </w:p>
        </w:tc>
      </w:tr>
    </w:tbl>
    <w:p w14:paraId="175D742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0046C17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DE6E1E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B8F1E8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123E89B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B89D14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投标人须知</w:t>
      </w:r>
    </w:p>
    <w:p w14:paraId="2B89D145">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14:paraId="2B89D146">
      <w:pPr>
        <w:pStyle w:val="23"/>
        <w:numPr>
          <w:ilvl w:val="0"/>
          <w:numId w:val="9"/>
        </w:numPr>
        <w:autoSpaceDE w:val="0"/>
        <w:autoSpaceDN w:val="0"/>
        <w:spacing w:line="360" w:lineRule="auto"/>
        <w:ind w:firstLineChars="0"/>
        <w:contextualSpacing/>
        <w:rPr>
          <w:rFonts w:ascii="宋体" w:cs="宋体"/>
          <w:b/>
          <w:color w:val="auto"/>
          <w:kern w:val="0"/>
          <w:szCs w:val="21"/>
        </w:rPr>
      </w:pPr>
      <w:r>
        <w:rPr>
          <w:rFonts w:hint="eastAsia" w:ascii="宋体" w:hAnsi="宋体" w:cs="宋体"/>
          <w:b/>
          <w:color w:val="auto"/>
          <w:kern w:val="0"/>
          <w:szCs w:val="21"/>
        </w:rPr>
        <w:t>适用范围</w:t>
      </w:r>
    </w:p>
    <w:p w14:paraId="2B89D147">
      <w:pPr>
        <w:pStyle w:val="23"/>
        <w:numPr>
          <w:ilvl w:val="0"/>
          <w:numId w:val="10"/>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本招标文件仅适用于本次“投标邀请”中所述采购项目。</w:t>
      </w:r>
    </w:p>
    <w:p w14:paraId="2B89D148">
      <w:pPr>
        <w:pStyle w:val="23"/>
        <w:numPr>
          <w:ilvl w:val="1"/>
          <w:numId w:val="9"/>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本招标文件解释权属于“投标邀请”所述的采购人。</w:t>
      </w:r>
    </w:p>
    <w:p w14:paraId="2B89D149">
      <w:pPr>
        <w:pStyle w:val="23"/>
        <w:numPr>
          <w:ilvl w:val="0"/>
          <w:numId w:val="9"/>
        </w:numPr>
        <w:autoSpaceDE w:val="0"/>
        <w:autoSpaceDN w:val="0"/>
        <w:spacing w:line="360" w:lineRule="auto"/>
        <w:ind w:firstLineChars="0"/>
        <w:contextualSpacing/>
        <w:rPr>
          <w:rFonts w:ascii="宋体" w:cs="宋体"/>
          <w:b/>
          <w:color w:val="auto"/>
          <w:kern w:val="0"/>
          <w:szCs w:val="21"/>
        </w:rPr>
      </w:pPr>
      <w:r>
        <w:rPr>
          <w:rFonts w:hint="eastAsia" w:ascii="宋体" w:hAnsi="宋体" w:cs="宋体"/>
          <w:b/>
          <w:color w:val="auto"/>
          <w:kern w:val="0"/>
          <w:szCs w:val="21"/>
        </w:rPr>
        <w:t>定义</w:t>
      </w:r>
    </w:p>
    <w:p w14:paraId="2B89D14A">
      <w:pPr>
        <w:pStyle w:val="23"/>
        <w:numPr>
          <w:ilvl w:val="0"/>
          <w:numId w:val="10"/>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“采购项目”：“投标人须知前附表”中所述的采购项目。</w:t>
      </w:r>
    </w:p>
    <w:p w14:paraId="2B89D14B">
      <w:pPr>
        <w:pStyle w:val="23"/>
        <w:numPr>
          <w:ilvl w:val="1"/>
          <w:numId w:val="9"/>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“招标人”：“投标人须知前附表”中所述的组织本次招标的代理机构和采购人。</w:t>
      </w:r>
    </w:p>
    <w:p w14:paraId="2B89D14C">
      <w:pPr>
        <w:pStyle w:val="23"/>
        <w:numPr>
          <w:ilvl w:val="1"/>
          <w:numId w:val="9"/>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“采购人”：是指依法进行政府采购的国家机关、事业单位、团体组织。</w:t>
      </w:r>
    </w:p>
    <w:p w14:paraId="2B89D14D">
      <w:pPr>
        <w:pStyle w:val="23"/>
        <w:numPr>
          <w:ilvl w:val="1"/>
          <w:numId w:val="9"/>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采购人名称、地址、电话、联系人见“投标人须知前附表”。</w:t>
      </w:r>
    </w:p>
    <w:p w14:paraId="2B89D14E">
      <w:pPr>
        <w:pStyle w:val="23"/>
        <w:numPr>
          <w:ilvl w:val="1"/>
          <w:numId w:val="9"/>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代理机构”：接受采购人委托代理采购项目的采购代理机构。代理机构名称、地址、电话、联系人见“投标人须知前附表”。采购代理机构及其分支机构不得在所代理的采购项目中投标或者代理投标，不得为所代理的采购项目的投标人参加本项目提供投标咨询。</w:t>
      </w:r>
    </w:p>
    <w:p w14:paraId="2B89D14F">
      <w:pPr>
        <w:pStyle w:val="23"/>
        <w:numPr>
          <w:ilvl w:val="1"/>
          <w:numId w:val="9"/>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“潜在投标人”指符合《中华人民共和国政府采购法》及相关法律法规和本招标文件的各项规定，且按照本项目招标公告及招标文件规定的方式获取招标文件的法人、其他组织或者自然人。</w:t>
      </w:r>
    </w:p>
    <w:p w14:paraId="2B89D150">
      <w:pPr>
        <w:pStyle w:val="23"/>
        <w:numPr>
          <w:ilvl w:val="1"/>
          <w:numId w:val="9"/>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2B89D151">
      <w:pPr>
        <w:pStyle w:val="23"/>
        <w:numPr>
          <w:ilvl w:val="1"/>
          <w:numId w:val="9"/>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“进口产品”：是指通过中国海关报关验放进入中国境内且产自关境外的产品，包括已经进入中国境内的进口产品。详见《关于政府采购进口产品管理有关问题的通知》</w:t>
      </w:r>
      <w:r>
        <w:rPr>
          <w:rFonts w:hint="eastAsia" w:ascii="宋体" w:hAnsi="宋体" w:cs="宋体"/>
          <w:color w:val="auto"/>
          <w:kern w:val="0"/>
          <w:szCs w:val="21"/>
          <w:lang w:eastAsia="zh-CN"/>
        </w:rPr>
        <w:t>（</w:t>
      </w:r>
      <w:r>
        <w:rPr>
          <w:rFonts w:hint="eastAsia" w:ascii="宋体" w:hAnsi="宋体" w:cs="宋体"/>
          <w:color w:val="auto"/>
          <w:kern w:val="0"/>
          <w:szCs w:val="21"/>
        </w:rPr>
        <w:t>财库〔2007〕119号</w:t>
      </w:r>
      <w:r>
        <w:rPr>
          <w:rFonts w:hint="eastAsia" w:ascii="宋体" w:hAnsi="宋体" w:cs="宋体"/>
          <w:color w:val="auto"/>
          <w:kern w:val="0"/>
          <w:szCs w:val="21"/>
          <w:lang w:eastAsia="zh-CN"/>
        </w:rPr>
        <w:t>）</w:t>
      </w:r>
      <w:r>
        <w:rPr>
          <w:rFonts w:hint="eastAsia" w:ascii="宋体" w:hAnsi="宋体" w:cs="宋体"/>
          <w:color w:val="auto"/>
          <w:kern w:val="0"/>
          <w:szCs w:val="21"/>
        </w:rPr>
        <w:t>、《关于政府采购进口产品管理有关问题的通知》（财办库</w:t>
      </w:r>
      <w:r>
        <w:rPr>
          <w:rFonts w:hint="eastAsia" w:ascii="宋体" w:hAnsi="宋体" w:cs="宋体"/>
          <w:color w:val="auto"/>
          <w:kern w:val="0"/>
          <w:szCs w:val="21"/>
          <w:lang w:eastAsia="zh-CN"/>
        </w:rPr>
        <w:t>〔2008〕</w:t>
      </w:r>
      <w:r>
        <w:rPr>
          <w:rFonts w:ascii="宋体" w:hAnsi="宋体" w:cs="宋体"/>
          <w:color w:val="auto"/>
          <w:kern w:val="0"/>
          <w:szCs w:val="21"/>
        </w:rPr>
        <w:t xml:space="preserve">248 </w:t>
      </w:r>
      <w:r>
        <w:rPr>
          <w:rFonts w:hint="eastAsia" w:ascii="宋体" w:hAnsi="宋体" w:cs="宋体"/>
          <w:color w:val="auto"/>
          <w:kern w:val="0"/>
          <w:szCs w:val="21"/>
        </w:rPr>
        <w:t>号）。</w:t>
      </w:r>
    </w:p>
    <w:p w14:paraId="2B89D152">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2.7.1 </w:t>
      </w:r>
      <w:r>
        <w:rPr>
          <w:rFonts w:hint="eastAsia" w:ascii="宋体" w:hAnsi="宋体" w:cs="宋体"/>
          <w:color w:val="auto"/>
          <w:kern w:val="0"/>
          <w:szCs w:val="21"/>
        </w:rPr>
        <w:t>招标文件列明不允许或未列明允许进口产品参加投标的，均视为拒绝进口产品参加投标。</w:t>
      </w:r>
    </w:p>
    <w:p w14:paraId="2B89D153">
      <w:pPr>
        <w:autoSpaceDE w:val="0"/>
        <w:autoSpaceDN w:val="0"/>
        <w:spacing w:line="360" w:lineRule="auto"/>
        <w:ind w:firstLine="420" w:firstLineChars="200"/>
        <w:contextualSpacing/>
        <w:rPr>
          <w:rFonts w:hint="eastAsia" w:ascii="宋体" w:hAnsi="宋体" w:cs="宋体"/>
          <w:color w:val="auto"/>
          <w:kern w:val="0"/>
          <w:szCs w:val="21"/>
        </w:rPr>
      </w:pPr>
      <w:r>
        <w:rPr>
          <w:rFonts w:ascii="宋体" w:hAnsi="宋体" w:cs="宋体"/>
          <w:color w:val="auto"/>
          <w:kern w:val="0"/>
          <w:szCs w:val="21"/>
        </w:rPr>
        <w:t xml:space="preserve">2.7.2 </w:t>
      </w:r>
      <w:r>
        <w:rPr>
          <w:rFonts w:hint="eastAsia" w:ascii="宋体" w:hAnsi="宋体" w:cs="宋体"/>
          <w:color w:val="auto"/>
          <w:kern w:val="0"/>
          <w:szCs w:val="21"/>
        </w:rPr>
        <w:t>如招标文件中已说明，经财政部门审核同意，允许部分或全部产品采购进口产品，投标人既可提供本国产品，也可以提供进口产品。</w:t>
      </w:r>
    </w:p>
    <w:p w14:paraId="2B89D154">
      <w:pPr>
        <w:pStyle w:val="23"/>
        <w:autoSpaceDE w:val="0"/>
        <w:autoSpaceDN w:val="0"/>
        <w:spacing w:line="360" w:lineRule="auto"/>
        <w:ind w:left="-987" w:leftChars="-470" w:firstLine="1470" w:firstLineChars="700"/>
        <w:contextualSpacing/>
        <w:rPr>
          <w:color w:val="auto"/>
        </w:rPr>
      </w:pPr>
      <w:r>
        <w:rPr>
          <w:rFonts w:hint="eastAsia" w:cs="宋体" w:asciiTheme="minorEastAsia" w:hAnsiTheme="minorEastAsia"/>
          <w:color w:val="auto"/>
          <w:kern w:val="0"/>
          <w:szCs w:val="21"/>
        </w:rPr>
        <w:t>2.8 招标文件中凡标有“★”的条款均系实质性要求条款。</w:t>
      </w:r>
    </w:p>
    <w:p w14:paraId="2B89D155">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3.</w:t>
      </w:r>
      <w:r>
        <w:rPr>
          <w:rFonts w:hint="eastAsia" w:ascii="宋体" w:hAnsi="宋体" w:cs="宋体"/>
          <w:b/>
          <w:color w:val="auto"/>
          <w:kern w:val="0"/>
          <w:szCs w:val="21"/>
        </w:rPr>
        <w:t>合格的投标人</w:t>
      </w:r>
    </w:p>
    <w:p w14:paraId="2B89D156">
      <w:pPr>
        <w:pStyle w:val="24"/>
        <w:numPr>
          <w:ilvl w:val="0"/>
          <w:numId w:val="0"/>
        </w:numPr>
        <w:tabs>
          <w:tab w:val="left" w:pos="0"/>
        </w:tabs>
        <w:adjustRightInd/>
        <w:spacing w:line="360" w:lineRule="auto"/>
        <w:ind w:firstLine="420" w:firstLineChars="200"/>
        <w:contextualSpacing/>
        <w:rPr>
          <w:rFonts w:hint="eastAsia" w:cs="宋体"/>
          <w:color w:val="auto"/>
        </w:rPr>
      </w:pPr>
      <w:r>
        <w:rPr>
          <w:rFonts w:cs="宋体"/>
          <w:color w:val="auto"/>
        </w:rPr>
        <w:t>3.1</w:t>
      </w:r>
      <w:r>
        <w:rPr>
          <w:rFonts w:hint="eastAsia" w:cs="宋体"/>
          <w:color w:val="auto"/>
        </w:rPr>
        <w:t>在中华人民共和国境内注册，具有本项目实施能力，符合、承认并承诺履行本招标文件各项规定的法人、其他组织或者自然人。</w:t>
      </w:r>
    </w:p>
    <w:p w14:paraId="2B89D157">
      <w:pPr>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3.2 </w:t>
      </w:r>
      <w:r>
        <w:rPr>
          <w:rFonts w:hint="eastAsia" w:ascii="宋体" w:hAnsi="宋体" w:cs="宋体"/>
          <w:color w:val="auto"/>
          <w:kern w:val="0"/>
          <w:szCs w:val="21"/>
        </w:rPr>
        <w:t>符合本项目“投标邀请”和“投标人须知前附表”中规定的合格投标人所必须具备的条件。</w:t>
      </w:r>
    </w:p>
    <w:p w14:paraId="2B89D158">
      <w:pPr>
        <w:spacing w:line="360" w:lineRule="auto"/>
        <w:ind w:firstLine="420" w:firstLineChars="200"/>
        <w:contextualSpacing/>
        <w:rPr>
          <w:rFonts w:ascii="宋体" w:cs="宋体"/>
          <w:color w:val="auto"/>
          <w:szCs w:val="21"/>
        </w:rPr>
      </w:pPr>
      <w:r>
        <w:rPr>
          <w:rFonts w:ascii="宋体" w:hAnsi="宋体" w:cs="宋体"/>
          <w:color w:val="auto"/>
          <w:szCs w:val="21"/>
        </w:rPr>
        <w:t>3.3</w:t>
      </w:r>
      <w:r>
        <w:rPr>
          <w:rFonts w:hint="eastAsia" w:ascii="宋体" w:hAnsi="宋体" w:cs="宋体"/>
          <w:color w:val="auto"/>
          <w:szCs w:val="21"/>
        </w:rPr>
        <w:t>政府采购活动中查询及使用投标人信用记录的具体要求为：投标人未被列入失信被执行人、重大税收违法失信主体、政府采购严重违法失信行为记录名单、严重违法失信社会组织名单</w:t>
      </w:r>
      <w:r>
        <w:rPr>
          <w:rFonts w:hint="eastAsia" w:ascii="宋体" w:hAnsi="宋体" w:cs="宋体"/>
          <w:color w:val="auto"/>
          <w:szCs w:val="21"/>
          <w:lang w:eastAsia="zh-CN"/>
        </w:rPr>
        <w:t>（以</w:t>
      </w:r>
      <w:r>
        <w:rPr>
          <w:rFonts w:hint="eastAsia" w:ascii="宋体" w:hAnsi="宋体" w:cs="宋体"/>
          <w:color w:val="auto"/>
          <w:szCs w:val="21"/>
        </w:rPr>
        <w:t>联合体形式投标的，联合体成员存在不良信用记录，视同联合体存在不良信用记录）。</w:t>
      </w:r>
    </w:p>
    <w:p w14:paraId="67FC1382">
      <w:pPr>
        <w:numPr>
          <w:ilvl w:val="0"/>
          <w:numId w:val="11"/>
        </w:numPr>
        <w:spacing w:line="360" w:lineRule="auto"/>
        <w:ind w:firstLine="420" w:firstLineChars="200"/>
        <w:contextualSpacing/>
        <w:rPr>
          <w:rFonts w:ascii="宋体" w:cs="宋体"/>
          <w:color w:val="auto"/>
          <w:szCs w:val="21"/>
        </w:rPr>
      </w:pPr>
      <w:r>
        <w:rPr>
          <w:rFonts w:hint="eastAsia" w:ascii="宋体" w:hAnsi="宋体" w:cs="宋体"/>
          <w:color w:val="auto"/>
          <w:szCs w:val="21"/>
        </w:rPr>
        <w:t>查询渠道：“信用中国”网站（</w:t>
      </w:r>
      <w:r>
        <w:rPr>
          <w:color w:val="auto"/>
        </w:rPr>
        <w:fldChar w:fldCharType="begin"/>
      </w:r>
      <w:r>
        <w:rPr>
          <w:color w:val="auto"/>
        </w:rPr>
        <w:instrText xml:space="preserve"> HYPERLINK "http://www.creditchina.gov.cn" </w:instrText>
      </w:r>
      <w:r>
        <w:rPr>
          <w:color w:val="auto"/>
        </w:rPr>
        <w:fldChar w:fldCharType="separate"/>
      </w:r>
      <w:r>
        <w:rPr>
          <w:rStyle w:val="17"/>
          <w:rFonts w:cs="宋体"/>
          <w:color w:val="auto"/>
          <w:szCs w:val="21"/>
        </w:rPr>
        <w:t>www.creditchina.gov.cn</w:t>
      </w:r>
      <w:r>
        <w:rPr>
          <w:rStyle w:val="17"/>
          <w:rFonts w:cs="宋体"/>
          <w:color w:val="auto"/>
          <w:szCs w:val="21"/>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Style w:val="17"/>
          <w:rFonts w:cs="宋体"/>
          <w:color w:val="auto"/>
          <w:szCs w:val="21"/>
        </w:rPr>
        <w:t>www.ccgp.gov.cn</w:t>
      </w:r>
      <w:r>
        <w:rPr>
          <w:rStyle w:val="17"/>
          <w:rFonts w:cs="宋体"/>
          <w:color w:val="auto"/>
          <w:szCs w:val="21"/>
        </w:rPr>
        <w:fldChar w:fldCharType="end"/>
      </w:r>
      <w:r>
        <w:rPr>
          <w:rFonts w:hint="eastAsia" w:ascii="宋体" w:hAnsi="宋体" w:cs="宋体"/>
          <w:color w:val="auto"/>
          <w:szCs w:val="21"/>
        </w:rPr>
        <w:t>）、“中国社会组织政务服务平台”网站（</w:t>
      </w:r>
      <w:r>
        <w:rPr>
          <w:rFonts w:hint="eastAsia"/>
          <w:color w:val="auto"/>
          <w:u w:val="single"/>
        </w:rPr>
        <w:t>chinanpo.mca.gov.cn</w:t>
      </w:r>
      <w:r>
        <w:rPr>
          <w:rFonts w:hint="eastAsia" w:ascii="宋体" w:hAnsi="宋体" w:cs="宋体"/>
          <w:color w:val="auto"/>
          <w:szCs w:val="21"/>
        </w:rPr>
        <w:t>）；</w:t>
      </w:r>
    </w:p>
    <w:p w14:paraId="2B89D159">
      <w:pPr>
        <w:numPr>
          <w:ilvl w:val="0"/>
          <w:numId w:val="11"/>
        </w:numPr>
        <w:spacing w:line="360" w:lineRule="auto"/>
        <w:ind w:firstLine="420" w:firstLineChars="200"/>
        <w:contextualSpacing/>
        <w:rPr>
          <w:rFonts w:ascii="宋体" w:cs="宋体"/>
          <w:color w:val="auto"/>
          <w:szCs w:val="21"/>
        </w:rPr>
      </w:pPr>
      <w:r>
        <w:rPr>
          <w:rFonts w:hint="eastAsia" w:ascii="宋体" w:hAnsi="宋体" w:cs="宋体"/>
          <w:color w:val="auto"/>
          <w:szCs w:val="21"/>
        </w:rPr>
        <w:t>信用信息查询记录和证据留存具体方式</w:t>
      </w:r>
      <w:r>
        <w:rPr>
          <w:rFonts w:hint="eastAsia" w:ascii="宋体" w:hAnsi="宋体" w:cs="宋体"/>
          <w:color w:val="auto"/>
          <w:szCs w:val="21"/>
          <w:lang w:eastAsia="zh-CN"/>
        </w:rPr>
        <w:t>：</w:t>
      </w:r>
      <w:r>
        <w:rPr>
          <w:rFonts w:hint="eastAsia" w:ascii="宋体" w:hAnsi="宋体" w:cs="宋体"/>
          <w:color w:val="auto"/>
          <w:szCs w:val="21"/>
        </w:rPr>
        <w:t>经采购人确认的查询结果网页截图作为查询记录和证据，与其他采购文件一并保存</w:t>
      </w:r>
      <w:r>
        <w:rPr>
          <w:rFonts w:hint="eastAsia" w:ascii="宋体" w:hAnsi="宋体" w:cs="宋体"/>
          <w:color w:val="auto"/>
          <w:szCs w:val="21"/>
          <w:lang w:eastAsia="zh-CN"/>
        </w:rPr>
        <w:t>；</w:t>
      </w:r>
    </w:p>
    <w:p w14:paraId="2B89D15A">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3.4 </w:t>
      </w:r>
      <w:r>
        <w:rPr>
          <w:rFonts w:hint="eastAsia" w:ascii="宋体" w:hAnsi="宋体" w:cs="宋体"/>
          <w:color w:val="auto"/>
          <w:kern w:val="0"/>
          <w:szCs w:val="21"/>
        </w:rPr>
        <w:t>单位负责人为同一人或者存在直接控股、管理关系的不同供应商，不得参加同一合同项下的政府采购活动；</w:t>
      </w:r>
    </w:p>
    <w:p w14:paraId="2B89D15B">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3.5 </w:t>
      </w:r>
      <w:r>
        <w:rPr>
          <w:rFonts w:hint="eastAsia" w:ascii="宋体" w:hAnsi="宋体" w:cs="宋体"/>
          <w:color w:val="auto"/>
          <w:kern w:val="0"/>
          <w:szCs w:val="21"/>
        </w:rPr>
        <w:t>除单一来源采购项目外，为采购项目提供整体设计、规范编制或者项目管理、监理、检测等服务的供应商，不得再参加该采购项目的其他采购活动。</w:t>
      </w:r>
    </w:p>
    <w:p w14:paraId="2B89D15C">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3.6 </w:t>
      </w:r>
      <w:r>
        <w:rPr>
          <w:rFonts w:hint="eastAsia" w:ascii="宋体" w:hAnsi="宋体" w:cs="宋体"/>
          <w:color w:val="auto"/>
          <w:kern w:val="0"/>
          <w:szCs w:val="21"/>
        </w:rPr>
        <w:t>“投标邀请”和“投标人须知前附表”规定接受联合体投标的，除应符合本章第</w:t>
      </w:r>
      <w:r>
        <w:rPr>
          <w:rFonts w:ascii="宋体" w:hAnsi="宋体" w:cs="宋体"/>
          <w:color w:val="auto"/>
          <w:kern w:val="0"/>
          <w:szCs w:val="21"/>
        </w:rPr>
        <w:t>3.1</w:t>
      </w:r>
      <w:r>
        <w:rPr>
          <w:rFonts w:hint="eastAsia" w:ascii="宋体" w:hAnsi="宋体" w:cs="宋体"/>
          <w:color w:val="auto"/>
          <w:kern w:val="0"/>
          <w:szCs w:val="21"/>
        </w:rPr>
        <w:t>项和</w:t>
      </w:r>
      <w:r>
        <w:rPr>
          <w:rFonts w:ascii="宋体" w:hAnsi="宋体" w:cs="宋体"/>
          <w:color w:val="auto"/>
          <w:kern w:val="0"/>
          <w:szCs w:val="21"/>
        </w:rPr>
        <w:t>3.2</w:t>
      </w:r>
      <w:r>
        <w:rPr>
          <w:rFonts w:hint="eastAsia" w:ascii="宋体" w:hAnsi="宋体" w:cs="宋体"/>
          <w:color w:val="auto"/>
          <w:kern w:val="0"/>
          <w:szCs w:val="21"/>
        </w:rPr>
        <w:t>项要求外，还应遵守以下规定：</w:t>
      </w:r>
    </w:p>
    <w:p w14:paraId="2B89D15D">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）在投标文件中向采购人提交联合体协议书，明确联合体各方承担的工作和义务；</w:t>
      </w:r>
    </w:p>
    <w:p w14:paraId="2B89D15E">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）联合体中有同类资质的供应商按联合体分工承担相同工作的，应当按照资质等级较低的供应商确定资质等级；</w:t>
      </w:r>
    </w:p>
    <w:p w14:paraId="2B89D15F">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）招标人根据采购项目的特殊要求规定投标人特定条件的，联合体各方中至少应当有一方符合采购规定的特定条件。</w:t>
      </w:r>
    </w:p>
    <w:p w14:paraId="2B89D160">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）联合体各方不得再单独参加或者与其他供应商另外组成联合体参加同一合同项下的政府采购活动。</w:t>
      </w:r>
    </w:p>
    <w:p w14:paraId="2B89D161">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hint="eastAsia" w:ascii="宋体" w:hAnsi="宋体" w:cs="宋体"/>
          <w:color w:val="auto"/>
          <w:kern w:val="0"/>
          <w:szCs w:val="21"/>
        </w:rPr>
        <w:t>承担连带责任</w:t>
      </w:r>
      <w:r>
        <w:rPr>
          <w:rFonts w:hint="eastAsia" w:ascii="宋体" w:hAnsi="宋体" w:cs="宋体"/>
          <w:color w:val="auto"/>
          <w:kern w:val="0"/>
          <w:szCs w:val="21"/>
        </w:rPr>
        <w:fldChar w:fldCharType="end"/>
      </w:r>
      <w:r>
        <w:rPr>
          <w:rFonts w:hint="eastAsia" w:ascii="宋体" w:hAnsi="宋体" w:cs="宋体"/>
          <w:color w:val="auto"/>
          <w:kern w:val="0"/>
          <w:szCs w:val="21"/>
        </w:rPr>
        <w:t>。</w:t>
      </w:r>
    </w:p>
    <w:p w14:paraId="2B89D162">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3.7 </w:t>
      </w:r>
      <w:r>
        <w:rPr>
          <w:rFonts w:hint="eastAsia" w:ascii="宋体" w:hAnsi="宋体" w:cs="宋体"/>
          <w:color w:val="auto"/>
          <w:kern w:val="0"/>
          <w:szCs w:val="21"/>
        </w:rPr>
        <w:t>法律、行政法规规定的其他条件。</w:t>
      </w:r>
    </w:p>
    <w:p w14:paraId="2B89D163">
      <w:pPr>
        <w:pStyle w:val="23"/>
        <w:autoSpaceDE w:val="0"/>
        <w:autoSpaceDN w:val="0"/>
        <w:spacing w:line="360" w:lineRule="auto"/>
        <w:ind w:firstLine="0" w:firstLineChars="0"/>
        <w:contextualSpacing/>
        <w:rPr>
          <w:rFonts w:ascii="宋体" w:cs="宋体"/>
          <w:b/>
          <w:color w:val="auto"/>
          <w:kern w:val="0"/>
          <w:szCs w:val="21"/>
        </w:rPr>
      </w:pPr>
      <w:r>
        <w:rPr>
          <w:rFonts w:ascii="宋体" w:hAnsi="宋体" w:cs="宋体"/>
          <w:b/>
          <w:color w:val="auto"/>
          <w:kern w:val="0"/>
          <w:szCs w:val="21"/>
        </w:rPr>
        <w:t>4.</w:t>
      </w:r>
      <w:r>
        <w:rPr>
          <w:rFonts w:hint="eastAsia" w:ascii="宋体" w:hAnsi="宋体" w:cs="宋体"/>
          <w:b/>
          <w:color w:val="auto"/>
          <w:kern w:val="0"/>
          <w:szCs w:val="21"/>
        </w:rPr>
        <w:t>合格的货物和服务</w:t>
      </w:r>
    </w:p>
    <w:p w14:paraId="2B89D164">
      <w:pPr>
        <w:pStyle w:val="23"/>
        <w:autoSpaceDE w:val="0"/>
        <w:autoSpaceDN w:val="0"/>
        <w:spacing w:line="360" w:lineRule="auto"/>
        <w:contextualSpacing/>
        <w:rPr>
          <w:rFonts w:ascii="宋体" w:cs="宋体"/>
          <w:color w:val="auto"/>
          <w:kern w:val="0"/>
          <w:szCs w:val="21"/>
        </w:rPr>
      </w:pPr>
      <w:r>
        <w:rPr>
          <w:rFonts w:ascii="宋体" w:hAnsi="宋体" w:cs="宋体"/>
          <w:color w:val="auto"/>
          <w:kern w:val="0"/>
          <w:szCs w:val="21"/>
        </w:rPr>
        <w:t xml:space="preserve">4.1 </w:t>
      </w:r>
      <w:r>
        <w:rPr>
          <w:rFonts w:hint="eastAsia" w:ascii="宋体" w:hAnsi="宋体" w:cs="宋体"/>
          <w:color w:val="auto"/>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B89D165">
      <w:pPr>
        <w:pStyle w:val="23"/>
        <w:autoSpaceDE w:val="0"/>
        <w:autoSpaceDN w:val="0"/>
        <w:spacing w:line="360" w:lineRule="auto"/>
        <w:contextualSpacing/>
        <w:rPr>
          <w:rFonts w:hint="eastAsia" w:ascii="宋体" w:hAnsi="宋体" w:cs="宋体"/>
          <w:color w:val="auto"/>
          <w:kern w:val="0"/>
          <w:szCs w:val="21"/>
        </w:rPr>
      </w:pPr>
      <w:r>
        <w:rPr>
          <w:rFonts w:ascii="宋体" w:hAnsi="宋体" w:cs="宋体"/>
          <w:color w:val="auto"/>
          <w:kern w:val="0"/>
          <w:szCs w:val="21"/>
        </w:rPr>
        <w:t xml:space="preserve">4.2 </w:t>
      </w:r>
      <w:r>
        <w:rPr>
          <w:rFonts w:hint="eastAsia" w:ascii="宋体" w:hAnsi="宋体" w:cs="宋体"/>
          <w:color w:val="auto"/>
          <w:kern w:val="0"/>
          <w:szCs w:val="21"/>
        </w:rPr>
        <w:t>投标人所提供的服务应当没有侵犯任何第三方的知识产权、秘密等合法权利。</w:t>
      </w:r>
    </w:p>
    <w:p w14:paraId="2B89D166">
      <w:pPr>
        <w:pStyle w:val="23"/>
        <w:autoSpaceDE w:val="0"/>
        <w:autoSpaceDN w:val="0"/>
        <w:spacing w:line="360" w:lineRule="auto"/>
        <w:contextualSpacing/>
        <w:rPr>
          <w:rFonts w:hint="eastAsia" w:ascii="宋体" w:hAnsi="宋体" w:cs="宋体"/>
          <w:color w:val="auto"/>
          <w:kern w:val="0"/>
          <w:szCs w:val="21"/>
        </w:rPr>
      </w:pPr>
      <w:r>
        <w:rPr>
          <w:rFonts w:hint="eastAsia" w:ascii="宋体" w:hAnsi="宋体" w:cs="宋体"/>
          <w:color w:val="auto"/>
          <w:kern w:val="0"/>
          <w:szCs w:val="21"/>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B89D167">
      <w:pPr>
        <w:pStyle w:val="23"/>
        <w:autoSpaceDE w:val="0"/>
        <w:autoSpaceDN w:val="0"/>
        <w:spacing w:line="360" w:lineRule="auto"/>
        <w:contextualSpacing/>
        <w:rPr>
          <w:rFonts w:hint="eastAsia" w:cs="宋体" w:asciiTheme="minorEastAsia" w:hAnsiTheme="minorEastAsia"/>
          <w:color w:val="auto"/>
          <w:kern w:val="0"/>
          <w:szCs w:val="21"/>
        </w:rPr>
      </w:pPr>
      <w:r>
        <w:rPr>
          <w:rFonts w:hint="eastAsia" w:cs="宋体" w:asciiTheme="minorEastAsia" w:hAnsiTheme="minorEastAsia"/>
          <w:color w:val="auto"/>
          <w:kern w:val="0"/>
          <w:szCs w:val="21"/>
        </w:rPr>
        <w:t>4.4根据国家互联网信息办公室、工业和信息化部、公安部和国家认证认可监督管理委员会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B89D168">
      <w:pPr>
        <w:autoSpaceDE w:val="0"/>
        <w:autoSpaceDN w:val="0"/>
        <w:spacing w:line="360" w:lineRule="auto"/>
        <w:contextualSpacing/>
        <w:rPr>
          <w:rFonts w:ascii="宋体" w:cs="宋体"/>
          <w:b/>
          <w:color w:val="auto"/>
          <w:kern w:val="0"/>
          <w:szCs w:val="21"/>
        </w:rPr>
      </w:pPr>
      <w:r>
        <w:rPr>
          <w:rFonts w:hint="eastAsia" w:ascii="宋体" w:hAnsi="宋体" w:cs="宋体"/>
          <w:b/>
          <w:color w:val="auto"/>
          <w:kern w:val="0"/>
          <w:szCs w:val="21"/>
          <w:lang w:eastAsia="zh-CN"/>
        </w:rPr>
        <w:t>5.</w:t>
      </w:r>
      <w:r>
        <w:rPr>
          <w:rFonts w:hint="eastAsia" w:ascii="宋体" w:hAnsi="宋体" w:cs="宋体"/>
          <w:b/>
          <w:color w:val="auto"/>
          <w:kern w:val="0"/>
          <w:szCs w:val="21"/>
        </w:rPr>
        <w:t>投标费用</w:t>
      </w:r>
    </w:p>
    <w:p w14:paraId="2B89D169">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不论投标的结果如何，投标人均应自行承担所有与投标有关的全部费用，招标人在任何情况下均无义务和责任承担这些费用。</w:t>
      </w:r>
    </w:p>
    <w:p w14:paraId="2B89D16A">
      <w:pPr>
        <w:autoSpaceDE w:val="0"/>
        <w:autoSpaceDN w:val="0"/>
        <w:spacing w:line="360" w:lineRule="auto"/>
        <w:contextualSpacing/>
        <w:rPr>
          <w:rFonts w:ascii="宋体" w:cs="宋体"/>
          <w:b/>
          <w:color w:val="auto"/>
          <w:kern w:val="0"/>
          <w:szCs w:val="21"/>
        </w:rPr>
      </w:pPr>
      <w:r>
        <w:rPr>
          <w:rFonts w:hint="eastAsia" w:ascii="宋体" w:hAnsi="宋体" w:cs="宋体"/>
          <w:b/>
          <w:color w:val="auto"/>
          <w:kern w:val="0"/>
          <w:szCs w:val="21"/>
          <w:lang w:eastAsia="zh-CN"/>
        </w:rPr>
        <w:t>6.</w:t>
      </w:r>
      <w:r>
        <w:rPr>
          <w:rFonts w:hint="eastAsia" w:ascii="宋体" w:hAnsi="宋体" w:cs="宋体"/>
          <w:b/>
          <w:color w:val="auto"/>
          <w:kern w:val="0"/>
          <w:szCs w:val="21"/>
        </w:rPr>
        <w:t>信息发布</w:t>
      </w:r>
    </w:p>
    <w:p w14:paraId="2B89D16B">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本采购项目需要公开的有关信息，包括招标公告、招标文件澄清或修改公告、中标公告以及延长投标截止时间等与招标活动有关的通知，招标人均将通过在</w:t>
      </w:r>
      <w:r>
        <w:rPr>
          <w:rFonts w:hint="eastAsia" w:hAnsi="宋体"/>
          <w:color w:val="auto"/>
          <w:szCs w:val="21"/>
        </w:rPr>
        <w:t>《河南省政府采购网》《许昌市政府采购网》</w:t>
      </w:r>
      <w:r>
        <w:rPr>
          <w:rFonts w:hint="eastAsia" w:ascii="宋体" w:hAnsi="宋体" w:cs="宋体"/>
          <w:color w:val="auto"/>
          <w:kern w:val="0"/>
          <w:szCs w:val="21"/>
        </w:rPr>
        <w:t>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2B89D16C">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7.</w:t>
      </w:r>
      <w:r>
        <w:rPr>
          <w:rFonts w:hint="eastAsia" w:ascii="宋体" w:hAnsi="宋体" w:cs="宋体"/>
          <w:b/>
          <w:color w:val="auto"/>
          <w:kern w:val="0"/>
          <w:szCs w:val="21"/>
        </w:rPr>
        <w:t>采购代理机构代理费用收取标准和方式</w:t>
      </w:r>
    </w:p>
    <w:p w14:paraId="2B89D16D">
      <w:pPr>
        <w:autoSpaceDE w:val="0"/>
        <w:autoSpaceDN w:val="0"/>
        <w:spacing w:line="360" w:lineRule="auto"/>
        <w:ind w:firstLine="420" w:firstLineChars="200"/>
        <w:contextualSpacing/>
        <w:rPr>
          <w:rFonts w:ascii="宋体" w:cs="宋体"/>
          <w:color w:val="auto"/>
          <w:szCs w:val="21"/>
        </w:rPr>
      </w:pPr>
      <w:r>
        <w:rPr>
          <w:rFonts w:hint="eastAsia" w:ascii="宋体" w:hAnsi="宋体" w:cs="宋体"/>
          <w:color w:val="auto"/>
          <w:szCs w:val="21"/>
        </w:rPr>
        <w:t>见投标人须知前附表。</w:t>
      </w:r>
    </w:p>
    <w:p w14:paraId="2B89D16E">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 xml:space="preserve">8. </w:t>
      </w:r>
      <w:r>
        <w:rPr>
          <w:rFonts w:hint="eastAsia" w:ascii="宋体" w:hAnsi="宋体" w:cs="宋体"/>
          <w:b/>
          <w:color w:val="auto"/>
          <w:kern w:val="0"/>
          <w:szCs w:val="21"/>
        </w:rPr>
        <w:t>其他</w:t>
      </w:r>
    </w:p>
    <w:p w14:paraId="2B89D16F">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本“投标人须知”的条款如与“投标邀请”“项目需求”“投标人须知前附表”和“资格审查与评标”就同一内容的表述不一致的，以“投标邀请”“项目需求”“投标人须知前附表”和“资格审查与评标”中规定的内容为准。</w:t>
      </w:r>
    </w:p>
    <w:p w14:paraId="2B89D170">
      <w:pPr>
        <w:tabs>
          <w:tab w:val="left" w:pos="1260"/>
        </w:tabs>
        <w:autoSpaceDE w:val="0"/>
        <w:autoSpaceDN w:val="0"/>
        <w:spacing w:line="360" w:lineRule="auto"/>
        <w:contextualSpacing/>
        <w:jc w:val="center"/>
        <w:rPr>
          <w:rFonts w:ascii="宋体" w:cs="宋体"/>
          <w:b/>
          <w:color w:val="auto"/>
          <w:kern w:val="0"/>
          <w:szCs w:val="21"/>
        </w:rPr>
      </w:pPr>
      <w:r>
        <w:rPr>
          <w:rFonts w:hint="eastAsia" w:ascii="宋体" w:hAnsi="宋体" w:cs="宋体"/>
          <w:b/>
          <w:color w:val="auto"/>
          <w:kern w:val="0"/>
          <w:szCs w:val="21"/>
        </w:rPr>
        <w:t>二、招标文件说明</w:t>
      </w:r>
    </w:p>
    <w:p w14:paraId="2B89D171">
      <w:pPr>
        <w:autoSpaceDE w:val="0"/>
        <w:autoSpaceDN w:val="0"/>
        <w:spacing w:line="360" w:lineRule="auto"/>
        <w:contextualSpacing/>
        <w:rPr>
          <w:rFonts w:ascii="宋体" w:cs="宋体"/>
          <w:b/>
          <w:color w:val="auto"/>
          <w:kern w:val="0"/>
          <w:szCs w:val="21"/>
        </w:rPr>
      </w:pPr>
      <w:r>
        <w:rPr>
          <w:rFonts w:hint="eastAsia" w:ascii="宋体" w:hAnsi="宋体" w:cs="宋体"/>
          <w:b/>
          <w:color w:val="auto"/>
          <w:kern w:val="0"/>
          <w:szCs w:val="21"/>
          <w:lang w:eastAsia="zh-CN"/>
        </w:rPr>
        <w:t>9.</w:t>
      </w:r>
      <w:r>
        <w:rPr>
          <w:rFonts w:hint="eastAsia" w:ascii="宋体" w:hAnsi="宋体" w:cs="宋体"/>
          <w:b/>
          <w:color w:val="auto"/>
          <w:kern w:val="0"/>
          <w:szCs w:val="21"/>
        </w:rPr>
        <w:t>招标文件构成</w:t>
      </w:r>
    </w:p>
    <w:p w14:paraId="2B89D172">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9.1 </w:t>
      </w:r>
      <w:r>
        <w:rPr>
          <w:rFonts w:hint="eastAsia" w:ascii="宋体" w:hAnsi="宋体" w:cs="宋体"/>
          <w:color w:val="auto"/>
          <w:kern w:val="0"/>
          <w:szCs w:val="21"/>
        </w:rPr>
        <w:t>招标文件由以下部分组成：</w:t>
      </w:r>
    </w:p>
    <w:p w14:paraId="2B89D173">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）投标邀请</w:t>
      </w:r>
    </w:p>
    <w:p w14:paraId="2B89D174">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）项目需求</w:t>
      </w:r>
    </w:p>
    <w:p w14:paraId="2B89D175">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）投标人须知前附表</w:t>
      </w:r>
    </w:p>
    <w:p w14:paraId="2B89D176">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）投标人须知</w:t>
      </w:r>
    </w:p>
    <w:p w14:paraId="2B89D177">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）政府采购政策功能</w:t>
      </w:r>
    </w:p>
    <w:p w14:paraId="2B89D178">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6</w:t>
      </w:r>
      <w:r>
        <w:rPr>
          <w:rFonts w:hint="eastAsia" w:ascii="宋体" w:hAnsi="宋体" w:cs="宋体"/>
          <w:color w:val="auto"/>
          <w:kern w:val="0"/>
          <w:szCs w:val="21"/>
        </w:rPr>
        <w:t>）资格审查与评标</w:t>
      </w:r>
    </w:p>
    <w:p w14:paraId="2B89D179">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7</w:t>
      </w:r>
      <w:r>
        <w:rPr>
          <w:rFonts w:hint="eastAsia" w:ascii="宋体" w:hAnsi="宋体" w:cs="宋体"/>
          <w:color w:val="auto"/>
          <w:kern w:val="0"/>
          <w:szCs w:val="21"/>
        </w:rPr>
        <w:t>）合同条款及格式</w:t>
      </w:r>
    </w:p>
    <w:p w14:paraId="2B89D17A">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8</w:t>
      </w:r>
      <w:r>
        <w:rPr>
          <w:rFonts w:hint="eastAsia" w:ascii="宋体" w:hAnsi="宋体" w:cs="宋体"/>
          <w:color w:val="auto"/>
          <w:kern w:val="0"/>
          <w:szCs w:val="21"/>
        </w:rPr>
        <w:t>）投标文件有关格式</w:t>
      </w:r>
    </w:p>
    <w:p w14:paraId="2B89D17B">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9</w:t>
      </w:r>
      <w:r>
        <w:rPr>
          <w:rFonts w:hint="eastAsia" w:ascii="宋体" w:hAnsi="宋体" w:cs="宋体"/>
          <w:color w:val="auto"/>
          <w:kern w:val="0"/>
          <w:szCs w:val="21"/>
        </w:rPr>
        <w:t>）本项目招标文件的附件澄清、答复、修改、补充内容（如有的话）</w:t>
      </w:r>
    </w:p>
    <w:p w14:paraId="2B89D17C">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9.2 </w:t>
      </w:r>
      <w:r>
        <w:rPr>
          <w:rFonts w:hint="eastAsia" w:ascii="宋体" w:hAnsi="宋体" w:cs="宋体"/>
          <w:color w:val="auto"/>
          <w:kern w:val="0"/>
          <w:szCs w:val="21"/>
        </w:rPr>
        <w:t>投标人应认真阅读、并充分理解招标文件的全部内容（包括所有的补充、修改内容、重要事项、格式、条款和技术规范、参数及要求等），</w:t>
      </w:r>
      <w:r>
        <w:rPr>
          <w:rFonts w:hint="eastAsia" w:ascii="宋体" w:hAnsi="宋体" w:cs="宋体"/>
          <w:color w:val="auto"/>
          <w:kern w:val="0"/>
          <w:szCs w:val="21"/>
          <w:lang w:eastAsia="zh-CN"/>
        </w:rPr>
        <w:t>按照</w:t>
      </w:r>
      <w:r>
        <w:rPr>
          <w:rFonts w:hint="eastAsia" w:ascii="宋体" w:hAnsi="宋体" w:cs="宋体"/>
          <w:color w:val="auto"/>
          <w:kern w:val="0"/>
          <w:szCs w:val="21"/>
        </w:rPr>
        <w:t>招标文件要求和规定编制投标文件，并保证所提供的全部资料的真实性，否则有可能导致投标被拒绝，其风险由投标人自行承担。</w:t>
      </w:r>
    </w:p>
    <w:p w14:paraId="2B89D17D">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rPr>
        <w:t xml:space="preserve">9.3 </w:t>
      </w:r>
      <w:r>
        <w:rPr>
          <w:rFonts w:hint="eastAsia" w:ascii="宋体" w:hAnsi="宋体" w:cs="宋体"/>
          <w:color w:val="auto"/>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r>
        <w:rPr>
          <w:rFonts w:hint="eastAsia" w:cs="宋体" w:asciiTheme="minorEastAsia" w:hAnsiTheme="minorEastAsia"/>
          <w:color w:val="auto"/>
          <w:kern w:val="0"/>
          <w:szCs w:val="21"/>
          <w:highlight w:val="none"/>
        </w:rPr>
        <w:t>响应文件须单独提供廉</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政</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方</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案，并由单位法</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定代</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表人（单位负责人）签</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字，否则将否</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决其投</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标。</w:t>
      </w:r>
    </w:p>
    <w:p w14:paraId="2B89D17E">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10.</w:t>
      </w:r>
      <w:r>
        <w:rPr>
          <w:rFonts w:hint="eastAsia" w:ascii="宋体" w:hAnsi="宋体" w:cs="宋体"/>
          <w:b/>
          <w:color w:val="auto"/>
          <w:kern w:val="0"/>
          <w:szCs w:val="21"/>
        </w:rPr>
        <w:t>现场考察、开标前答疑会</w:t>
      </w:r>
    </w:p>
    <w:p w14:paraId="2B89D17F">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10.1 </w:t>
      </w:r>
      <w:r>
        <w:rPr>
          <w:rFonts w:hint="eastAsia" w:ascii="宋体" w:hAnsi="宋体" w:cs="宋体"/>
          <w:color w:val="auto"/>
          <w:kern w:val="0"/>
          <w:szCs w:val="21"/>
        </w:rPr>
        <w:t>不统一组织，自行考察。</w:t>
      </w:r>
    </w:p>
    <w:p w14:paraId="2B89D180">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10.</w:t>
      </w:r>
      <w:r>
        <w:rPr>
          <w:rFonts w:hint="eastAsia" w:ascii="宋体" w:hAnsi="宋体" w:cs="宋体"/>
          <w:color w:val="auto"/>
          <w:kern w:val="0"/>
          <w:szCs w:val="21"/>
        </w:rPr>
        <w:t>2自行现场考察所发生的费用及一切责任由投标人自行承担。</w:t>
      </w:r>
    </w:p>
    <w:p w14:paraId="2B89D181">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11.</w:t>
      </w:r>
      <w:r>
        <w:rPr>
          <w:rFonts w:hint="eastAsia" w:ascii="宋体" w:hAnsi="宋体" w:cs="宋体"/>
          <w:b/>
          <w:color w:val="auto"/>
          <w:kern w:val="0"/>
          <w:szCs w:val="21"/>
        </w:rPr>
        <w:t>招标文件的澄清或修改</w:t>
      </w:r>
    </w:p>
    <w:p w14:paraId="2B89D182">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11.1 </w:t>
      </w:r>
      <w:r>
        <w:rPr>
          <w:rFonts w:hint="eastAsia" w:ascii="宋体" w:hAnsi="宋体" w:cs="宋体"/>
          <w:color w:val="auto"/>
          <w:kern w:val="0"/>
          <w:szCs w:val="21"/>
        </w:rPr>
        <w:t>在投标截止期前，无论出于何种原因，招标人可主动地或在解答潜在投标人提出的澄清问题时对招标文件进行修改。</w:t>
      </w:r>
    </w:p>
    <w:p w14:paraId="2B89D183">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11.2 </w:t>
      </w:r>
      <w:r>
        <w:rPr>
          <w:rFonts w:hint="eastAsia" w:ascii="宋体" w:hAnsi="宋体" w:cs="宋体"/>
          <w:color w:val="auto"/>
          <w:kern w:val="0"/>
          <w:szCs w:val="21"/>
        </w:rPr>
        <w:t>招标人可以对已发出的招标文件进行必要的澄清或者修改。澄清或者修改的内容可能影响投标文件编制的，招标人将在投标截止时间</w:t>
      </w:r>
      <w:r>
        <w:rPr>
          <w:rFonts w:ascii="宋体" w:hAnsi="宋体" w:cs="宋体"/>
          <w:color w:val="auto"/>
          <w:kern w:val="0"/>
          <w:szCs w:val="21"/>
        </w:rPr>
        <w:t>15</w:t>
      </w:r>
      <w:r>
        <w:rPr>
          <w:rFonts w:hint="eastAsia" w:ascii="宋体" w:hAnsi="宋体" w:cs="宋体"/>
          <w:color w:val="auto"/>
          <w:kern w:val="0"/>
          <w:szCs w:val="21"/>
        </w:rPr>
        <w:t>日前，在财政部门指定的政府采购信息发布媒体和《全国公共资源交易平台（河南省·许昌市）》发布更正公告。</w:t>
      </w:r>
    </w:p>
    <w:p w14:paraId="2B89D184">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11.3 </w:t>
      </w:r>
      <w:r>
        <w:rPr>
          <w:rFonts w:hint="eastAsia" w:ascii="宋体" w:hAnsi="宋体" w:cs="宋体"/>
          <w:color w:val="auto"/>
          <w:kern w:val="0"/>
          <w:szCs w:val="21"/>
        </w:rPr>
        <w:t>澄清或修改公告的内容为招标文件的组成部分，并对投标人具有约束力。当招标文件与澄清或修改公告就同一内容的表述不一致时，以最后发出的文件内容为准。</w:t>
      </w:r>
    </w:p>
    <w:p w14:paraId="2B89D185">
      <w:pPr>
        <w:autoSpaceDE w:val="0"/>
        <w:autoSpaceDN w:val="0"/>
        <w:spacing w:line="360" w:lineRule="auto"/>
        <w:ind w:firstLine="420" w:firstLineChars="200"/>
        <w:contextualSpacing/>
        <w:rPr>
          <w:rFonts w:ascii="宋体" w:cs="宋体"/>
          <w:b/>
          <w:color w:val="auto"/>
          <w:kern w:val="0"/>
          <w:szCs w:val="21"/>
        </w:rPr>
      </w:pPr>
      <w:r>
        <w:rPr>
          <w:rFonts w:ascii="宋体" w:hAnsi="宋体" w:cs="宋体"/>
          <w:color w:val="auto"/>
          <w:kern w:val="0"/>
          <w:szCs w:val="21"/>
        </w:rPr>
        <w:t xml:space="preserve">11.4 </w:t>
      </w:r>
      <w:r>
        <w:rPr>
          <w:rFonts w:hint="eastAsia" w:ascii="宋体" w:hAnsi="宋体" w:cs="宋体"/>
          <w:color w:val="auto"/>
          <w:kern w:val="0"/>
          <w:szCs w:val="21"/>
        </w:rPr>
        <w:t>如果澄清或者修改发出的时间距规定的投标截止时间不足</w:t>
      </w:r>
      <w:r>
        <w:rPr>
          <w:rFonts w:ascii="宋体" w:hAnsi="宋体" w:cs="宋体"/>
          <w:color w:val="auto"/>
          <w:kern w:val="0"/>
          <w:szCs w:val="21"/>
        </w:rPr>
        <w:t>15</w:t>
      </w:r>
      <w:r>
        <w:rPr>
          <w:rFonts w:hint="eastAsia" w:ascii="宋体" w:hAnsi="宋体" w:cs="宋体"/>
          <w:color w:val="auto"/>
          <w:kern w:val="0"/>
          <w:szCs w:val="21"/>
        </w:rPr>
        <w:t>日，招标人将顺延提交投标文件的截止时间。</w:t>
      </w:r>
    </w:p>
    <w:p w14:paraId="2B89D186">
      <w:pPr>
        <w:tabs>
          <w:tab w:val="left" w:pos="1260"/>
        </w:tabs>
        <w:autoSpaceDE w:val="0"/>
        <w:autoSpaceDN w:val="0"/>
        <w:spacing w:line="360" w:lineRule="auto"/>
        <w:contextualSpacing/>
        <w:jc w:val="center"/>
        <w:rPr>
          <w:rFonts w:cs="宋体"/>
          <w:color w:val="auto"/>
          <w:szCs w:val="21"/>
        </w:rPr>
      </w:pPr>
      <w:r>
        <w:rPr>
          <w:rFonts w:hint="eastAsia" w:ascii="宋体" w:hAnsi="宋体" w:cs="宋体"/>
          <w:b/>
          <w:color w:val="auto"/>
          <w:kern w:val="0"/>
          <w:szCs w:val="21"/>
        </w:rPr>
        <w:t>三、投标文件的编制</w:t>
      </w:r>
    </w:p>
    <w:p w14:paraId="2B89D187">
      <w:pPr>
        <w:autoSpaceDE w:val="0"/>
        <w:autoSpaceDN w:val="0"/>
        <w:spacing w:line="360" w:lineRule="auto"/>
        <w:contextualSpacing/>
        <w:rPr>
          <w:rFonts w:ascii="宋体" w:cs="宋体"/>
          <w:b/>
          <w:color w:val="auto"/>
          <w:kern w:val="0"/>
          <w:szCs w:val="21"/>
        </w:rPr>
      </w:pPr>
      <w:r>
        <w:rPr>
          <w:rFonts w:hint="eastAsia" w:ascii="宋体" w:hAnsi="宋体" w:cs="宋体"/>
          <w:b/>
          <w:color w:val="auto"/>
          <w:kern w:val="0"/>
          <w:szCs w:val="21"/>
          <w:lang w:eastAsia="zh-CN"/>
        </w:rPr>
        <w:t>12.</w:t>
      </w:r>
      <w:r>
        <w:rPr>
          <w:rFonts w:hint="eastAsia" w:ascii="宋体" w:hAnsi="宋体" w:cs="宋体"/>
          <w:b/>
          <w:color w:val="auto"/>
          <w:kern w:val="0"/>
          <w:szCs w:val="21"/>
        </w:rPr>
        <w:t>投标的语言及计量单位</w:t>
      </w:r>
    </w:p>
    <w:p w14:paraId="2B89D188">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12</w:t>
      </w:r>
      <w:r>
        <w:rPr>
          <w:rFonts w:hint="eastAsia" w:ascii="宋体" w:hAnsi="宋体" w:cs="宋体"/>
          <w:color w:val="auto"/>
          <w:kern w:val="0"/>
          <w:szCs w:val="21"/>
        </w:rPr>
        <w:t>.</w:t>
      </w:r>
      <w:r>
        <w:rPr>
          <w:rFonts w:ascii="宋体" w:hAnsi="宋体" w:cs="宋体"/>
          <w:color w:val="auto"/>
          <w:kern w:val="0"/>
          <w:szCs w:val="21"/>
        </w:rPr>
        <w:t xml:space="preserve">1 </w:t>
      </w:r>
      <w:r>
        <w:rPr>
          <w:rFonts w:hint="eastAsia" w:ascii="宋体" w:hAnsi="宋体" w:cs="宋体"/>
          <w:color w:val="auto"/>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2B89D189">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12.2 </w:t>
      </w:r>
      <w:r>
        <w:rPr>
          <w:rFonts w:hint="eastAsia" w:ascii="宋体" w:hAnsi="宋体" w:cs="宋体"/>
          <w:color w:val="auto"/>
          <w:kern w:val="0"/>
          <w:szCs w:val="21"/>
        </w:rPr>
        <w:t>投标计量单位，招标文件已有明确规定的，使用招标文件规定的计量单位；招标文件没有规定的，一律采用中华人民共和国法定计量单位。</w:t>
      </w:r>
    </w:p>
    <w:p w14:paraId="2B89D18A">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 xml:space="preserve">13. </w:t>
      </w:r>
      <w:r>
        <w:rPr>
          <w:rFonts w:hint="eastAsia" w:ascii="宋体" w:hAnsi="宋体" w:cs="宋体"/>
          <w:b/>
          <w:color w:val="auto"/>
          <w:kern w:val="0"/>
          <w:szCs w:val="21"/>
        </w:rPr>
        <w:t>投标报价</w:t>
      </w:r>
    </w:p>
    <w:p w14:paraId="2B89D18B">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13.1 </w:t>
      </w:r>
      <w:r>
        <w:rPr>
          <w:rFonts w:hint="eastAsia" w:ascii="宋体" w:hAnsi="宋体" w:cs="宋体"/>
          <w:color w:val="auto"/>
          <w:kern w:val="0"/>
          <w:szCs w:val="21"/>
        </w:rPr>
        <w:t>本次招标项目的投标均以</w:t>
      </w:r>
      <w:r>
        <w:rPr>
          <w:rFonts w:hint="eastAsia" w:ascii="宋体" w:hAnsi="宋体" w:cs="宋体"/>
          <w:b/>
          <w:color w:val="auto"/>
          <w:kern w:val="0"/>
          <w:szCs w:val="21"/>
        </w:rPr>
        <w:t>人民币</w:t>
      </w:r>
      <w:r>
        <w:rPr>
          <w:rFonts w:hint="eastAsia" w:ascii="宋体" w:hAnsi="宋体" w:cs="宋体"/>
          <w:color w:val="auto"/>
          <w:kern w:val="0"/>
          <w:szCs w:val="21"/>
        </w:rPr>
        <w:t>为计算单位。</w:t>
      </w:r>
    </w:p>
    <w:p w14:paraId="2B89D18C">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13.2 </w:t>
      </w:r>
      <w:r>
        <w:rPr>
          <w:rFonts w:hint="eastAsia" w:ascii="宋体" w:hAnsi="宋体" w:cs="宋体"/>
          <w:color w:val="auto"/>
          <w:kern w:val="0"/>
          <w:szCs w:val="21"/>
        </w:rPr>
        <w:t>采购人不得向投标人索要或者接受其给予的赠品、回扣或者与采购无关的其他商品、服务。</w:t>
      </w:r>
    </w:p>
    <w:p w14:paraId="2B89D18D">
      <w:pPr>
        <w:pStyle w:val="20"/>
        <w:spacing w:line="374" w:lineRule="auto"/>
        <w:rPr>
          <w:rFonts w:ascii="宋体" w:cs="宋体"/>
          <w:color w:val="auto"/>
          <w:kern w:val="0"/>
          <w:szCs w:val="21"/>
        </w:rPr>
      </w:pPr>
      <w:r>
        <w:rPr>
          <w:rFonts w:ascii="宋体" w:hAnsi="宋体" w:cs="宋体"/>
          <w:color w:val="auto"/>
          <w:kern w:val="0"/>
          <w:szCs w:val="21"/>
        </w:rPr>
        <w:t xml:space="preserve">13.3 </w:t>
      </w:r>
      <w:r>
        <w:rPr>
          <w:rFonts w:hint="eastAsia" w:ascii="宋体" w:hAnsi="宋体" w:cs="宋体"/>
          <w:color w:val="auto"/>
          <w:kern w:val="0"/>
          <w:szCs w:val="21"/>
        </w:rPr>
        <w:t>投标人应对项目要求的全部内容进行报价，少报漏报将导致其投标</w:t>
      </w:r>
      <w:r>
        <w:rPr>
          <w:rFonts w:hint="eastAsia" w:ascii="宋体" w:hAnsi="宋体" w:cs="宋体"/>
          <w:color w:val="auto"/>
          <w:szCs w:val="21"/>
          <w:lang w:val="en-GB"/>
        </w:rPr>
        <w:t>为非实质性响应予以拒绝。</w:t>
      </w:r>
    </w:p>
    <w:p w14:paraId="2B89D18E">
      <w:pPr>
        <w:spacing w:line="360" w:lineRule="auto"/>
        <w:ind w:firstLine="420" w:firstLineChars="200"/>
        <w:outlineLvl w:val="0"/>
        <w:rPr>
          <w:rFonts w:ascii="宋体" w:cs="宋体"/>
          <w:color w:val="auto"/>
          <w:kern w:val="0"/>
          <w:szCs w:val="21"/>
        </w:rPr>
      </w:pPr>
      <w:r>
        <w:rPr>
          <w:rFonts w:ascii="宋体" w:hAnsi="宋体" w:cs="宋体"/>
          <w:color w:val="auto"/>
          <w:kern w:val="0"/>
          <w:szCs w:val="21"/>
        </w:rPr>
        <w:t xml:space="preserve">13.4 </w:t>
      </w:r>
      <w:r>
        <w:rPr>
          <w:rFonts w:hint="eastAsia" w:ascii="宋体" w:hAnsi="宋体" w:cs="宋体"/>
          <w:color w:val="auto"/>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2B89D18F">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13.5 </w:t>
      </w:r>
      <w:r>
        <w:rPr>
          <w:rFonts w:hint="eastAsia" w:ascii="宋体" w:hAnsi="宋体" w:cs="宋体"/>
          <w:color w:val="auto"/>
          <w:kern w:val="0"/>
          <w:szCs w:val="21"/>
        </w:rPr>
        <w:t>本项目所涉及的运输、施工、安装、集成、调试、验收、备品和工具等费用均包含在投标报价中。</w:t>
      </w:r>
    </w:p>
    <w:p w14:paraId="2B89D190">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13.6 </w:t>
      </w:r>
      <w:r>
        <w:rPr>
          <w:rFonts w:hint="eastAsia" w:ascii="宋体" w:hAnsi="宋体" w:cs="宋体"/>
          <w:color w:val="auto"/>
          <w:kern w:val="0"/>
          <w:szCs w:val="21"/>
        </w:rPr>
        <w:t>本次招标不接受可选择或可调整的投标方案和报价，任何有选择的或可调整的投标方案和报价将被视为非实质性响应投标而作无效投标处理。</w:t>
      </w:r>
    </w:p>
    <w:p w14:paraId="2B89D191">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13.7 </w:t>
      </w:r>
      <w:r>
        <w:rPr>
          <w:rFonts w:hint="eastAsia" w:ascii="宋体" w:hAnsi="宋体" w:cs="宋体"/>
          <w:color w:val="auto"/>
          <w:kern w:val="0"/>
          <w:szCs w:val="21"/>
        </w:rPr>
        <w:t>报价不得高于本项目最高限价，且不低于成本价。</w:t>
      </w:r>
      <w:r>
        <w:rPr>
          <w:rFonts w:hint="eastAsia" w:ascii="宋体" w:hAnsi="宋体" w:cs="宋体"/>
          <w:color w:val="auto"/>
          <w:szCs w:val="21"/>
          <w:lang w:val="en-GB"/>
        </w:rPr>
        <w:t>本次招标实行“最高限价（项目控制金额上限）”</w:t>
      </w:r>
      <w:r>
        <w:rPr>
          <w:rFonts w:hint="eastAsia" w:ascii="宋体" w:hAnsi="宋体" w:cs="宋体"/>
          <w:color w:val="auto"/>
          <w:szCs w:val="21"/>
          <w:lang w:val="en-GB" w:eastAsia="zh-CN"/>
        </w:rPr>
        <w:t>，</w:t>
      </w:r>
      <w:r>
        <w:rPr>
          <w:rFonts w:hint="eastAsia" w:ascii="宋体" w:hAnsi="宋体" w:cs="宋体"/>
          <w:color w:val="auto"/>
          <w:szCs w:val="21"/>
          <w:lang w:val="en-GB"/>
        </w:rPr>
        <w:t>投标人的投标报价高于最高限价（项目控制金额上限）的，该投标人的投标文件将被视为非实质性响应予以拒绝。</w:t>
      </w:r>
    </w:p>
    <w:p w14:paraId="2B89D192">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13.8 </w:t>
      </w:r>
      <w:r>
        <w:rPr>
          <w:rFonts w:hint="eastAsia" w:ascii="宋体" w:hAnsi="宋体" w:cs="宋体"/>
          <w:color w:val="auto"/>
          <w:kern w:val="0"/>
          <w:szCs w:val="21"/>
        </w:rPr>
        <w:t>最低报价不能作为中标的保证。</w:t>
      </w:r>
    </w:p>
    <w:p w14:paraId="2B89D193">
      <w:pPr>
        <w:autoSpaceDE w:val="0"/>
        <w:autoSpaceDN w:val="0"/>
        <w:spacing w:line="360" w:lineRule="auto"/>
        <w:contextualSpacing/>
        <w:rPr>
          <w:rFonts w:ascii="宋体" w:cs="宋体"/>
          <w:b/>
          <w:color w:val="auto"/>
          <w:kern w:val="0"/>
          <w:szCs w:val="21"/>
        </w:rPr>
      </w:pPr>
      <w:r>
        <w:rPr>
          <w:rFonts w:hint="eastAsia" w:ascii="宋体" w:hAnsi="宋体" w:cs="宋体"/>
          <w:b/>
          <w:color w:val="auto"/>
          <w:kern w:val="0"/>
          <w:szCs w:val="21"/>
          <w:lang w:eastAsia="zh-CN"/>
        </w:rPr>
        <w:t>14.</w:t>
      </w:r>
      <w:r>
        <w:rPr>
          <w:rFonts w:hint="eastAsia" w:ascii="宋体" w:hAnsi="宋体" w:cs="宋体"/>
          <w:b/>
          <w:color w:val="auto"/>
          <w:kern w:val="0"/>
          <w:szCs w:val="21"/>
        </w:rPr>
        <w:t>投标有效期</w:t>
      </w:r>
    </w:p>
    <w:p w14:paraId="2B89D194">
      <w:pPr>
        <w:autoSpaceDE w:val="0"/>
        <w:autoSpaceDN w:val="0"/>
        <w:spacing w:line="360" w:lineRule="auto"/>
        <w:ind w:firstLine="420" w:firstLineChars="200"/>
        <w:contextualSpacing/>
        <w:rPr>
          <w:rFonts w:hint="eastAsia" w:ascii="宋体" w:hAnsi="宋体" w:cs="宋体"/>
          <w:color w:val="auto"/>
          <w:kern w:val="0"/>
          <w:szCs w:val="21"/>
        </w:rPr>
      </w:pPr>
      <w:r>
        <w:rPr>
          <w:rFonts w:ascii="宋体" w:hAnsi="宋体" w:cs="宋体"/>
          <w:color w:val="auto"/>
          <w:kern w:val="0"/>
          <w:szCs w:val="21"/>
        </w:rPr>
        <w:t xml:space="preserve">14.1 </w:t>
      </w:r>
      <w:r>
        <w:rPr>
          <w:rFonts w:hint="eastAsia" w:ascii="宋体" w:hAnsi="宋体" w:cs="宋体"/>
          <w:color w:val="auto"/>
          <w:kern w:val="0"/>
          <w:szCs w:val="21"/>
        </w:rPr>
        <w:t>投标有效期从提交投标文件的截止之日起算。本项目投标有效期详</w:t>
      </w:r>
      <w:r>
        <w:rPr>
          <w:rFonts w:hint="eastAsia" w:ascii="宋体" w:hAnsi="宋体" w:cs="宋体"/>
          <w:color w:val="auto"/>
          <w:szCs w:val="21"/>
          <w:lang w:val="zh-CN"/>
        </w:rPr>
        <w:t>见投标人须知前附表。</w:t>
      </w:r>
      <w:r>
        <w:rPr>
          <w:rFonts w:hint="eastAsia" w:ascii="宋体" w:hAnsi="宋体" w:cs="宋体"/>
          <w:color w:val="auto"/>
          <w:kern w:val="0"/>
          <w:szCs w:val="21"/>
        </w:rPr>
        <w:t>投标文件中承诺的投标有效期应当不少于“投标人须知前附表”载明的投标有效期。投标有效期比招标文件规定短的属于非实质性响应，将被认定为无效投标。</w:t>
      </w:r>
    </w:p>
    <w:p w14:paraId="2B003256">
      <w:pPr>
        <w:autoSpaceDE w:val="0"/>
        <w:autoSpaceDN w:val="0"/>
        <w:spacing w:line="360" w:lineRule="auto"/>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lang w:val="en-US" w:eastAsia="zh-CN"/>
        </w:rPr>
        <w:t>14.2</w:t>
      </w:r>
      <w:r>
        <w:rPr>
          <w:rFonts w:hint="eastAsia" w:ascii="宋体" w:hAnsi="宋体" w:cs="宋体"/>
          <w:color w:val="auto"/>
          <w:kern w:val="0"/>
          <w:szCs w:val="21"/>
        </w:rPr>
        <w:t>投标有效期内投标人撤销投标文件的，投标人将承担违背投标承诺函的责任追究。</w:t>
      </w:r>
    </w:p>
    <w:p w14:paraId="2B89D195">
      <w:pPr>
        <w:pStyle w:val="23"/>
        <w:autoSpaceDE w:val="0"/>
        <w:autoSpaceDN w:val="0"/>
        <w:spacing w:line="360" w:lineRule="auto"/>
        <w:contextualSpacing/>
        <w:rPr>
          <w:rFonts w:ascii="宋体" w:cs="宋体"/>
          <w:color w:val="auto"/>
          <w:kern w:val="0"/>
          <w:szCs w:val="21"/>
        </w:rPr>
      </w:pPr>
      <w:r>
        <w:rPr>
          <w:rFonts w:ascii="宋体" w:hAnsi="宋体" w:cs="宋体"/>
          <w:color w:val="auto"/>
          <w:kern w:val="0"/>
          <w:szCs w:val="21"/>
        </w:rPr>
        <w:t>14.</w:t>
      </w:r>
      <w:r>
        <w:rPr>
          <w:rFonts w:hint="eastAsia" w:ascii="宋体" w:hAnsi="宋体" w:cs="宋体"/>
          <w:color w:val="auto"/>
          <w:kern w:val="0"/>
          <w:szCs w:val="21"/>
          <w:lang w:val="en-US" w:eastAsia="zh-CN"/>
        </w:rPr>
        <w:t>3</w:t>
      </w:r>
      <w:r>
        <w:rPr>
          <w:rFonts w:hint="eastAsia" w:ascii="宋体" w:hAnsi="宋体" w:cs="宋体"/>
          <w:color w:val="auto"/>
          <w:kern w:val="0"/>
          <w:szCs w:val="21"/>
        </w:rPr>
        <w:t>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的有效期内继续有效。同意延期的投标人在原投标有效期内应享之权利及应负之责任也相应延续。</w:t>
      </w:r>
    </w:p>
    <w:p w14:paraId="2B89D196">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14.</w:t>
      </w:r>
      <w:r>
        <w:rPr>
          <w:rFonts w:hint="eastAsia" w:ascii="宋体" w:hAnsi="宋体" w:cs="宋体"/>
          <w:color w:val="auto"/>
          <w:kern w:val="0"/>
          <w:szCs w:val="21"/>
        </w:rPr>
        <w:t>3中标人的投标文件作为项目合同的附件，其有效期至中标人全部合同义务履行完毕为止。</w:t>
      </w:r>
    </w:p>
    <w:p w14:paraId="2B89D197">
      <w:pPr>
        <w:autoSpaceDE w:val="0"/>
        <w:autoSpaceDN w:val="0"/>
        <w:spacing w:line="360" w:lineRule="auto"/>
        <w:contextualSpacing/>
        <w:rPr>
          <w:rFonts w:ascii="宋体" w:cs="宋体"/>
          <w:b/>
          <w:color w:val="auto"/>
          <w:kern w:val="0"/>
          <w:szCs w:val="21"/>
        </w:rPr>
      </w:pPr>
      <w:r>
        <w:rPr>
          <w:rFonts w:hint="eastAsia" w:ascii="宋体" w:hAnsi="宋体" w:cs="宋体"/>
          <w:b/>
          <w:color w:val="auto"/>
          <w:kern w:val="0"/>
          <w:szCs w:val="21"/>
          <w:lang w:eastAsia="zh-CN"/>
        </w:rPr>
        <w:t>15.</w:t>
      </w:r>
      <w:r>
        <w:rPr>
          <w:rFonts w:hint="eastAsia" w:ascii="宋体" w:hAnsi="宋体" w:cs="宋体"/>
          <w:b/>
          <w:color w:val="auto"/>
          <w:kern w:val="0"/>
          <w:szCs w:val="21"/>
        </w:rPr>
        <w:t>投标文件构成</w:t>
      </w:r>
    </w:p>
    <w:p w14:paraId="2B89D198">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15.1 </w:t>
      </w:r>
      <w:r>
        <w:rPr>
          <w:rFonts w:hint="eastAsia" w:ascii="宋体" w:hAnsi="宋体" w:cs="宋体"/>
          <w:color w:val="auto"/>
          <w:kern w:val="0"/>
          <w:szCs w:val="21"/>
        </w:rPr>
        <w:t>投标文件的构成应符合法律法规及招标文件的要求。</w:t>
      </w:r>
    </w:p>
    <w:p w14:paraId="2B89D199">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15.2 </w:t>
      </w:r>
      <w:r>
        <w:rPr>
          <w:rFonts w:hint="eastAsia" w:ascii="宋体" w:hAnsi="宋体" w:cs="宋体"/>
          <w:color w:val="auto"/>
          <w:kern w:val="0"/>
          <w:szCs w:val="21"/>
        </w:rPr>
        <w:t>投标人应当按照招标文件的要求编制投标文件。投标文件应当对招标文件提出的要求和条件作出明确响应。</w:t>
      </w:r>
    </w:p>
    <w:p w14:paraId="2B89D19A">
      <w:pPr>
        <w:pStyle w:val="23"/>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rPr>
        <w:t xml:space="preserve">15.3 </w:t>
      </w:r>
      <w:r>
        <w:rPr>
          <w:rFonts w:hint="eastAsia" w:ascii="宋体" w:hAnsi="宋体" w:cs="宋体"/>
          <w:color w:val="auto"/>
          <w:kern w:val="0"/>
          <w:szCs w:val="21"/>
        </w:rPr>
        <w:t>投标文件由资格证明材料、符合性证明材料、</w:t>
      </w:r>
      <w:r>
        <w:rPr>
          <w:rFonts w:hint="eastAsia" w:ascii="宋体" w:hAnsi="宋体" w:cs="宋体"/>
          <w:color w:val="auto"/>
          <w:kern w:val="0"/>
          <w:szCs w:val="21"/>
          <w:lang w:eastAsia="zh-CN"/>
        </w:rPr>
        <w:t>其他</w:t>
      </w:r>
      <w:r>
        <w:rPr>
          <w:rFonts w:hint="eastAsia" w:ascii="宋体" w:hAnsi="宋体" w:cs="宋体"/>
          <w:color w:val="auto"/>
          <w:kern w:val="0"/>
          <w:szCs w:val="21"/>
        </w:rPr>
        <w:t>材料等组成。</w:t>
      </w:r>
      <w:r>
        <w:rPr>
          <w:rFonts w:hint="eastAsia" w:cs="宋体" w:asciiTheme="minorEastAsia" w:hAnsiTheme="minorEastAsia"/>
          <w:color w:val="auto"/>
          <w:kern w:val="0"/>
          <w:szCs w:val="21"/>
          <w:highlight w:val="none"/>
        </w:rPr>
        <w:t>供应商的售</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后</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服务承</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诺须经单位法</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定代</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表</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人（单位负责人）签</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字确认，否则为无</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效</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响应。</w:t>
      </w:r>
    </w:p>
    <w:p w14:paraId="2B89D19B">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15.4 </w:t>
      </w:r>
      <w:r>
        <w:rPr>
          <w:rFonts w:hint="eastAsia" w:ascii="宋体" w:hAnsi="宋体" w:cs="宋体"/>
          <w:color w:val="auto"/>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B89D19C">
      <w:pPr>
        <w:autoSpaceDE w:val="0"/>
        <w:autoSpaceDN w:val="0"/>
        <w:spacing w:line="360" w:lineRule="auto"/>
        <w:ind w:firstLine="420" w:firstLineChars="200"/>
        <w:contextualSpacing/>
        <w:rPr>
          <w:rFonts w:hint="eastAsia" w:ascii="宋体" w:hAnsi="宋体" w:cs="宋体"/>
          <w:color w:val="auto"/>
          <w:kern w:val="0"/>
          <w:szCs w:val="21"/>
        </w:rPr>
      </w:pPr>
      <w:r>
        <w:rPr>
          <w:rFonts w:hint="eastAsia" w:ascii="宋体" w:hAnsi="宋体" w:cs="宋体"/>
          <w:bCs/>
          <w:color w:val="auto"/>
          <w:kern w:val="0"/>
          <w:szCs w:val="21"/>
        </w:rPr>
        <w:t xml:space="preserve">15.5 </w:t>
      </w:r>
      <w:r>
        <w:rPr>
          <w:rFonts w:hint="eastAsia" w:ascii="宋体" w:hAnsi="宋体" w:cs="宋体"/>
          <w:color w:val="auto"/>
          <w:kern w:val="0"/>
          <w:szCs w:val="21"/>
        </w:rPr>
        <w:t>供应商登录“全国公共资源交易平台（河南省·许昌市）”下载“新点投标文件制作软件（河南省版）”的最新版本，按所响应标段招标文件的要求制作电子响应文件。一个标段对应生成2份电子响应文件（后缀格式为.XCSTF和.nXCSTF）</w:t>
      </w:r>
      <w:r>
        <w:rPr>
          <w:rFonts w:hint="eastAsia" w:ascii="宋体" w:hAnsi="宋体" w:cs="宋体"/>
          <w:color w:val="auto"/>
          <w:kern w:val="0"/>
          <w:szCs w:val="21"/>
          <w:lang w:eastAsia="zh-CN"/>
        </w:rPr>
        <w:t>，</w:t>
      </w:r>
      <w:r>
        <w:rPr>
          <w:rFonts w:hint="eastAsia" w:ascii="宋体" w:hAnsi="宋体" w:cs="宋体"/>
          <w:color w:val="auto"/>
          <w:kern w:val="0"/>
          <w:szCs w:val="21"/>
        </w:rPr>
        <w:t>其中后缀格式为“.XCSTF”的加密电子响应文件用于上传至交易系统中投标。</w:t>
      </w:r>
    </w:p>
    <w:p w14:paraId="2B89D19D">
      <w:pPr>
        <w:autoSpaceDE w:val="0"/>
        <w:autoSpaceDN w:val="0"/>
        <w:spacing w:line="360" w:lineRule="auto"/>
        <w:ind w:firstLine="420" w:firstLineChars="200"/>
        <w:contextualSpacing/>
        <w:rPr>
          <w:rFonts w:hint="eastAsia" w:ascii="宋体" w:hAnsi="宋体" w:cs="宋体"/>
          <w:bCs/>
          <w:color w:val="auto"/>
          <w:kern w:val="0"/>
          <w:szCs w:val="21"/>
        </w:rPr>
      </w:pPr>
      <w:r>
        <w:rPr>
          <w:rFonts w:hint="eastAsia" w:ascii="宋体" w:hAnsi="宋体" w:cs="宋体"/>
          <w:color w:val="auto"/>
          <w:kern w:val="0"/>
          <w:szCs w:val="21"/>
        </w:rPr>
        <w:t>电子投标文件制作技术咨询：0374-</w:t>
      </w:r>
      <w:r>
        <w:rPr>
          <w:rStyle w:val="25"/>
          <w:rFonts w:hint="eastAsia" w:ascii="宋体" w:hAnsi="宋体" w:eastAsia="宋体" w:cs="Times New Roman"/>
          <w:color w:val="auto"/>
          <w:szCs w:val="21"/>
        </w:rPr>
        <w:t>2961598</w:t>
      </w:r>
      <w:r>
        <w:rPr>
          <w:rFonts w:hint="eastAsia" w:ascii="宋体" w:hAnsi="宋体" w:cs="宋体"/>
          <w:color w:val="auto"/>
          <w:kern w:val="0"/>
          <w:szCs w:val="21"/>
        </w:rPr>
        <w:t>。</w:t>
      </w:r>
    </w:p>
    <w:p w14:paraId="2B89D19E">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16.</w:t>
      </w:r>
      <w:r>
        <w:rPr>
          <w:rFonts w:hint="eastAsia" w:ascii="宋体" w:hAnsi="宋体" w:cs="宋体"/>
          <w:b/>
          <w:color w:val="auto"/>
          <w:kern w:val="0"/>
          <w:szCs w:val="21"/>
        </w:rPr>
        <w:t>投标文件格式</w:t>
      </w:r>
    </w:p>
    <w:p w14:paraId="2B89D19F">
      <w:pPr>
        <w:autoSpaceDE w:val="0"/>
        <w:autoSpaceDN w:val="0"/>
        <w:spacing w:line="360" w:lineRule="auto"/>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投标人应按招标文件提供的格式编写投标文件。招标文件未提供标准格式的投标人可自行拟定。</w:t>
      </w:r>
    </w:p>
    <w:p w14:paraId="2B89D1A0">
      <w:pPr>
        <w:autoSpaceDE w:val="0"/>
        <w:autoSpaceDN w:val="0"/>
        <w:spacing w:line="360" w:lineRule="auto"/>
        <w:contextualSpacing/>
        <w:rPr>
          <w:rFonts w:hint="eastAsia" w:ascii="宋体" w:hAnsi="宋体" w:cs="宋体"/>
          <w:b/>
          <w:color w:val="auto"/>
          <w:kern w:val="0"/>
          <w:szCs w:val="21"/>
        </w:rPr>
      </w:pPr>
      <w:r>
        <w:rPr>
          <w:rFonts w:hint="eastAsia" w:ascii="宋体" w:hAnsi="宋体" w:cs="宋体"/>
          <w:b/>
          <w:color w:val="auto"/>
          <w:kern w:val="0"/>
          <w:szCs w:val="21"/>
        </w:rPr>
        <w:t>17.投标保证金</w:t>
      </w:r>
    </w:p>
    <w:p w14:paraId="2B89D1A1">
      <w:pPr>
        <w:autoSpaceDE w:val="0"/>
        <w:autoSpaceDN w:val="0"/>
        <w:adjustRightInd w:val="0"/>
        <w:spacing w:line="360" w:lineRule="auto"/>
        <w:ind w:firstLine="420" w:firstLineChars="200"/>
        <w:rPr>
          <w:rFonts w:hint="eastAsia" w:ascii="宋体" w:hAnsi="宋体" w:cs="宋体"/>
          <w:color w:val="auto"/>
          <w:szCs w:val="21"/>
          <w:lang w:val="zh-CN"/>
        </w:rPr>
      </w:pPr>
      <w:r>
        <w:rPr>
          <w:rFonts w:hint="eastAsia" w:ascii="宋体" w:hAnsi="宋体" w:cs="宋体"/>
          <w:color w:val="auto"/>
          <w:szCs w:val="21"/>
        </w:rPr>
        <w:t>17.1</w:t>
      </w:r>
      <w:r>
        <w:rPr>
          <w:rFonts w:hint="eastAsia" w:ascii="宋体" w:hAnsi="宋体" w:cs="宋体"/>
          <w:color w:val="auto"/>
          <w:szCs w:val="21"/>
          <w:lang w:val="zh-CN"/>
        </w:rPr>
        <w:t>本项目不收取投标保证金。</w:t>
      </w:r>
    </w:p>
    <w:p w14:paraId="2B89D1A2">
      <w:pPr>
        <w:autoSpaceDE w:val="0"/>
        <w:autoSpaceDN w:val="0"/>
        <w:adjustRightInd w:val="0"/>
        <w:spacing w:line="360" w:lineRule="auto"/>
        <w:ind w:firstLine="420" w:firstLineChars="200"/>
        <w:rPr>
          <w:color w:val="auto"/>
        </w:rPr>
      </w:pPr>
      <w:r>
        <w:rPr>
          <w:rFonts w:hint="eastAsia" w:ascii="宋体" w:hAnsi="宋体" w:cs="宋体"/>
          <w:color w:val="auto"/>
          <w:szCs w:val="21"/>
        </w:rPr>
        <w:t>17.2</w:t>
      </w:r>
      <w:r>
        <w:rPr>
          <w:rFonts w:hint="eastAsia" w:ascii="宋体" w:hAnsi="宋体" w:cs="宋体"/>
          <w:color w:val="auto"/>
          <w:szCs w:val="21"/>
          <w:lang w:val="zh-CN"/>
        </w:rPr>
        <w:t>投标人应提供投标承诺函。</w:t>
      </w:r>
    </w:p>
    <w:p w14:paraId="2B89D1A3">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1</w:t>
      </w:r>
      <w:r>
        <w:rPr>
          <w:rFonts w:hint="eastAsia" w:ascii="宋体" w:hAnsi="宋体" w:cs="宋体"/>
          <w:b/>
          <w:color w:val="auto"/>
          <w:szCs w:val="21"/>
        </w:rPr>
        <w:t>8</w:t>
      </w:r>
      <w:r>
        <w:rPr>
          <w:rFonts w:ascii="宋体" w:cs="宋体"/>
          <w:b/>
          <w:color w:val="auto"/>
          <w:szCs w:val="21"/>
          <w:lang w:val="zh-CN"/>
        </w:rPr>
        <w:t>.</w:t>
      </w:r>
      <w:r>
        <w:rPr>
          <w:rFonts w:hint="eastAsia" w:ascii="宋体" w:hAnsi="宋体" w:cs="宋体"/>
          <w:b/>
          <w:color w:val="auto"/>
          <w:szCs w:val="21"/>
          <w:lang w:val="zh-CN"/>
        </w:rPr>
        <w:t>投标文件的数量和签署盖章</w:t>
      </w:r>
    </w:p>
    <w:p w14:paraId="2B89D1A4">
      <w:pPr>
        <w:autoSpaceDE w:val="0"/>
        <w:autoSpaceDN w:val="0"/>
        <w:adjustRightInd w:val="0"/>
        <w:spacing w:line="360" w:lineRule="auto"/>
        <w:ind w:firstLine="420" w:firstLineChars="200"/>
        <w:rPr>
          <w:rFonts w:hint="eastAsia" w:ascii="宋体" w:hAnsi="宋体" w:cs="宋体"/>
          <w:color w:val="auto"/>
          <w:szCs w:val="21"/>
          <w:lang w:val="zh-CN"/>
        </w:rPr>
      </w:pPr>
      <w:r>
        <w:rPr>
          <w:rFonts w:ascii="宋体" w:hAnsi="宋体" w:cs="宋体"/>
          <w:color w:val="auto"/>
          <w:szCs w:val="21"/>
          <w:lang w:val="zh-CN"/>
        </w:rPr>
        <w:t>1</w:t>
      </w:r>
      <w:r>
        <w:rPr>
          <w:rFonts w:hint="eastAsia" w:ascii="宋体" w:hAnsi="宋体" w:cs="宋体"/>
          <w:color w:val="auto"/>
          <w:szCs w:val="21"/>
        </w:rPr>
        <w:t>8</w:t>
      </w:r>
      <w:r>
        <w:rPr>
          <w:rFonts w:ascii="宋体" w:hAnsi="宋体" w:cs="宋体"/>
          <w:color w:val="auto"/>
          <w:szCs w:val="21"/>
          <w:lang w:val="zh-CN"/>
        </w:rPr>
        <w:t xml:space="preserve">.1 </w:t>
      </w:r>
      <w:r>
        <w:rPr>
          <w:rFonts w:hint="eastAsia" w:ascii="宋体" w:hAnsi="宋体" w:cs="宋体"/>
          <w:color w:val="auto"/>
          <w:szCs w:val="21"/>
          <w:lang w:val="zh-CN"/>
        </w:rPr>
        <w:t>投标人应提交投标文件份数见“投标人须知前附表”。</w:t>
      </w:r>
    </w:p>
    <w:p w14:paraId="2B89D1A5">
      <w:pPr>
        <w:autoSpaceDE w:val="0"/>
        <w:autoSpaceDN w:val="0"/>
        <w:adjustRightInd w:val="0"/>
        <w:spacing w:line="360" w:lineRule="auto"/>
        <w:ind w:firstLine="420" w:firstLineChars="200"/>
        <w:rPr>
          <w:rFonts w:ascii="宋体" w:cs="宋体"/>
          <w:color w:val="auto"/>
          <w:szCs w:val="21"/>
        </w:rPr>
      </w:pPr>
      <w:r>
        <w:rPr>
          <w:rFonts w:hint="eastAsia" w:ascii="宋体" w:cs="宋体"/>
          <w:color w:val="auto"/>
          <w:szCs w:val="21"/>
        </w:rPr>
        <w:t>18.2 在招标文件中已明示需盖章及签名之处，电子投标文件应按招标文件要求加盖投标人电子印章和法人电子印章或授权代表电子印章。</w:t>
      </w:r>
    </w:p>
    <w:p w14:paraId="2B89D1A6">
      <w:pPr>
        <w:tabs>
          <w:tab w:val="left" w:pos="1260"/>
        </w:tabs>
        <w:autoSpaceDE w:val="0"/>
        <w:autoSpaceDN w:val="0"/>
        <w:spacing w:line="360" w:lineRule="auto"/>
        <w:contextualSpacing/>
        <w:jc w:val="center"/>
        <w:rPr>
          <w:rFonts w:ascii="宋体" w:cs="宋体"/>
          <w:b/>
          <w:color w:val="auto"/>
          <w:kern w:val="0"/>
          <w:szCs w:val="21"/>
        </w:rPr>
      </w:pPr>
      <w:r>
        <w:rPr>
          <w:rFonts w:hint="eastAsia" w:ascii="宋体" w:hAnsi="宋体" w:cs="宋体"/>
          <w:b/>
          <w:color w:val="auto"/>
          <w:kern w:val="0"/>
          <w:szCs w:val="21"/>
        </w:rPr>
        <w:t>四、投标文件的递交</w:t>
      </w:r>
    </w:p>
    <w:p w14:paraId="2B89D1A7">
      <w:pPr>
        <w:numPr>
          <w:ilvl w:val="0"/>
          <w:numId w:val="12"/>
        </w:numPr>
        <w:tabs>
          <w:tab w:val="left" w:pos="1260"/>
        </w:tabs>
        <w:autoSpaceDE w:val="0"/>
        <w:autoSpaceDN w:val="0"/>
        <w:spacing w:line="360" w:lineRule="auto"/>
        <w:contextualSpacing/>
        <w:rPr>
          <w:rFonts w:hint="eastAsia" w:ascii="宋体" w:hAnsi="宋体" w:cs="宋体"/>
          <w:b/>
          <w:color w:val="auto"/>
          <w:szCs w:val="21"/>
          <w:lang w:val="zh-CN"/>
        </w:rPr>
      </w:pPr>
      <w:r>
        <w:rPr>
          <w:rFonts w:hint="eastAsia" w:ascii="宋体" w:hAnsi="宋体" w:cs="宋体"/>
          <w:b/>
          <w:color w:val="auto"/>
          <w:szCs w:val="21"/>
          <w:lang w:val="zh-CN"/>
        </w:rPr>
        <w:t>投标文件的递交及投标截止时间</w:t>
      </w:r>
    </w:p>
    <w:p w14:paraId="2B89D1A8">
      <w:pPr>
        <w:tabs>
          <w:tab w:val="left" w:pos="1260"/>
        </w:tabs>
        <w:autoSpaceDE w:val="0"/>
        <w:autoSpaceDN w:val="0"/>
        <w:spacing w:line="360" w:lineRule="auto"/>
        <w:ind w:firstLine="420" w:firstLineChars="200"/>
        <w:contextualSpacing/>
        <w:rPr>
          <w:color w:val="auto"/>
          <w:lang w:val="zh-CN"/>
        </w:rPr>
      </w:pPr>
      <w:r>
        <w:rPr>
          <w:rFonts w:hint="eastAsia" w:ascii="宋体" w:hAnsi="宋体" w:cs="仿宋_GB2312"/>
          <w:color w:val="auto"/>
          <w:szCs w:val="21"/>
        </w:rPr>
        <w:t>19.1 电子投标文件：成功上传至《全国公共资源交易平台（河南省·许昌市）》公共资源交易系统加密电子投标文件</w:t>
      </w:r>
      <w:r>
        <w:rPr>
          <w:rFonts w:hint="eastAsia" w:ascii="宋体" w:hAnsi="宋体" w:cs="仿宋_GB2312"/>
          <w:color w:val="auto"/>
          <w:szCs w:val="21"/>
          <w:lang w:val="en-US" w:eastAsia="zh-CN"/>
        </w:rPr>
        <w:t>1份（后缀格式为.XCSTF）</w:t>
      </w:r>
      <w:r>
        <w:rPr>
          <w:rFonts w:ascii="宋体" w:hAnsi="宋体" w:cs="仿宋_GB2312"/>
          <w:color w:val="auto"/>
          <w:szCs w:val="21"/>
        </w:rPr>
        <w:t>。</w:t>
      </w:r>
    </w:p>
    <w:p w14:paraId="2B89D1A9">
      <w:pPr>
        <w:pStyle w:val="23"/>
        <w:autoSpaceDE w:val="0"/>
        <w:autoSpaceDN w:val="0"/>
        <w:spacing w:line="360" w:lineRule="auto"/>
        <w:contextualSpacing/>
        <w:rPr>
          <w:rFonts w:ascii="宋体" w:cs="宋体"/>
          <w:bCs/>
          <w:color w:val="auto"/>
          <w:szCs w:val="21"/>
        </w:rPr>
      </w:pPr>
      <w:r>
        <w:rPr>
          <w:rFonts w:hint="eastAsia" w:ascii="宋体" w:hAnsi="宋体" w:cs="宋体"/>
          <w:color w:val="auto"/>
          <w:szCs w:val="21"/>
        </w:rPr>
        <w:t>19</w:t>
      </w:r>
      <w:r>
        <w:rPr>
          <w:rFonts w:hint="eastAsia" w:ascii="宋体" w:hAnsi="宋体" w:cs="宋体"/>
          <w:color w:val="auto"/>
          <w:szCs w:val="21"/>
          <w:lang w:val="zh-CN"/>
        </w:rPr>
        <w:t>.</w:t>
      </w:r>
      <w:r>
        <w:rPr>
          <w:rFonts w:hint="eastAsia" w:ascii="宋体" w:hAnsi="宋体" w:cs="宋体"/>
          <w:color w:val="auto"/>
          <w:szCs w:val="21"/>
        </w:rPr>
        <w:t>2</w:t>
      </w:r>
      <w:r>
        <w:rPr>
          <w:rFonts w:hint="eastAsia" w:ascii="宋体" w:hAnsi="宋体" w:cs="宋体"/>
          <w:b/>
          <w:color w:val="auto"/>
          <w:kern w:val="0"/>
          <w:szCs w:val="21"/>
        </w:rPr>
        <w:t>本项目采用“远程不见面”开标方式，</w:t>
      </w:r>
      <w:r>
        <w:rPr>
          <w:rFonts w:hint="eastAsia" w:ascii="宋体" w:hAnsi="宋体" w:cs="宋体"/>
          <w:color w:val="auto"/>
          <w:kern w:val="0"/>
          <w:szCs w:val="21"/>
        </w:rPr>
        <w:t>投标人无须到开标现场参加开标会议、无须现场提交有关原件资料；投标人在</w:t>
      </w:r>
      <w:r>
        <w:rPr>
          <w:rFonts w:hint="eastAsia" w:ascii="宋体" w:hAnsi="宋体" w:cs="宋体"/>
          <w:color w:val="auto"/>
          <w:szCs w:val="21"/>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cs="宋体"/>
          <w:color w:val="auto"/>
          <w:kern w:val="0"/>
          <w:szCs w:val="21"/>
        </w:rPr>
        <w:t>。</w:t>
      </w:r>
    </w:p>
    <w:p w14:paraId="2B89D1AA">
      <w:pPr>
        <w:autoSpaceDE w:val="0"/>
        <w:autoSpaceDN w:val="0"/>
        <w:spacing w:line="360" w:lineRule="auto"/>
        <w:ind w:firstLine="420" w:firstLineChars="200"/>
        <w:contextualSpacing/>
        <w:rPr>
          <w:rFonts w:ascii="宋体" w:cs="宋体"/>
          <w:bCs/>
          <w:color w:val="auto"/>
          <w:szCs w:val="21"/>
        </w:rPr>
      </w:pPr>
      <w:r>
        <w:rPr>
          <w:rFonts w:hint="eastAsia" w:ascii="宋体" w:hAnsi="宋体" w:cs="宋体"/>
          <w:color w:val="auto"/>
          <w:szCs w:val="21"/>
        </w:rPr>
        <w:t>19</w:t>
      </w:r>
      <w:r>
        <w:rPr>
          <w:rFonts w:ascii="宋体" w:hAnsi="宋体" w:cs="宋体"/>
          <w:color w:val="auto"/>
          <w:szCs w:val="21"/>
          <w:lang w:val="zh-CN"/>
        </w:rPr>
        <w:t>.</w:t>
      </w:r>
      <w:r>
        <w:rPr>
          <w:rFonts w:hint="eastAsia" w:ascii="宋体" w:hAnsi="宋体" w:cs="宋体"/>
          <w:color w:val="auto"/>
          <w:szCs w:val="21"/>
        </w:rPr>
        <w:t xml:space="preserve">3 </w:t>
      </w:r>
      <w:r>
        <w:rPr>
          <w:rFonts w:hint="eastAsia" w:ascii="宋体" w:hAnsi="宋体" w:cs="宋体"/>
          <w:bCs/>
          <w:color w:val="auto"/>
          <w:szCs w:val="21"/>
        </w:rPr>
        <w:t>招标人可以按本须知第</w:t>
      </w:r>
      <w:r>
        <w:rPr>
          <w:rFonts w:ascii="宋体" w:hAnsi="宋体" w:cs="宋体"/>
          <w:bCs/>
          <w:color w:val="auto"/>
          <w:szCs w:val="21"/>
        </w:rPr>
        <w:t>1</w:t>
      </w:r>
      <w:r>
        <w:rPr>
          <w:rFonts w:hint="eastAsia" w:ascii="宋体" w:hAnsi="宋体" w:cs="宋体"/>
          <w:bCs/>
          <w:color w:val="auto"/>
          <w:szCs w:val="21"/>
        </w:rPr>
        <w:t>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2B89D1AB">
      <w:pPr>
        <w:tabs>
          <w:tab w:val="left" w:pos="1260"/>
        </w:tabs>
        <w:autoSpaceDE w:val="0"/>
        <w:autoSpaceDN w:val="0"/>
        <w:spacing w:line="360" w:lineRule="auto"/>
        <w:contextualSpacing/>
        <w:rPr>
          <w:rFonts w:ascii="宋体" w:cs="宋体"/>
          <w:b/>
          <w:color w:val="auto"/>
          <w:szCs w:val="21"/>
          <w:lang w:val="zh-CN"/>
        </w:rPr>
      </w:pPr>
      <w:r>
        <w:rPr>
          <w:rFonts w:hint="eastAsia" w:ascii="宋体" w:hAnsi="宋体" w:cs="宋体"/>
          <w:b/>
          <w:color w:val="auto"/>
          <w:szCs w:val="21"/>
        </w:rPr>
        <w:t>20</w:t>
      </w:r>
      <w:r>
        <w:rPr>
          <w:rFonts w:ascii="宋体" w:hAnsi="宋体" w:cs="宋体"/>
          <w:b/>
          <w:color w:val="auto"/>
          <w:szCs w:val="21"/>
          <w:lang w:val="zh-CN"/>
        </w:rPr>
        <w:t xml:space="preserve">. </w:t>
      </w:r>
      <w:r>
        <w:rPr>
          <w:rFonts w:hint="eastAsia" w:ascii="宋体" w:hAnsi="宋体" w:cs="宋体"/>
          <w:b/>
          <w:color w:val="auto"/>
          <w:szCs w:val="21"/>
          <w:lang w:val="zh-CN"/>
        </w:rPr>
        <w:t>迟交的投标文件</w:t>
      </w:r>
    </w:p>
    <w:p w14:paraId="2B89D1AC">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投标截止时间之后上传的投标文件，招标人将拒绝接收。</w:t>
      </w:r>
    </w:p>
    <w:p w14:paraId="2B89D1AD">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1</w:t>
      </w:r>
      <w:r>
        <w:rPr>
          <w:rFonts w:ascii="宋体" w:hAnsi="宋体" w:cs="宋体"/>
          <w:b/>
          <w:color w:val="auto"/>
          <w:szCs w:val="21"/>
          <w:lang w:val="zh-CN"/>
        </w:rPr>
        <w:t xml:space="preserve">. </w:t>
      </w:r>
      <w:r>
        <w:rPr>
          <w:rFonts w:hint="eastAsia" w:ascii="宋体" w:hAnsi="宋体" w:cs="宋体"/>
          <w:b/>
          <w:color w:val="auto"/>
          <w:szCs w:val="21"/>
          <w:lang w:val="zh-CN"/>
        </w:rPr>
        <w:t>投标文件的修改和撤回</w:t>
      </w:r>
    </w:p>
    <w:p w14:paraId="2B89D1AE">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1</w:t>
      </w:r>
      <w:r>
        <w:rPr>
          <w:rFonts w:ascii="宋体" w:hAnsi="宋体" w:cs="宋体"/>
          <w:color w:val="auto"/>
          <w:szCs w:val="21"/>
          <w:lang w:val="zh-CN"/>
        </w:rPr>
        <w:t xml:space="preserve">.1 </w:t>
      </w:r>
      <w:r>
        <w:rPr>
          <w:rFonts w:hint="eastAsia" w:ascii="宋体" w:hAnsi="宋体" w:cs="宋体"/>
          <w:color w:val="auto"/>
          <w:szCs w:val="21"/>
        </w:rPr>
        <w:t>投标人应当在投标截止时间前完成电子投标文件的提交，可以补充、修改或撤回。投标截止时间前未完成电子投标文件提交、取得“投标文件提交回执单”的，视为撤回投标文件。</w:t>
      </w:r>
    </w:p>
    <w:p w14:paraId="2B89D1AF">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1</w:t>
      </w:r>
      <w:r>
        <w:rPr>
          <w:rFonts w:ascii="宋体" w:hAnsi="宋体" w:cs="宋体"/>
          <w:color w:val="auto"/>
          <w:szCs w:val="21"/>
          <w:lang w:val="zh-CN"/>
        </w:rPr>
        <w:t>.</w:t>
      </w:r>
      <w:r>
        <w:rPr>
          <w:rFonts w:hint="eastAsia" w:ascii="宋体" w:hAnsi="宋体" w:cs="宋体"/>
          <w:color w:val="auto"/>
          <w:szCs w:val="21"/>
        </w:rPr>
        <w:t>2</w:t>
      </w:r>
      <w:r>
        <w:rPr>
          <w:rFonts w:hint="eastAsia" w:ascii="宋体" w:hAnsi="宋体" w:cs="宋体"/>
          <w:color w:val="auto"/>
          <w:szCs w:val="21"/>
          <w:lang w:val="zh-CN"/>
        </w:rPr>
        <w:t>投标人在递交投标文件后，可以撤回其投标，但投标人必须在规定的投标截止时间前以书面形式告知招标人。</w:t>
      </w:r>
    </w:p>
    <w:p w14:paraId="2B89D1B0">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szCs w:val="21"/>
          <w:lang w:val="zh-CN"/>
        </w:rPr>
        <w:t>2</w:t>
      </w:r>
      <w:r>
        <w:rPr>
          <w:rFonts w:hint="eastAsia" w:ascii="宋体" w:hAnsi="宋体" w:cs="宋体"/>
          <w:color w:val="auto"/>
          <w:szCs w:val="21"/>
        </w:rPr>
        <w:t>1</w:t>
      </w:r>
      <w:r>
        <w:rPr>
          <w:rFonts w:ascii="宋体" w:hAnsi="宋体" w:cs="宋体"/>
          <w:color w:val="auto"/>
          <w:szCs w:val="21"/>
          <w:lang w:val="zh-CN"/>
        </w:rPr>
        <w:t>.</w:t>
      </w:r>
      <w:r>
        <w:rPr>
          <w:rFonts w:hint="eastAsia" w:ascii="宋体" w:hAnsi="宋体" w:cs="宋体"/>
          <w:color w:val="auto"/>
          <w:szCs w:val="21"/>
        </w:rPr>
        <w:t>3</w:t>
      </w:r>
      <w:r>
        <w:rPr>
          <w:rFonts w:hint="eastAsia" w:ascii="宋体" w:hAnsi="宋体" w:cs="宋体"/>
          <w:color w:val="auto"/>
          <w:kern w:val="0"/>
          <w:szCs w:val="21"/>
        </w:rPr>
        <w:t>投标人不得在投标有效期内撤销投标文件，否则招标人将不退还其投标保证金。</w:t>
      </w:r>
    </w:p>
    <w:p w14:paraId="2B89D1B1">
      <w:pPr>
        <w:autoSpaceDE w:val="0"/>
        <w:autoSpaceDN w:val="0"/>
        <w:spacing w:line="360" w:lineRule="auto"/>
        <w:contextualSpacing/>
        <w:rPr>
          <w:rFonts w:ascii="宋体" w:cs="宋体"/>
          <w:color w:val="auto"/>
          <w:kern w:val="0"/>
          <w:szCs w:val="21"/>
        </w:rPr>
      </w:pPr>
      <w:r>
        <w:rPr>
          <w:rFonts w:hint="eastAsia" w:ascii="宋体" w:hAnsi="宋体" w:cs="宋体"/>
          <w:b/>
          <w:color w:val="auto"/>
          <w:kern w:val="0"/>
          <w:szCs w:val="21"/>
          <w:lang w:eastAsia="zh-CN"/>
        </w:rPr>
        <w:t>22.</w:t>
      </w:r>
      <w:r>
        <w:rPr>
          <w:rFonts w:hint="eastAsia" w:ascii="宋体" w:hAnsi="宋体" w:cs="宋体"/>
          <w:b/>
          <w:color w:val="auto"/>
          <w:szCs w:val="21"/>
        </w:rPr>
        <w:t>除投标人须知前附表另有规定外，投标人所提交的电子投标文件不予退还。</w:t>
      </w:r>
    </w:p>
    <w:p w14:paraId="2B89D1B2">
      <w:pPr>
        <w:tabs>
          <w:tab w:val="left" w:pos="1260"/>
        </w:tabs>
        <w:autoSpaceDE w:val="0"/>
        <w:autoSpaceDN w:val="0"/>
        <w:spacing w:line="360" w:lineRule="auto"/>
        <w:contextualSpacing/>
        <w:jc w:val="center"/>
        <w:rPr>
          <w:rFonts w:ascii="宋体" w:cs="宋体"/>
          <w:b/>
          <w:color w:val="auto"/>
          <w:kern w:val="0"/>
          <w:szCs w:val="21"/>
        </w:rPr>
      </w:pPr>
      <w:r>
        <w:rPr>
          <w:rFonts w:hint="eastAsia" w:ascii="宋体" w:hAnsi="宋体" w:cs="宋体"/>
          <w:b/>
          <w:color w:val="auto"/>
          <w:kern w:val="0"/>
          <w:szCs w:val="21"/>
        </w:rPr>
        <w:t>五、开标和评标</w:t>
      </w:r>
    </w:p>
    <w:p w14:paraId="2B89D1B3">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3</w:t>
      </w:r>
      <w:r>
        <w:rPr>
          <w:rFonts w:ascii="宋体" w:hAnsi="宋体" w:cs="宋体"/>
          <w:b/>
          <w:color w:val="auto"/>
          <w:szCs w:val="21"/>
          <w:lang w:val="zh-CN"/>
        </w:rPr>
        <w:t xml:space="preserve">. </w:t>
      </w:r>
      <w:r>
        <w:rPr>
          <w:rFonts w:hint="eastAsia" w:ascii="宋体" w:hAnsi="宋体" w:cs="宋体"/>
          <w:b/>
          <w:color w:val="auto"/>
          <w:szCs w:val="21"/>
          <w:lang w:val="zh-CN"/>
        </w:rPr>
        <w:t>开标</w:t>
      </w:r>
    </w:p>
    <w:p w14:paraId="2B89D1B4">
      <w:pPr>
        <w:pStyle w:val="23"/>
        <w:autoSpaceDE w:val="0"/>
        <w:autoSpaceDN w:val="0"/>
        <w:spacing w:line="360" w:lineRule="auto"/>
        <w:contextualSpacing/>
        <w:rPr>
          <w:rFonts w:hint="eastAsia" w:cs="宋体" w:asciiTheme="minorEastAsia" w:hAnsiTheme="minorEastAsia"/>
          <w:color w:val="auto"/>
          <w:kern w:val="0"/>
          <w:szCs w:val="21"/>
        </w:rPr>
      </w:pPr>
      <w:r>
        <w:rPr>
          <w:rFonts w:hint="eastAsia" w:cs="宋体" w:asciiTheme="minorEastAsia" w:hAnsiTheme="minorEastAsia"/>
          <w:color w:val="auto"/>
          <w:kern w:val="0"/>
          <w:szCs w:val="21"/>
        </w:rPr>
        <w:t>23.1招标人将按招标文件规定的时间和地点组织远程不见面开标。开标由代理机构主持，投标人无须到现场。评标委员会成员不得参加开标活动。</w:t>
      </w:r>
    </w:p>
    <w:p w14:paraId="2B89D1B5">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rPr>
      </w:pPr>
      <w:r>
        <w:rPr>
          <w:rFonts w:hint="eastAsia" w:cs="宋体" w:asciiTheme="minorEastAsia" w:hAnsiTheme="minorEastAsia"/>
          <w:color w:val="auto"/>
          <w:kern w:val="0"/>
          <w:szCs w:val="21"/>
        </w:rPr>
        <w:t>23.2</w:t>
      </w:r>
      <w:r>
        <w:rPr>
          <w:rFonts w:hint="eastAsia" w:ascii="宋体" w:hAnsi="宋体" w:cs="宋体"/>
          <w:color w:val="auto"/>
          <w:kern w:val="0"/>
          <w:szCs w:val="21"/>
        </w:rPr>
        <w:t>开标程序</w:t>
      </w:r>
    </w:p>
    <w:p w14:paraId="2B89D1B6">
      <w:pPr>
        <w:numPr>
          <w:ilvl w:val="0"/>
          <w:numId w:val="13"/>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rPr>
      </w:pPr>
      <w:r>
        <w:rPr>
          <w:rFonts w:hint="eastAsia" w:ascii="宋体" w:hAnsi="宋体" w:cs="宋体"/>
          <w:color w:val="auto"/>
          <w:kern w:val="0"/>
          <w:szCs w:val="21"/>
        </w:rPr>
        <w:t>本项目采用远程“不见面”开标方式，投标前请详细阅读“全国公共资源交易平台（河南省·许昌市）”的“服务指南”栏目下《新交易平台使用手册》中的相关内容。</w:t>
      </w:r>
    </w:p>
    <w:p w14:paraId="2B89D1B7">
      <w:pPr>
        <w:numPr>
          <w:ilvl w:val="0"/>
          <w:numId w:val="13"/>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rPr>
      </w:pPr>
      <w:r>
        <w:rPr>
          <w:rFonts w:hint="eastAsia" w:ascii="宋体" w:hAnsi="宋体" w:cs="宋体"/>
          <w:color w:val="auto"/>
          <w:kern w:val="0"/>
          <w:szCs w:val="21"/>
        </w:rPr>
        <w:t xml:space="preserve"> 供应商应按新交易平台使用手册提前设置好浏览器，并于开标时间前登录本项目网上开标大厅，按照规定的开标时间准时参加网上开标。</w:t>
      </w:r>
    </w:p>
    <w:p w14:paraId="2B89D1B8">
      <w:pPr>
        <w:numPr>
          <w:ilvl w:val="0"/>
          <w:numId w:val="13"/>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rPr>
      </w:pPr>
      <w:r>
        <w:rPr>
          <w:rFonts w:hint="eastAsia" w:ascii="宋体" w:hAnsi="宋体" w:cs="宋体"/>
          <w:color w:val="auto"/>
          <w:kern w:val="0"/>
          <w:szCs w:val="21"/>
        </w:rPr>
        <w:t>根据开标大厅界面右侧“公告栏”中的系统提示，供应商应在“标书解密”环节完成解密操作。供应商未解密或因供应商原因解密失败的，其响应文件将被退回。</w:t>
      </w:r>
    </w:p>
    <w:p w14:paraId="2B89D1B9">
      <w:pPr>
        <w:numPr>
          <w:ilvl w:val="0"/>
          <w:numId w:val="13"/>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rPr>
      </w:pPr>
      <w:r>
        <w:rPr>
          <w:rFonts w:hint="eastAsia" w:ascii="宋体" w:hAnsi="宋体" w:cs="宋体"/>
          <w:color w:val="auto"/>
          <w:kern w:val="0"/>
          <w:szCs w:val="21"/>
        </w:rPr>
        <w:t>在“唱标”环节，供应商应对唱标信息进行确认，供应商未进行唱标确认操作的，视同认可唱标结果。</w:t>
      </w:r>
    </w:p>
    <w:p w14:paraId="2B89D1BA">
      <w:pPr>
        <w:numPr>
          <w:ilvl w:val="0"/>
          <w:numId w:val="13"/>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rPr>
      </w:pPr>
      <w:r>
        <w:rPr>
          <w:rFonts w:hint="eastAsia" w:ascii="宋体" w:hAnsi="宋体" w:cs="宋体"/>
          <w:color w:val="auto"/>
          <w:kern w:val="0"/>
          <w:szCs w:val="21"/>
        </w:rPr>
        <w:t xml:space="preserve"> 在“开标结束”环节，供应商应在《开标情况记录表》上进行电子签章。供应商未签章的，视同认可开标结果。</w:t>
      </w:r>
    </w:p>
    <w:p w14:paraId="2B89D1BB">
      <w:pPr>
        <w:numPr>
          <w:ilvl w:val="0"/>
          <w:numId w:val="13"/>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rPr>
      </w:pPr>
      <w:r>
        <w:rPr>
          <w:rFonts w:hint="eastAsia" w:ascii="宋体" w:hAnsi="宋体" w:cs="宋体"/>
          <w:color w:val="auto"/>
          <w:kern w:val="0"/>
          <w:szCs w:val="21"/>
        </w:rPr>
        <w:t>供应商对开标过程和开标记录如有异议，可在本项目开标大厅界面右下方“发起异议”中提出异议。</w:t>
      </w:r>
    </w:p>
    <w:p w14:paraId="2B89D1BC">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rPr>
      </w:pPr>
      <w:r>
        <w:rPr>
          <w:rFonts w:hint="eastAsia" w:ascii="宋体" w:hAnsi="宋体" w:cs="宋体"/>
          <w:color w:val="auto"/>
          <w:kern w:val="0"/>
          <w:szCs w:val="21"/>
        </w:rPr>
        <w:t>23.3采购人应当对开标、评标现场活动进行全程录音录像。录音录像应当清晰可辨，音像资料作为采购文件一并存档。</w:t>
      </w:r>
    </w:p>
    <w:p w14:paraId="2B89D1BD">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rPr>
      </w:pPr>
      <w:r>
        <w:rPr>
          <w:rFonts w:hint="eastAsia" w:ascii="宋体" w:hAnsi="宋体" w:cs="宋体"/>
          <w:color w:val="auto"/>
          <w:kern w:val="0"/>
          <w:szCs w:val="21"/>
        </w:rPr>
        <w:t>23.4投标人不足3家的，不得开标。</w:t>
      </w:r>
    </w:p>
    <w:p w14:paraId="2B89D1BE">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rPr>
      </w:pPr>
      <w:r>
        <w:rPr>
          <w:rFonts w:hint="eastAsia" w:ascii="宋体" w:hAnsi="宋体" w:cs="宋体"/>
          <w:color w:val="auto"/>
          <w:kern w:val="0"/>
          <w:szCs w:val="21"/>
        </w:rPr>
        <w:t>23.5开标过程由采购代理机构负责记录，《开标情况记录表》经投标人进行电子签章、由参加开标的采购人和监督人签字确认后随采购文件一并存档。投标人未电子签章的，视同认可开标结果。</w:t>
      </w:r>
    </w:p>
    <w:p w14:paraId="2B89D1BF">
      <w:pPr>
        <w:tabs>
          <w:tab w:val="left" w:pos="1260"/>
        </w:tabs>
        <w:autoSpaceDE w:val="0"/>
        <w:autoSpaceDN w:val="0"/>
        <w:spacing w:line="360" w:lineRule="auto"/>
        <w:contextualSpacing/>
        <w:rPr>
          <w:rFonts w:ascii="宋体" w:cs="宋体"/>
          <w:b/>
          <w:color w:val="auto"/>
          <w:szCs w:val="21"/>
          <w:lang w:val="zh-CN"/>
        </w:rPr>
      </w:pPr>
      <w:r>
        <w:rPr>
          <w:rFonts w:hint="eastAsia" w:ascii="宋体" w:hAnsi="宋体" w:cs="宋体"/>
          <w:b/>
          <w:color w:val="auto"/>
          <w:szCs w:val="21"/>
        </w:rPr>
        <w:t>24</w:t>
      </w:r>
      <w:r>
        <w:rPr>
          <w:rFonts w:ascii="宋体" w:hAnsi="宋体" w:cs="宋体"/>
          <w:b/>
          <w:color w:val="auto"/>
          <w:szCs w:val="21"/>
          <w:lang w:val="zh-CN"/>
        </w:rPr>
        <w:t xml:space="preserve">. </w:t>
      </w:r>
      <w:r>
        <w:rPr>
          <w:rFonts w:hint="eastAsia" w:ascii="宋体" w:hAnsi="宋体" w:cs="宋体"/>
          <w:b/>
          <w:color w:val="auto"/>
          <w:szCs w:val="21"/>
          <w:lang w:val="zh-CN"/>
        </w:rPr>
        <w:t>资格审查</w:t>
      </w:r>
    </w:p>
    <w:p w14:paraId="2B89D1C0">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bCs/>
          <w:color w:val="auto"/>
          <w:szCs w:val="21"/>
        </w:rPr>
        <w:t>开标结束后，采购人依法对投标人的资格进行审查。</w:t>
      </w:r>
      <w:r>
        <w:rPr>
          <w:rFonts w:hint="eastAsia" w:ascii="宋体" w:hAnsi="宋体" w:cs="宋体"/>
          <w:color w:val="auto"/>
          <w:szCs w:val="21"/>
          <w:lang w:val="zh-CN"/>
        </w:rPr>
        <w:t>合格投标人不足</w:t>
      </w:r>
      <w:r>
        <w:rPr>
          <w:rFonts w:ascii="宋体" w:hAnsi="宋体" w:cs="宋体"/>
          <w:color w:val="auto"/>
          <w:szCs w:val="21"/>
          <w:lang w:val="zh-CN"/>
        </w:rPr>
        <w:t>3</w:t>
      </w:r>
      <w:r>
        <w:rPr>
          <w:rFonts w:hint="eastAsia" w:ascii="宋体" w:hAnsi="宋体" w:cs="宋体"/>
          <w:color w:val="auto"/>
          <w:szCs w:val="21"/>
          <w:lang w:val="zh-CN"/>
        </w:rPr>
        <w:t>家的，不得评标。</w:t>
      </w:r>
    </w:p>
    <w:p w14:paraId="2B89D1C1">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5</w:t>
      </w:r>
      <w:r>
        <w:rPr>
          <w:rFonts w:ascii="宋体" w:cs="宋体"/>
          <w:b/>
          <w:color w:val="auto"/>
          <w:szCs w:val="21"/>
          <w:lang w:val="zh-CN"/>
        </w:rPr>
        <w:t>.</w:t>
      </w:r>
      <w:r>
        <w:rPr>
          <w:rFonts w:hint="eastAsia" w:ascii="宋体" w:hAnsi="宋体" w:cs="宋体"/>
          <w:b/>
          <w:color w:val="auto"/>
          <w:szCs w:val="21"/>
          <w:lang w:val="zh-CN"/>
        </w:rPr>
        <w:t>评标委员会的组成</w:t>
      </w:r>
    </w:p>
    <w:p w14:paraId="2B89D1C2">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25.</w:t>
      </w:r>
      <w:r>
        <w:rPr>
          <w:rFonts w:ascii="宋体" w:hAnsi="宋体" w:cs="宋体"/>
          <w:color w:val="auto"/>
          <w:szCs w:val="21"/>
          <w:lang w:val="zh-CN"/>
        </w:rPr>
        <w:t xml:space="preserve">1 </w:t>
      </w:r>
      <w:r>
        <w:rPr>
          <w:rFonts w:hint="eastAsia" w:ascii="宋体" w:hAnsi="宋体" w:cs="宋体"/>
          <w:color w:val="auto"/>
          <w:szCs w:val="21"/>
          <w:lang w:val="zh-CN"/>
        </w:rPr>
        <w:t>招标人将依法组建评标委员会，评标委员会由采购人代表和评审专家组成，成员人数应当为</w:t>
      </w:r>
      <w:r>
        <w:rPr>
          <w:rFonts w:ascii="宋体" w:hAnsi="宋体" w:cs="宋体"/>
          <w:color w:val="auto"/>
          <w:szCs w:val="21"/>
          <w:lang w:val="zh-CN"/>
        </w:rPr>
        <w:t>5</w:t>
      </w:r>
      <w:r>
        <w:rPr>
          <w:rFonts w:hint="eastAsia" w:ascii="宋体" w:hAnsi="宋体" w:cs="宋体"/>
          <w:color w:val="auto"/>
          <w:szCs w:val="21"/>
          <w:lang w:val="zh-CN"/>
        </w:rPr>
        <w:t>人以上单数，其中评审专家的人数不少于评标委员会成员总数的三分之二。评审专家依法从政府采购评审专家库中随机抽取。</w:t>
      </w:r>
    </w:p>
    <w:p w14:paraId="2B89D1C3">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.1.1 </w:t>
      </w:r>
      <w:r>
        <w:rPr>
          <w:rFonts w:hint="eastAsia" w:ascii="宋体" w:hAnsi="宋体" w:cs="宋体"/>
          <w:color w:val="auto"/>
          <w:szCs w:val="21"/>
          <w:lang w:val="zh-CN"/>
        </w:rPr>
        <w:t>采购项目符合下列情形之一的，评标委员会成员人数应当为</w:t>
      </w:r>
      <w:r>
        <w:rPr>
          <w:rFonts w:ascii="宋体" w:hAnsi="宋体" w:cs="宋体"/>
          <w:color w:val="auto"/>
          <w:szCs w:val="21"/>
          <w:lang w:val="zh-CN"/>
        </w:rPr>
        <w:t>7</w:t>
      </w:r>
      <w:r>
        <w:rPr>
          <w:rFonts w:hint="eastAsia" w:ascii="宋体" w:hAnsi="宋体" w:cs="宋体"/>
          <w:color w:val="auto"/>
          <w:szCs w:val="21"/>
          <w:lang w:val="zh-CN"/>
        </w:rPr>
        <w:t>人以上单数：</w:t>
      </w:r>
    </w:p>
    <w:p w14:paraId="2B89D1C4">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（一）采购预算金额在</w:t>
      </w:r>
      <w:r>
        <w:rPr>
          <w:rFonts w:ascii="宋体" w:hAnsi="宋体" w:cs="宋体"/>
          <w:color w:val="auto"/>
          <w:szCs w:val="21"/>
          <w:lang w:val="zh-CN"/>
        </w:rPr>
        <w:t>1000</w:t>
      </w:r>
      <w:r>
        <w:rPr>
          <w:rFonts w:hint="eastAsia" w:ascii="宋体" w:hAnsi="宋体" w:cs="宋体"/>
          <w:color w:val="auto"/>
          <w:szCs w:val="21"/>
          <w:lang w:val="zh-CN"/>
        </w:rPr>
        <w:t>万元以上；</w:t>
      </w:r>
    </w:p>
    <w:p w14:paraId="2B89D1C5">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（二）技术复杂；</w:t>
      </w:r>
    </w:p>
    <w:p w14:paraId="2B89D1C6">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（三）社会影响较大。</w:t>
      </w:r>
    </w:p>
    <w:p w14:paraId="2B89D1C7">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.2 </w:t>
      </w:r>
      <w:r>
        <w:rPr>
          <w:rFonts w:hint="eastAsia" w:ascii="宋体" w:hAnsi="宋体" w:cs="宋体"/>
          <w:color w:val="auto"/>
          <w:szCs w:val="21"/>
          <w:lang w:val="zh-CN"/>
        </w:rPr>
        <w:t>评审专家对本单位的采购项目只能作为采购人代表参与评标。采购代理机构工作人员不得参加由本机构代理的政府采购项目的评标。</w:t>
      </w:r>
    </w:p>
    <w:p w14:paraId="2B89D1C8">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.3 </w:t>
      </w:r>
      <w:r>
        <w:rPr>
          <w:rFonts w:hint="eastAsia" w:ascii="宋体" w:hAnsi="宋体" w:cs="宋体"/>
          <w:color w:val="auto"/>
          <w:szCs w:val="21"/>
          <w:lang w:val="zh-CN"/>
        </w:rPr>
        <w:t>评审专家与投标人存在下列利害关系之一的，应当回避：</w:t>
      </w:r>
    </w:p>
    <w:p w14:paraId="2B89D1C9">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（一）参加采购活动前三年内，与供应商存在劳动关系，或者担任过供应商的董事、监事，或者是供应商的控股股东或实际控制人；</w:t>
      </w:r>
    </w:p>
    <w:p w14:paraId="2B89D1CA">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（二）与供应商的法定代表人或者负责人有夫妻、直系血亲、三代以内旁系血亲或者近姻亲关系；</w:t>
      </w:r>
    </w:p>
    <w:p w14:paraId="2B89D1CB">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（三）与供应商有其他可能影响政府采购活动公平、公正进行的关系。</w:t>
      </w:r>
    </w:p>
    <w:p w14:paraId="2B89D1CC">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.4 </w:t>
      </w:r>
      <w:r>
        <w:rPr>
          <w:rFonts w:hint="eastAsia" w:ascii="宋体" w:hAnsi="宋体" w:cs="宋体"/>
          <w:color w:val="auto"/>
          <w:szCs w:val="21"/>
          <w:lang w:val="zh-CN"/>
        </w:rPr>
        <w:t>评审专家发现本人与参加采购活动的供应商有利害关系的，应当主动提出回避。采购人或者代理机构发现评审专家与参加采购活动的供应商有利害关系的，应当要求其回避。</w:t>
      </w:r>
    </w:p>
    <w:p w14:paraId="2B89D1CD">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.5 </w:t>
      </w:r>
      <w:r>
        <w:rPr>
          <w:rFonts w:hint="eastAsia" w:ascii="宋体" w:hAnsi="宋体" w:cs="宋体"/>
          <w:color w:val="auto"/>
          <w:szCs w:val="21"/>
          <w:lang w:val="zh-CN"/>
        </w:rPr>
        <w:t>采购人不得担任评标小组长。</w:t>
      </w:r>
    </w:p>
    <w:p w14:paraId="2B89D1CE">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.6 </w:t>
      </w:r>
      <w:r>
        <w:rPr>
          <w:rFonts w:hint="eastAsia" w:ascii="宋体" w:hAnsi="宋体" w:cs="宋体"/>
          <w:color w:val="auto"/>
          <w:szCs w:val="21"/>
          <w:lang w:val="zh-CN"/>
        </w:rPr>
        <w:t>采购人可以在评标前说明项目背景和采购需求，说明内容不得含有歧视性、倾向性意见，不得超出招标文件所述范围。说明应当提交书面材料，并随采购文件一并存档。</w:t>
      </w:r>
    </w:p>
    <w:p w14:paraId="2B89D1CF">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.7 </w:t>
      </w:r>
      <w:r>
        <w:rPr>
          <w:rFonts w:hint="eastAsia" w:ascii="宋体" w:hAnsi="宋体" w:cs="宋体"/>
          <w:color w:val="auto"/>
          <w:szCs w:val="21"/>
          <w:lang w:val="zh-CN"/>
        </w:rPr>
        <w:t>评标委员会成员名单在评标结果公告前应当保密。</w:t>
      </w:r>
    </w:p>
    <w:p w14:paraId="2B89D1D0">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6</w:t>
      </w:r>
      <w:r>
        <w:rPr>
          <w:rFonts w:ascii="宋体" w:hAnsi="宋体" w:cs="宋体"/>
          <w:b/>
          <w:color w:val="auto"/>
          <w:szCs w:val="21"/>
          <w:lang w:val="zh-CN"/>
        </w:rPr>
        <w:t xml:space="preserve">. </w:t>
      </w:r>
      <w:r>
        <w:rPr>
          <w:rFonts w:hint="eastAsia" w:ascii="宋体" w:hAnsi="宋体" w:cs="宋体"/>
          <w:b/>
          <w:color w:val="auto"/>
          <w:szCs w:val="21"/>
          <w:lang w:val="zh-CN"/>
        </w:rPr>
        <w:t>符合性审查</w:t>
      </w:r>
    </w:p>
    <w:p w14:paraId="2B89D1D1">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6</w:t>
      </w:r>
      <w:r>
        <w:rPr>
          <w:rFonts w:ascii="宋体" w:hAnsi="宋体" w:cs="宋体"/>
          <w:color w:val="auto"/>
          <w:szCs w:val="21"/>
          <w:lang w:val="zh-CN"/>
        </w:rPr>
        <w:t xml:space="preserve">.1 </w:t>
      </w:r>
      <w:r>
        <w:rPr>
          <w:rFonts w:hint="eastAsia" w:ascii="宋体" w:hAnsi="宋体" w:cs="宋体"/>
          <w:color w:val="auto"/>
          <w:szCs w:val="21"/>
          <w:lang w:val="zh-CN"/>
        </w:rPr>
        <w:t>评标委员会依据有关法律法规和招标文件的规定，对符合资格的投标人的投标文件进行符合性审查，以确定其是否满足招标文件的实质性要求。</w:t>
      </w:r>
    </w:p>
    <w:p w14:paraId="2B89D1D2">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6</w:t>
      </w:r>
      <w:r>
        <w:rPr>
          <w:rFonts w:ascii="宋体" w:hAnsi="宋体" w:cs="宋体"/>
          <w:color w:val="auto"/>
          <w:szCs w:val="21"/>
          <w:lang w:val="zh-CN"/>
        </w:rPr>
        <w:t xml:space="preserve">.2 </w:t>
      </w:r>
      <w:r>
        <w:rPr>
          <w:rFonts w:hint="eastAsia" w:ascii="宋体" w:hAnsi="宋体" w:cs="宋体"/>
          <w:color w:val="auto"/>
          <w:szCs w:val="21"/>
          <w:lang w:val="zh-CN"/>
        </w:rPr>
        <w:t>审查、评价投标文件是否符合招标文件的商务、技术等实质性要求。</w:t>
      </w:r>
    </w:p>
    <w:p w14:paraId="2B89D1D3">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6</w:t>
      </w:r>
      <w:r>
        <w:rPr>
          <w:rFonts w:ascii="宋体" w:hAnsi="宋体" w:cs="宋体"/>
          <w:color w:val="auto"/>
          <w:szCs w:val="21"/>
          <w:lang w:val="zh-CN"/>
        </w:rPr>
        <w:t xml:space="preserve">.3 </w:t>
      </w:r>
      <w:r>
        <w:rPr>
          <w:rFonts w:hint="eastAsia" w:ascii="宋体" w:hAnsi="宋体" w:cs="宋体"/>
          <w:color w:val="auto"/>
          <w:szCs w:val="21"/>
          <w:lang w:val="zh-CN"/>
        </w:rPr>
        <w:t>可要求投标人对投标文件有关事项作出澄清或者说明。</w:t>
      </w:r>
    </w:p>
    <w:p w14:paraId="2B89D1D4">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7</w:t>
      </w:r>
      <w:r>
        <w:rPr>
          <w:rFonts w:ascii="宋体" w:hAnsi="宋体" w:cs="宋体"/>
          <w:b/>
          <w:color w:val="auto"/>
          <w:szCs w:val="21"/>
          <w:lang w:val="zh-CN"/>
        </w:rPr>
        <w:t xml:space="preserve">. </w:t>
      </w:r>
      <w:r>
        <w:rPr>
          <w:rFonts w:hint="eastAsia" w:ascii="宋体" w:hAnsi="宋体" w:cs="宋体"/>
          <w:b/>
          <w:color w:val="auto"/>
          <w:szCs w:val="21"/>
          <w:lang w:val="zh-CN"/>
        </w:rPr>
        <w:t>投标文件的澄清</w:t>
      </w:r>
    </w:p>
    <w:p w14:paraId="2B89D1D5">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7</w:t>
      </w:r>
      <w:r>
        <w:rPr>
          <w:rFonts w:ascii="宋体" w:hAnsi="宋体" w:cs="宋体"/>
          <w:color w:val="auto"/>
          <w:szCs w:val="21"/>
          <w:lang w:val="zh-CN"/>
        </w:rPr>
        <w:t xml:space="preserve">.1 </w:t>
      </w:r>
      <w:r>
        <w:rPr>
          <w:rFonts w:hint="eastAsia" w:ascii="宋体" w:hAnsi="宋体" w:cs="宋体"/>
          <w:color w:val="auto"/>
          <w:szCs w:val="21"/>
          <w:lang w:val="zh-CN"/>
        </w:rPr>
        <w:t>对于投标文件中含义不明确、同类问题表述不一致或者有明显文字和计算错误的内容，评标委员会应当以书面形式要求投标人作出必要的澄清、说明或者补正。</w:t>
      </w:r>
    </w:p>
    <w:p w14:paraId="2B89D1D6">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27</w:t>
      </w:r>
      <w:r>
        <w:rPr>
          <w:rFonts w:ascii="宋体" w:hAnsi="宋体" w:cs="宋体"/>
          <w:color w:val="auto"/>
          <w:szCs w:val="21"/>
          <w:lang w:val="zh-CN"/>
        </w:rPr>
        <w:t xml:space="preserve">.2 </w:t>
      </w:r>
      <w:r>
        <w:rPr>
          <w:rFonts w:hint="eastAsia" w:ascii="宋体" w:hAnsi="宋体" w:cs="宋体"/>
          <w:color w:val="auto"/>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2B89D1D7">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7</w:t>
      </w:r>
      <w:r>
        <w:rPr>
          <w:rFonts w:ascii="宋体" w:hAnsi="宋体" w:cs="宋体"/>
          <w:color w:val="auto"/>
          <w:szCs w:val="21"/>
          <w:lang w:val="zh-CN"/>
        </w:rPr>
        <w:t xml:space="preserve">.3 </w:t>
      </w:r>
      <w:r>
        <w:rPr>
          <w:rFonts w:hint="eastAsia" w:ascii="宋体" w:hAnsi="宋体" w:cs="宋体"/>
          <w:color w:val="auto"/>
          <w:szCs w:val="21"/>
          <w:lang w:val="zh-CN"/>
        </w:rPr>
        <w:t>投标人的澄清文件是其投标文件的组成部分。</w:t>
      </w:r>
    </w:p>
    <w:p w14:paraId="2B89D1D8">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8</w:t>
      </w:r>
      <w:r>
        <w:rPr>
          <w:rFonts w:ascii="宋体" w:hAnsi="宋体" w:cs="宋体"/>
          <w:b/>
          <w:color w:val="auto"/>
          <w:szCs w:val="21"/>
          <w:lang w:val="zh-CN"/>
        </w:rPr>
        <w:t xml:space="preserve">. </w:t>
      </w:r>
      <w:r>
        <w:rPr>
          <w:rFonts w:hint="eastAsia" w:ascii="宋体" w:hAnsi="宋体" w:cs="宋体"/>
          <w:b/>
          <w:color w:val="auto"/>
          <w:szCs w:val="21"/>
          <w:lang w:val="zh-CN"/>
        </w:rPr>
        <w:t>投标文件报价出现前后不一致的修正</w:t>
      </w:r>
    </w:p>
    <w:p w14:paraId="2B89D1D9">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8</w:t>
      </w:r>
      <w:r>
        <w:rPr>
          <w:rFonts w:ascii="宋体" w:hAnsi="宋体" w:cs="宋体"/>
          <w:color w:val="auto"/>
          <w:szCs w:val="21"/>
          <w:lang w:val="zh-CN"/>
        </w:rPr>
        <w:t xml:space="preserve">.1 </w:t>
      </w:r>
      <w:r>
        <w:rPr>
          <w:rFonts w:hint="eastAsia" w:ascii="宋体" w:hAnsi="宋体" w:cs="宋体"/>
          <w:color w:val="auto"/>
          <w:szCs w:val="21"/>
          <w:lang w:val="zh-CN"/>
        </w:rPr>
        <w:t>投标文件中开标一览表（报价表）内容与投标文件中相应内容不一致的，以开标一览表（报价表）为准；</w:t>
      </w:r>
    </w:p>
    <w:p w14:paraId="2B89D1DA">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8</w:t>
      </w:r>
      <w:r>
        <w:rPr>
          <w:rFonts w:ascii="宋体" w:hAnsi="宋体" w:cs="宋体"/>
          <w:color w:val="auto"/>
          <w:szCs w:val="21"/>
          <w:lang w:val="zh-CN"/>
        </w:rPr>
        <w:t xml:space="preserve">.2 </w:t>
      </w:r>
      <w:r>
        <w:rPr>
          <w:rFonts w:hint="eastAsia" w:ascii="宋体" w:hAnsi="宋体" w:cs="宋体"/>
          <w:color w:val="auto"/>
          <w:szCs w:val="21"/>
          <w:lang w:val="zh-CN"/>
        </w:rPr>
        <w:t>大写金额和小写金额不一致的，以大写金额为准；</w:t>
      </w:r>
    </w:p>
    <w:p w14:paraId="2B89D1DB">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8</w:t>
      </w:r>
      <w:r>
        <w:rPr>
          <w:rFonts w:ascii="宋体" w:hAnsi="宋体" w:cs="宋体"/>
          <w:color w:val="auto"/>
          <w:szCs w:val="21"/>
          <w:lang w:val="zh-CN"/>
        </w:rPr>
        <w:t xml:space="preserve">.3 </w:t>
      </w:r>
      <w:r>
        <w:rPr>
          <w:rFonts w:hint="eastAsia" w:ascii="宋体" w:hAnsi="宋体" w:cs="宋体"/>
          <w:color w:val="auto"/>
          <w:szCs w:val="21"/>
          <w:lang w:val="zh-CN"/>
        </w:rPr>
        <w:t>单价金额小数点或者百分比有明显错位的，以开标一览表的总价为准，并修改单价；</w:t>
      </w:r>
    </w:p>
    <w:p w14:paraId="2B89D1DC">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8</w:t>
      </w:r>
      <w:r>
        <w:rPr>
          <w:rFonts w:ascii="宋体" w:hAnsi="宋体" w:cs="宋体"/>
          <w:color w:val="auto"/>
          <w:szCs w:val="21"/>
          <w:lang w:val="zh-CN"/>
        </w:rPr>
        <w:t xml:space="preserve">.4 </w:t>
      </w:r>
      <w:r>
        <w:rPr>
          <w:rFonts w:hint="eastAsia" w:ascii="宋体" w:hAnsi="宋体" w:cs="宋体"/>
          <w:color w:val="auto"/>
          <w:szCs w:val="21"/>
          <w:lang w:val="zh-CN"/>
        </w:rPr>
        <w:t>总价金额与按单价汇总金额不一致的，以单价金额计算结果为准。同时出现两种以上不一致的，按照前款规定的顺序修正。修正后的报价按照“投标人须知”</w:t>
      </w:r>
      <w:r>
        <w:rPr>
          <w:rFonts w:ascii="宋体" w:hAnsi="宋体" w:cs="宋体"/>
          <w:color w:val="auto"/>
          <w:szCs w:val="21"/>
          <w:lang w:val="zh-CN"/>
        </w:rPr>
        <w:t>2</w:t>
      </w:r>
      <w:r>
        <w:rPr>
          <w:rFonts w:ascii="宋体" w:hAnsi="宋体" w:cs="宋体"/>
          <w:color w:val="auto"/>
          <w:szCs w:val="21"/>
        </w:rPr>
        <w:t>8</w:t>
      </w:r>
      <w:r>
        <w:rPr>
          <w:rFonts w:ascii="宋体" w:hAnsi="宋体" w:cs="宋体"/>
          <w:color w:val="auto"/>
          <w:szCs w:val="21"/>
          <w:lang w:val="zh-CN"/>
        </w:rPr>
        <w:t>.2</w:t>
      </w:r>
      <w:r>
        <w:rPr>
          <w:rFonts w:hint="eastAsia" w:ascii="宋体" w:hAnsi="宋体" w:cs="宋体"/>
          <w:color w:val="auto"/>
          <w:szCs w:val="21"/>
          <w:lang w:val="zh-CN"/>
        </w:rPr>
        <w:t>规定经投标人确认后产生约束力，投标人不确认的，其投标无效。</w:t>
      </w:r>
    </w:p>
    <w:p w14:paraId="2B89D1DD">
      <w:pPr>
        <w:tabs>
          <w:tab w:val="left" w:pos="1260"/>
        </w:tabs>
        <w:autoSpaceDE w:val="0"/>
        <w:autoSpaceDN w:val="0"/>
        <w:spacing w:line="360" w:lineRule="auto"/>
        <w:contextualSpacing/>
        <w:rPr>
          <w:rFonts w:hint="eastAsia" w:asciiTheme="minorEastAsia" w:hAnsiTheme="minorEastAsia" w:cstheme="minorEastAsia"/>
          <w:b/>
          <w:color w:val="auto"/>
          <w:szCs w:val="21"/>
          <w:lang w:val="zh-CN"/>
        </w:rPr>
      </w:pPr>
      <w:r>
        <w:rPr>
          <w:rFonts w:hint="eastAsia" w:asciiTheme="minorEastAsia" w:hAnsiTheme="minorEastAsia" w:cstheme="minorEastAsia"/>
          <w:b/>
          <w:color w:val="auto"/>
          <w:szCs w:val="21"/>
        </w:rPr>
        <w:t>29</w:t>
      </w:r>
      <w:r>
        <w:rPr>
          <w:rFonts w:hint="eastAsia" w:asciiTheme="minorEastAsia" w:hAnsiTheme="minorEastAsia" w:cstheme="minorEastAsia"/>
          <w:b/>
          <w:color w:val="auto"/>
          <w:szCs w:val="21"/>
          <w:lang w:val="zh-CN"/>
        </w:rPr>
        <w:t>.投标无效情形</w:t>
      </w:r>
    </w:p>
    <w:p w14:paraId="2B89D1DE">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.1 投标文件属下列情况之一的，按照无效投标处理：</w:t>
      </w:r>
    </w:p>
    <w:p w14:paraId="2B89D1D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.1.1 未按照招标文件的规定提供投标承诺函的；</w:t>
      </w:r>
    </w:p>
    <w:p w14:paraId="2B89D1E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29.1.2未按照招标文件的规定提交《禹州市政府采购供应商信用承诺函》的；</w:t>
      </w:r>
    </w:p>
    <w:p w14:paraId="2B89D1E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.1.3投标文件未按招标文件要求签署、盖章的；</w:t>
      </w:r>
    </w:p>
    <w:p w14:paraId="2B89D1E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.1.4不具备招标文件中规定的资格要求的；</w:t>
      </w:r>
    </w:p>
    <w:p w14:paraId="2B89D1E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.1.5报价超过招标文件中规定的预算金额或者最高限价的；</w:t>
      </w:r>
    </w:p>
    <w:p w14:paraId="2B89D1E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.1.6投标文件内容模糊</w:t>
      </w:r>
      <w:r>
        <w:rPr>
          <w:rFonts w:hint="eastAsia" w:asciiTheme="minorEastAsia" w:hAnsiTheme="minorEastAsia" w:cstheme="minorEastAsia"/>
          <w:color w:val="auto"/>
          <w:szCs w:val="21"/>
        </w:rPr>
        <w:t>不</w:t>
      </w:r>
      <w:r>
        <w:rPr>
          <w:rFonts w:hint="eastAsia" w:asciiTheme="minorEastAsia" w:hAnsiTheme="minorEastAsia" w:cstheme="minorEastAsia"/>
          <w:color w:val="auto"/>
          <w:szCs w:val="21"/>
          <w:lang w:val="zh-CN"/>
        </w:rPr>
        <w:t>清，无法辨认的；</w:t>
      </w:r>
    </w:p>
    <w:p w14:paraId="2B89D1E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.1.7投标文件含有采购人不能接受的附加条件的。</w:t>
      </w:r>
    </w:p>
    <w:p w14:paraId="2B89D1E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.2 有下列情形之一的，视为投标人串通投标，其投标无效：</w:t>
      </w:r>
    </w:p>
    <w:p w14:paraId="2B89D1E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.2.1 不同投标人的投标文件由同一单位或者个人编制；</w:t>
      </w:r>
    </w:p>
    <w:p w14:paraId="2B89D1E8">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.2.2 不同投标人委托同一单位或者个人办理投标事宜；</w:t>
      </w:r>
    </w:p>
    <w:p w14:paraId="2B89D1E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.2.3 不同投标人的投标文件载明的项目管理成员或者联系人员为同一人；</w:t>
      </w:r>
    </w:p>
    <w:p w14:paraId="2B89D1E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.2.4 不同投标人的投标文件异常一致或者投标报价呈规律性差异；</w:t>
      </w:r>
    </w:p>
    <w:p w14:paraId="2B89D1E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.2.5 不同投标人的投标文件相互混装；</w:t>
      </w:r>
    </w:p>
    <w:p w14:paraId="2B89D1EC">
      <w:pPr>
        <w:pStyle w:val="1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29</w:t>
      </w:r>
      <w:r>
        <w:rPr>
          <w:rFonts w:hint="eastAsia" w:asciiTheme="minorEastAsia" w:hAnsiTheme="minorEastAsia" w:eastAsiaTheme="minorEastAsia" w:cstheme="minorEastAsia"/>
          <w:color w:val="auto"/>
          <w:sz w:val="21"/>
          <w:szCs w:val="21"/>
          <w:lang w:val="zh-CN"/>
        </w:rPr>
        <w:t>.3</w:t>
      </w:r>
      <w:r>
        <w:rPr>
          <w:rFonts w:hint="eastAsia" w:asciiTheme="minorEastAsia" w:hAnsiTheme="minorEastAsia" w:eastAsiaTheme="minorEastAsia" w:cstheme="minorEastAsia"/>
          <w:color w:val="auto"/>
          <w:sz w:val="21"/>
          <w:szCs w:val="21"/>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89D1ED">
      <w:pPr>
        <w:pStyle w:val="1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（一）提供虚假材料谋取中标、成交的；</w:t>
      </w:r>
    </w:p>
    <w:p w14:paraId="2B89D1EE">
      <w:pPr>
        <w:pStyle w:val="1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（二）采取不正当手段诋毁、排挤其他供应商的；</w:t>
      </w:r>
    </w:p>
    <w:p w14:paraId="2B89D1EF">
      <w:pPr>
        <w:pStyle w:val="1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（三）与采购人、其他供应商或者采购代理机构恶意串通的；</w:t>
      </w:r>
    </w:p>
    <w:p w14:paraId="2B89D1F0">
      <w:pPr>
        <w:pStyle w:val="1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（四）向采购人、采购代理机构行贿或者提供其他不正当利益的；</w:t>
      </w:r>
    </w:p>
    <w:p w14:paraId="2B89D1F1">
      <w:pPr>
        <w:pStyle w:val="1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（五）在招标采购过程中与采购人进行协商谈判的；</w:t>
      </w:r>
    </w:p>
    <w:p w14:paraId="2B89D1F2">
      <w:pPr>
        <w:pStyle w:val="1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（六）拒绝有关部门监督检查或者提供虚假情况的。</w:t>
      </w:r>
    </w:p>
    <w:p w14:paraId="2B89D1F3">
      <w:pPr>
        <w:pStyle w:val="10"/>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投标人有前款第（一）至（五）项情形之一的，中标、成交无效。</w:t>
      </w:r>
    </w:p>
    <w:p w14:paraId="2B89D1F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2B89D1F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.5 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89D1F6">
      <w:pPr>
        <w:pStyle w:val="23"/>
        <w:autoSpaceDE w:val="0"/>
        <w:autoSpaceDN w:val="0"/>
        <w:spacing w:line="360" w:lineRule="auto"/>
        <w:contextualSpacing/>
        <w:rPr>
          <w:rFonts w:hint="eastAsia" w:asciiTheme="minorEastAsia" w:hAnsiTheme="minorEastAsia" w:cstheme="minorEastAsia"/>
          <w:color w:val="auto"/>
          <w:lang w:val="zh-CN"/>
        </w:rPr>
      </w:pPr>
      <w:r>
        <w:rPr>
          <w:rFonts w:hint="eastAsia" w:asciiTheme="minorEastAsia" w:hAnsiTheme="minorEastAsia" w:cstheme="minorEastAsia"/>
          <w:color w:val="auto"/>
          <w:szCs w:val="21"/>
        </w:rPr>
        <w:t>29.6 按照</w:t>
      </w:r>
      <w:r>
        <w:rPr>
          <w:rFonts w:hint="eastAsia" w:asciiTheme="minorEastAsia" w:hAnsiTheme="minorEastAsia" w:cstheme="minorEastAsia"/>
          <w:color w:val="auto"/>
        </w:rPr>
        <w:t>《关于推进全流程电子化交易和在线监管工作有关问题的通知》（许公管办〔2019〕3号）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2B89D1F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29</w:t>
      </w:r>
      <w:r>
        <w:rPr>
          <w:rFonts w:hint="eastAsia" w:asciiTheme="minorEastAsia" w:hAnsiTheme="minorEastAsia" w:cstheme="minorEastAsia"/>
          <w:color w:val="auto"/>
          <w:szCs w:val="21"/>
          <w:lang w:val="zh-CN"/>
        </w:rPr>
        <w:t>.</w:t>
      </w:r>
      <w:r>
        <w:rPr>
          <w:rFonts w:hint="eastAsia" w:asciiTheme="minorEastAsia" w:hAnsiTheme="minorEastAsia" w:cstheme="minorEastAsia"/>
          <w:color w:val="auto"/>
          <w:szCs w:val="21"/>
        </w:rPr>
        <w:t xml:space="preserve">7 </w:t>
      </w:r>
      <w:r>
        <w:rPr>
          <w:rFonts w:hint="eastAsia" w:asciiTheme="minorEastAsia" w:hAnsiTheme="minorEastAsia" w:cstheme="minorEastAsia"/>
          <w:color w:val="auto"/>
          <w:szCs w:val="21"/>
          <w:lang w:val="zh-CN"/>
        </w:rPr>
        <w:t>法律法规和招标文件规定的其他无效情形。</w:t>
      </w:r>
    </w:p>
    <w:p w14:paraId="2B89D1F8">
      <w:pPr>
        <w:tabs>
          <w:tab w:val="left" w:pos="1260"/>
        </w:tabs>
        <w:autoSpaceDE w:val="0"/>
        <w:autoSpaceDN w:val="0"/>
        <w:spacing w:line="360" w:lineRule="auto"/>
        <w:contextualSpacing/>
        <w:rPr>
          <w:rFonts w:hint="eastAsia" w:asciiTheme="minorEastAsia" w:hAnsiTheme="minorEastAsia" w:cstheme="minorEastAsia"/>
          <w:b/>
          <w:bCs/>
          <w:color w:val="auto"/>
          <w:szCs w:val="21"/>
          <w:lang w:val="zh-CN"/>
        </w:rPr>
      </w:pPr>
      <w:r>
        <w:rPr>
          <w:rFonts w:hint="eastAsia" w:asciiTheme="minorEastAsia" w:hAnsiTheme="minorEastAsia" w:cstheme="minorEastAsia"/>
          <w:b/>
          <w:bCs/>
          <w:color w:val="auto"/>
          <w:szCs w:val="21"/>
        </w:rPr>
        <w:t>30</w:t>
      </w:r>
      <w:r>
        <w:rPr>
          <w:rFonts w:hint="eastAsia" w:asciiTheme="minorEastAsia" w:hAnsiTheme="minorEastAsia" w:cstheme="minorEastAsia"/>
          <w:b/>
          <w:bCs/>
          <w:color w:val="auto"/>
          <w:szCs w:val="21"/>
          <w:lang w:val="zh-CN"/>
        </w:rPr>
        <w:t>.相同品牌投标人的认定（服务类项目不适用本条款规定）</w:t>
      </w:r>
    </w:p>
    <w:p w14:paraId="2B89D1F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30</w:t>
      </w:r>
      <w:r>
        <w:rPr>
          <w:rFonts w:hint="eastAsia" w:asciiTheme="minorEastAsia" w:hAnsiTheme="minorEastAsia" w:cstheme="minorEastAsia"/>
          <w:color w:val="auto"/>
          <w:szCs w:val="21"/>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B89D1F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30</w:t>
      </w:r>
      <w:r>
        <w:rPr>
          <w:rFonts w:hint="eastAsia" w:asciiTheme="minorEastAsia" w:hAnsiTheme="minorEastAsia" w:cstheme="minorEastAsia"/>
          <w:color w:val="auto"/>
          <w:szCs w:val="21"/>
          <w:lang w:val="zh-CN"/>
        </w:rPr>
        <w:t>.2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89D1FB">
      <w:pPr>
        <w:tabs>
          <w:tab w:val="left" w:pos="1260"/>
        </w:tabs>
        <w:autoSpaceDE w:val="0"/>
        <w:autoSpaceDN w:val="0"/>
        <w:spacing w:line="360" w:lineRule="auto"/>
        <w:contextualSpacing/>
        <w:rPr>
          <w:rFonts w:hint="eastAsia" w:asciiTheme="minorEastAsia" w:hAnsiTheme="minorEastAsia" w:cstheme="minorEastAsia"/>
          <w:b/>
          <w:color w:val="auto"/>
          <w:szCs w:val="21"/>
          <w:lang w:val="zh-CN"/>
        </w:rPr>
      </w:pPr>
      <w:r>
        <w:rPr>
          <w:rFonts w:hint="eastAsia" w:asciiTheme="minorEastAsia" w:hAnsiTheme="minorEastAsia" w:cstheme="minorEastAsia"/>
          <w:b/>
          <w:color w:val="auto"/>
          <w:szCs w:val="21"/>
        </w:rPr>
        <w:t>31</w:t>
      </w:r>
      <w:r>
        <w:rPr>
          <w:rFonts w:hint="eastAsia" w:asciiTheme="minorEastAsia" w:hAnsiTheme="minorEastAsia" w:cstheme="minorEastAsia"/>
          <w:b/>
          <w:color w:val="auto"/>
          <w:szCs w:val="21"/>
          <w:lang w:val="zh-CN"/>
        </w:rPr>
        <w:t>. 投标文件的比较与评价</w:t>
      </w:r>
    </w:p>
    <w:p w14:paraId="2B89D1FC">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评标委员会按照招标文件中规定的评标方法和标准，对符合性审查合格的投标文件进行商务和技术评估，综合比较与评价。</w:t>
      </w:r>
    </w:p>
    <w:p w14:paraId="2B89D1FD">
      <w:pPr>
        <w:tabs>
          <w:tab w:val="left" w:pos="1260"/>
        </w:tabs>
        <w:autoSpaceDE w:val="0"/>
        <w:autoSpaceDN w:val="0"/>
        <w:spacing w:line="360" w:lineRule="auto"/>
        <w:contextualSpacing/>
        <w:rPr>
          <w:rFonts w:hint="eastAsia" w:asciiTheme="minorEastAsia" w:hAnsiTheme="minorEastAsia" w:cstheme="minorEastAsia"/>
          <w:b/>
          <w:color w:val="auto"/>
          <w:szCs w:val="21"/>
          <w:lang w:val="zh-CN"/>
        </w:rPr>
      </w:pPr>
      <w:r>
        <w:rPr>
          <w:rFonts w:hint="eastAsia" w:asciiTheme="minorEastAsia" w:hAnsiTheme="minorEastAsia" w:cstheme="minorEastAsia"/>
          <w:b/>
          <w:color w:val="auto"/>
          <w:szCs w:val="21"/>
          <w:lang w:val="zh-CN"/>
        </w:rPr>
        <w:t>32. 投标文件出现前后不一致的修正</w:t>
      </w:r>
    </w:p>
    <w:p w14:paraId="2B89D1FE">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32.1 投标文件中开标一览表内容与投标文件中相应内容不一致的，以开标一览表为准；</w:t>
      </w:r>
    </w:p>
    <w:p w14:paraId="2B89D1FF">
      <w:pPr>
        <w:tabs>
          <w:tab w:val="left" w:pos="1260"/>
        </w:tabs>
        <w:autoSpaceDE w:val="0"/>
        <w:autoSpaceDN w:val="0"/>
        <w:spacing w:line="360" w:lineRule="auto"/>
        <w:contextualSpacing/>
        <w:rPr>
          <w:rFonts w:hint="eastAsia" w:asciiTheme="minorEastAsia" w:hAnsiTheme="minorEastAsia" w:cstheme="minorEastAsia"/>
          <w:b/>
          <w:color w:val="auto"/>
          <w:szCs w:val="21"/>
          <w:lang w:val="zh-CN"/>
        </w:rPr>
      </w:pPr>
      <w:r>
        <w:rPr>
          <w:rFonts w:hint="eastAsia" w:asciiTheme="minorEastAsia" w:hAnsiTheme="minorEastAsia" w:cstheme="minorEastAsia"/>
          <w:b/>
          <w:color w:val="auto"/>
          <w:szCs w:val="21"/>
          <w:lang w:val="zh-CN"/>
        </w:rPr>
        <w:t>3</w:t>
      </w:r>
      <w:r>
        <w:rPr>
          <w:rFonts w:hint="eastAsia" w:asciiTheme="minorEastAsia" w:hAnsiTheme="minorEastAsia" w:cstheme="minorEastAsia"/>
          <w:b/>
          <w:color w:val="auto"/>
          <w:szCs w:val="21"/>
        </w:rPr>
        <w:t>3</w:t>
      </w:r>
      <w:r>
        <w:rPr>
          <w:rFonts w:hint="eastAsia" w:asciiTheme="minorEastAsia" w:hAnsiTheme="minorEastAsia" w:cstheme="minorEastAsia"/>
          <w:b/>
          <w:color w:val="auto"/>
          <w:szCs w:val="21"/>
          <w:lang w:val="zh-CN"/>
        </w:rPr>
        <w:t>.评标方法、评标标准</w:t>
      </w:r>
    </w:p>
    <w:p w14:paraId="2B89D20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3</w:t>
      </w:r>
      <w:r>
        <w:rPr>
          <w:rFonts w:hint="eastAsia" w:asciiTheme="minorEastAsia" w:hAnsiTheme="minorEastAsia" w:cstheme="minorEastAsia"/>
          <w:color w:val="auto"/>
          <w:szCs w:val="21"/>
          <w:lang w:val="zh-CN"/>
        </w:rPr>
        <w:t>.1 评标方法分为最低评标价法和综合评分法。</w:t>
      </w:r>
    </w:p>
    <w:p w14:paraId="2B89D20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3</w:t>
      </w:r>
      <w:r>
        <w:rPr>
          <w:rFonts w:hint="eastAsia" w:asciiTheme="minorEastAsia" w:hAnsiTheme="minorEastAsia" w:cstheme="minorEastAsia"/>
          <w:color w:val="auto"/>
          <w:szCs w:val="21"/>
          <w:lang w:val="zh-CN"/>
        </w:rPr>
        <w:t>.1.1 最低评标价法</w:t>
      </w:r>
    </w:p>
    <w:p w14:paraId="2B89D20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33</w:t>
      </w:r>
      <w:r>
        <w:rPr>
          <w:rFonts w:hint="eastAsia" w:asciiTheme="minorEastAsia" w:hAnsiTheme="minorEastAsia" w:cstheme="minorEastAsia"/>
          <w:color w:val="auto"/>
          <w:szCs w:val="21"/>
          <w:lang w:val="zh-CN"/>
        </w:rPr>
        <w:t>.1.1.1 最低评标价法，是指投标文件满足招标文件全部实质性要求，且投标报价最低的投标人为中标候选人的评标方法。</w:t>
      </w:r>
    </w:p>
    <w:p w14:paraId="2B89D20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3</w:t>
      </w:r>
      <w:r>
        <w:rPr>
          <w:rFonts w:hint="eastAsia" w:asciiTheme="minorEastAsia" w:hAnsiTheme="minorEastAsia" w:cstheme="minorEastAsia"/>
          <w:color w:val="auto"/>
          <w:szCs w:val="21"/>
          <w:lang w:val="zh-CN"/>
        </w:rPr>
        <w:t>.1.1.2 采用最低评标价法评标时，除了算术修正和落实政府采购政策需进行的价格扣除外，不能对投标人的投标价格进行任何调整。</w:t>
      </w:r>
    </w:p>
    <w:p w14:paraId="2B89D20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33.1.2 综合评分法，是指投标文件满足招标文件全部实质性要求，且按照评审因素的量化指标评审得分最高的投标人为中标候选人的评标方法。</w:t>
      </w:r>
    </w:p>
    <w:p w14:paraId="2B89D20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3</w:t>
      </w:r>
      <w:r>
        <w:rPr>
          <w:rFonts w:hint="eastAsia" w:asciiTheme="minorEastAsia" w:hAnsiTheme="minorEastAsia" w:cstheme="minorEastAsia"/>
          <w:color w:val="auto"/>
          <w:szCs w:val="21"/>
          <w:lang w:val="zh-CN"/>
        </w:rPr>
        <w:t>.2 价格分</w:t>
      </w:r>
    </w:p>
    <w:p w14:paraId="2B89D20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3</w:t>
      </w:r>
      <w:r>
        <w:rPr>
          <w:rFonts w:hint="eastAsia" w:asciiTheme="minorEastAsia" w:hAnsiTheme="minorEastAsia" w:cstheme="minorEastAsia"/>
          <w:color w:val="auto"/>
          <w:szCs w:val="21"/>
          <w:lang w:val="zh-CN"/>
        </w:rPr>
        <w:t>.2.1 价格分采用低价优先法计算，即满足招标文件要求且投标价格最低的投标报价为评标基准价，其价格分为满分。其他投标人的价格分统一按照下列公式计算：</w:t>
      </w:r>
    </w:p>
    <w:p w14:paraId="2B89D207">
      <w:pPr>
        <w:tabs>
          <w:tab w:val="left" w:pos="1260"/>
        </w:tabs>
        <w:autoSpaceDE w:val="0"/>
        <w:autoSpaceDN w:val="0"/>
        <w:spacing w:line="360" w:lineRule="auto"/>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投标报价得分=（评标基准价/投标报价）×100</w:t>
      </w:r>
    </w:p>
    <w:p w14:paraId="2B89D208">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评标总得分=F1×A1+F2×A2+……+Fn×An</w:t>
      </w:r>
    </w:p>
    <w:p w14:paraId="2B89D20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F1、F2……Fn分别为各项评审因素的得分；</w:t>
      </w:r>
    </w:p>
    <w:p w14:paraId="2B89D20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A1、A2、……An 分别为各项评审因素所占的权重（A1+A2+……+An=1）。</w:t>
      </w:r>
    </w:p>
    <w:p w14:paraId="2B89D20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3</w:t>
      </w:r>
      <w:r>
        <w:rPr>
          <w:rFonts w:hint="eastAsia" w:asciiTheme="minorEastAsia" w:hAnsiTheme="minorEastAsia" w:cstheme="minorEastAsia"/>
          <w:color w:val="auto"/>
          <w:szCs w:val="21"/>
          <w:lang w:val="zh-CN"/>
        </w:rPr>
        <w:t>.2.2 评标过程中，不得去掉报价中的最高报价和最低报价。</w:t>
      </w:r>
    </w:p>
    <w:p w14:paraId="2B89D20C">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3</w:t>
      </w:r>
      <w:r>
        <w:rPr>
          <w:rFonts w:hint="eastAsia" w:asciiTheme="minorEastAsia" w:hAnsiTheme="minorEastAsia" w:cstheme="minorEastAsia"/>
          <w:color w:val="auto"/>
          <w:szCs w:val="21"/>
          <w:lang w:val="zh-CN"/>
        </w:rPr>
        <w:t>.2.3 因落实政府采购政策进行价格调整的，以调整后的价格计算评标基准价和投标报价。</w:t>
      </w:r>
    </w:p>
    <w:p w14:paraId="2B89D20D">
      <w:pPr>
        <w:tabs>
          <w:tab w:val="left" w:pos="1260"/>
        </w:tabs>
        <w:autoSpaceDE w:val="0"/>
        <w:autoSpaceDN w:val="0"/>
        <w:spacing w:line="360" w:lineRule="auto"/>
        <w:ind w:firstLine="420" w:firstLineChars="200"/>
        <w:contextualSpacing/>
        <w:rPr>
          <w:rFonts w:hint="eastAsia" w:asciiTheme="minorEastAsia" w:hAnsiTheme="minorEastAsia" w:cstheme="minorEastAsia"/>
          <w:b/>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3</w:t>
      </w:r>
      <w:r>
        <w:rPr>
          <w:rFonts w:hint="eastAsia" w:asciiTheme="minorEastAsia" w:hAnsiTheme="minorEastAsia" w:cstheme="minorEastAsia"/>
          <w:color w:val="auto"/>
          <w:szCs w:val="21"/>
          <w:lang w:val="zh-CN"/>
        </w:rPr>
        <w:t>.3</w:t>
      </w:r>
      <w:r>
        <w:rPr>
          <w:rFonts w:hint="eastAsia" w:asciiTheme="minorEastAsia" w:hAnsiTheme="minorEastAsia" w:cstheme="minorEastAsia"/>
          <w:b/>
          <w:color w:val="auto"/>
          <w:szCs w:val="21"/>
          <w:lang w:val="zh-CN"/>
        </w:rPr>
        <w:t>本次评标具体评标方法、评标标准见（第六章资格审查与</w:t>
      </w:r>
      <w:r>
        <w:rPr>
          <w:rFonts w:hint="eastAsia" w:asciiTheme="minorEastAsia" w:hAnsiTheme="minorEastAsia" w:cstheme="minorEastAsia"/>
          <w:b/>
          <w:color w:val="auto"/>
          <w:kern w:val="0"/>
          <w:szCs w:val="21"/>
        </w:rPr>
        <w:t>评标</w:t>
      </w:r>
      <w:r>
        <w:rPr>
          <w:rFonts w:hint="eastAsia" w:asciiTheme="minorEastAsia" w:hAnsiTheme="minorEastAsia" w:cstheme="minorEastAsia"/>
          <w:b/>
          <w:color w:val="auto"/>
          <w:szCs w:val="21"/>
          <w:lang w:val="zh-CN"/>
        </w:rPr>
        <w:t>）。</w:t>
      </w:r>
    </w:p>
    <w:p w14:paraId="2B89D20E">
      <w:pPr>
        <w:tabs>
          <w:tab w:val="left" w:pos="1260"/>
        </w:tabs>
        <w:autoSpaceDE w:val="0"/>
        <w:autoSpaceDN w:val="0"/>
        <w:spacing w:line="360" w:lineRule="auto"/>
        <w:contextualSpacing/>
        <w:rPr>
          <w:rFonts w:hint="eastAsia" w:asciiTheme="minorEastAsia" w:hAnsiTheme="minorEastAsia" w:cstheme="minorEastAsia"/>
          <w:color w:val="auto"/>
          <w:szCs w:val="21"/>
          <w:lang w:val="zh-CN"/>
        </w:rPr>
      </w:pPr>
      <w:r>
        <w:rPr>
          <w:rFonts w:hint="eastAsia" w:asciiTheme="minorEastAsia" w:hAnsiTheme="minorEastAsia" w:cstheme="minorEastAsia"/>
          <w:b/>
          <w:bCs/>
          <w:color w:val="auto"/>
          <w:szCs w:val="21"/>
          <w:lang w:val="zh-CN"/>
        </w:rPr>
        <w:t>3</w:t>
      </w:r>
      <w:r>
        <w:rPr>
          <w:rFonts w:hint="eastAsia" w:asciiTheme="minorEastAsia" w:hAnsiTheme="minorEastAsia" w:cstheme="minorEastAsia"/>
          <w:b/>
          <w:bCs/>
          <w:color w:val="auto"/>
          <w:szCs w:val="21"/>
        </w:rPr>
        <w:t>4</w:t>
      </w:r>
      <w:r>
        <w:rPr>
          <w:rFonts w:hint="eastAsia" w:asciiTheme="minorEastAsia" w:hAnsiTheme="minorEastAsia" w:cstheme="minorEastAsia"/>
          <w:b/>
          <w:bCs/>
          <w:color w:val="auto"/>
          <w:szCs w:val="21"/>
          <w:lang w:val="zh-CN"/>
        </w:rPr>
        <w:t>. 推荐中标候选人</w:t>
      </w:r>
    </w:p>
    <w:p w14:paraId="2B89D20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4</w:t>
      </w:r>
      <w:r>
        <w:rPr>
          <w:rFonts w:hint="eastAsia" w:asciiTheme="minorEastAsia" w:hAnsiTheme="minorEastAsia" w:cstheme="minorEastAsia"/>
          <w:color w:val="auto"/>
          <w:szCs w:val="21"/>
          <w:lang w:val="zh-CN"/>
        </w:rPr>
        <w:t>.1 采用最低评标价法的，评标结果按投标报价由低到高顺序排列。投标报价相同的并列。投标文件满足招标文件全部实质性要求且投标报价最低的投标人为排名第一的中标候选人。</w:t>
      </w:r>
    </w:p>
    <w:p w14:paraId="2B89D21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4</w:t>
      </w:r>
      <w:r>
        <w:rPr>
          <w:rFonts w:hint="eastAsia" w:asciiTheme="minorEastAsia" w:hAnsiTheme="minorEastAsia" w:cstheme="minorEastAsia"/>
          <w:color w:val="auto"/>
          <w:szCs w:val="21"/>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B89D211">
      <w:pPr>
        <w:tabs>
          <w:tab w:val="left" w:pos="1260"/>
        </w:tabs>
        <w:autoSpaceDE w:val="0"/>
        <w:autoSpaceDN w:val="0"/>
        <w:spacing w:line="360" w:lineRule="auto"/>
        <w:contextualSpacing/>
        <w:rPr>
          <w:rFonts w:hint="eastAsia" w:asciiTheme="minorEastAsia" w:hAnsiTheme="minorEastAsia" w:cstheme="minorEastAsia"/>
          <w:b/>
          <w:color w:val="auto"/>
          <w:szCs w:val="21"/>
          <w:lang w:val="zh-CN"/>
        </w:rPr>
      </w:pPr>
      <w:r>
        <w:rPr>
          <w:rFonts w:hint="eastAsia" w:asciiTheme="minorEastAsia" w:hAnsiTheme="minorEastAsia" w:cstheme="minorEastAsia"/>
          <w:b/>
          <w:color w:val="auto"/>
          <w:szCs w:val="21"/>
          <w:lang w:val="zh-CN"/>
        </w:rPr>
        <w:t>3</w:t>
      </w:r>
      <w:r>
        <w:rPr>
          <w:rFonts w:hint="eastAsia" w:asciiTheme="minorEastAsia" w:hAnsiTheme="minorEastAsia" w:cstheme="minorEastAsia"/>
          <w:b/>
          <w:color w:val="auto"/>
          <w:szCs w:val="21"/>
        </w:rPr>
        <w:t>5</w:t>
      </w:r>
      <w:r>
        <w:rPr>
          <w:rFonts w:hint="eastAsia" w:asciiTheme="minorEastAsia" w:hAnsiTheme="minorEastAsia" w:cstheme="minorEastAsia"/>
          <w:b/>
          <w:color w:val="auto"/>
          <w:szCs w:val="21"/>
          <w:lang w:val="zh-CN"/>
        </w:rPr>
        <w:t>.评审意见无效情形</w:t>
      </w:r>
    </w:p>
    <w:p w14:paraId="2B89D21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评标委员会及其成员有下列行为之一的，其评审意见无效：</w:t>
      </w:r>
    </w:p>
    <w:p w14:paraId="2B89D21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5</w:t>
      </w:r>
      <w:r>
        <w:rPr>
          <w:rFonts w:hint="eastAsia" w:asciiTheme="minorEastAsia" w:hAnsiTheme="minorEastAsia" w:cstheme="minorEastAsia"/>
          <w:color w:val="auto"/>
          <w:szCs w:val="21"/>
          <w:lang w:val="zh-CN"/>
        </w:rPr>
        <w:t>.1 确定参与评标至评标结束前私自接触投标人；</w:t>
      </w:r>
    </w:p>
    <w:p w14:paraId="2B89D21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5</w:t>
      </w:r>
      <w:r>
        <w:rPr>
          <w:rFonts w:hint="eastAsia" w:asciiTheme="minorEastAsia" w:hAnsiTheme="minorEastAsia" w:cstheme="minorEastAsia"/>
          <w:color w:val="auto"/>
          <w:szCs w:val="21"/>
          <w:lang w:val="zh-CN"/>
        </w:rPr>
        <w:t>.2 接受投标人提出的与投标文件不一致的澄清或者说明，《投标人须知》第2</w:t>
      </w:r>
      <w:r>
        <w:rPr>
          <w:rFonts w:hint="eastAsia" w:asciiTheme="minorEastAsia" w:hAnsiTheme="minorEastAsia" w:cstheme="minorEastAsia"/>
          <w:color w:val="auto"/>
          <w:szCs w:val="21"/>
        </w:rPr>
        <w:t>6</w:t>
      </w:r>
      <w:r>
        <w:rPr>
          <w:rFonts w:hint="eastAsia" w:asciiTheme="minorEastAsia" w:hAnsiTheme="minorEastAsia" w:cstheme="minorEastAsia"/>
          <w:color w:val="auto"/>
          <w:szCs w:val="21"/>
          <w:lang w:val="zh-CN"/>
        </w:rPr>
        <w:t>条规定的情形除外；</w:t>
      </w:r>
    </w:p>
    <w:p w14:paraId="2B89D21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5</w:t>
      </w:r>
      <w:r>
        <w:rPr>
          <w:rFonts w:hint="eastAsia" w:asciiTheme="minorEastAsia" w:hAnsiTheme="minorEastAsia" w:cstheme="minorEastAsia"/>
          <w:color w:val="auto"/>
          <w:szCs w:val="21"/>
          <w:lang w:val="zh-CN"/>
        </w:rPr>
        <w:t>.3 违反评标纪律发表倾向性意见或者征询采购人的倾向性意见；</w:t>
      </w:r>
    </w:p>
    <w:p w14:paraId="2B89D21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5</w:t>
      </w:r>
      <w:r>
        <w:rPr>
          <w:rFonts w:hint="eastAsia" w:asciiTheme="minorEastAsia" w:hAnsiTheme="minorEastAsia" w:cstheme="minorEastAsia"/>
          <w:color w:val="auto"/>
          <w:szCs w:val="21"/>
          <w:lang w:val="zh-CN"/>
        </w:rPr>
        <w:t>.4 对需要专业判断的主观评审因素协商评分；</w:t>
      </w:r>
    </w:p>
    <w:p w14:paraId="2B89D21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5</w:t>
      </w:r>
      <w:r>
        <w:rPr>
          <w:rFonts w:hint="eastAsia" w:asciiTheme="minorEastAsia" w:hAnsiTheme="minorEastAsia" w:cstheme="minorEastAsia"/>
          <w:color w:val="auto"/>
          <w:szCs w:val="21"/>
          <w:lang w:val="zh-CN"/>
        </w:rPr>
        <w:t>.5 在评标过程中擅离职守，影响评标程序正常进行的；</w:t>
      </w:r>
    </w:p>
    <w:p w14:paraId="2B89D218">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5</w:t>
      </w:r>
      <w:r>
        <w:rPr>
          <w:rFonts w:hint="eastAsia" w:asciiTheme="minorEastAsia" w:hAnsiTheme="minorEastAsia" w:cstheme="minorEastAsia"/>
          <w:color w:val="auto"/>
          <w:szCs w:val="21"/>
          <w:lang w:val="zh-CN"/>
        </w:rPr>
        <w:t>.6 记录、复制或者带走任何评标资料；</w:t>
      </w:r>
    </w:p>
    <w:p w14:paraId="2B89D21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5</w:t>
      </w:r>
      <w:r>
        <w:rPr>
          <w:rFonts w:hint="eastAsia" w:asciiTheme="minorEastAsia" w:hAnsiTheme="minorEastAsia" w:cstheme="minorEastAsia"/>
          <w:color w:val="auto"/>
          <w:szCs w:val="21"/>
          <w:lang w:val="zh-CN"/>
        </w:rPr>
        <w:t>.7 其他不遵守评标纪律的行为。</w:t>
      </w:r>
    </w:p>
    <w:p w14:paraId="2B89D21A">
      <w:pPr>
        <w:tabs>
          <w:tab w:val="left" w:pos="1260"/>
        </w:tabs>
        <w:autoSpaceDE w:val="0"/>
        <w:autoSpaceDN w:val="0"/>
        <w:spacing w:line="360" w:lineRule="auto"/>
        <w:contextualSpacing/>
        <w:rPr>
          <w:rFonts w:hint="eastAsia" w:asciiTheme="minorEastAsia" w:hAnsiTheme="minorEastAsia" w:cstheme="minorEastAsia"/>
          <w:b/>
          <w:color w:val="auto"/>
          <w:szCs w:val="21"/>
          <w:lang w:val="zh-CN"/>
        </w:rPr>
      </w:pPr>
      <w:r>
        <w:rPr>
          <w:rFonts w:hint="eastAsia" w:asciiTheme="minorEastAsia" w:hAnsiTheme="minorEastAsia" w:cstheme="minorEastAsia"/>
          <w:b/>
          <w:color w:val="auto"/>
          <w:szCs w:val="21"/>
          <w:lang w:val="zh-CN"/>
        </w:rPr>
        <w:t>3</w:t>
      </w:r>
      <w:r>
        <w:rPr>
          <w:rFonts w:hint="eastAsia" w:asciiTheme="minorEastAsia" w:hAnsiTheme="minorEastAsia" w:cstheme="minorEastAsia"/>
          <w:b/>
          <w:color w:val="auto"/>
          <w:szCs w:val="21"/>
        </w:rPr>
        <w:t>6</w:t>
      </w:r>
      <w:r>
        <w:rPr>
          <w:rFonts w:hint="eastAsia" w:asciiTheme="minorEastAsia" w:hAnsiTheme="minorEastAsia" w:cstheme="minorEastAsia"/>
          <w:b/>
          <w:color w:val="auto"/>
          <w:szCs w:val="21"/>
          <w:lang w:val="zh-CN"/>
        </w:rPr>
        <w:t>. 保密</w:t>
      </w:r>
    </w:p>
    <w:p w14:paraId="2B89D21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6</w:t>
      </w:r>
      <w:r>
        <w:rPr>
          <w:rFonts w:hint="eastAsia" w:asciiTheme="minorEastAsia" w:hAnsiTheme="minorEastAsia" w:cstheme="minorEastAsia"/>
          <w:color w:val="auto"/>
          <w:szCs w:val="21"/>
          <w:lang w:val="zh-CN"/>
        </w:rPr>
        <w:t>.1 评审专家应当遵守评审工作纪律，不得泄露评审文件、评审情况和评审中获悉的商业秘密。</w:t>
      </w:r>
    </w:p>
    <w:p w14:paraId="2B89D21C">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 w:val="24"/>
          <w:szCs w:val="24"/>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6</w:t>
      </w:r>
      <w:r>
        <w:rPr>
          <w:rFonts w:hint="eastAsia" w:asciiTheme="minorEastAsia" w:hAnsiTheme="minorEastAsia" w:cstheme="minorEastAsia"/>
          <w:color w:val="auto"/>
          <w:szCs w:val="21"/>
          <w:lang w:val="zh-CN"/>
        </w:rPr>
        <w:t>.2 采购人、采购代理机构应当采取必要措施，保证评标在严格保密的情况下进行。有关人员对评标情况以及在评标过程中获悉的国家秘密、商业秘密负有保密责任。</w:t>
      </w:r>
    </w:p>
    <w:p w14:paraId="2B89D21D">
      <w:pPr>
        <w:tabs>
          <w:tab w:val="left" w:pos="1260"/>
        </w:tabs>
        <w:autoSpaceDE w:val="0"/>
        <w:autoSpaceDN w:val="0"/>
        <w:spacing w:line="360" w:lineRule="auto"/>
        <w:contextualSpacing/>
        <w:jc w:val="center"/>
        <w:rPr>
          <w:rFonts w:hint="eastAsia" w:asciiTheme="minorEastAsia" w:hAnsiTheme="minorEastAsia" w:cstheme="minorEastAsia"/>
          <w:b/>
          <w:color w:val="auto"/>
          <w:kern w:val="0"/>
          <w:szCs w:val="21"/>
        </w:rPr>
      </w:pPr>
      <w:r>
        <w:rPr>
          <w:rFonts w:hint="eastAsia" w:asciiTheme="minorEastAsia" w:hAnsiTheme="minorEastAsia" w:cstheme="minorEastAsia"/>
          <w:b/>
          <w:color w:val="auto"/>
          <w:kern w:val="0"/>
          <w:szCs w:val="21"/>
        </w:rPr>
        <w:t>六、定标和授予合同</w:t>
      </w:r>
    </w:p>
    <w:p w14:paraId="2B89D21E">
      <w:pPr>
        <w:tabs>
          <w:tab w:val="left" w:pos="1260"/>
        </w:tabs>
        <w:autoSpaceDE w:val="0"/>
        <w:autoSpaceDN w:val="0"/>
        <w:spacing w:line="360" w:lineRule="auto"/>
        <w:contextualSpacing/>
        <w:rPr>
          <w:rFonts w:hint="eastAsia" w:asciiTheme="minorEastAsia" w:hAnsiTheme="minorEastAsia" w:cstheme="minorEastAsia"/>
          <w:b/>
          <w:color w:val="auto"/>
          <w:szCs w:val="21"/>
          <w:lang w:val="zh-CN"/>
        </w:rPr>
      </w:pPr>
      <w:r>
        <w:rPr>
          <w:rFonts w:hint="eastAsia" w:asciiTheme="minorEastAsia" w:hAnsiTheme="minorEastAsia" w:cstheme="minorEastAsia"/>
          <w:b/>
          <w:color w:val="auto"/>
          <w:szCs w:val="21"/>
          <w:lang w:val="zh-CN"/>
        </w:rPr>
        <w:t>3</w:t>
      </w:r>
      <w:r>
        <w:rPr>
          <w:rFonts w:hint="eastAsia" w:asciiTheme="minorEastAsia" w:hAnsiTheme="minorEastAsia" w:cstheme="minorEastAsia"/>
          <w:b/>
          <w:color w:val="auto"/>
          <w:szCs w:val="21"/>
        </w:rPr>
        <w:t>7</w:t>
      </w:r>
      <w:r>
        <w:rPr>
          <w:rFonts w:hint="eastAsia" w:asciiTheme="minorEastAsia" w:hAnsiTheme="minorEastAsia" w:cstheme="minorEastAsia"/>
          <w:b/>
          <w:color w:val="auto"/>
          <w:szCs w:val="21"/>
          <w:lang w:val="zh-CN"/>
        </w:rPr>
        <w:t>. 确定中标人</w:t>
      </w:r>
    </w:p>
    <w:p w14:paraId="2B89D21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7</w:t>
      </w:r>
      <w:r>
        <w:rPr>
          <w:rFonts w:hint="eastAsia" w:asciiTheme="minorEastAsia" w:hAnsiTheme="minorEastAsia" w:cstheme="minorEastAsia"/>
          <w:color w:val="auto"/>
          <w:szCs w:val="21"/>
          <w:lang w:val="zh-CN"/>
        </w:rPr>
        <w:t>.1 采购人应当自收到评标报告之日起</w:t>
      </w:r>
      <w:r>
        <w:rPr>
          <w:rFonts w:hint="eastAsia" w:asciiTheme="minorEastAsia" w:hAnsiTheme="minorEastAsia" w:cstheme="minorEastAsia"/>
          <w:color w:val="auto"/>
          <w:szCs w:val="21"/>
        </w:rPr>
        <w:t>1</w:t>
      </w:r>
      <w:r>
        <w:rPr>
          <w:rFonts w:hint="eastAsia" w:asciiTheme="minorEastAsia" w:hAnsiTheme="minorEastAsia" w:cstheme="minorEastAsia"/>
          <w:color w:val="auto"/>
          <w:szCs w:val="21"/>
          <w:lang w:val="zh-CN"/>
        </w:rPr>
        <w:t>个工作日内，在评标报告确定的中标候选人名单中按顺序确定中标人。中标候选人并列的，由采购人采取随机抽取的方式确定。</w:t>
      </w:r>
    </w:p>
    <w:p w14:paraId="2B89D22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7</w:t>
      </w:r>
      <w:r>
        <w:rPr>
          <w:rFonts w:hint="eastAsia" w:asciiTheme="minorEastAsia" w:hAnsiTheme="minorEastAsia" w:cstheme="minorEastAsia"/>
          <w:color w:val="auto"/>
          <w:szCs w:val="21"/>
          <w:lang w:val="zh-CN"/>
        </w:rPr>
        <w:t>.2 采购人在收到评标报告</w:t>
      </w:r>
      <w:r>
        <w:rPr>
          <w:rFonts w:hint="eastAsia" w:asciiTheme="minorEastAsia" w:hAnsiTheme="minorEastAsia" w:cstheme="minorEastAsia"/>
          <w:color w:val="auto"/>
          <w:szCs w:val="21"/>
        </w:rPr>
        <w:t>1</w:t>
      </w:r>
      <w:r>
        <w:rPr>
          <w:rFonts w:hint="eastAsia" w:asciiTheme="minorEastAsia" w:hAnsiTheme="minorEastAsia" w:cstheme="minorEastAsia"/>
          <w:color w:val="auto"/>
          <w:szCs w:val="21"/>
          <w:lang w:val="zh-CN"/>
        </w:rPr>
        <w:t>个工作日内未按评标报告推荐的中标候选人顺序确定中标人，又不能说明合法理由的，视同按评标报告推荐的顺序确定排名第一的中标候选人为中标人。</w:t>
      </w:r>
    </w:p>
    <w:p w14:paraId="2B89D221">
      <w:pPr>
        <w:tabs>
          <w:tab w:val="left" w:pos="1260"/>
        </w:tabs>
        <w:autoSpaceDE w:val="0"/>
        <w:autoSpaceDN w:val="0"/>
        <w:spacing w:line="360" w:lineRule="auto"/>
        <w:contextualSpacing/>
        <w:rPr>
          <w:rFonts w:hint="eastAsia" w:asciiTheme="minorEastAsia" w:hAnsiTheme="minorEastAsia" w:cstheme="minorEastAsia"/>
          <w:b/>
          <w:color w:val="auto"/>
          <w:szCs w:val="21"/>
          <w:lang w:val="zh-CN"/>
        </w:rPr>
      </w:pPr>
      <w:r>
        <w:rPr>
          <w:rFonts w:hint="eastAsia" w:asciiTheme="minorEastAsia" w:hAnsiTheme="minorEastAsia" w:cstheme="minorEastAsia"/>
          <w:b/>
          <w:color w:val="auto"/>
          <w:szCs w:val="21"/>
          <w:lang w:val="zh-CN"/>
        </w:rPr>
        <w:t>3</w:t>
      </w:r>
      <w:r>
        <w:rPr>
          <w:rFonts w:hint="eastAsia" w:asciiTheme="minorEastAsia" w:hAnsiTheme="minorEastAsia" w:cstheme="minorEastAsia"/>
          <w:b/>
          <w:color w:val="auto"/>
          <w:szCs w:val="21"/>
        </w:rPr>
        <w:t>8</w:t>
      </w:r>
      <w:r>
        <w:rPr>
          <w:rFonts w:hint="eastAsia" w:asciiTheme="minorEastAsia" w:hAnsiTheme="minorEastAsia" w:cstheme="minorEastAsia"/>
          <w:b/>
          <w:color w:val="auto"/>
          <w:szCs w:val="21"/>
          <w:lang w:val="zh-CN"/>
        </w:rPr>
        <w:t>. 中标公告、发出中标通知书</w:t>
      </w:r>
    </w:p>
    <w:p w14:paraId="2B89D22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8</w:t>
      </w:r>
      <w:r>
        <w:rPr>
          <w:rFonts w:hint="eastAsia" w:asciiTheme="minorEastAsia" w:hAnsiTheme="minorEastAsia" w:cstheme="minorEastAsia"/>
          <w:color w:val="auto"/>
          <w:szCs w:val="21"/>
          <w:lang w:val="zh-CN"/>
        </w:rPr>
        <w:t>.1 采购人确认中标人后，</w:t>
      </w:r>
      <w:r>
        <w:rPr>
          <w:rFonts w:hint="eastAsia" w:asciiTheme="minorEastAsia" w:hAnsiTheme="minorEastAsia" w:cstheme="minorEastAsia"/>
          <w:color w:val="auto"/>
          <w:kern w:val="0"/>
          <w:szCs w:val="21"/>
        </w:rPr>
        <w:t>采购人在公告中标结果的同时，通知中标人核验投标时由信用承诺函替代的证明材料。经核验无误后，发出中标通知书。</w:t>
      </w:r>
    </w:p>
    <w:p w14:paraId="2B89D22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3</w:t>
      </w:r>
      <w:r>
        <w:rPr>
          <w:rFonts w:hint="eastAsia" w:asciiTheme="minorEastAsia" w:hAnsiTheme="minorEastAsia" w:cstheme="minorEastAsia"/>
          <w:color w:val="auto"/>
          <w:szCs w:val="21"/>
        </w:rPr>
        <w:t>8</w:t>
      </w:r>
      <w:r>
        <w:rPr>
          <w:rFonts w:hint="eastAsia" w:asciiTheme="minorEastAsia" w:hAnsiTheme="minorEastAsia" w:cstheme="minorEastAsia"/>
          <w:color w:val="auto"/>
          <w:szCs w:val="21"/>
          <w:lang w:val="zh-CN"/>
        </w:rPr>
        <w:t>.2 中标通知书发出后，采购人不得违法改变中标结果，中标人无正当理由不得放弃中标。</w:t>
      </w:r>
    </w:p>
    <w:p w14:paraId="2B89D224">
      <w:pPr>
        <w:tabs>
          <w:tab w:val="left" w:pos="1260"/>
        </w:tabs>
        <w:autoSpaceDE w:val="0"/>
        <w:autoSpaceDN w:val="0"/>
        <w:spacing w:line="360" w:lineRule="auto"/>
        <w:ind w:firstLine="420" w:firstLineChars="200"/>
        <w:contextualSpacing/>
        <w:rPr>
          <w:rFonts w:hint="eastAsia" w:asciiTheme="minorEastAsia" w:hAnsiTheme="minorEastAsia" w:cstheme="minorEastAsia"/>
          <w:bCs/>
          <w:color w:val="auto"/>
          <w:szCs w:val="21"/>
          <w:lang w:val="zh-CN"/>
        </w:rPr>
      </w:pPr>
      <w:r>
        <w:rPr>
          <w:rFonts w:hint="eastAsia" w:asciiTheme="minorEastAsia" w:hAnsiTheme="minorEastAsia" w:cstheme="minorEastAsia"/>
          <w:color w:val="auto"/>
          <w:szCs w:val="21"/>
        </w:rPr>
        <w:t xml:space="preserve">38.3 </w:t>
      </w:r>
      <w:r>
        <w:rPr>
          <w:rFonts w:hint="eastAsia" w:asciiTheme="minorEastAsia" w:hAnsiTheme="minorEastAsia" w:cstheme="minorEastAsia"/>
          <w:bCs/>
          <w:color w:val="auto"/>
          <w:szCs w:val="21"/>
          <w:lang w:val="zh-CN"/>
        </w:rPr>
        <w:t>中标人在接到中标通知时，须向代理机构发送投标报价及分项报价一览表（包含主要中标标的的名称、规格型号、数量、单价、服务要求等）电子文档，并同时通知代理机构联系人。</w:t>
      </w:r>
    </w:p>
    <w:p w14:paraId="2B89D225">
      <w:pPr>
        <w:tabs>
          <w:tab w:val="left" w:pos="1260"/>
        </w:tabs>
        <w:autoSpaceDE w:val="0"/>
        <w:autoSpaceDN w:val="0"/>
        <w:spacing w:line="360" w:lineRule="auto"/>
        <w:contextualSpacing/>
        <w:rPr>
          <w:rFonts w:hint="eastAsia" w:asciiTheme="minorEastAsia" w:hAnsiTheme="minorEastAsia" w:cstheme="minorEastAsia"/>
          <w:b/>
          <w:color w:val="auto"/>
          <w:szCs w:val="21"/>
          <w:lang w:val="zh-CN"/>
        </w:rPr>
      </w:pPr>
      <w:r>
        <w:rPr>
          <w:rFonts w:hint="eastAsia" w:asciiTheme="minorEastAsia" w:hAnsiTheme="minorEastAsia" w:cstheme="minorEastAsia"/>
          <w:b/>
          <w:color w:val="auto"/>
          <w:szCs w:val="21"/>
        </w:rPr>
        <w:t>39.</w:t>
      </w:r>
      <w:r>
        <w:rPr>
          <w:rFonts w:hint="eastAsia" w:asciiTheme="minorEastAsia" w:hAnsiTheme="minorEastAsia" w:cstheme="minorEastAsia"/>
          <w:b/>
          <w:color w:val="auto"/>
          <w:szCs w:val="21"/>
          <w:lang w:val="zh-CN"/>
        </w:rPr>
        <w:t>质疑提出与答复</w:t>
      </w:r>
    </w:p>
    <w:p w14:paraId="2B89D22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rPr>
      </w:pPr>
      <w:r>
        <w:rPr>
          <w:rFonts w:hint="eastAsia" w:asciiTheme="minorEastAsia" w:hAnsiTheme="minorEastAsia" w:cstheme="minorEastAsia"/>
          <w:color w:val="auto"/>
          <w:szCs w:val="21"/>
        </w:rPr>
        <w:t>39.1 供应商认为</w:t>
      </w:r>
      <w:r>
        <w:rPr>
          <w:rFonts w:hint="eastAsia" w:asciiTheme="minorEastAsia" w:hAnsiTheme="minorEastAsia" w:cstheme="minorEastAsia"/>
          <w:color w:val="auto"/>
          <w:szCs w:val="21"/>
          <w:lang w:val="en-US" w:eastAsia="zh-CN"/>
        </w:rPr>
        <w:t>采购</w:t>
      </w:r>
      <w:r>
        <w:rPr>
          <w:rFonts w:hint="eastAsia" w:asciiTheme="minorEastAsia" w:hAnsiTheme="minorEastAsia" w:cstheme="minorEastAsia"/>
          <w:color w:val="auto"/>
          <w:szCs w:val="21"/>
        </w:rPr>
        <w:t>文件、采购过程和中标结果使自己的权益受到损害的，可以按照</w:t>
      </w:r>
      <w:r>
        <w:rPr>
          <w:rFonts w:hint="eastAsia" w:asciiTheme="minorEastAsia" w:hAnsiTheme="minorEastAsia" w:cstheme="minorEastAsia"/>
          <w:bCs/>
          <w:color w:val="auto"/>
          <w:kern w:val="0"/>
          <w:szCs w:val="21"/>
          <w:lang w:val="zh-CN"/>
        </w:rPr>
        <w:t>财政部94号令</w:t>
      </w:r>
      <w:r>
        <w:rPr>
          <w:rFonts w:hint="eastAsia" w:asciiTheme="minorEastAsia" w:hAnsiTheme="minorEastAsia" w:cstheme="minorEastAsia"/>
          <w:bCs/>
          <w:color w:val="auto"/>
          <w:szCs w:val="21"/>
          <w:lang w:val="zh-CN"/>
        </w:rPr>
        <w:t>质</w:t>
      </w:r>
      <w:r>
        <w:rPr>
          <w:rFonts w:hint="eastAsia" w:asciiTheme="minorEastAsia" w:hAnsiTheme="minorEastAsia" w:cstheme="minorEastAsia"/>
          <w:color w:val="auto"/>
          <w:szCs w:val="21"/>
        </w:rPr>
        <w:t>疑。</w:t>
      </w:r>
      <w:r>
        <w:rPr>
          <w:rFonts w:hint="eastAsia" w:asciiTheme="minorEastAsia" w:hAnsiTheme="minorEastAsia" w:cstheme="minorEastAsia"/>
          <w:color w:val="auto"/>
          <w:szCs w:val="21"/>
          <w:lang w:val="en-US" w:eastAsia="zh-CN"/>
        </w:rPr>
        <w:t>提出</w:t>
      </w:r>
      <w:r>
        <w:rPr>
          <w:rFonts w:hint="eastAsia" w:asciiTheme="minorEastAsia" w:hAnsiTheme="minorEastAsia" w:cstheme="minorEastAsia"/>
          <w:color w:val="auto"/>
          <w:szCs w:val="21"/>
        </w:rPr>
        <w:t>质疑的供应商应当是参与本项目采购活动的供应商。提出时应按照《政府采购质疑和投诉办法》</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财政部令第94号</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第十二条规定提交质疑函和必要的证明材料，质疑提出后潜在投标人应及时联系招标公告中招标代理机构联系人查看。如未提出视为全面接受。</w:t>
      </w:r>
    </w:p>
    <w:p w14:paraId="2B89D22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rPr>
      </w:pPr>
      <w:r>
        <w:rPr>
          <w:rFonts w:hint="eastAsia" w:asciiTheme="minorEastAsia" w:hAnsiTheme="minorEastAsia" w:cstheme="minorEastAsia"/>
          <w:color w:val="auto"/>
          <w:szCs w:val="21"/>
        </w:rPr>
        <w:t>39.1.1</w:t>
      </w:r>
      <w:r>
        <w:rPr>
          <w:rFonts w:hint="eastAsia" w:asciiTheme="minorEastAsia" w:hAnsiTheme="minorEastAsia" w:cstheme="minorEastAsia"/>
          <w:color w:val="auto"/>
          <w:kern w:val="0"/>
          <w:szCs w:val="21"/>
        </w:rPr>
        <w:t>对采购文件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492FE55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rPr>
      </w:pPr>
      <w:r>
        <w:rPr>
          <w:rFonts w:hint="eastAsia" w:asciiTheme="minorEastAsia" w:hAnsiTheme="minorEastAsia" w:cstheme="minorEastAsia"/>
          <w:color w:val="auto"/>
          <w:szCs w:val="21"/>
        </w:rPr>
        <w:t>39.1.2对采购过程提出质疑的，为各采购程序环节结束之日起七个工作日内，投标人使用CA数字证书登录《全国公共资源交易平台</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河南省·许昌市</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w:t>
      </w:r>
      <w:r>
        <w:rPr>
          <w:rFonts w:hint="eastAsia" w:asciiTheme="minorEastAsia" w:hAnsiTheme="minorEastAsia" w:cstheme="minorEastAsia"/>
          <w:color w:val="auto"/>
          <w:szCs w:val="21"/>
          <w:lang w:eastAsia="zh-CN"/>
        </w:rPr>
        <w:t>（</w:t>
      </w:r>
      <w:r>
        <w:rPr>
          <w:rFonts w:hint="eastAsia" w:ascii="宋体" w:hAnsi="宋体" w:cs="仿宋_GB2312"/>
          <w:color w:val="auto"/>
          <w:szCs w:val="21"/>
          <w:lang w:val="zh-CN"/>
        </w:rPr>
        <w:t>https://ggzy.xuchang.gov.cn</w:t>
      </w:r>
      <w:r>
        <w:rPr>
          <w:rFonts w:hint="eastAsia" w:asciiTheme="minorEastAsia" w:hAnsiTheme="minorEastAsia" w:cstheme="minorEastAsia"/>
          <w:color w:val="auto"/>
          <w:szCs w:val="21"/>
        </w:rPr>
        <w:t>)，通过许昌公共资源交易系统一次性提出，逾期提交或未按照要求提交的质疑函将不予受理。质疑提出后投标人应及时联系招标公告中采购代理机构联系人查看。</w:t>
      </w:r>
      <w:r>
        <w:rPr>
          <w:rFonts w:hint="eastAsia" w:asciiTheme="minorEastAsia" w:hAnsiTheme="minorEastAsia" w:cstheme="minorEastAsia"/>
          <w:color w:val="auto"/>
          <w:szCs w:val="21"/>
        </w:rPr>
        <w:br w:type="textWrapping"/>
      </w:r>
      <w:r>
        <w:rPr>
          <w:rFonts w:hint="eastAsia" w:asciiTheme="minorEastAsia" w:hAnsiTheme="minorEastAsia" w:cstheme="minorEastAsia"/>
          <w:color w:val="auto"/>
          <w:szCs w:val="21"/>
          <w:lang w:val="en-US" w:eastAsia="zh-CN"/>
        </w:rPr>
        <w:t xml:space="preserve">    </w:t>
      </w:r>
      <w:r>
        <w:rPr>
          <w:rFonts w:hint="eastAsia" w:asciiTheme="minorEastAsia" w:hAnsiTheme="minorEastAsia" w:cstheme="minorEastAsia"/>
          <w:color w:val="auto"/>
          <w:szCs w:val="21"/>
        </w:rPr>
        <w:t>39.1.3 对中标结果提出质疑的，为中标结果公告期限届满之日起七个工作日内，投标人使用CA数字证书登录《全国公共资源交易平台</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河南省·许昌市</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w:t>
      </w:r>
      <w:r>
        <w:rPr>
          <w:rFonts w:hint="eastAsia" w:asciiTheme="minorEastAsia" w:hAnsiTheme="minorEastAsia" w:cstheme="minorEastAsia"/>
          <w:color w:val="auto"/>
          <w:szCs w:val="21"/>
          <w:lang w:eastAsia="zh-CN"/>
        </w:rPr>
        <w:t>（</w:t>
      </w:r>
      <w:r>
        <w:rPr>
          <w:rFonts w:hint="eastAsia" w:ascii="宋体" w:hAnsi="宋体" w:cs="仿宋_GB2312"/>
          <w:color w:val="auto"/>
          <w:szCs w:val="21"/>
          <w:lang w:val="zh-CN"/>
        </w:rPr>
        <w:t>https://ggzy.xuchang.gov.cn</w:t>
      </w:r>
      <w:r>
        <w:rPr>
          <w:rFonts w:hint="eastAsia" w:asciiTheme="minorEastAsia" w:hAnsiTheme="minorEastAsia" w:cstheme="minorEastAsia"/>
          <w:color w:val="auto"/>
          <w:szCs w:val="21"/>
        </w:rPr>
        <w:t>)，通过许</w:t>
      </w:r>
      <w:r>
        <w:rPr>
          <w:rFonts w:hint="eastAsia" w:asciiTheme="minorEastAsia" w:hAnsiTheme="minorEastAsia" w:cstheme="minorEastAsia"/>
          <w:color w:val="auto"/>
          <w:szCs w:val="21"/>
          <w:lang w:eastAsia="zh-CN"/>
        </w:rPr>
        <w:t>昌市</w:t>
      </w:r>
      <w:r>
        <w:rPr>
          <w:rFonts w:hint="eastAsia" w:asciiTheme="minorEastAsia" w:hAnsiTheme="minorEastAsia" w:cstheme="minorEastAsia"/>
          <w:color w:val="auto"/>
          <w:szCs w:val="21"/>
        </w:rPr>
        <w:t>公共资源交易系统一次性提出，逾期提交或未按照要求提交的质疑函将不予受理。质疑提出后投标人应及时联系招标公告中采购代理机构联系人查看。</w:t>
      </w:r>
    </w:p>
    <w:p w14:paraId="33E6B7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lang w:eastAsia="zh-CN"/>
        </w:rPr>
      </w:pPr>
      <w:r>
        <w:rPr>
          <w:rFonts w:hint="eastAsia" w:asciiTheme="minorEastAsia" w:hAnsiTheme="minorEastAsia" w:cstheme="minorEastAsia"/>
          <w:color w:val="auto"/>
          <w:szCs w:val="21"/>
        </w:rPr>
        <w:t>39.2 采购人、采购代理机构认为供应商质疑不成立，或者成立但未对中标结果构成影响的</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在收到质疑函7个工作日内通过《全国公共资源交易平台</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河南省·许昌市</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w:t>
      </w:r>
      <w:r>
        <w:rPr>
          <w:rFonts w:hint="eastAsia" w:asciiTheme="minorEastAsia" w:hAnsiTheme="minorEastAsia" w:cstheme="minorEastAsia"/>
          <w:color w:val="auto"/>
          <w:szCs w:val="21"/>
          <w:lang w:eastAsia="zh-CN"/>
        </w:rPr>
        <w:t>（</w:t>
      </w:r>
      <w:r>
        <w:rPr>
          <w:rFonts w:hint="eastAsia" w:ascii="宋体" w:hAnsi="宋体" w:cs="仿宋_GB2312"/>
          <w:color w:val="auto"/>
          <w:szCs w:val="21"/>
          <w:lang w:val="zh-CN"/>
        </w:rPr>
        <w:t>https://ggzy.xuchang.gov.cn</w:t>
      </w:r>
      <w:r>
        <w:rPr>
          <w:rFonts w:hint="eastAsia" w:asciiTheme="minorEastAsia" w:hAnsiTheme="minorEastAsia" w:cstheme="minorEastAsia"/>
          <w:color w:val="auto"/>
          <w:szCs w:val="21"/>
        </w:rPr>
        <w:t>)交易系统作出答复，并继续开展采购活动</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认为供应商质疑成立且影响或者可能影响中标结果的，在收到质疑函7个工作日内通过《全国公共资源交易平台</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河南省·许昌市</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》交易系统作出答复，并按照下列情况处理</w:t>
      </w:r>
      <w:r>
        <w:rPr>
          <w:rFonts w:hint="eastAsia" w:asciiTheme="minorEastAsia" w:hAnsiTheme="minorEastAsia" w:cstheme="minorEastAsia"/>
          <w:color w:val="auto"/>
          <w:szCs w:val="21"/>
          <w:lang w:eastAsia="zh-CN"/>
        </w:rPr>
        <w:t>：</w:t>
      </w:r>
    </w:p>
    <w:p w14:paraId="2B89D22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rPr>
      </w:pPr>
      <w:r>
        <w:rPr>
          <w:rFonts w:hint="eastAsia" w:asciiTheme="minorEastAsia" w:hAnsiTheme="minorEastAsia" w:cstheme="minorEastAsia"/>
          <w:color w:val="auto"/>
          <w:szCs w:val="21"/>
        </w:rPr>
        <w:t>39.2.1 对</w:t>
      </w:r>
      <w:r>
        <w:rPr>
          <w:rFonts w:hint="eastAsia" w:asciiTheme="minorEastAsia" w:hAnsiTheme="minorEastAsia" w:cstheme="minorEastAsia"/>
          <w:color w:val="auto"/>
          <w:szCs w:val="21"/>
          <w:lang w:val="en-US" w:eastAsia="zh-CN"/>
        </w:rPr>
        <w:t>采购</w:t>
      </w:r>
      <w:r>
        <w:rPr>
          <w:rFonts w:hint="eastAsia" w:asciiTheme="minorEastAsia" w:hAnsiTheme="minorEastAsia" w:cstheme="minorEastAsia"/>
          <w:color w:val="auto"/>
          <w:szCs w:val="21"/>
        </w:rPr>
        <w:t>文件提出的质疑，依法通过澄清或者修改可以继续开展采购活动的，澄清或者修改招标文件后继续开展采购活动；否则应当修改招标文件后重新开展采购活动。</w:t>
      </w:r>
    </w:p>
    <w:p w14:paraId="2B89D22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rPr>
      </w:pPr>
      <w:r>
        <w:rPr>
          <w:rFonts w:hint="eastAsia" w:asciiTheme="minorEastAsia" w:hAnsiTheme="minorEastAsia" w:cstheme="minorEastAsia"/>
          <w:color w:val="auto"/>
          <w:szCs w:val="21"/>
        </w:rPr>
        <w:t>39.2.2 对采购过程、中标结果提出的质疑，合格供应商符合法定数量时，可以从合格的中标候选人中另行确定中标供应商的，应当依法另行确定中标供应商；否则应当重新开展采购活动。</w:t>
      </w:r>
    </w:p>
    <w:p w14:paraId="7640863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en-US" w:eastAsia="zh-CN"/>
        </w:rPr>
      </w:pPr>
      <w:r>
        <w:rPr>
          <w:rFonts w:hint="eastAsia" w:asciiTheme="minorEastAsia" w:hAnsiTheme="minorEastAsia" w:cstheme="minorEastAsia"/>
          <w:color w:val="auto"/>
          <w:szCs w:val="21"/>
          <w:lang w:val="en-US" w:eastAsia="zh-CN"/>
        </w:rPr>
        <w:t>40.投诉</w:t>
      </w:r>
    </w:p>
    <w:p w14:paraId="3F18E4AE">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en-US" w:eastAsia="zh-CN"/>
        </w:rPr>
      </w:pPr>
      <w:r>
        <w:rPr>
          <w:rFonts w:hint="eastAsia" w:asciiTheme="minorEastAsia" w:hAnsiTheme="minorEastAsia" w:cstheme="minorEastAsia"/>
          <w:color w:val="auto"/>
          <w:szCs w:val="21"/>
          <w:lang w:val="en-US" w:eastAsia="zh-CN"/>
        </w:rPr>
        <w:t>40.1若对质疑答复不满意或质疑答复未在答复期限内作出，质疑供应商可在答复期满后15个工作日内按照《政府采购质疑和投诉办法》的有关规定向招标文件第一章载明的本项目监督管理部门提起投诉。</w:t>
      </w:r>
    </w:p>
    <w:p w14:paraId="726DD855">
      <w:pPr>
        <w:tabs>
          <w:tab w:val="left" w:pos="1260"/>
        </w:tabs>
        <w:autoSpaceDE w:val="0"/>
        <w:autoSpaceDN w:val="0"/>
        <w:spacing w:line="360" w:lineRule="auto"/>
        <w:ind w:firstLine="420" w:firstLineChars="200"/>
        <w:contextualSpacing/>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40.2投诉应有明确的请求和必要的证明材料，投诉的事项不得超出已质疑事项的范围。</w:t>
      </w:r>
    </w:p>
    <w:p w14:paraId="2B89D230">
      <w:pPr>
        <w:tabs>
          <w:tab w:val="left" w:pos="1260"/>
        </w:tabs>
        <w:autoSpaceDE w:val="0"/>
        <w:autoSpaceDN w:val="0"/>
        <w:spacing w:line="360" w:lineRule="auto"/>
        <w:contextualSpacing/>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4</w:t>
      </w:r>
      <w:r>
        <w:rPr>
          <w:rFonts w:hint="eastAsia" w:asciiTheme="minorEastAsia" w:hAnsiTheme="minorEastAsia" w:cstheme="minorEastAsia"/>
          <w:b/>
          <w:color w:val="auto"/>
          <w:szCs w:val="21"/>
          <w:lang w:val="en-US" w:eastAsia="zh-CN"/>
        </w:rPr>
        <w:t>1</w:t>
      </w:r>
      <w:r>
        <w:rPr>
          <w:rFonts w:hint="eastAsia" w:asciiTheme="minorEastAsia" w:hAnsiTheme="minorEastAsia" w:cstheme="minorEastAsia"/>
          <w:b/>
          <w:color w:val="auto"/>
          <w:szCs w:val="21"/>
        </w:rPr>
        <w:t>.</w:t>
      </w:r>
      <w:r>
        <w:rPr>
          <w:rFonts w:hint="eastAsia" w:asciiTheme="minorEastAsia" w:hAnsiTheme="minorEastAsia" w:cstheme="minorEastAsia"/>
          <w:b/>
          <w:color w:val="auto"/>
          <w:szCs w:val="21"/>
          <w:lang w:val="zh-CN"/>
        </w:rPr>
        <w:t>签订合同</w:t>
      </w:r>
    </w:p>
    <w:p w14:paraId="2B89D23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采购人应当自中标通知书发出之</w:t>
      </w:r>
      <w:r>
        <w:rPr>
          <w:rFonts w:hint="eastAsia" w:asciiTheme="minorEastAsia" w:hAnsiTheme="minorEastAsia" w:cstheme="minorEastAsia"/>
          <w:color w:val="auto"/>
          <w:szCs w:val="21"/>
          <w:highlight w:val="none"/>
          <w:lang w:val="zh-CN"/>
        </w:rPr>
        <w:t>日起</w:t>
      </w:r>
      <w:r>
        <w:rPr>
          <w:rFonts w:hint="eastAsia" w:asciiTheme="minorEastAsia" w:hAnsiTheme="minorEastAsia" w:cstheme="minorEastAsia"/>
          <w:color w:val="auto"/>
          <w:szCs w:val="21"/>
          <w:highlight w:val="none"/>
        </w:rPr>
        <w:t>15</w:t>
      </w:r>
      <w:r>
        <w:rPr>
          <w:rFonts w:hint="eastAsia" w:asciiTheme="minorEastAsia" w:hAnsiTheme="minorEastAsia" w:cstheme="minorEastAsia"/>
          <w:color w:val="auto"/>
          <w:szCs w:val="21"/>
          <w:highlight w:val="none"/>
          <w:lang w:val="zh-CN"/>
        </w:rPr>
        <w:t>日内与</w:t>
      </w:r>
      <w:r>
        <w:rPr>
          <w:rFonts w:hint="eastAsia" w:asciiTheme="minorEastAsia" w:hAnsiTheme="minorEastAsia" w:cstheme="minorEastAsia"/>
          <w:color w:val="auto"/>
          <w:szCs w:val="21"/>
          <w:lang w:val="zh-CN"/>
        </w:rPr>
        <w:t>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B89D232">
      <w:pPr>
        <w:tabs>
          <w:tab w:val="left" w:pos="1260"/>
        </w:tabs>
        <w:autoSpaceDE w:val="0"/>
        <w:autoSpaceDN w:val="0"/>
        <w:spacing w:line="360" w:lineRule="auto"/>
        <w:contextualSpacing/>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41.履约保证金</w:t>
      </w:r>
    </w:p>
    <w:p w14:paraId="2B89D233">
      <w:pPr>
        <w:autoSpaceDE w:val="0"/>
        <w:autoSpaceDN w:val="0"/>
        <w:spacing w:line="360" w:lineRule="auto"/>
        <w:ind w:firstLine="420" w:firstLineChars="200"/>
        <w:contextualSpacing/>
        <w:rPr>
          <w:rFonts w:hint="eastAsia" w:asciiTheme="minorEastAsia" w:hAnsiTheme="minorEastAsia" w:cstheme="minorEastAsia"/>
          <w:color w:val="auto"/>
          <w:szCs w:val="21"/>
        </w:rPr>
      </w:pPr>
      <w:r>
        <w:rPr>
          <w:rFonts w:hint="eastAsia" w:asciiTheme="minorEastAsia" w:hAnsiTheme="minorEastAsia" w:cstheme="minorEastAsia"/>
          <w:color w:val="auto"/>
          <w:kern w:val="0"/>
          <w:szCs w:val="21"/>
        </w:rPr>
        <w:t>“投标人须知前附表”中规定</w:t>
      </w:r>
      <w:r>
        <w:rPr>
          <w:rFonts w:hint="eastAsia" w:asciiTheme="minorEastAsia" w:hAnsiTheme="minorEastAsia" w:cstheme="minorEastAsia"/>
          <w:color w:val="auto"/>
          <w:szCs w:val="21"/>
        </w:rPr>
        <w:t>中标人提交履约保证金的，中标人应当以支票、汇票、本票或者金融机构、担保机构出具的保函等非现金形式向采购人提交。履约保证金的数额不得超过政府采购合同金额的   %。</w:t>
      </w:r>
    </w:p>
    <w:p w14:paraId="2B89D234">
      <w:pPr>
        <w:pStyle w:val="23"/>
        <w:autoSpaceDE w:val="0"/>
        <w:autoSpaceDN w:val="0"/>
        <w:spacing w:line="360" w:lineRule="auto"/>
        <w:ind w:firstLine="0" w:firstLineChars="0"/>
        <w:contextualSpacing/>
        <w:rPr>
          <w:rFonts w:hint="eastAsia" w:asciiTheme="minorEastAsia" w:hAnsiTheme="minorEastAsia" w:cstheme="minorEastAsia"/>
          <w:color w:val="auto"/>
          <w:kern w:val="0"/>
          <w:szCs w:val="21"/>
        </w:rPr>
      </w:pPr>
      <w:r>
        <w:rPr>
          <w:rFonts w:hint="eastAsia" w:asciiTheme="minorEastAsia" w:hAnsiTheme="minorEastAsia" w:cstheme="minorEastAsia"/>
          <w:b/>
          <w:color w:val="auto"/>
          <w:kern w:val="0"/>
          <w:szCs w:val="21"/>
        </w:rPr>
        <w:t>42.政府采购合同融资</w:t>
      </w:r>
    </w:p>
    <w:p w14:paraId="2B89D235">
      <w:pPr>
        <w:pStyle w:val="23"/>
        <w:wordWrap w:val="0"/>
        <w:topLinePunct/>
        <w:autoSpaceDE w:val="0"/>
        <w:autoSpaceDN w:val="0"/>
        <w:adjustRightInd w:val="0"/>
        <w:spacing w:line="360" w:lineRule="auto"/>
        <w:contextualSpacing/>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42.1缓解中小企业融资难题</w:t>
      </w:r>
    </w:p>
    <w:p w14:paraId="2B89D236">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B89D237">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42.2合作金融机构（排名不分先后）</w:t>
      </w:r>
    </w:p>
    <w:p w14:paraId="2B89D238">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合作金融机构名称：中原银行许昌分行（小微金融部）</w:t>
      </w:r>
    </w:p>
    <w:p w14:paraId="2B89D239">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联系人及电话：陈阳 13137407575   方金龙  15836539901</w:t>
      </w:r>
    </w:p>
    <w:p w14:paraId="2B89D23A">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地址：许昌市建安大道与紫云路交汇处中原银行</w:t>
      </w:r>
    </w:p>
    <w:p w14:paraId="2B89D23B">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合作金融机构名称：浦发银行许昌分行</w:t>
      </w:r>
    </w:p>
    <w:p w14:paraId="2B89D23C">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联系人及电话：赵勇  0374-7313569、7313502 18937459920</w:t>
      </w:r>
    </w:p>
    <w:p w14:paraId="2B89D23D">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地址：许昌市许继大道1163号许继花园</w:t>
      </w:r>
    </w:p>
    <w:p w14:paraId="2B89D23E">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合作金融机构名称：交通银行许昌分行</w:t>
      </w:r>
    </w:p>
    <w:p w14:paraId="2B89D23F">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联系人：宋纪刚  0374-2369912  13733951305</w:t>
      </w:r>
    </w:p>
    <w:p w14:paraId="2B89D240">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地址：许昌市莲城大道114号</w:t>
      </w:r>
    </w:p>
    <w:p w14:paraId="2B89D241">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合作金融机构名称：光大银行许昌分行</w:t>
      </w:r>
    </w:p>
    <w:p w14:paraId="2B89D242">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联系人：李东磊  0374-2928168 18569936868</w:t>
      </w:r>
    </w:p>
    <w:p w14:paraId="2B89D243">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地址：许昌市魏都区八一路文峰路交叉口西北角</w:t>
      </w:r>
    </w:p>
    <w:p w14:paraId="2B89D244">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合作金融机构名称：招商银行许昌分行</w:t>
      </w:r>
    </w:p>
    <w:p w14:paraId="2B89D245">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联系人及电话：崔星迪  0374-5376058  18839983051</w:t>
      </w:r>
    </w:p>
    <w:p w14:paraId="2B89D246">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地址：许昌市建安大道中段新天下AB座</w:t>
      </w:r>
    </w:p>
    <w:p w14:paraId="2B89D247">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合作金融机构名称：邮储银行许昌市分行</w:t>
      </w:r>
    </w:p>
    <w:p w14:paraId="2B89D248">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联系人及电话：张彦峰13839001972 武松涛18839902679</w:t>
      </w:r>
    </w:p>
    <w:p w14:paraId="2B89D249">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徐亚爽15038297574</w:t>
      </w:r>
    </w:p>
    <w:p w14:paraId="2B89D24A">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地址：许昌市莲城大道邮储银行莲城支行二楼</w:t>
      </w:r>
    </w:p>
    <w:p w14:paraId="2B89D24B">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合作金融机构名称：中国银行许昌分行</w:t>
      </w:r>
    </w:p>
    <w:p w14:paraId="2B89D24C">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联系人及电话：白炜 13938772680   刘晓飞  0374-3338596</w:t>
      </w:r>
    </w:p>
    <w:p w14:paraId="2B89D24D">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地址：许昌市魏都区建设路1488号</w:t>
      </w:r>
    </w:p>
    <w:p w14:paraId="2B89D24E">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合作金融机构名称：中信银行郑州红专路支行</w:t>
      </w:r>
    </w:p>
    <w:p w14:paraId="2B89D24F">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联系人：韩晨  13253490679</w:t>
      </w:r>
    </w:p>
    <w:p w14:paraId="2B89D250">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地址：郑州市金水区经三路北26号中信银行郑州红专路支行</w:t>
      </w:r>
    </w:p>
    <w:p w14:paraId="2B89D251">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42.3 “许昌市政府采购合同融资金融产品推介名录”链接</w:t>
      </w:r>
    </w:p>
    <w:p w14:paraId="2B89D252">
      <w:pPr>
        <w:autoSpaceDE w:val="0"/>
        <w:autoSpaceDN w:val="0"/>
        <w:spacing w:line="360" w:lineRule="auto"/>
        <w:ind w:left="964"/>
        <w:contextualSpacing/>
        <w:jc w:val="left"/>
        <w:rPr>
          <w:rFonts w:hint="eastAsia" w:asciiTheme="minorEastAsia" w:hAnsiTheme="minorEastAsia" w:cstheme="minorEastAsia"/>
          <w:color w:val="auto"/>
          <w:kern w:val="0"/>
          <w:szCs w:val="21"/>
        </w:rPr>
      </w:pPr>
      <w:r>
        <w:rPr>
          <w:rFonts w:hint="eastAsia" w:asciiTheme="minorEastAsia" w:hAnsiTheme="minorEastAsia" w:cstheme="minorEastAsia"/>
          <w:color w:val="auto"/>
          <w:kern w:val="0"/>
          <w:szCs w:val="21"/>
        </w:rPr>
        <w:t>http://xuchang.hngp.gov.cn/xuchang/content?infoId=1606365368231095&amp;channelCode=H711001</w:t>
      </w:r>
    </w:p>
    <w:p w14:paraId="2B89D253">
      <w:pPr>
        <w:autoSpaceDE w:val="0"/>
        <w:autoSpaceDN w:val="0"/>
        <w:spacing w:line="360" w:lineRule="auto"/>
        <w:contextualSpacing/>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43. 其他</w:t>
      </w:r>
    </w:p>
    <w:p w14:paraId="2B89D254">
      <w:pPr>
        <w:tabs>
          <w:tab w:val="left" w:pos="1260"/>
        </w:tabs>
        <w:autoSpaceDE w:val="0"/>
        <w:autoSpaceDN w:val="0"/>
        <w:spacing w:line="360" w:lineRule="auto"/>
        <w:ind w:firstLine="420" w:firstLineChars="200"/>
        <w:contextualSpacing/>
        <w:jc w:val="left"/>
        <w:rPr>
          <w:rFonts w:hint="eastAsia" w:asciiTheme="minorEastAsia" w:hAnsiTheme="minorEastAsia" w:cstheme="minorEastAsia"/>
          <w:b/>
          <w:color w:val="auto"/>
          <w:kern w:val="0"/>
          <w:sz w:val="32"/>
          <w:szCs w:val="32"/>
        </w:rPr>
      </w:pPr>
      <w:r>
        <w:rPr>
          <w:rFonts w:hint="eastAsia" w:asciiTheme="minorEastAsia" w:hAnsiTheme="minorEastAsia" w:cstheme="minorEastAsia"/>
          <w:color w:val="auto"/>
          <w:kern w:val="0"/>
          <w:szCs w:val="21"/>
        </w:rPr>
        <w:t>本次招标文件未尽事项，以法律法规规定的为准。</w:t>
      </w:r>
    </w:p>
    <w:p w14:paraId="2B89D255">
      <w:pPr>
        <w:autoSpaceDE w:val="0"/>
        <w:autoSpaceDN w:val="0"/>
        <w:spacing w:line="360" w:lineRule="auto"/>
        <w:ind w:left="964"/>
        <w:contextualSpacing/>
        <w:jc w:val="center"/>
        <w:rPr>
          <w:rFonts w:hint="eastAsia" w:asciiTheme="minorEastAsia" w:hAnsiTheme="minorEastAsia" w:cstheme="minorEastAsia"/>
          <w:b/>
          <w:color w:val="auto"/>
          <w:kern w:val="0"/>
          <w:sz w:val="32"/>
          <w:szCs w:val="32"/>
        </w:rPr>
      </w:pPr>
    </w:p>
    <w:p w14:paraId="2B89D256">
      <w:pPr>
        <w:autoSpaceDE w:val="0"/>
        <w:autoSpaceDN w:val="0"/>
        <w:spacing w:line="360" w:lineRule="auto"/>
        <w:ind w:left="964"/>
        <w:contextualSpacing/>
        <w:jc w:val="center"/>
        <w:rPr>
          <w:rFonts w:hint="eastAsia" w:asciiTheme="minorEastAsia" w:hAnsiTheme="minorEastAsia" w:cstheme="minorEastAsia"/>
          <w:b/>
          <w:color w:val="auto"/>
          <w:kern w:val="0"/>
          <w:sz w:val="32"/>
          <w:szCs w:val="32"/>
        </w:rPr>
      </w:pPr>
    </w:p>
    <w:p w14:paraId="2B89D257">
      <w:pPr>
        <w:autoSpaceDE w:val="0"/>
        <w:autoSpaceDN w:val="0"/>
        <w:spacing w:line="360" w:lineRule="auto"/>
        <w:ind w:firstLine="643" w:firstLineChars="200"/>
        <w:contextualSpacing/>
        <w:rPr>
          <w:rFonts w:hint="eastAsia" w:cs="宋体" w:asciiTheme="majorEastAsia" w:hAnsiTheme="majorEastAsia"/>
          <w:b/>
          <w:color w:val="auto"/>
          <w:kern w:val="0"/>
          <w:sz w:val="32"/>
          <w:szCs w:val="32"/>
        </w:rPr>
      </w:pPr>
    </w:p>
    <w:p w14:paraId="2B89D258">
      <w:pPr>
        <w:pStyle w:val="3"/>
        <w:ind w:firstLine="0"/>
        <w:rPr>
          <w:rFonts w:hint="eastAsia" w:cs="宋体" w:asciiTheme="majorEastAsia" w:hAnsiTheme="majorEastAsia" w:eastAsiaTheme="majorEastAsia"/>
          <w:b/>
          <w:color w:val="auto"/>
          <w:kern w:val="0"/>
          <w:sz w:val="32"/>
          <w:szCs w:val="32"/>
        </w:rPr>
      </w:pPr>
    </w:p>
    <w:p w14:paraId="2B89D259">
      <w:pPr>
        <w:pStyle w:val="3"/>
        <w:ind w:firstLine="0"/>
        <w:rPr>
          <w:rFonts w:hint="eastAsia" w:cs="宋体" w:asciiTheme="majorEastAsia" w:hAnsiTheme="majorEastAsia" w:eastAsiaTheme="majorEastAsia"/>
          <w:b/>
          <w:color w:val="auto"/>
          <w:kern w:val="0"/>
          <w:sz w:val="32"/>
          <w:szCs w:val="32"/>
        </w:rPr>
      </w:pPr>
    </w:p>
    <w:p w14:paraId="337C8AA8">
      <w:pPr>
        <w:rPr>
          <w:rFonts w:hint="eastAsia" w:cs="宋体" w:asciiTheme="majorEastAsia" w:hAnsiTheme="majorEastAsia" w:eastAsiaTheme="majorEastAsia"/>
          <w:b/>
          <w:color w:val="auto"/>
          <w:kern w:val="0"/>
          <w:sz w:val="32"/>
          <w:szCs w:val="32"/>
        </w:rPr>
      </w:pPr>
    </w:p>
    <w:p w14:paraId="2B89D265">
      <w:pPr>
        <w:autoSpaceDE w:val="0"/>
        <w:autoSpaceDN w:val="0"/>
        <w:spacing w:line="360" w:lineRule="auto"/>
        <w:contextualSpacing/>
        <w:jc w:val="center"/>
        <w:rPr>
          <w:rFonts w:hint="eastAsia"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14:paraId="2B89D266">
      <w:pPr>
        <w:pStyle w:val="10"/>
        <w:spacing w:line="360" w:lineRule="auto"/>
        <w:ind w:firstLine="420" w:firstLineChars="200"/>
        <w:contextualSpacing/>
        <w:rPr>
          <w:rFonts w:hint="eastAsia" w:ascii="宋体" w:hAnsi="宋体" w:cs="仿宋_GB2312"/>
          <w:color w:val="auto"/>
          <w:szCs w:val="21"/>
          <w:lang w:val="zh-CN"/>
        </w:rPr>
      </w:pPr>
      <w:r>
        <w:rPr>
          <w:rFonts w:hint="eastAsia" w:ascii="宋体" w:hAnsi="宋体" w:cs="仿宋_GB2312"/>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B89D267">
      <w:pPr>
        <w:pStyle w:val="10"/>
        <w:spacing w:line="360" w:lineRule="auto"/>
        <w:contextualSpacing/>
        <w:rPr>
          <w:rFonts w:hint="eastAsia" w:ascii="宋体" w:hAnsi="宋体" w:cs="仿宋_GB2312"/>
          <w:b/>
          <w:color w:val="auto"/>
          <w:sz w:val="21"/>
          <w:szCs w:val="21"/>
          <w:lang w:val="zh-CN"/>
        </w:rPr>
      </w:pPr>
      <w:r>
        <w:rPr>
          <w:rFonts w:hint="eastAsia" w:ascii="宋体" w:hAnsi="宋体" w:cs="仿宋_GB2312"/>
          <w:b/>
          <w:color w:val="auto"/>
          <w:sz w:val="21"/>
          <w:szCs w:val="21"/>
          <w:lang w:val="zh-CN"/>
        </w:rPr>
        <w:t>一、节约能源、保护环境</w:t>
      </w:r>
    </w:p>
    <w:p w14:paraId="2B89D268">
      <w:pPr>
        <w:pStyle w:val="10"/>
        <w:spacing w:line="360" w:lineRule="auto"/>
        <w:ind w:firstLine="210" w:firstLineChars="100"/>
        <w:contextualSpacing/>
        <w:rPr>
          <w:rFonts w:hint="eastAsia" w:ascii="宋体" w:hAnsi="宋体" w:cs="仿宋_GB2312"/>
          <w:color w:val="auto"/>
          <w:sz w:val="21"/>
          <w:szCs w:val="21"/>
          <w:lang w:val="zh-CN"/>
        </w:rPr>
      </w:pPr>
      <w:r>
        <w:rPr>
          <w:rFonts w:hint="eastAsia" w:ascii="宋体" w:hAnsi="宋体" w:cs="仿宋_GB2312"/>
          <w:color w:val="auto"/>
          <w:sz w:val="21"/>
          <w:szCs w:val="21"/>
          <w:lang w:val="zh-CN"/>
        </w:rPr>
        <w:t>按照《财政部、发展改革委、生态环境部、市场监管总局关于调整优化节能产品、环境标志产品政府采购执行机制的通知》（财库〔2019〕9号）和</w:t>
      </w:r>
      <w:r>
        <w:rPr>
          <w:rFonts w:hint="eastAsia" w:ascii="宋体" w:hAnsi="宋体" w:cs="仿宋_GB2312"/>
          <w:color w:val="auto"/>
          <w:sz w:val="21"/>
          <w:szCs w:val="21"/>
        </w:rPr>
        <w:t>财政部、生态环境部</w:t>
      </w:r>
      <w:r>
        <w:rPr>
          <w:rFonts w:hint="eastAsia" w:ascii="宋体" w:hAnsi="宋体" w:cs="仿宋_GB2312"/>
          <w:color w:val="auto"/>
          <w:sz w:val="21"/>
          <w:szCs w:val="21"/>
          <w:lang w:val="zh-CN"/>
        </w:rPr>
        <w:t>《关于印发环境标志产品政府采购品目清单的通知》</w:t>
      </w:r>
      <w:r>
        <w:rPr>
          <w:rFonts w:hint="eastAsia" w:ascii="宋体" w:hAnsi="宋体" w:cs="仿宋_GB2312"/>
          <w:color w:val="auto"/>
          <w:sz w:val="21"/>
          <w:szCs w:val="21"/>
        </w:rPr>
        <w:t>（财库〔2019〕18号）以及</w:t>
      </w:r>
      <w:r>
        <w:rPr>
          <w:rFonts w:hint="eastAsia" w:ascii="宋体" w:hAnsi="宋体" w:cs="仿宋_GB2312"/>
          <w:color w:val="auto"/>
          <w:sz w:val="21"/>
          <w:szCs w:val="21"/>
          <w:lang w:val="zh-CN"/>
        </w:rPr>
        <w:t>财政部、发展改革委</w:t>
      </w:r>
      <w:r>
        <w:rPr>
          <w:rFonts w:hint="eastAsia" w:ascii="宋体" w:hAnsi="宋体" w:cs="仿宋_GB2312"/>
          <w:color w:val="auto"/>
          <w:sz w:val="21"/>
          <w:szCs w:val="21"/>
        </w:rPr>
        <w:t>《关于印发节能产品政府采购品目清单的通知》（财库〔2019〕19号）</w:t>
      </w:r>
      <w:r>
        <w:rPr>
          <w:rFonts w:hint="eastAsia" w:ascii="宋体" w:hAnsi="宋体" w:cs="仿宋_GB2312"/>
          <w:color w:val="auto"/>
          <w:sz w:val="21"/>
          <w:szCs w:val="21"/>
          <w:lang w:val="zh-CN"/>
        </w:rPr>
        <w:t>，</w:t>
      </w:r>
      <w:r>
        <w:rPr>
          <w:rFonts w:hint="eastAsia" w:ascii="宋体" w:hAnsi="宋体" w:cs="仿宋_GB2312"/>
          <w:color w:val="auto"/>
          <w:sz w:val="21"/>
          <w:szCs w:val="21"/>
        </w:rPr>
        <w:t>采购政府强</w:t>
      </w:r>
      <w:r>
        <w:rPr>
          <w:rFonts w:hint="eastAsia" w:ascii="宋体" w:hAnsi="宋体" w:cs="仿宋_GB2312"/>
          <w:color w:val="auto"/>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B89D269">
      <w:pPr>
        <w:pStyle w:val="10"/>
        <w:spacing w:line="360" w:lineRule="auto"/>
        <w:contextualSpacing/>
        <w:rPr>
          <w:rFonts w:hint="eastAsia" w:ascii="宋体" w:hAnsi="宋体" w:cs="仿宋_GB2312"/>
          <w:b/>
          <w:color w:val="auto"/>
          <w:sz w:val="21"/>
          <w:szCs w:val="21"/>
          <w:lang w:val="zh-CN"/>
        </w:rPr>
      </w:pPr>
      <w:r>
        <w:rPr>
          <w:rFonts w:hint="eastAsia" w:ascii="宋体" w:hAnsi="宋体" w:cs="仿宋_GB2312"/>
          <w:b/>
          <w:color w:val="auto"/>
          <w:sz w:val="21"/>
          <w:szCs w:val="21"/>
          <w:lang w:val="zh-CN"/>
        </w:rPr>
        <w:t>二、促进中小企业发展（不含民办非企业）</w:t>
      </w:r>
    </w:p>
    <w:p w14:paraId="2B89D26A">
      <w:pPr>
        <w:topLinePunct/>
        <w:spacing w:line="360" w:lineRule="auto"/>
        <w:ind w:firstLine="420" w:firstLineChars="200"/>
        <w:contextualSpacing/>
        <w:rPr>
          <w:rFonts w:hint="eastAsia" w:ascii="宋体" w:hAnsi="宋体" w:eastAsia="宋体"/>
          <w:color w:val="auto"/>
        </w:rPr>
      </w:pPr>
      <w:r>
        <w:rPr>
          <w:rFonts w:hint="eastAsia" w:ascii="宋体" w:hAnsi="宋体" w:eastAsia="宋体"/>
          <w:color w:val="auto"/>
        </w:rPr>
        <w:t>（一）专门面向小微企业采购，不再执行价格优惠政策。</w:t>
      </w:r>
    </w:p>
    <w:p w14:paraId="2B89D26B">
      <w:pPr>
        <w:topLinePunct/>
        <w:spacing w:line="360" w:lineRule="auto"/>
        <w:ind w:firstLine="420" w:firstLineChars="200"/>
        <w:contextualSpacing/>
        <w:rPr>
          <w:rFonts w:hint="eastAsia" w:ascii="宋体" w:hAnsi="宋体" w:eastAsia="宋体"/>
          <w:color w:val="auto"/>
        </w:rPr>
      </w:pPr>
      <w:r>
        <w:rPr>
          <w:rFonts w:hint="eastAsia" w:ascii="宋体" w:hAnsi="宋体" w:eastAsia="宋体"/>
          <w:color w:val="auto"/>
        </w:rPr>
        <w:t>（二）非</w:t>
      </w:r>
      <w:r>
        <w:rPr>
          <w:rFonts w:hint="eastAsia" w:ascii="宋体" w:hAnsi="宋体" w:eastAsia="宋体" w:cs="仿宋_GB2312"/>
          <w:color w:val="auto"/>
          <w:szCs w:val="21"/>
          <w:lang w:val="zh-CN"/>
        </w:rPr>
        <w:t>专门面向中小企业预留采购份额</w:t>
      </w:r>
    </w:p>
    <w:p w14:paraId="2B89D26C">
      <w:pPr>
        <w:topLinePunct/>
        <w:spacing w:line="360" w:lineRule="auto"/>
        <w:ind w:firstLine="420" w:firstLineChars="200"/>
        <w:contextualSpacing/>
        <w:rPr>
          <w:rFonts w:hint="eastAsia" w:ascii="宋体" w:hAnsi="宋体" w:eastAsia="宋体" w:cs="仿宋_GB2312"/>
          <w:color w:val="auto"/>
          <w:szCs w:val="21"/>
          <w:lang w:val="zh-CN"/>
        </w:rPr>
      </w:pPr>
      <w:r>
        <w:rPr>
          <w:rFonts w:hint="eastAsia" w:ascii="宋体" w:hAnsi="宋体" w:eastAsia="宋体"/>
          <w:color w:val="auto"/>
          <w:lang w:eastAsia="zh-CN"/>
        </w:rPr>
        <w:t>1.</w:t>
      </w:r>
      <w:r>
        <w:rPr>
          <w:rFonts w:hint="eastAsia" w:ascii="宋体" w:hAnsi="宋体" w:eastAsia="宋体" w:cs="仿宋_GB2312"/>
          <w:color w:val="auto"/>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2B89D26D">
      <w:pPr>
        <w:spacing w:line="360" w:lineRule="auto"/>
        <w:ind w:firstLine="420" w:firstLineChars="200"/>
        <w:contextualSpacing/>
        <w:rPr>
          <w:rFonts w:hint="eastAsia" w:ascii="宋体" w:hAnsi="宋体" w:eastAsia="宋体"/>
          <w:color w:val="auto"/>
        </w:rPr>
      </w:pPr>
      <w:r>
        <w:rPr>
          <w:rFonts w:hint="eastAsia" w:ascii="宋体" w:hAnsi="宋体" w:eastAsia="宋体"/>
          <w:color w:val="auto"/>
          <w:lang w:eastAsia="zh-CN"/>
        </w:rPr>
        <w:t>2.</w:t>
      </w:r>
      <w:r>
        <w:rPr>
          <w:rFonts w:ascii="宋体" w:hAnsi="宋体" w:eastAsia="宋体"/>
          <w:color w:val="auto"/>
        </w:rPr>
        <w:t>在货物采购项目中，供应商提供的货物既有中小企业制造货物，也有大型企业制造货物的，不享受</w:t>
      </w:r>
      <w:r>
        <w:rPr>
          <w:rFonts w:hint="eastAsia" w:ascii="宋体" w:hAnsi="宋体" w:eastAsia="宋体" w:cs="仿宋_GB2312"/>
          <w:color w:val="auto"/>
          <w:szCs w:val="21"/>
          <w:lang w:val="zh-CN"/>
        </w:rPr>
        <w:t>《政府采购促进中小企业发展管理办法》（财库〔2020〕46号）</w:t>
      </w:r>
      <w:r>
        <w:rPr>
          <w:rFonts w:ascii="宋体" w:hAnsi="宋体" w:eastAsia="宋体"/>
          <w:color w:val="auto"/>
        </w:rPr>
        <w:t>规定的中小企业扶持政策。</w:t>
      </w:r>
    </w:p>
    <w:p w14:paraId="2B89D26E">
      <w:pPr>
        <w:spacing w:line="360" w:lineRule="auto"/>
        <w:ind w:firstLine="420" w:firstLineChars="200"/>
        <w:contextualSpacing/>
        <w:rPr>
          <w:rFonts w:hint="eastAsia" w:ascii="宋体" w:hAnsi="宋体" w:eastAsia="宋体"/>
          <w:color w:val="auto"/>
        </w:rPr>
      </w:pPr>
      <w:r>
        <w:rPr>
          <w:rFonts w:hint="eastAsia" w:ascii="宋体" w:hAnsi="宋体" w:eastAsia="宋体"/>
          <w:color w:val="auto"/>
          <w:lang w:eastAsia="zh-CN"/>
        </w:rPr>
        <w:t>3.</w:t>
      </w:r>
      <w:r>
        <w:rPr>
          <w:rFonts w:ascii="宋体" w:hAnsi="宋体" w:eastAsia="宋体"/>
          <w:color w:val="auto"/>
        </w:rPr>
        <w:t>以联合体形式参加政府采购活动，联合体各方均为中小企业的，联合体视同中小企业。其中，联合体各方均为小微企业的，联合体视同小微企业。</w:t>
      </w:r>
    </w:p>
    <w:p w14:paraId="2B89D26F">
      <w:pPr>
        <w:spacing w:line="360" w:lineRule="auto"/>
        <w:ind w:firstLine="420" w:firstLineChars="200"/>
        <w:contextualSpacing/>
        <w:rPr>
          <w:rFonts w:hint="eastAsia" w:ascii="宋体" w:hAnsi="宋体" w:eastAsia="宋体"/>
          <w:color w:val="auto"/>
        </w:rPr>
      </w:pPr>
      <w:r>
        <w:rPr>
          <w:rFonts w:hint="eastAsia" w:ascii="宋体" w:hAnsi="宋体" w:eastAsia="宋体"/>
          <w:color w:val="auto"/>
          <w:lang w:eastAsia="zh-CN"/>
        </w:rPr>
        <w:t>4.</w:t>
      </w:r>
      <w:r>
        <w:rPr>
          <w:rFonts w:ascii="宋体" w:hAnsi="宋体" w:eastAsia="宋体"/>
          <w:color w:val="auto"/>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w:t>
      </w:r>
      <w:r>
        <w:rPr>
          <w:rFonts w:ascii="宋体" w:hAnsi="宋体" w:eastAsia="宋体"/>
          <w:color w:val="auto"/>
          <w:highlight w:val="none"/>
        </w:rPr>
        <w:t>价给予</w:t>
      </w:r>
      <w:r>
        <w:rPr>
          <w:rFonts w:hint="eastAsia" w:ascii="宋体" w:hAnsi="宋体" w:eastAsia="宋体"/>
          <w:color w:val="auto"/>
          <w:highlight w:val="none"/>
          <w:lang w:val="en-US" w:eastAsia="zh-CN"/>
        </w:rPr>
        <w:t>4%～</w:t>
      </w:r>
      <w:r>
        <w:rPr>
          <w:rFonts w:hint="eastAsia" w:ascii="宋体" w:hAnsi="宋体" w:eastAsia="宋体"/>
          <w:color w:val="auto"/>
          <w:highlight w:val="none"/>
        </w:rPr>
        <w:t>6</w:t>
      </w:r>
      <w:r>
        <w:rPr>
          <w:rFonts w:ascii="宋体" w:hAnsi="宋体" w:eastAsia="宋体"/>
          <w:color w:val="auto"/>
          <w:highlight w:val="none"/>
        </w:rPr>
        <w:t>%的扣除，用扣</w:t>
      </w:r>
      <w:r>
        <w:rPr>
          <w:rFonts w:ascii="宋体" w:hAnsi="宋体" w:eastAsia="宋体"/>
          <w:color w:val="auto"/>
        </w:rPr>
        <w:t>除后的价格参加评审。组成联合体或者接受分包的小微企业与联合体内其他企业、分包企业之间存在直接控股、管理关系的，不享受价格扣除优惠政策。</w:t>
      </w:r>
    </w:p>
    <w:p w14:paraId="2B89D270">
      <w:pPr>
        <w:topLinePunct/>
        <w:spacing w:line="360" w:lineRule="auto"/>
        <w:ind w:firstLine="420" w:firstLineChars="200"/>
        <w:contextualSpacing/>
        <w:rPr>
          <w:rFonts w:hint="eastAsia" w:ascii="宋体" w:hAnsi="宋体" w:eastAsia="宋体"/>
          <w:color w:val="auto"/>
        </w:rPr>
      </w:pPr>
      <w:r>
        <w:rPr>
          <w:rFonts w:hint="eastAsia" w:ascii="宋体" w:hAnsi="宋体" w:eastAsia="宋体"/>
          <w:color w:val="auto"/>
          <w:lang w:eastAsia="zh-CN"/>
        </w:rPr>
        <w:t>5.</w:t>
      </w:r>
      <w:r>
        <w:rPr>
          <w:rFonts w:hint="eastAsia" w:ascii="宋体" w:hAnsi="宋体" w:eastAsia="宋体"/>
          <w:color w:val="auto"/>
        </w:rPr>
        <w:t>按照本次采购标的所属行业的划定标准，符合条件的中小企业应按照采购文件格式要求提供《中小企业声明函》，</w:t>
      </w:r>
      <w:r>
        <w:rPr>
          <w:rFonts w:ascii="宋体" w:hAnsi="宋体" w:eastAsia="宋体"/>
          <w:color w:val="auto"/>
        </w:rPr>
        <w:t>否则不得享受相关中小企业扶持政策。</w:t>
      </w:r>
    </w:p>
    <w:p w14:paraId="2B89D271">
      <w:pPr>
        <w:topLinePunct/>
        <w:spacing w:line="360" w:lineRule="auto"/>
        <w:contextualSpacing/>
        <w:rPr>
          <w:rFonts w:hint="eastAsia" w:ascii="宋体" w:hAnsi="宋体" w:eastAsia="宋体" w:cs="仿宋_GB2312"/>
          <w:b/>
          <w:color w:val="auto"/>
          <w:szCs w:val="21"/>
          <w:lang w:val="zh-CN"/>
        </w:rPr>
      </w:pPr>
      <w:r>
        <w:rPr>
          <w:rFonts w:hint="eastAsia" w:ascii="宋体" w:hAnsi="宋体" w:eastAsia="宋体" w:cs="仿宋_GB2312"/>
          <w:b/>
          <w:color w:val="auto"/>
          <w:szCs w:val="21"/>
          <w:lang w:val="zh-CN"/>
        </w:rPr>
        <w:t>三、支持监狱企业发展</w:t>
      </w:r>
    </w:p>
    <w:p w14:paraId="2B89D272">
      <w:pPr>
        <w:spacing w:line="360" w:lineRule="auto"/>
        <w:ind w:firstLine="420" w:firstLineChars="200"/>
        <w:contextualSpacing/>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按照财政部、司法部发布的《关于政府采购支持监狱企业发展有关问题的通知》（</w:t>
      </w:r>
      <w:bookmarkStart w:id="4" w:name="OLE_LINK6"/>
      <w:r>
        <w:rPr>
          <w:rFonts w:hint="eastAsia" w:ascii="宋体" w:hAnsi="宋体" w:eastAsia="宋体" w:cs="仿宋_GB2312"/>
          <w:color w:val="auto"/>
          <w:szCs w:val="21"/>
          <w:lang w:val="zh-CN"/>
        </w:rPr>
        <w:t>财库〔2014〕68号</w:t>
      </w:r>
      <w:bookmarkEnd w:id="4"/>
      <w:r>
        <w:rPr>
          <w:rFonts w:hint="eastAsia" w:ascii="宋体" w:hAnsi="宋体" w:eastAsia="宋体" w:cs="仿宋_GB2312"/>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B89D273">
      <w:pPr>
        <w:spacing w:line="360" w:lineRule="auto"/>
        <w:contextualSpacing/>
        <w:rPr>
          <w:rFonts w:hint="eastAsia" w:ascii="宋体" w:hAnsi="宋体" w:eastAsia="宋体" w:cs="仿宋_GB2312"/>
          <w:b/>
          <w:color w:val="auto"/>
          <w:szCs w:val="21"/>
          <w:lang w:val="zh-CN"/>
        </w:rPr>
      </w:pPr>
      <w:r>
        <w:rPr>
          <w:rFonts w:hint="eastAsia" w:ascii="宋体" w:hAnsi="宋体" w:eastAsia="宋体" w:cs="仿宋_GB2312"/>
          <w:b/>
          <w:color w:val="auto"/>
          <w:szCs w:val="21"/>
          <w:lang w:val="zh-CN"/>
        </w:rPr>
        <w:t>四、促进残疾人就业</w:t>
      </w:r>
    </w:p>
    <w:p w14:paraId="2B89D274">
      <w:pPr>
        <w:pStyle w:val="10"/>
        <w:spacing w:line="360" w:lineRule="auto"/>
        <w:ind w:firstLine="420" w:firstLineChars="200"/>
        <w:contextualSpacing/>
        <w:rPr>
          <w:rFonts w:hint="eastAsia" w:ascii="宋体" w:hAnsi="宋体" w:cs="仿宋_GB2312"/>
          <w:color w:val="auto"/>
          <w:sz w:val="21"/>
          <w:szCs w:val="21"/>
          <w:lang w:val="zh-CN"/>
        </w:rPr>
      </w:pPr>
      <w:r>
        <w:rPr>
          <w:rFonts w:hint="eastAsia" w:ascii="宋体" w:hAnsi="宋体" w:cs="仿宋_GB2312"/>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auto"/>
          <w:sz w:val="21"/>
          <w:szCs w:val="21"/>
        </w:rPr>
        <w:t>残疾人福利性单位属于小型、微型企业的，不重复享受政策。</w:t>
      </w:r>
    </w:p>
    <w:p w14:paraId="2B89D275">
      <w:pPr>
        <w:pStyle w:val="10"/>
        <w:spacing w:line="360" w:lineRule="auto"/>
        <w:ind w:firstLine="420" w:firstLineChars="200"/>
        <w:contextualSpacing/>
        <w:rPr>
          <w:rFonts w:hint="eastAsia" w:ascii="宋体" w:hAnsi="宋体" w:cs="仿宋_GB2312"/>
          <w:color w:val="auto"/>
          <w:sz w:val="21"/>
          <w:szCs w:val="21"/>
          <w:lang w:val="zh-CN"/>
        </w:rPr>
      </w:pPr>
      <w:r>
        <w:rPr>
          <w:rFonts w:hint="eastAsia" w:ascii="宋体" w:hAnsi="宋体" w:cs="仿宋_GB2312"/>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B89D276">
      <w:pPr>
        <w:pStyle w:val="10"/>
        <w:spacing w:line="360" w:lineRule="auto"/>
        <w:ind w:firstLine="420" w:firstLineChars="200"/>
        <w:contextualSpacing/>
        <w:rPr>
          <w:rFonts w:hint="eastAsia" w:ascii="宋体" w:hAnsi="宋体" w:cs="仿宋_GB2312"/>
          <w:color w:val="auto"/>
          <w:szCs w:val="24"/>
          <w:lang w:val="zh-CN"/>
        </w:rPr>
      </w:pPr>
      <w:r>
        <w:rPr>
          <w:rFonts w:hint="eastAsia" w:ascii="宋体" w:hAnsi="宋体" w:cs="仿宋_GB2312"/>
          <w:color w:val="auto"/>
          <w:sz w:val="21"/>
          <w:szCs w:val="21"/>
          <w:lang w:val="zh-CN"/>
        </w:rPr>
        <w:t>3.中标人为残疾人福利性单位的，招标人应当随中标结果同时公告其《残疾人福利性单位声明函》，接受社会监督。</w:t>
      </w:r>
    </w:p>
    <w:p w14:paraId="2B89D277">
      <w:pPr>
        <w:pStyle w:val="10"/>
        <w:spacing w:line="360" w:lineRule="auto"/>
        <w:ind w:left="282" w:hanging="282" w:hangingChars="78"/>
        <w:contextualSpacing/>
        <w:jc w:val="center"/>
        <w:rPr>
          <w:rFonts w:hint="eastAsia" w:ascii="宋体" w:hAnsi="宋体" w:cs="宋体"/>
          <w:b/>
          <w:color w:val="auto"/>
          <w:kern w:val="0"/>
          <w:sz w:val="36"/>
          <w:szCs w:val="36"/>
        </w:rPr>
      </w:pPr>
    </w:p>
    <w:p w14:paraId="2B89D278">
      <w:pPr>
        <w:pStyle w:val="2"/>
        <w:rPr>
          <w:rFonts w:hint="eastAsia" w:cs="宋体" w:asciiTheme="majorEastAsia" w:hAnsiTheme="majorEastAsia" w:eastAsiaTheme="majorEastAsia"/>
          <w:b/>
          <w:color w:val="auto"/>
          <w:kern w:val="0"/>
          <w:sz w:val="32"/>
          <w:szCs w:val="32"/>
        </w:rPr>
      </w:pPr>
    </w:p>
    <w:p w14:paraId="2B89D27C">
      <w:pPr>
        <w:pStyle w:val="18"/>
        <w:rPr>
          <w:color w:val="auto"/>
        </w:rPr>
      </w:pPr>
    </w:p>
    <w:p w14:paraId="772D9DF7">
      <w:pPr>
        <w:pStyle w:val="19"/>
        <w:rPr>
          <w:color w:val="auto"/>
        </w:rPr>
      </w:pPr>
    </w:p>
    <w:p w14:paraId="4536691F">
      <w:pPr>
        <w:rPr>
          <w:color w:val="auto"/>
        </w:rPr>
      </w:pPr>
    </w:p>
    <w:p w14:paraId="6CEBD3BD">
      <w:pPr>
        <w:rPr>
          <w:color w:val="auto"/>
        </w:rPr>
      </w:pPr>
    </w:p>
    <w:p w14:paraId="73FF1CDC">
      <w:pPr>
        <w:rPr>
          <w:color w:val="auto"/>
        </w:rPr>
      </w:pPr>
    </w:p>
    <w:p w14:paraId="033C0851">
      <w:pPr>
        <w:rPr>
          <w:color w:val="auto"/>
        </w:rPr>
      </w:pPr>
    </w:p>
    <w:p w14:paraId="5228CBF0">
      <w:pPr>
        <w:rPr>
          <w:color w:val="auto"/>
        </w:rPr>
      </w:pPr>
    </w:p>
    <w:p w14:paraId="4F356484">
      <w:pPr>
        <w:rPr>
          <w:color w:val="auto"/>
        </w:rPr>
      </w:pPr>
    </w:p>
    <w:p w14:paraId="10EBF89C">
      <w:pPr>
        <w:rPr>
          <w:color w:val="auto"/>
        </w:rPr>
      </w:pPr>
    </w:p>
    <w:p w14:paraId="2B89D27D">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第六章   资格审查与评标</w:t>
      </w:r>
    </w:p>
    <w:p w14:paraId="2B89D27E">
      <w:pPr>
        <w:pStyle w:val="10"/>
        <w:spacing w:line="360" w:lineRule="auto"/>
        <w:contextualSpacing/>
        <w:rPr>
          <w:rFonts w:hint="eastAsia"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14:paraId="2B89D27F">
      <w:pPr>
        <w:pStyle w:val="10"/>
        <w:spacing w:line="360" w:lineRule="auto"/>
        <w:ind w:firstLine="420" w:firstLineChars="200"/>
        <w:contextualSpacing/>
        <w:rPr>
          <w:rFonts w:hint="eastAsia" w:ascii="宋体" w:hAnsi="宋体" w:cs="仿宋_GB2312"/>
          <w:color w:val="auto"/>
          <w:sz w:val="21"/>
          <w:szCs w:val="21"/>
          <w:lang w:val="zh-CN"/>
        </w:rPr>
      </w:pPr>
      <w:r>
        <w:rPr>
          <w:rFonts w:hint="eastAsia" w:ascii="宋体" w:hAnsi="宋体" w:cs="仿宋_GB2312"/>
          <w:color w:val="auto"/>
          <w:sz w:val="21"/>
          <w:szCs w:val="21"/>
          <w:lang w:val="zh-CN"/>
        </w:rPr>
        <w:t>（一）</w:t>
      </w:r>
      <w:r>
        <w:rPr>
          <w:rFonts w:ascii="宋体" w:hAnsi="宋体" w:cs="仿宋_GB2312"/>
          <w:color w:val="auto"/>
          <w:sz w:val="21"/>
          <w:szCs w:val="21"/>
          <w:lang w:val="zh-CN"/>
        </w:rPr>
        <w:t>开标结束后，</w:t>
      </w:r>
      <w:r>
        <w:rPr>
          <w:rFonts w:hint="eastAsia" w:ascii="宋体" w:hAnsi="宋体" w:cs="仿宋_GB2312"/>
          <w:color w:val="auto"/>
          <w:sz w:val="21"/>
          <w:szCs w:val="21"/>
          <w:lang w:val="zh-CN"/>
        </w:rPr>
        <w:t>采购人依法对投标人资格进行审查</w:t>
      </w:r>
      <w:r>
        <w:rPr>
          <w:rFonts w:ascii="宋体" w:hAnsi="宋体" w:cs="仿宋_GB2312"/>
          <w:color w:val="auto"/>
          <w:sz w:val="21"/>
          <w:szCs w:val="21"/>
          <w:lang w:val="zh-CN"/>
        </w:rPr>
        <w:t>。</w:t>
      </w:r>
    </w:p>
    <w:p w14:paraId="2B89D280">
      <w:pPr>
        <w:spacing w:line="360" w:lineRule="auto"/>
        <w:ind w:firstLine="420" w:firstLineChars="200"/>
        <w:contextualSpacing/>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（二）资格证明材料（本栏所列内容为本项目的资格审查条件，如有一项不符合要求，则不能进入下一步评审）。</w:t>
      </w:r>
    </w:p>
    <w:p w14:paraId="2B89D281">
      <w:pPr>
        <w:spacing w:line="360" w:lineRule="auto"/>
        <w:ind w:firstLine="420" w:firstLineChars="200"/>
        <w:contextualSpacing/>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（三）资格审查中所涉及的证书及材料，均须在电子投标文件中提供原件扫描件（或图片）。</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2B89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82">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410" w:type="dxa"/>
            <w:vAlign w:val="center"/>
          </w:tcPr>
          <w:p w14:paraId="2B89D283">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资格审查因素</w:t>
            </w:r>
          </w:p>
        </w:tc>
        <w:tc>
          <w:tcPr>
            <w:tcW w:w="5954" w:type="dxa"/>
            <w:vAlign w:val="center"/>
          </w:tcPr>
          <w:p w14:paraId="2B89D284">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说明与要求</w:t>
            </w:r>
          </w:p>
        </w:tc>
      </w:tr>
      <w:tr w14:paraId="2B89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86">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1</w:t>
            </w:r>
          </w:p>
        </w:tc>
        <w:tc>
          <w:tcPr>
            <w:tcW w:w="2410" w:type="dxa"/>
            <w:vAlign w:val="center"/>
          </w:tcPr>
          <w:p w14:paraId="2B89D287">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投标函</w:t>
            </w:r>
          </w:p>
        </w:tc>
        <w:tc>
          <w:tcPr>
            <w:tcW w:w="5954" w:type="dxa"/>
            <w:vAlign w:val="center"/>
          </w:tcPr>
          <w:p w14:paraId="2B89D288">
            <w:pPr>
              <w:spacing w:line="360" w:lineRule="auto"/>
              <w:rPr>
                <w:rFonts w:hint="eastAsia" w:ascii="宋体" w:hAnsi="宋体" w:eastAsia="宋体" w:cs="宋体"/>
                <w:b/>
                <w:color w:val="auto"/>
                <w:szCs w:val="21"/>
              </w:rPr>
            </w:pPr>
            <w:r>
              <w:rPr>
                <w:rFonts w:hint="eastAsia" w:ascii="宋体" w:hAnsi="宋体" w:eastAsia="宋体" w:cs="宋体"/>
                <w:bCs/>
                <w:color w:val="auto"/>
                <w:szCs w:val="21"/>
              </w:rPr>
              <w:t>参考招标文件第八章3.1格式填写</w:t>
            </w:r>
          </w:p>
        </w:tc>
      </w:tr>
      <w:tr w14:paraId="2B89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8A">
            <w:pPr>
              <w:spacing w:line="360" w:lineRule="auto"/>
              <w:jc w:val="center"/>
              <w:rPr>
                <w:rFonts w:hint="eastAsia"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14:paraId="2B89D28B">
            <w:pPr>
              <w:spacing w:line="360" w:lineRule="auto"/>
              <w:jc w:val="center"/>
              <w:rPr>
                <w:rFonts w:hint="eastAsia" w:cs="宋体" w:asciiTheme="minorEastAsia" w:hAnsiTheme="minorEastAsia"/>
                <w:b/>
                <w:color w:val="auto"/>
                <w:szCs w:val="21"/>
                <w:lang w:val="zh-CN"/>
              </w:rPr>
            </w:pP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w:t>
            </w:r>
          </w:p>
          <w:p w14:paraId="2B89D28C">
            <w:pPr>
              <w:spacing w:line="360" w:lineRule="auto"/>
              <w:jc w:val="center"/>
              <w:rPr>
                <w:rFonts w:hint="eastAsia" w:cs="宋体" w:asciiTheme="minorEastAsia" w:hAnsiTheme="minorEastAsia"/>
                <w:b/>
                <w:color w:val="auto"/>
                <w:szCs w:val="21"/>
                <w:lang w:val="zh-CN"/>
              </w:rPr>
            </w:pPr>
            <w:r>
              <w:rPr>
                <w:rFonts w:cs="宋体" w:asciiTheme="minorEastAsia" w:hAnsiTheme="minorEastAsia"/>
                <w:b/>
                <w:color w:val="auto"/>
                <w:szCs w:val="21"/>
                <w:lang w:val="zh-CN"/>
              </w:rPr>
              <w:t>供应商信用承诺函</w:t>
            </w:r>
          </w:p>
        </w:tc>
        <w:tc>
          <w:tcPr>
            <w:tcW w:w="5954" w:type="dxa"/>
            <w:vAlign w:val="center"/>
          </w:tcPr>
          <w:p w14:paraId="2B89D28D">
            <w:pPr>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rPr>
              <w:t>4</w:t>
            </w:r>
            <w:r>
              <w:rPr>
                <w:rFonts w:hint="eastAsia" w:cs="宋体" w:asciiTheme="minorEastAsia" w:hAnsiTheme="minorEastAsia"/>
                <w:bCs/>
                <w:color w:val="auto"/>
                <w:szCs w:val="21"/>
                <w:lang w:val="zh-CN"/>
              </w:rPr>
              <w:t>格式填写</w:t>
            </w:r>
          </w:p>
        </w:tc>
      </w:tr>
      <w:tr w14:paraId="2B89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B89D297">
            <w:pPr>
              <w:spacing w:line="360" w:lineRule="auto"/>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val="en-US" w:eastAsia="zh-CN"/>
              </w:rPr>
              <w:t>3</w:t>
            </w:r>
          </w:p>
        </w:tc>
        <w:tc>
          <w:tcPr>
            <w:tcW w:w="2410" w:type="dxa"/>
            <w:vAlign w:val="center"/>
          </w:tcPr>
          <w:p w14:paraId="2B89D298">
            <w:pPr>
              <w:spacing w:line="360" w:lineRule="auto"/>
              <w:rPr>
                <w:rFonts w:hint="eastAsia" w:ascii="宋体" w:hAnsi="宋体" w:eastAsia="宋体" w:cs="Times New Roman"/>
                <w:b/>
                <w:color w:val="auto"/>
                <w:szCs w:val="21"/>
              </w:rPr>
            </w:pPr>
            <w:r>
              <w:rPr>
                <w:rFonts w:hint="eastAsia" w:ascii="宋体" w:hAnsi="宋体" w:eastAsia="宋体" w:cs="Times New Roman"/>
                <w:b/>
                <w:color w:val="auto"/>
                <w:szCs w:val="21"/>
              </w:rPr>
              <w:t>投标人须具备的特殊</w:t>
            </w:r>
          </w:p>
          <w:p w14:paraId="2B89D299">
            <w:pPr>
              <w:spacing w:line="360" w:lineRule="auto"/>
              <w:jc w:val="center"/>
              <w:rPr>
                <w:rFonts w:hint="eastAsia" w:asciiTheme="minorEastAsia" w:hAnsiTheme="minorEastAsia"/>
                <w:b/>
                <w:bCs/>
                <w:color w:val="auto"/>
                <w:szCs w:val="21"/>
              </w:rPr>
            </w:pPr>
            <w:r>
              <w:rPr>
                <w:rFonts w:hint="eastAsia" w:ascii="宋体" w:hAnsi="宋体" w:eastAsia="宋体" w:cs="Times New Roman"/>
                <w:b/>
                <w:color w:val="auto"/>
                <w:szCs w:val="21"/>
              </w:rPr>
              <w:t>资质证书</w:t>
            </w:r>
          </w:p>
        </w:tc>
        <w:tc>
          <w:tcPr>
            <w:tcW w:w="5954" w:type="dxa"/>
            <w:vAlign w:val="center"/>
          </w:tcPr>
          <w:p w14:paraId="2B89D29A">
            <w:pPr>
              <w:spacing w:line="360" w:lineRule="auto"/>
              <w:jc w:val="left"/>
              <w:rPr>
                <w:rFonts w:hint="eastAsia" w:asciiTheme="minorEastAsia" w:hAnsiTheme="minorEastAsia"/>
                <w:bCs/>
                <w:color w:val="auto"/>
                <w:szCs w:val="21"/>
              </w:rPr>
            </w:pPr>
            <w:r>
              <w:rPr>
                <w:rFonts w:hint="eastAsia" w:asciiTheme="minorEastAsia" w:hAnsiTheme="minorEastAsia"/>
                <w:bCs/>
                <w:color w:val="auto"/>
                <w:szCs w:val="21"/>
              </w:rPr>
              <w:t>详见招标公告</w:t>
            </w:r>
          </w:p>
        </w:tc>
      </w:tr>
      <w:tr w14:paraId="2B89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B89D29C">
            <w:pPr>
              <w:spacing w:line="360" w:lineRule="auto"/>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4</w:t>
            </w:r>
          </w:p>
        </w:tc>
        <w:tc>
          <w:tcPr>
            <w:tcW w:w="2410" w:type="dxa"/>
            <w:vAlign w:val="center"/>
          </w:tcPr>
          <w:p w14:paraId="2B89D29D">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投标</w:t>
            </w:r>
            <w:r>
              <w:rPr>
                <w:rFonts w:hint="eastAsia" w:ascii="宋体" w:hAnsi="宋体" w:eastAsia="宋体" w:cs="宋体"/>
                <w:b/>
                <w:color w:val="auto"/>
                <w:szCs w:val="21"/>
                <w:lang w:val="zh-CN"/>
              </w:rPr>
              <w:t>报价</w:t>
            </w:r>
          </w:p>
        </w:tc>
        <w:tc>
          <w:tcPr>
            <w:tcW w:w="5954" w:type="dxa"/>
          </w:tcPr>
          <w:p w14:paraId="2B89D29E">
            <w:pPr>
              <w:spacing w:line="360" w:lineRule="auto"/>
              <w:rPr>
                <w:rFonts w:hint="eastAsia" w:ascii="宋体" w:hAnsi="宋体" w:eastAsia="宋体" w:cs="宋体"/>
                <w:b/>
                <w:bCs/>
                <w:color w:val="auto"/>
                <w:szCs w:val="21"/>
              </w:rPr>
            </w:pPr>
            <w:r>
              <w:rPr>
                <w:rFonts w:hint="eastAsia" w:ascii="宋体" w:hAnsi="宋体" w:eastAsia="宋体" w:cs="宋体"/>
                <w:color w:val="auto"/>
                <w:szCs w:val="21"/>
                <w:lang w:val="zh-CN"/>
              </w:rPr>
              <w:t>投标报价是否超出招标文件中规定的预算金额，超出预算金额的投标无效。如投标人须知前附表规定最高限价，则</w:t>
            </w:r>
            <w:r>
              <w:rPr>
                <w:rFonts w:hint="eastAsia" w:ascii="宋体" w:hAnsi="宋体" w:eastAsia="宋体" w:cs="宋体"/>
                <w:bCs/>
                <w:color w:val="auto"/>
                <w:szCs w:val="21"/>
                <w:lang w:val="zh-CN"/>
              </w:rPr>
              <w:t>超出预算金额和最高限价的投标无效。</w:t>
            </w:r>
          </w:p>
        </w:tc>
      </w:tr>
      <w:tr w14:paraId="2B89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B89D2A0">
            <w:pPr>
              <w:spacing w:line="360" w:lineRule="auto"/>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5</w:t>
            </w:r>
          </w:p>
        </w:tc>
        <w:tc>
          <w:tcPr>
            <w:tcW w:w="2410" w:type="dxa"/>
            <w:vAlign w:val="center"/>
          </w:tcPr>
          <w:p w14:paraId="2B89D2A1">
            <w:pPr>
              <w:spacing w:line="360" w:lineRule="auto"/>
              <w:jc w:val="center"/>
              <w:rPr>
                <w:rFonts w:hint="eastAsia" w:ascii="宋体" w:hAnsi="宋体" w:eastAsia="宋体" w:cs="宋体"/>
                <w:color w:val="auto"/>
                <w:szCs w:val="21"/>
              </w:rPr>
            </w:pPr>
            <w:r>
              <w:rPr>
                <w:rFonts w:hint="eastAsia" w:ascii="宋体" w:hAnsi="宋体" w:eastAsia="宋体" w:cs="宋体"/>
                <w:b/>
                <w:color w:val="auto"/>
                <w:szCs w:val="21"/>
              </w:rPr>
              <w:t>投标承诺函</w:t>
            </w:r>
          </w:p>
        </w:tc>
        <w:tc>
          <w:tcPr>
            <w:tcW w:w="5954" w:type="dxa"/>
            <w:vAlign w:val="center"/>
          </w:tcPr>
          <w:p w14:paraId="2B89D2A2">
            <w:pPr>
              <w:spacing w:line="360" w:lineRule="auto"/>
              <w:rPr>
                <w:rFonts w:hint="eastAsia" w:ascii="宋体" w:hAnsi="宋体" w:eastAsia="宋体" w:cs="宋体"/>
                <w:b/>
                <w:color w:val="auto"/>
                <w:szCs w:val="21"/>
              </w:rPr>
            </w:pPr>
            <w:r>
              <w:rPr>
                <w:rFonts w:hint="eastAsia" w:ascii="宋体" w:hAnsi="宋体" w:eastAsia="宋体" w:cs="宋体"/>
                <w:color w:val="auto"/>
                <w:szCs w:val="21"/>
              </w:rPr>
              <w:t>投标人以投标承诺函的形式替代投标保证金。</w:t>
            </w:r>
          </w:p>
        </w:tc>
      </w:tr>
      <w:tr w14:paraId="2B89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2B89D2A4">
            <w:pPr>
              <w:spacing w:line="360" w:lineRule="auto"/>
              <w:contextualSpacing/>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6</w:t>
            </w:r>
          </w:p>
        </w:tc>
        <w:tc>
          <w:tcPr>
            <w:tcW w:w="2410" w:type="dxa"/>
            <w:vAlign w:val="center"/>
          </w:tcPr>
          <w:p w14:paraId="2B89D2A5">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联合体协议</w:t>
            </w:r>
          </w:p>
        </w:tc>
        <w:tc>
          <w:tcPr>
            <w:tcW w:w="5954" w:type="dxa"/>
          </w:tcPr>
          <w:p w14:paraId="2B89D2A6">
            <w:pPr>
              <w:spacing w:line="360" w:lineRule="auto"/>
              <w:rPr>
                <w:rFonts w:hint="eastAsia" w:ascii="宋体" w:hAnsi="宋体" w:eastAsia="宋体" w:cs="宋体"/>
                <w:b/>
                <w:bCs/>
                <w:color w:val="auto"/>
                <w:szCs w:val="21"/>
              </w:rPr>
            </w:pPr>
            <w:r>
              <w:rPr>
                <w:rFonts w:hint="eastAsia" w:ascii="宋体" w:hAnsi="宋体" w:eastAsia="宋体" w:cs="宋体"/>
                <w:bCs/>
                <w:color w:val="auto"/>
                <w:szCs w:val="21"/>
              </w:rPr>
              <w:t>招标文件接受联合体投标且投标人为联合体的，投标人应提供本协议；否则无须提供。</w:t>
            </w:r>
          </w:p>
        </w:tc>
      </w:tr>
      <w:tr w14:paraId="2B89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A8">
            <w:pPr>
              <w:spacing w:line="360" w:lineRule="auto"/>
              <w:contextualSpacing/>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7</w:t>
            </w:r>
          </w:p>
        </w:tc>
        <w:tc>
          <w:tcPr>
            <w:tcW w:w="2410" w:type="dxa"/>
            <w:vAlign w:val="center"/>
          </w:tcPr>
          <w:p w14:paraId="2B89D2A9">
            <w:pPr>
              <w:spacing w:line="360" w:lineRule="auto"/>
              <w:contextualSpacing/>
              <w:jc w:val="center"/>
              <w:rPr>
                <w:rFonts w:hint="eastAsia" w:ascii="宋体" w:hAnsi="宋体" w:eastAsia="宋体" w:cs="宋体"/>
                <w:b/>
                <w:color w:val="auto"/>
                <w:szCs w:val="21"/>
              </w:rPr>
            </w:pPr>
            <w:r>
              <w:rPr>
                <w:rFonts w:hint="eastAsia" w:ascii="宋体" w:hAnsi="宋体" w:eastAsia="宋体" w:cs="宋体"/>
                <w:b/>
                <w:color w:val="auto"/>
                <w:szCs w:val="21"/>
              </w:rPr>
              <w:t>投标人身份证明及授权</w:t>
            </w:r>
          </w:p>
        </w:tc>
        <w:tc>
          <w:tcPr>
            <w:tcW w:w="5954" w:type="dxa"/>
          </w:tcPr>
          <w:p w14:paraId="2B89D2AA">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（1）法定代表人身份证明或提供法定代表人授权委托书及被授权人身份证明。（法人投标提供）</w:t>
            </w:r>
          </w:p>
          <w:p w14:paraId="2B89D2AB">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（2）单位负责人身份证明或提供单位负责人授权委托书及被授权人身份证明。（非法人投标提供）</w:t>
            </w:r>
          </w:p>
          <w:p w14:paraId="2B89D2AC">
            <w:pPr>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zh-CN"/>
              </w:rPr>
              <w:t>注：</w:t>
            </w:r>
          </w:p>
          <w:p w14:paraId="2B89D2AD">
            <w:pPr>
              <w:spacing w:line="360" w:lineRule="auto"/>
              <w:rPr>
                <w:rFonts w:hint="eastAsia" w:ascii="宋体" w:hAnsi="宋体" w:eastAsia="宋体" w:cs="宋体"/>
                <w:b/>
                <w:color w:val="auto"/>
                <w:szCs w:val="21"/>
              </w:rPr>
            </w:pPr>
            <w:r>
              <w:rPr>
                <w:rFonts w:hint="eastAsia" w:ascii="宋体" w:hAnsi="宋体" w:eastAsia="宋体" w:cs="宋体"/>
                <w:color w:val="auto"/>
                <w:szCs w:val="21"/>
              </w:rPr>
              <w:t>①企业（银行、保险、石油石化、电力、电信等行业除外）、事业单位和社会团体投标人以法人身份参加投标的，法定代表人应与实际提交的“营业执照等证明文件”载明的一致。</w:t>
            </w:r>
          </w:p>
          <w:p w14:paraId="2B89D2AE">
            <w:pPr>
              <w:spacing w:line="360" w:lineRule="auto"/>
              <w:contextualSpacing/>
              <w:rPr>
                <w:rFonts w:hint="eastAsia" w:ascii="宋体" w:hAnsi="宋体" w:eastAsia="宋体" w:cs="宋体"/>
                <w:color w:val="auto"/>
                <w:szCs w:val="21"/>
              </w:rPr>
            </w:pPr>
            <w:r>
              <w:rPr>
                <w:rFonts w:hint="eastAsia" w:ascii="宋体" w:hAnsi="宋体" w:eastAsia="宋体" w:cs="宋体"/>
                <w:color w:val="auto"/>
                <w:szCs w:val="21"/>
              </w:rPr>
              <w:t>②银行、保险、石油石化、电力、电信等行业：以法人身份</w:t>
            </w:r>
            <w:r>
              <w:rPr>
                <w:rFonts w:hint="eastAsia" w:ascii="宋体" w:hAnsi="宋体" w:eastAsia="宋体" w:cs="宋体"/>
                <w:color w:val="auto"/>
                <w:szCs w:val="21"/>
                <w:lang w:val="en-US" w:eastAsia="zh-CN"/>
              </w:rPr>
              <w:t>8</w:t>
            </w:r>
            <w:r>
              <w:rPr>
                <w:rFonts w:hint="eastAsia" w:ascii="宋体" w:hAnsi="宋体" w:eastAsia="宋体" w:cs="宋体"/>
                <w:color w:val="auto"/>
                <w:szCs w:val="21"/>
              </w:rPr>
              <w:t>加投标的，法定代表人应与实际提交的“营业执照等证明文件”载明的一致；以非法人身份参加投标的，“单位负责人”指代表单位行使职权的主要负责人，应与实际提交的“营业执照等证明文件”载明的一致。</w:t>
            </w:r>
          </w:p>
          <w:p w14:paraId="2B89D2AF">
            <w:pPr>
              <w:spacing w:line="360" w:lineRule="auto"/>
              <w:contextualSpacing/>
              <w:rPr>
                <w:rFonts w:hint="eastAsia" w:ascii="宋体" w:hAnsi="宋体" w:eastAsia="宋体" w:cs="宋体"/>
                <w:b/>
                <w:color w:val="auto"/>
                <w:szCs w:val="21"/>
              </w:rPr>
            </w:pPr>
            <w:r>
              <w:rPr>
                <w:rFonts w:hint="eastAsia" w:ascii="宋体" w:hAnsi="宋体" w:eastAsia="宋体" w:cs="宋体"/>
                <w:color w:val="auto"/>
                <w:szCs w:val="21"/>
              </w:rPr>
              <w:t>③</w:t>
            </w:r>
            <w:r>
              <w:rPr>
                <w:rFonts w:hint="eastAsia" w:ascii="宋体" w:hAnsi="宋体" w:eastAsia="宋体" w:cs="宋体"/>
                <w:color w:val="auto"/>
                <w:kern w:val="0"/>
                <w:szCs w:val="21"/>
              </w:rPr>
              <w:t>投标人为自然人的，无需填写法定代表人授权书。</w:t>
            </w:r>
          </w:p>
        </w:tc>
      </w:tr>
      <w:tr w14:paraId="2B89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B1">
            <w:pPr>
              <w:spacing w:line="360" w:lineRule="auto"/>
              <w:contextualSpacing/>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8</w:t>
            </w:r>
          </w:p>
        </w:tc>
        <w:tc>
          <w:tcPr>
            <w:tcW w:w="2410" w:type="dxa"/>
            <w:vAlign w:val="center"/>
          </w:tcPr>
          <w:p w14:paraId="2B89D2B2">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单位负责人为同一人或者存在直接控股、管理关系的不同供应商，不得参加同一合同项下的政府采购活动</w:t>
            </w:r>
          </w:p>
        </w:tc>
        <w:tc>
          <w:tcPr>
            <w:tcW w:w="5954" w:type="dxa"/>
          </w:tcPr>
          <w:p w14:paraId="2B89D2B3">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投标人提供与参加本项目投标的其他供应商之间，单位负责人不为同一人并且不存在直接控股、管理关系承诺函（承诺函格式自拟）。</w:t>
            </w:r>
          </w:p>
          <w:p w14:paraId="2B89D2B4">
            <w:pPr>
              <w:spacing w:line="360" w:lineRule="auto"/>
              <w:rPr>
                <w:rFonts w:hint="eastAsia" w:ascii="宋体" w:hAnsi="宋体" w:eastAsia="宋体" w:cs="宋体"/>
                <w:color w:val="auto"/>
                <w:szCs w:val="21"/>
                <w:lang w:val="zh-CN"/>
              </w:rPr>
            </w:pPr>
          </w:p>
        </w:tc>
      </w:tr>
      <w:tr w14:paraId="2B89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B6">
            <w:pPr>
              <w:spacing w:line="360" w:lineRule="auto"/>
              <w:contextualSpacing/>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9</w:t>
            </w:r>
          </w:p>
        </w:tc>
        <w:tc>
          <w:tcPr>
            <w:tcW w:w="2410" w:type="dxa"/>
            <w:vAlign w:val="center"/>
          </w:tcPr>
          <w:p w14:paraId="2B89D2B7">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为本项目提供整体设计、规范编制或者项目管理、监理、检测等服务的供应商不得参加本项目投标</w:t>
            </w:r>
          </w:p>
        </w:tc>
        <w:tc>
          <w:tcPr>
            <w:tcW w:w="5954" w:type="dxa"/>
          </w:tcPr>
          <w:p w14:paraId="2B89D2B8">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w:t>
            </w:r>
            <w:bookmarkStart w:id="5" w:name="baidusnap2"/>
            <w:bookmarkEnd w:id="5"/>
            <w:r>
              <w:rPr>
                <w:rFonts w:hint="eastAsia" w:ascii="宋体" w:hAnsi="宋体" w:eastAsia="宋体" w:cs="宋体"/>
                <w:color w:val="auto"/>
                <w:szCs w:val="21"/>
                <w:lang w:val="zh-CN"/>
              </w:rPr>
              <w:t>提供未为本项目提供整体设计、</w:t>
            </w:r>
            <w:bookmarkStart w:id="6" w:name="baidusnap9"/>
            <w:bookmarkEnd w:id="6"/>
            <w:r>
              <w:rPr>
                <w:rFonts w:hint="eastAsia" w:ascii="宋体" w:hAnsi="宋体" w:eastAsia="宋体" w:cs="宋体"/>
                <w:color w:val="auto"/>
                <w:szCs w:val="21"/>
                <w:lang w:val="zh-CN"/>
              </w:rPr>
              <w:t>规范编制或者项目管理、监理、检测等服务的承诺函（承诺函格式自拟）。</w:t>
            </w:r>
          </w:p>
          <w:p w14:paraId="2B89D2B9">
            <w:pPr>
              <w:spacing w:line="360" w:lineRule="auto"/>
              <w:rPr>
                <w:rFonts w:hint="eastAsia" w:ascii="宋体" w:hAnsi="宋体" w:eastAsia="宋体" w:cs="宋体"/>
                <w:bCs/>
                <w:color w:val="auto"/>
                <w:szCs w:val="21"/>
              </w:rPr>
            </w:pPr>
          </w:p>
        </w:tc>
      </w:tr>
    </w:tbl>
    <w:p w14:paraId="2B89D2BB">
      <w:pPr>
        <w:pStyle w:val="10"/>
        <w:spacing w:line="360" w:lineRule="auto"/>
        <w:contextualSpacing/>
        <w:rPr>
          <w:rFonts w:hint="eastAsia"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二、评标</w:t>
      </w:r>
    </w:p>
    <w:p w14:paraId="2B89D2BC">
      <w:pPr>
        <w:pStyle w:val="10"/>
        <w:spacing w:line="360" w:lineRule="auto"/>
        <w:ind w:firstLine="422" w:firstLineChars="200"/>
        <w:contextualSpacing/>
        <w:rPr>
          <w:rFonts w:hint="eastAsia"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（一）评标方法</w:t>
      </w:r>
    </w:p>
    <w:p w14:paraId="2B89D2BD">
      <w:pPr>
        <w:pStyle w:val="10"/>
        <w:spacing w:line="360" w:lineRule="auto"/>
        <w:ind w:firstLine="420" w:firstLineChars="200"/>
        <w:contextualSpacing/>
        <w:rPr>
          <w:rFonts w:hint="eastAsia"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color w:val="auto"/>
          <w:sz w:val="21"/>
          <w:szCs w:val="21"/>
          <w:lang w:val="zh-CN"/>
        </w:rPr>
        <w:t>本项目采用综合评分法。总分为100分。</w:t>
      </w:r>
    </w:p>
    <w:p w14:paraId="2B89D2BE">
      <w:pPr>
        <w:pStyle w:val="10"/>
        <w:spacing w:line="360" w:lineRule="auto"/>
        <w:ind w:firstLine="422" w:firstLineChars="200"/>
        <w:contextualSpacing/>
        <w:rPr>
          <w:rFonts w:hint="eastAsia"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w:t>
      </w:r>
      <w:r>
        <w:rPr>
          <w:rFonts w:cs="仿宋_GB2312" w:asciiTheme="minorEastAsia" w:hAnsiTheme="minorEastAsia" w:eastAsiaTheme="minorEastAsia"/>
          <w:b/>
          <w:color w:val="auto"/>
          <w:sz w:val="21"/>
          <w:szCs w:val="21"/>
          <w:lang w:val="zh-CN"/>
        </w:rPr>
        <w:t>评标委员会负责具体评标事务，并独立履行下列职责</w:t>
      </w:r>
    </w:p>
    <w:p w14:paraId="2B89D2BF">
      <w:pPr>
        <w:pStyle w:val="10"/>
        <w:spacing w:line="360" w:lineRule="auto"/>
        <w:ind w:firstLine="422" w:firstLineChars="200"/>
        <w:contextualSpacing/>
        <w:jc w:val="left"/>
        <w:rPr>
          <w:rFonts w:hint="eastAsia" w:ascii="宋体" w:hAnsi="宋体" w:cs="宋体"/>
          <w:b/>
          <w:color w:val="auto"/>
          <w:sz w:val="21"/>
          <w:szCs w:val="21"/>
          <w:lang w:val="zh-CN"/>
        </w:rPr>
      </w:pPr>
      <w:r>
        <w:rPr>
          <w:rFonts w:hint="eastAsia" w:ascii="宋体" w:hAnsi="宋体" w:cs="宋体"/>
          <w:b/>
          <w:color w:val="auto"/>
          <w:sz w:val="21"/>
          <w:szCs w:val="21"/>
          <w:lang w:val="zh-CN"/>
        </w:rPr>
        <w:t>1.审查、评价投标文件是否符合招标文件的商务、技术等实质性要求；</w:t>
      </w:r>
    </w:p>
    <w:p w14:paraId="2B89D2C0">
      <w:pPr>
        <w:pStyle w:val="10"/>
        <w:spacing w:line="360" w:lineRule="auto"/>
        <w:ind w:firstLine="420" w:firstLineChars="200"/>
        <w:contextualSpacing/>
        <w:jc w:val="left"/>
        <w:rPr>
          <w:rFonts w:hint="eastAsia" w:ascii="宋体" w:hAnsi="宋体" w:cs="宋体"/>
          <w:color w:val="auto"/>
          <w:sz w:val="21"/>
          <w:szCs w:val="21"/>
          <w:lang w:val="zh-CN"/>
        </w:rPr>
      </w:pPr>
      <w:r>
        <w:rPr>
          <w:rFonts w:hint="eastAsia" w:ascii="宋体" w:hAnsi="宋体" w:cs="宋体"/>
          <w:color w:val="auto"/>
          <w:sz w:val="21"/>
          <w:szCs w:val="21"/>
          <w:lang w:val="zh-CN"/>
        </w:rPr>
        <w:t>评标委员会对符合资格的投标人的投标文件进行符合性审查，以确定其是否满足招标文件的商务、技术等实质性要求。</w:t>
      </w:r>
    </w:p>
    <w:p w14:paraId="2B89D2C1">
      <w:pPr>
        <w:pStyle w:val="10"/>
        <w:spacing w:line="360" w:lineRule="auto"/>
        <w:ind w:firstLine="420" w:firstLineChars="200"/>
        <w:contextualSpacing/>
        <w:jc w:val="left"/>
        <w:rPr>
          <w:rFonts w:hint="eastAsia" w:ascii="宋体" w:hAnsi="宋体" w:cs="宋体"/>
          <w:color w:val="auto"/>
          <w:sz w:val="21"/>
          <w:szCs w:val="21"/>
          <w:lang w:val="zh-CN"/>
        </w:rPr>
      </w:pPr>
      <w:r>
        <w:rPr>
          <w:rFonts w:hint="eastAsia" w:ascii="宋体" w:hAnsi="宋体" w:cs="宋体"/>
          <w:color w:val="auto"/>
          <w:sz w:val="21"/>
          <w:szCs w:val="21"/>
          <w:lang w:val="zh-CN"/>
        </w:rPr>
        <w:t>注：符合性审查中所涉及的证书及材料，均应在电子投标文件中提供原件扫描件（或图片）。</w:t>
      </w:r>
    </w:p>
    <w:p w14:paraId="2B89D2C2">
      <w:pPr>
        <w:pStyle w:val="10"/>
        <w:spacing w:line="360" w:lineRule="auto"/>
        <w:ind w:firstLine="422" w:firstLineChars="200"/>
        <w:contextualSpacing/>
        <w:rPr>
          <w:rFonts w:hint="eastAsia" w:ascii="宋体" w:hAnsi="宋体" w:cs="宋体"/>
          <w:b/>
          <w:color w:val="auto"/>
          <w:sz w:val="21"/>
          <w:szCs w:val="21"/>
          <w:lang w:val="zh-CN"/>
        </w:rPr>
      </w:pPr>
      <w:r>
        <w:rPr>
          <w:rFonts w:hint="eastAsia" w:ascii="宋体" w:hAnsi="宋体" w:cs="宋体"/>
          <w:b/>
          <w:color w:val="auto"/>
          <w:sz w:val="21"/>
          <w:szCs w:val="21"/>
          <w:lang w:val="zh-CN"/>
        </w:rPr>
        <w:t>2.要求投标人对投标文件有关事项作出澄清或者说明；</w:t>
      </w:r>
    </w:p>
    <w:p w14:paraId="2B89D2C3">
      <w:pPr>
        <w:pStyle w:val="10"/>
        <w:spacing w:line="360" w:lineRule="auto"/>
        <w:ind w:firstLine="420" w:firstLineChars="200"/>
        <w:contextualSpacing/>
        <w:rPr>
          <w:rFonts w:hint="eastAsia" w:ascii="宋体" w:hAnsi="宋体" w:cs="宋体"/>
          <w:color w:val="auto"/>
          <w:sz w:val="21"/>
          <w:szCs w:val="21"/>
          <w:lang w:val="zh-CN"/>
        </w:rPr>
      </w:pPr>
      <w:r>
        <w:rPr>
          <w:rFonts w:hint="eastAsia" w:ascii="宋体" w:hAnsi="宋体" w:cs="宋体"/>
          <w:color w:val="auto"/>
          <w:sz w:val="21"/>
          <w:szCs w:val="21"/>
          <w:lang w:val="zh-CN"/>
        </w:rPr>
        <w:t>对于投标文件中含义不明确、同类问题表述不一致或者有明显文字和计算错误的内容，评标委员会应当以书面形式要求投标人作出必要的澄清、说明或者补正。</w:t>
      </w:r>
    </w:p>
    <w:p w14:paraId="2B89D2C4">
      <w:pPr>
        <w:pStyle w:val="10"/>
        <w:spacing w:line="360" w:lineRule="auto"/>
        <w:ind w:firstLine="420" w:firstLineChars="200"/>
        <w:contextualSpacing/>
        <w:rPr>
          <w:rFonts w:hint="eastAsia" w:ascii="宋体" w:hAnsi="宋体" w:cs="宋体"/>
          <w:color w:val="auto"/>
          <w:sz w:val="21"/>
          <w:szCs w:val="21"/>
          <w:lang w:val="zh-CN"/>
        </w:rPr>
      </w:pPr>
      <w:r>
        <w:rPr>
          <w:rFonts w:hint="eastAsia" w:ascii="宋体" w:hAnsi="宋体" w:cs="宋体"/>
          <w:color w:val="auto"/>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2B89D2C5">
      <w:pPr>
        <w:pStyle w:val="10"/>
        <w:spacing w:line="360" w:lineRule="auto"/>
        <w:ind w:firstLine="465"/>
        <w:contextualSpacing/>
        <w:jc w:val="left"/>
        <w:rPr>
          <w:rFonts w:hint="eastAsia" w:ascii="宋体" w:hAnsi="宋体" w:cs="宋体"/>
          <w:b/>
          <w:color w:val="auto"/>
          <w:sz w:val="21"/>
          <w:szCs w:val="21"/>
          <w:lang w:val="zh-CN"/>
        </w:rPr>
      </w:pPr>
      <w:r>
        <w:rPr>
          <w:rFonts w:hint="eastAsia" w:ascii="宋体" w:hAnsi="宋体" w:cs="宋体"/>
          <w:b/>
          <w:color w:val="auto"/>
          <w:sz w:val="21"/>
          <w:szCs w:val="21"/>
          <w:lang w:val="zh-CN"/>
        </w:rPr>
        <w:t>3.对投标文件进行比较和评价；</w:t>
      </w:r>
    </w:p>
    <w:p w14:paraId="2B89D2C6">
      <w:pPr>
        <w:pStyle w:val="10"/>
        <w:spacing w:line="360" w:lineRule="auto"/>
        <w:ind w:firstLine="420" w:firstLineChars="200"/>
        <w:contextualSpacing/>
        <w:rPr>
          <w:rFonts w:hint="eastAsia" w:ascii="宋体" w:hAnsi="宋体" w:cs="宋体"/>
          <w:color w:val="auto"/>
          <w:sz w:val="21"/>
          <w:szCs w:val="21"/>
          <w:lang w:val="zh-CN"/>
        </w:rPr>
      </w:pPr>
      <w:r>
        <w:rPr>
          <w:rFonts w:hint="eastAsia" w:ascii="宋体" w:hAnsi="宋体" w:cs="宋体"/>
          <w:color w:val="auto"/>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2B89D2C7">
      <w:pPr>
        <w:pStyle w:val="10"/>
        <w:spacing w:line="360" w:lineRule="auto"/>
        <w:ind w:firstLine="420" w:firstLineChars="200"/>
        <w:contextualSpacing/>
        <w:rPr>
          <w:rFonts w:hint="eastAsia" w:ascii="宋体" w:hAnsi="宋体" w:cs="宋体"/>
          <w:color w:val="auto"/>
          <w:sz w:val="21"/>
          <w:szCs w:val="21"/>
          <w:lang w:val="zh-CN"/>
        </w:rPr>
      </w:pPr>
      <w:r>
        <w:rPr>
          <w:rFonts w:hint="eastAsia" w:ascii="宋体" w:hAnsi="宋体" w:cs="宋体"/>
          <w:color w:val="auto"/>
          <w:sz w:val="21"/>
          <w:szCs w:val="21"/>
          <w:lang w:val="zh-CN"/>
        </w:rPr>
        <w:t>注：评标标准中所涉及的证书及材料，均应在电子投标文件中提供原件扫描件（或图片）。</w:t>
      </w:r>
    </w:p>
    <w:p w14:paraId="2B89D2C8">
      <w:pPr>
        <w:pStyle w:val="10"/>
        <w:spacing w:line="360" w:lineRule="auto"/>
        <w:ind w:firstLine="422" w:firstLineChars="200"/>
        <w:contextualSpacing/>
        <w:rPr>
          <w:rFonts w:hint="eastAsia" w:asciiTheme="minorEastAsia" w:hAnsiTheme="minorEastAsia" w:eastAsiaTheme="minorEastAsia" w:cstheme="minorEastAsia"/>
          <w:b/>
          <w:color w:val="auto"/>
          <w:sz w:val="21"/>
          <w:szCs w:val="21"/>
          <w:highlight w:val="red"/>
          <w:lang w:val="zh-CN"/>
        </w:rPr>
      </w:pPr>
      <w:r>
        <w:rPr>
          <w:rFonts w:hint="eastAsia" w:ascii="宋体" w:hAnsi="宋体" w:cs="仿宋_GB2312"/>
          <w:b/>
          <w:color w:val="auto"/>
          <w:sz w:val="21"/>
          <w:szCs w:val="21"/>
          <w:lang w:val="zh-CN"/>
        </w:rPr>
        <w:t>（1）价格分</w:t>
      </w:r>
      <w:r>
        <w:rPr>
          <w:rFonts w:hint="eastAsia" w:asciiTheme="minorEastAsia" w:hAnsiTheme="minorEastAsia" w:eastAsiaTheme="minorEastAsia" w:cstheme="minorEastAsia"/>
          <w:b/>
          <w:color w:val="auto"/>
          <w:sz w:val="21"/>
          <w:szCs w:val="21"/>
          <w:lang w:val="zh-CN"/>
        </w:rPr>
        <w:t>计算</w:t>
      </w:r>
    </w:p>
    <w:p w14:paraId="2B89D2C9">
      <w:pPr>
        <w:pStyle w:val="10"/>
        <w:spacing w:line="360" w:lineRule="auto"/>
        <w:ind w:firstLine="420" w:firstLineChars="200"/>
        <w:contextualSpacing/>
        <w:rPr>
          <w:rFonts w:hint="eastAsia" w:ascii="宋体" w:hAnsi="宋体" w:cs="仿宋_GB2312"/>
          <w:color w:val="auto"/>
          <w:sz w:val="21"/>
          <w:szCs w:val="21"/>
          <w:lang w:val="zh-CN"/>
        </w:rPr>
      </w:pPr>
      <w:r>
        <w:rPr>
          <w:rFonts w:ascii="宋体" w:hAnsi="宋体" w:cs="仿宋_GB2312"/>
          <w:color w:val="auto"/>
          <w:sz w:val="21"/>
          <w:szCs w:val="21"/>
          <w:lang w:val="zh-CN"/>
        </w:rPr>
        <w:t>价格分采用低价优先法计算，即满足</w:t>
      </w:r>
      <w:r>
        <w:rPr>
          <w:rFonts w:hint="eastAsia" w:ascii="宋体" w:hAnsi="宋体" w:cs="仿宋_GB2312"/>
          <w:color w:val="auto"/>
          <w:sz w:val="21"/>
          <w:szCs w:val="21"/>
          <w:lang w:val="zh-CN"/>
        </w:rPr>
        <w:t>采购</w:t>
      </w:r>
      <w:r>
        <w:rPr>
          <w:rFonts w:ascii="宋体" w:hAnsi="宋体" w:cs="仿宋_GB2312"/>
          <w:color w:val="auto"/>
          <w:sz w:val="21"/>
          <w:szCs w:val="21"/>
          <w:lang w:val="zh-CN"/>
        </w:rPr>
        <w:t>文件要求且投标价格最低的投标报价为评标基准价，其价格分为满分。因落实政府采购政策进行价格调整的，以调整后的价格计算评标基准价和投标报价。</w:t>
      </w:r>
    </w:p>
    <w:p w14:paraId="2B89D2CA">
      <w:pPr>
        <w:pStyle w:val="10"/>
        <w:spacing w:line="360" w:lineRule="auto"/>
        <w:ind w:firstLine="420" w:firstLineChars="200"/>
        <w:contextualSpacing/>
        <w:rPr>
          <w:rFonts w:hint="eastAsia" w:ascii="ˎ̥" w:hAnsi="ˎ̥"/>
          <w:color w:val="auto"/>
        </w:rPr>
      </w:pPr>
      <w:r>
        <w:rPr>
          <w:rFonts w:hint="eastAsia" w:cs="仿宋_GB2312" w:asciiTheme="minorEastAsia" w:hAnsiTheme="minorEastAsia" w:eastAsiaTheme="minorEastAsia"/>
          <w:color w:val="auto"/>
          <w:sz w:val="21"/>
          <w:szCs w:val="21"/>
          <w:lang w:val="zh-CN"/>
        </w:rPr>
        <w:t>1）</w:t>
      </w:r>
      <w:r>
        <w:rPr>
          <w:rFonts w:hint="eastAsia" w:ascii="ˎ̥" w:hAnsi="ˎ̥"/>
          <w:color w:val="auto"/>
          <w:sz w:val="21"/>
          <w:szCs w:val="21"/>
        </w:rPr>
        <w:t>非专门面向中小企业采购，对</w:t>
      </w:r>
      <w:r>
        <w:rPr>
          <w:rFonts w:ascii="ˎ̥" w:hAnsi="ˎ̥"/>
          <w:color w:val="auto"/>
          <w:sz w:val="21"/>
          <w:szCs w:val="21"/>
        </w:rPr>
        <w:t>符合</w:t>
      </w:r>
      <w:r>
        <w:rPr>
          <w:rFonts w:hint="eastAsia" w:ascii="ˎ̥" w:hAnsi="ˎ̥"/>
          <w:color w:val="auto"/>
          <w:sz w:val="21"/>
          <w:szCs w:val="21"/>
        </w:rPr>
        <w:t>《政府采购促进中小企业发展管理办法》</w:t>
      </w:r>
      <w:r>
        <w:rPr>
          <w:rFonts w:hint="eastAsia" w:ascii="ˎ̥" w:hAnsi="ˎ̥"/>
          <w:color w:val="auto"/>
          <w:sz w:val="21"/>
          <w:szCs w:val="21"/>
          <w:lang w:eastAsia="zh-CN"/>
        </w:rPr>
        <w:t>（</w:t>
      </w:r>
      <w:r>
        <w:rPr>
          <w:rFonts w:hint="eastAsia" w:ascii="ˎ̥" w:hAnsi="ˎ̥"/>
          <w:color w:val="auto"/>
          <w:sz w:val="21"/>
          <w:szCs w:val="21"/>
        </w:rPr>
        <w:t>财库〔2020〕46号、《关于进一步加大政府采购支持中小企业力度的通知》（财库〔2022〕19号）</w:t>
      </w:r>
      <w:r>
        <w:rPr>
          <w:rFonts w:ascii="ˎ̥" w:hAnsi="ˎ̥"/>
          <w:color w:val="auto"/>
          <w:sz w:val="21"/>
          <w:szCs w:val="21"/>
        </w:rPr>
        <w:t>规定的小微企业报价</w:t>
      </w:r>
      <w:r>
        <w:rPr>
          <w:rFonts w:hint="eastAsia" w:ascii="ˎ̥" w:hAnsi="ˎ̥"/>
          <w:color w:val="auto"/>
          <w:sz w:val="21"/>
          <w:szCs w:val="21"/>
        </w:rPr>
        <w:t>给予20%的扣除，用扣除后的价格参与评审。</w:t>
      </w:r>
      <w:r>
        <w:rPr>
          <w:rFonts w:ascii="ˎ̥" w:hAnsi="ˎ̥"/>
          <w:color w:val="auto"/>
          <w:sz w:val="21"/>
          <w:szCs w:val="21"/>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color w:val="auto"/>
          <w:sz w:val="21"/>
          <w:szCs w:val="21"/>
        </w:rPr>
        <w:t>6</w:t>
      </w:r>
      <w:r>
        <w:rPr>
          <w:rFonts w:ascii="ˎ̥" w:hAnsi="ˎ̥"/>
          <w:color w:val="auto"/>
          <w:sz w:val="21"/>
          <w:szCs w:val="21"/>
        </w:rPr>
        <w:t>%的扣除，用扣除后的价格参加评审。组成联合体或者接受分包的小微企业与联合体内其他企业、分包企业之间存在直接控股、管理关系的，不享受价格扣除优惠政策。</w:t>
      </w:r>
      <w:r>
        <w:rPr>
          <w:rFonts w:hint="eastAsia" w:ascii="ˎ̥" w:hAnsi="ˎ̥"/>
          <w:color w:val="auto"/>
          <w:sz w:val="21"/>
          <w:szCs w:val="21"/>
        </w:rPr>
        <w:t>按照本次采购标的所属行业的划型标准，符合条件的中小企业应按照招标文件格式要求提供《中小企业声明函》，</w:t>
      </w:r>
      <w:r>
        <w:rPr>
          <w:rFonts w:ascii="ˎ̥" w:hAnsi="ˎ̥"/>
          <w:color w:val="auto"/>
          <w:sz w:val="21"/>
          <w:szCs w:val="21"/>
        </w:rPr>
        <w:t>否则不得享受相关中小企业扶持政策。</w:t>
      </w:r>
    </w:p>
    <w:p w14:paraId="2B89D2CB">
      <w:pPr>
        <w:pStyle w:val="10"/>
        <w:spacing w:line="360" w:lineRule="auto"/>
        <w:ind w:firstLine="420" w:firstLineChars="200"/>
        <w:contextualSpacing/>
        <w:rPr>
          <w:rFonts w:hint="eastAsia" w:ascii="宋体" w:hAnsi="宋体" w:cs="宋体"/>
          <w:color w:val="auto"/>
          <w:sz w:val="21"/>
          <w:szCs w:val="21"/>
          <w:lang w:val="zh-CN"/>
        </w:rPr>
      </w:pPr>
      <w:r>
        <w:rPr>
          <w:rFonts w:hint="eastAsia" w:ascii="宋体" w:hAnsi="宋体" w:cs="宋体"/>
          <w:color w:val="auto"/>
          <w:sz w:val="21"/>
          <w:szCs w:val="21"/>
          <w:lang w:val="zh-CN"/>
        </w:rPr>
        <w:t>小型和微型企业不包含民办非企业单位。</w:t>
      </w:r>
    </w:p>
    <w:p w14:paraId="2B89D2CC">
      <w:pPr>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2）监狱企业视同小型、微型企业，对监狱企业价格给予2</w:t>
      </w:r>
      <w:r>
        <w:rPr>
          <w:rFonts w:hint="eastAsia" w:ascii="宋体" w:hAnsi="宋体" w:eastAsia="宋体" w:cs="宋体"/>
          <w:color w:val="auto"/>
          <w:szCs w:val="21"/>
        </w:rPr>
        <w:t>0%</w:t>
      </w:r>
      <w:r>
        <w:rPr>
          <w:rFonts w:hint="eastAsia" w:ascii="宋体" w:hAnsi="宋体" w:eastAsia="宋体" w:cs="宋体"/>
          <w:color w:val="auto"/>
          <w:szCs w:val="21"/>
          <w:lang w:val="zh-CN"/>
        </w:rPr>
        <w:t>的扣除，用扣除后的价格参与评审。监狱企业应当提供由省级以上监狱管理局、戒毒管理局（含新疆生产建设兵团）出具的属于监狱企业的证明文件。</w:t>
      </w:r>
    </w:p>
    <w:p w14:paraId="2B89D2CD">
      <w:pPr>
        <w:pStyle w:val="10"/>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cs="宋体"/>
          <w:color w:val="auto"/>
          <w:sz w:val="21"/>
          <w:szCs w:val="21"/>
        </w:rPr>
        <w:t>0%</w:t>
      </w:r>
      <w:r>
        <w:rPr>
          <w:rFonts w:hint="eastAsia" w:ascii="宋体" w:hAnsi="宋体" w:cs="宋体"/>
          <w:color w:val="auto"/>
          <w:sz w:val="21"/>
          <w:szCs w:val="21"/>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cs="宋体"/>
          <w:color w:val="auto"/>
          <w:sz w:val="21"/>
          <w:szCs w:val="21"/>
        </w:rPr>
        <w:t>残疾人福利性单位属于小型、微型企业的，不重复享受政策。</w:t>
      </w:r>
    </w:p>
    <w:p w14:paraId="2B89D2CE">
      <w:pPr>
        <w:pStyle w:val="10"/>
        <w:spacing w:line="360" w:lineRule="auto"/>
        <w:ind w:firstLine="422" w:firstLineChars="200"/>
        <w:contextualSpacing/>
        <w:rPr>
          <w:rFonts w:hint="eastAsia" w:ascii="宋体" w:hAnsi="宋体" w:cs="宋体"/>
          <w:b/>
          <w:color w:val="auto"/>
          <w:sz w:val="21"/>
          <w:szCs w:val="21"/>
          <w:lang w:val="zh-CN"/>
        </w:rPr>
      </w:pPr>
      <w:r>
        <w:rPr>
          <w:rFonts w:hint="eastAsia" w:ascii="宋体" w:hAnsi="宋体" w:cs="宋体"/>
          <w:b/>
          <w:color w:val="auto"/>
          <w:sz w:val="21"/>
          <w:szCs w:val="21"/>
        </w:rPr>
        <w:t>（2）</w:t>
      </w:r>
      <w:r>
        <w:rPr>
          <w:rFonts w:hint="eastAsia" w:ascii="宋体" w:hAnsi="宋体" w:cs="宋体"/>
          <w:b/>
          <w:color w:val="auto"/>
          <w:sz w:val="21"/>
          <w:szCs w:val="21"/>
          <w:lang w:val="zh-CN"/>
        </w:rPr>
        <w:t>关于相同品牌产品</w:t>
      </w:r>
      <w:r>
        <w:rPr>
          <w:rFonts w:hint="eastAsia" w:ascii="宋体" w:hAnsi="宋体" w:cs="宋体"/>
          <w:b/>
          <w:bCs/>
          <w:color w:val="auto"/>
          <w:sz w:val="21"/>
          <w:szCs w:val="21"/>
          <w:lang w:val="zh-CN"/>
        </w:rPr>
        <w:t>（服务类项目不适用本条款规定）</w:t>
      </w:r>
    </w:p>
    <w:p w14:paraId="2B89D2CF">
      <w:pPr>
        <w:pStyle w:val="10"/>
        <w:spacing w:line="360" w:lineRule="auto"/>
        <w:ind w:firstLine="465"/>
        <w:contextualSpacing/>
        <w:jc w:val="left"/>
        <w:rPr>
          <w:rFonts w:hint="eastAsia" w:ascii="宋体" w:hAnsi="宋体" w:cs="宋体"/>
          <w:color w:val="auto"/>
          <w:sz w:val="21"/>
          <w:szCs w:val="21"/>
          <w:lang w:val="zh-CN"/>
        </w:rPr>
      </w:pPr>
      <w:r>
        <w:rPr>
          <w:rFonts w:hint="eastAsia" w:ascii="宋体" w:hAnsi="宋体" w:cs="宋体"/>
          <w:color w:val="auto"/>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B89D2D0">
      <w:pPr>
        <w:pStyle w:val="10"/>
        <w:spacing w:line="360" w:lineRule="auto"/>
        <w:ind w:firstLine="465"/>
        <w:contextualSpacing/>
        <w:jc w:val="left"/>
        <w:rPr>
          <w:rFonts w:hint="eastAsia" w:ascii="宋体" w:hAnsi="宋体" w:cs="宋体"/>
          <w:color w:val="auto"/>
          <w:sz w:val="21"/>
          <w:szCs w:val="21"/>
          <w:lang w:val="zh-CN"/>
        </w:rPr>
      </w:pPr>
      <w:r>
        <w:rPr>
          <w:rFonts w:hint="eastAsia" w:ascii="宋体" w:hAnsi="宋体" w:cs="宋体"/>
          <w:color w:val="auto"/>
          <w:sz w:val="21"/>
          <w:szCs w:val="21"/>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2B89D2D1">
      <w:pPr>
        <w:pStyle w:val="10"/>
        <w:spacing w:line="360" w:lineRule="auto"/>
        <w:ind w:firstLine="422" w:firstLineChars="200"/>
        <w:contextualSpacing/>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rPr>
        <w:t>（3）强制采购节能产品和优先采购节能产品、优先采购环保产品</w:t>
      </w:r>
    </w:p>
    <w:p w14:paraId="2B89D2D2">
      <w:pPr>
        <w:pStyle w:val="10"/>
        <w:spacing w:line="360" w:lineRule="auto"/>
        <w:ind w:firstLine="465"/>
        <w:contextualSpacing/>
        <w:jc w:val="left"/>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1）对《节能产品政府采购品目清单》所列的政府强制采购节能产品</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zh-CN"/>
        </w:rPr>
        <w:t>投标人投标文件中应提供具有国家确定的认证机构出具的、处于有效期之内的节能产品或环境标志产品认证证书，否则将承担其投标被视为非实质性响应投标的风险。</w:t>
      </w:r>
    </w:p>
    <w:p w14:paraId="2B89D2D3">
      <w:pPr>
        <w:pStyle w:val="10"/>
        <w:spacing w:line="360" w:lineRule="auto"/>
        <w:ind w:firstLine="465"/>
        <w:contextualSpacing/>
        <w:jc w:val="left"/>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B89D2D4">
      <w:pPr>
        <w:pStyle w:val="10"/>
        <w:spacing w:line="360" w:lineRule="auto"/>
        <w:ind w:firstLine="420" w:firstLineChars="200"/>
        <w:contextualSpacing/>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B89D2D5">
      <w:pPr>
        <w:pStyle w:val="2"/>
        <w:rPr>
          <w:rFonts w:hint="eastAsia" w:asciiTheme="minorEastAsia" w:hAnsiTheme="minorEastAsia" w:cstheme="minorEastAsia"/>
          <w:b/>
          <w:color w:val="auto"/>
          <w:szCs w:val="21"/>
          <w:lang w:val="zh-CN"/>
        </w:rPr>
      </w:pPr>
      <w:r>
        <w:rPr>
          <w:rFonts w:hint="eastAsia" w:asciiTheme="minorEastAsia" w:hAnsiTheme="minorEastAsia" w:cstheme="minorEastAsia"/>
          <w:b/>
          <w:color w:val="auto"/>
          <w:szCs w:val="21"/>
          <w:lang w:val="zh-CN"/>
        </w:rPr>
        <w:t xml:space="preserve">    （</w:t>
      </w:r>
      <w:r>
        <w:rPr>
          <w:rFonts w:hint="eastAsia" w:asciiTheme="minorEastAsia" w:hAnsiTheme="minorEastAsia" w:cstheme="minorEastAsia"/>
          <w:b/>
          <w:color w:val="auto"/>
          <w:szCs w:val="21"/>
        </w:rPr>
        <w:t>4</w:t>
      </w:r>
      <w:r>
        <w:rPr>
          <w:rFonts w:hint="eastAsia" w:asciiTheme="minorEastAsia" w:hAnsiTheme="minorEastAsia" w:cstheme="minorEastAsia"/>
          <w:b/>
          <w:color w:val="auto"/>
          <w:szCs w:val="21"/>
          <w:lang w:val="zh-CN"/>
        </w:rPr>
        <w:t xml:space="preserve">）网络关键设备、网络安全专用产品要求 </w:t>
      </w:r>
    </w:p>
    <w:p w14:paraId="2B89D2D6">
      <w:pPr>
        <w:pStyle w:val="2"/>
        <w:spacing w:after="0" w:line="360" w:lineRule="auto"/>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 xml:space="preserve">    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B89D2D7">
      <w:pPr>
        <w:pStyle w:val="2"/>
        <w:spacing w:after="0" w:line="360" w:lineRule="auto"/>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 xml:space="preserve">    提供资料（下列资料任意一项）</w:t>
      </w:r>
    </w:p>
    <w:p w14:paraId="2B89D2D8">
      <w:pPr>
        <w:pStyle w:val="2"/>
        <w:spacing w:after="0" w:line="360" w:lineRule="auto"/>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 xml:space="preserve">    ①网络关键设备和网络安全专用产品安全认证证书；</w:t>
      </w:r>
    </w:p>
    <w:p w14:paraId="2B89D2D9">
      <w:pPr>
        <w:pStyle w:val="2"/>
        <w:spacing w:after="0" w:line="360" w:lineRule="auto"/>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 xml:space="preserve">    ②网络关键设备安全检测证书、网络安全专用产品安全检测证书；</w:t>
      </w:r>
    </w:p>
    <w:p w14:paraId="2B89D2DA">
      <w:pPr>
        <w:pStyle w:val="2"/>
        <w:spacing w:after="0" w:line="360" w:lineRule="auto"/>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 xml:space="preserve">    ③计算机信息系统安全专用产品销售许可证；</w:t>
      </w:r>
    </w:p>
    <w:p w14:paraId="2B89D2DB">
      <w:pPr>
        <w:pStyle w:val="2"/>
        <w:spacing w:after="0" w:line="360" w:lineRule="auto"/>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 xml:space="preserve">    ④中国网信网或工业和信息化部网站或公安部网站或国家认证认可监督管理委员会网站公布的认证、检测结果（提供公布安全认证、安全检测结果页面网址和安全认证、检测结果截图）。</w:t>
      </w:r>
    </w:p>
    <w:p w14:paraId="2B89D2DC">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1"/>
        </w:rPr>
        <w:t>5</w:t>
      </w:r>
      <w:r>
        <w:rPr>
          <w:rFonts w:hint="eastAsia" w:ascii="宋体" w:hAnsi="宋体" w:eastAsia="宋体" w:cs="宋体"/>
          <w:b/>
          <w:color w:val="auto"/>
          <w:szCs w:val="21"/>
          <w:lang w:val="zh-CN"/>
        </w:rPr>
        <w:t>）投标无效情形</w:t>
      </w:r>
    </w:p>
    <w:p w14:paraId="2B89D2DD">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2B89D2DE">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2）符合性审查资料未按招标文件要求签署、盖章的；</w:t>
      </w:r>
    </w:p>
    <w:p w14:paraId="2B89D2DF">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3）有下列情形之一的，视为投标人串通投标，其投标无效：</w:t>
      </w:r>
    </w:p>
    <w:p w14:paraId="2B89D2E0">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a.不同投标人的投标文件由同一单位或者个人编制；</w:t>
      </w:r>
    </w:p>
    <w:p w14:paraId="2B89D2E1">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b.不同投标人委托同一单位或者个人办理投标事宜；</w:t>
      </w:r>
    </w:p>
    <w:p w14:paraId="2B89D2E2">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c.不同投标人的投标文件载明的项目管理成员或者联系人员为同一人；</w:t>
      </w:r>
    </w:p>
    <w:p w14:paraId="2B89D2E3">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d.不同投标人的投标文件异常一致或者投标报价呈规律性差异；</w:t>
      </w:r>
    </w:p>
    <w:p w14:paraId="2B89D2E4">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e.不同投标人的投标文件相互混装；</w:t>
      </w:r>
    </w:p>
    <w:p w14:paraId="2B89D2E5">
      <w:pPr>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89D2E6">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5）法律法规和招标文件规定的其他无效情形。</w:t>
      </w:r>
    </w:p>
    <w:p w14:paraId="2B89D2E7">
      <w:pPr>
        <w:pStyle w:val="10"/>
        <w:numPr>
          <w:ilvl w:val="0"/>
          <w:numId w:val="14"/>
        </w:numPr>
        <w:spacing w:line="360" w:lineRule="auto"/>
        <w:ind w:firstLine="422" w:firstLineChars="200"/>
        <w:contextualSpacing/>
        <w:rPr>
          <w:rFonts w:hint="eastAsia" w:ascii="宋体" w:hAnsi="宋体" w:cs="仿宋_GB2312"/>
          <w:b/>
          <w:color w:val="auto"/>
          <w:sz w:val="21"/>
          <w:szCs w:val="21"/>
          <w:lang w:val="zh-CN"/>
        </w:rPr>
      </w:pPr>
      <w:r>
        <w:rPr>
          <w:rFonts w:hint="eastAsia" w:cs="仿宋_GB2312" w:asciiTheme="minorEastAsia" w:hAnsiTheme="minorEastAsia" w:eastAsiaTheme="minorEastAsia"/>
          <w:b/>
          <w:color w:val="auto"/>
          <w:sz w:val="21"/>
          <w:szCs w:val="21"/>
          <w:lang w:val="zh-CN"/>
        </w:rPr>
        <w:t>评标标准</w:t>
      </w:r>
    </w:p>
    <w:p w14:paraId="2B89D2E8">
      <w:pPr>
        <w:pStyle w:val="2"/>
        <w:jc w:val="center"/>
        <w:rPr>
          <w:color w:val="auto"/>
          <w:lang w:val="zh-CN"/>
        </w:rPr>
      </w:pPr>
      <w:r>
        <w:rPr>
          <w:rFonts w:hint="eastAsia" w:ascii="宋体" w:hAnsi="宋体" w:cs="仿宋_GB2312"/>
          <w:b/>
          <w:color w:val="auto"/>
          <w:szCs w:val="21"/>
          <w:lang w:val="zh-CN"/>
        </w:rPr>
        <w:t>符合性审查</w:t>
      </w:r>
    </w:p>
    <w:tbl>
      <w:tblPr>
        <w:tblStyle w:val="14"/>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315"/>
        <w:gridCol w:w="5851"/>
      </w:tblGrid>
      <w:tr w14:paraId="2B89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871" w:type="dxa"/>
            <w:noWrap/>
            <w:vAlign w:val="center"/>
          </w:tcPr>
          <w:p w14:paraId="2B89D2E9">
            <w:pPr>
              <w:widowControl/>
              <w:jc w:val="center"/>
              <w:rPr>
                <w:rFonts w:hint="eastAsia" w:ascii="宋体" w:hAnsi="宋体" w:eastAsia="宋体" w:cs="宋体"/>
                <w:color w:val="auto"/>
                <w:szCs w:val="21"/>
              </w:rPr>
            </w:pPr>
            <w:r>
              <w:rPr>
                <w:rFonts w:hint="eastAsia" w:ascii="宋体" w:hAnsi="宋体" w:eastAsia="宋体" w:cs="宋体"/>
                <w:color w:val="auto"/>
                <w:szCs w:val="21"/>
              </w:rPr>
              <w:t>条款号</w:t>
            </w:r>
          </w:p>
        </w:tc>
        <w:tc>
          <w:tcPr>
            <w:tcW w:w="2315" w:type="dxa"/>
            <w:noWrap/>
            <w:vAlign w:val="center"/>
          </w:tcPr>
          <w:p w14:paraId="2B89D2EA">
            <w:pPr>
              <w:autoSpaceDE w:val="0"/>
              <w:autoSpaceDN w:val="0"/>
              <w:adjustRightInd w:val="0"/>
              <w:spacing w:line="400" w:lineRule="exact"/>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评审因素</w:t>
            </w:r>
          </w:p>
        </w:tc>
        <w:tc>
          <w:tcPr>
            <w:tcW w:w="5851" w:type="dxa"/>
            <w:noWrap/>
            <w:vAlign w:val="center"/>
          </w:tcPr>
          <w:p w14:paraId="2B89D2EB">
            <w:pPr>
              <w:autoSpaceDE w:val="0"/>
              <w:autoSpaceDN w:val="0"/>
              <w:adjustRightInd w:val="0"/>
              <w:spacing w:line="400" w:lineRule="exact"/>
              <w:ind w:left="38" w:leftChars="18"/>
              <w:jc w:val="center"/>
              <w:rPr>
                <w:rFonts w:hint="eastAsia" w:ascii="宋体" w:hAnsi="宋体" w:eastAsia="宋体" w:cs="宋体"/>
                <w:color w:val="auto"/>
                <w:szCs w:val="21"/>
              </w:rPr>
            </w:pPr>
            <w:r>
              <w:rPr>
                <w:rFonts w:hint="eastAsia" w:ascii="宋体" w:hAnsi="宋体" w:eastAsia="宋体" w:cs="宋体"/>
                <w:color w:val="auto"/>
                <w:kern w:val="0"/>
                <w:szCs w:val="21"/>
              </w:rPr>
              <w:t>评审标准</w:t>
            </w:r>
          </w:p>
        </w:tc>
      </w:tr>
      <w:tr w14:paraId="2B89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871" w:type="dxa"/>
            <w:vMerge w:val="restart"/>
            <w:noWrap/>
            <w:vAlign w:val="center"/>
          </w:tcPr>
          <w:p w14:paraId="2B89D2E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符合性审查标准</w:t>
            </w:r>
          </w:p>
        </w:tc>
        <w:tc>
          <w:tcPr>
            <w:tcW w:w="2315" w:type="dxa"/>
            <w:noWrap/>
            <w:vAlign w:val="center"/>
          </w:tcPr>
          <w:p w14:paraId="2B89D2E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投标文件签署、盖章</w:t>
            </w:r>
          </w:p>
        </w:tc>
        <w:tc>
          <w:tcPr>
            <w:tcW w:w="5851" w:type="dxa"/>
            <w:noWrap/>
            <w:vAlign w:val="center"/>
          </w:tcPr>
          <w:p w14:paraId="2B89D2EF">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投标文件按招标文件要求签署、盖章的</w:t>
            </w:r>
          </w:p>
        </w:tc>
      </w:tr>
      <w:tr w14:paraId="2B89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71" w:type="dxa"/>
            <w:vMerge w:val="continue"/>
            <w:noWrap/>
            <w:vAlign w:val="center"/>
          </w:tcPr>
          <w:p w14:paraId="2B89D2F1">
            <w:pPr>
              <w:widowControl/>
              <w:jc w:val="center"/>
              <w:rPr>
                <w:rFonts w:hint="eastAsia" w:ascii="宋体" w:hAnsi="宋体" w:eastAsia="宋体" w:cs="宋体"/>
                <w:color w:val="auto"/>
                <w:kern w:val="0"/>
                <w:szCs w:val="21"/>
              </w:rPr>
            </w:pPr>
          </w:p>
        </w:tc>
        <w:tc>
          <w:tcPr>
            <w:tcW w:w="2315" w:type="dxa"/>
            <w:noWrap/>
            <w:vAlign w:val="center"/>
          </w:tcPr>
          <w:p w14:paraId="2B89D2F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报价唯一</w:t>
            </w:r>
          </w:p>
        </w:tc>
        <w:tc>
          <w:tcPr>
            <w:tcW w:w="5851" w:type="dxa"/>
            <w:noWrap/>
            <w:vAlign w:val="center"/>
          </w:tcPr>
          <w:p w14:paraId="2B89D2F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只能有一个有效报价</w:t>
            </w:r>
          </w:p>
        </w:tc>
      </w:tr>
      <w:tr w14:paraId="2B89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871" w:type="dxa"/>
            <w:vMerge w:val="continue"/>
            <w:noWrap/>
            <w:vAlign w:val="center"/>
          </w:tcPr>
          <w:p w14:paraId="2B89D2F5">
            <w:pPr>
              <w:widowControl/>
              <w:jc w:val="center"/>
              <w:rPr>
                <w:rFonts w:hint="eastAsia" w:ascii="宋体" w:hAnsi="宋体" w:eastAsia="宋体" w:cs="宋体"/>
                <w:color w:val="auto"/>
                <w:kern w:val="0"/>
                <w:szCs w:val="21"/>
              </w:rPr>
            </w:pPr>
          </w:p>
        </w:tc>
        <w:tc>
          <w:tcPr>
            <w:tcW w:w="2315" w:type="dxa"/>
            <w:noWrap/>
            <w:vAlign w:val="center"/>
          </w:tcPr>
          <w:p w14:paraId="2B89D2F6">
            <w:pPr>
              <w:widowControl/>
              <w:jc w:val="center"/>
              <w:rPr>
                <w:rFonts w:hint="eastAsia" w:ascii="宋体" w:hAnsi="宋体" w:eastAsia="宋体" w:cs="宋体"/>
                <w:color w:val="auto"/>
                <w:kern w:val="0"/>
                <w:szCs w:val="21"/>
              </w:rPr>
            </w:pPr>
            <w:r>
              <w:rPr>
                <w:rFonts w:hint="eastAsia" w:hAnsi="宋体"/>
                <w:color w:val="auto"/>
                <w:szCs w:val="21"/>
              </w:rPr>
              <w:t>合同履行期限</w:t>
            </w:r>
          </w:p>
        </w:tc>
        <w:tc>
          <w:tcPr>
            <w:tcW w:w="5851" w:type="dxa"/>
            <w:noWrap/>
            <w:vAlign w:val="center"/>
          </w:tcPr>
          <w:p w14:paraId="2B89D2F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符合招标文件</w:t>
            </w:r>
          </w:p>
        </w:tc>
      </w:tr>
      <w:tr w14:paraId="2B89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871" w:type="dxa"/>
            <w:vMerge w:val="continue"/>
            <w:noWrap/>
            <w:vAlign w:val="center"/>
          </w:tcPr>
          <w:p w14:paraId="2B89D2F9">
            <w:pPr>
              <w:widowControl/>
              <w:jc w:val="center"/>
              <w:rPr>
                <w:rFonts w:hint="eastAsia" w:ascii="宋体" w:hAnsi="宋体" w:eastAsia="宋体" w:cs="宋体"/>
                <w:color w:val="auto"/>
                <w:kern w:val="0"/>
                <w:szCs w:val="21"/>
              </w:rPr>
            </w:pPr>
          </w:p>
        </w:tc>
        <w:tc>
          <w:tcPr>
            <w:tcW w:w="2315" w:type="dxa"/>
            <w:noWrap/>
            <w:vAlign w:val="center"/>
          </w:tcPr>
          <w:p w14:paraId="2B89D2FA">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质量标准</w:t>
            </w:r>
          </w:p>
        </w:tc>
        <w:tc>
          <w:tcPr>
            <w:tcW w:w="5851" w:type="dxa"/>
            <w:noWrap/>
            <w:vAlign w:val="center"/>
          </w:tcPr>
          <w:p w14:paraId="2B89D2F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符合招标文件</w:t>
            </w:r>
          </w:p>
        </w:tc>
      </w:tr>
      <w:tr w14:paraId="2B89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71" w:type="dxa"/>
            <w:vMerge w:val="continue"/>
            <w:noWrap/>
            <w:vAlign w:val="center"/>
          </w:tcPr>
          <w:p w14:paraId="2B89D2FD">
            <w:pPr>
              <w:widowControl/>
              <w:jc w:val="center"/>
              <w:rPr>
                <w:rFonts w:hint="eastAsia" w:ascii="宋体" w:hAnsi="宋体" w:eastAsia="宋体" w:cs="宋体"/>
                <w:color w:val="auto"/>
                <w:kern w:val="0"/>
                <w:szCs w:val="21"/>
              </w:rPr>
            </w:pPr>
          </w:p>
        </w:tc>
        <w:tc>
          <w:tcPr>
            <w:tcW w:w="2315" w:type="dxa"/>
            <w:noWrap/>
            <w:vAlign w:val="center"/>
          </w:tcPr>
          <w:p w14:paraId="2B89D2FE">
            <w:pPr>
              <w:widowControl/>
              <w:jc w:val="center"/>
              <w:rPr>
                <w:rFonts w:hint="eastAsia" w:ascii="宋体" w:hAnsi="宋体" w:eastAsia="宋体" w:cs="宋体"/>
                <w:color w:val="auto"/>
                <w:kern w:val="0"/>
                <w:szCs w:val="21"/>
              </w:rPr>
            </w:pPr>
            <w:r>
              <w:rPr>
                <w:rFonts w:hint="eastAsia" w:ascii="宋体" w:hAnsi="宋体" w:eastAsia="宋体" w:cs="宋体"/>
                <w:color w:val="auto"/>
                <w:szCs w:val="21"/>
              </w:rPr>
              <w:t>投标有效期</w:t>
            </w:r>
          </w:p>
        </w:tc>
        <w:tc>
          <w:tcPr>
            <w:tcW w:w="5851" w:type="dxa"/>
            <w:noWrap/>
            <w:vAlign w:val="center"/>
          </w:tcPr>
          <w:p w14:paraId="2B89D2F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符合招标文件</w:t>
            </w:r>
          </w:p>
        </w:tc>
      </w:tr>
      <w:tr w14:paraId="2B89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 w:type="dxa"/>
            <w:vMerge w:val="continue"/>
            <w:noWrap/>
            <w:vAlign w:val="center"/>
          </w:tcPr>
          <w:p w14:paraId="2B89D301">
            <w:pPr>
              <w:widowControl/>
              <w:jc w:val="center"/>
              <w:rPr>
                <w:rFonts w:hint="eastAsia" w:ascii="宋体" w:hAnsi="宋体" w:eastAsia="宋体" w:cs="宋体"/>
                <w:color w:val="auto"/>
                <w:kern w:val="0"/>
                <w:szCs w:val="21"/>
              </w:rPr>
            </w:pPr>
          </w:p>
        </w:tc>
        <w:tc>
          <w:tcPr>
            <w:tcW w:w="2315" w:type="dxa"/>
            <w:noWrap/>
            <w:vAlign w:val="center"/>
          </w:tcPr>
          <w:p w14:paraId="2B89D302">
            <w:pPr>
              <w:widowControl/>
              <w:jc w:val="center"/>
              <w:rPr>
                <w:rFonts w:hint="eastAsia" w:ascii="宋体" w:hAnsi="宋体" w:eastAsia="宋体" w:cs="宋体"/>
                <w:color w:val="auto"/>
                <w:szCs w:val="21"/>
              </w:rPr>
            </w:pPr>
            <w:r>
              <w:rPr>
                <w:rFonts w:hint="eastAsia" w:ascii="宋体" w:hAnsi="宋体" w:eastAsia="宋体" w:cs="宋体"/>
                <w:color w:val="auto"/>
                <w:szCs w:val="21"/>
              </w:rPr>
              <w:t>其他符合性审查标准</w:t>
            </w:r>
          </w:p>
        </w:tc>
        <w:tc>
          <w:tcPr>
            <w:tcW w:w="5851" w:type="dxa"/>
            <w:noWrap/>
            <w:vAlign w:val="center"/>
          </w:tcPr>
          <w:p w14:paraId="2B89D30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详见招标文件</w:t>
            </w:r>
          </w:p>
        </w:tc>
      </w:tr>
    </w:tbl>
    <w:p w14:paraId="2B89D305">
      <w:pPr>
        <w:pStyle w:val="2"/>
        <w:rPr>
          <w:color w:val="auto"/>
          <w:lang w:val="zh-CN"/>
        </w:rPr>
      </w:pPr>
    </w:p>
    <w:tbl>
      <w:tblPr>
        <w:tblStyle w:val="14"/>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6310"/>
        <w:gridCol w:w="873"/>
      </w:tblGrid>
      <w:tr w14:paraId="2B89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2B89D306">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分值构成</w:t>
            </w:r>
          </w:p>
          <w:p w14:paraId="2B89D307">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（总分100分）</w:t>
            </w:r>
          </w:p>
        </w:tc>
        <w:tc>
          <w:tcPr>
            <w:tcW w:w="7183" w:type="dxa"/>
            <w:gridSpan w:val="2"/>
            <w:tcBorders>
              <w:top w:val="single" w:color="auto" w:sz="4" w:space="0"/>
              <w:left w:val="single" w:color="auto" w:sz="4" w:space="0"/>
              <w:bottom w:val="single" w:color="auto" w:sz="4" w:space="0"/>
              <w:right w:val="single" w:color="auto" w:sz="4" w:space="0"/>
            </w:tcBorders>
            <w:vAlign w:val="center"/>
          </w:tcPr>
          <w:p w14:paraId="2B89D308">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价格得分：</w:t>
            </w:r>
            <w:r>
              <w:rPr>
                <w:rFonts w:hint="eastAsia" w:ascii="宋体" w:hAnsi="宋体" w:eastAsia="宋体" w:cs="宋体"/>
                <w:color w:val="auto"/>
                <w:szCs w:val="21"/>
                <w:lang w:val="en-US" w:eastAsia="zh-CN"/>
              </w:rPr>
              <w:t>40</w:t>
            </w:r>
            <w:r>
              <w:rPr>
                <w:rFonts w:ascii="宋体" w:hAnsi="宋体" w:eastAsia="宋体" w:cs="宋体"/>
                <w:color w:val="auto"/>
                <w:szCs w:val="21"/>
                <w:lang w:val="zh-CN"/>
              </w:rPr>
              <w:t>分</w:t>
            </w:r>
          </w:p>
          <w:p w14:paraId="2B89D309">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商务部分：</w:t>
            </w:r>
            <w:r>
              <w:rPr>
                <w:rFonts w:hint="eastAsia" w:ascii="宋体" w:hAnsi="宋体" w:eastAsia="宋体" w:cs="宋体"/>
                <w:color w:val="auto"/>
                <w:szCs w:val="21"/>
                <w:lang w:val="en-US" w:eastAsia="zh-CN"/>
              </w:rPr>
              <w:t>10</w:t>
            </w:r>
            <w:r>
              <w:rPr>
                <w:rFonts w:hint="eastAsia" w:ascii="宋体" w:hAnsi="宋体" w:eastAsia="宋体" w:cs="宋体"/>
                <w:color w:val="auto"/>
                <w:szCs w:val="21"/>
                <w:lang w:val="zh-CN"/>
              </w:rPr>
              <w:t>分</w:t>
            </w:r>
          </w:p>
          <w:p w14:paraId="2B89D30A">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技术部分：</w:t>
            </w:r>
            <w:r>
              <w:rPr>
                <w:rFonts w:hint="eastAsia" w:ascii="宋体" w:hAnsi="宋体" w:eastAsia="宋体" w:cs="宋体"/>
                <w:color w:val="auto"/>
                <w:szCs w:val="21"/>
                <w:lang w:val="en-US" w:eastAsia="zh-CN"/>
              </w:rPr>
              <w:t>50</w:t>
            </w:r>
            <w:r>
              <w:rPr>
                <w:rFonts w:hint="eastAsia" w:ascii="宋体" w:hAnsi="宋体" w:eastAsia="宋体" w:cs="宋体"/>
                <w:color w:val="auto"/>
                <w:szCs w:val="21"/>
                <w:lang w:val="zh-CN"/>
              </w:rPr>
              <w:t>分</w:t>
            </w:r>
          </w:p>
        </w:tc>
      </w:tr>
      <w:tr w14:paraId="2B89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2B89D30C">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一、价格得分（满分</w:t>
            </w:r>
            <w:r>
              <w:rPr>
                <w:rFonts w:hint="eastAsia" w:ascii="宋体" w:hAnsi="宋体" w:eastAsia="宋体" w:cs="宋体"/>
                <w:color w:val="auto"/>
                <w:szCs w:val="21"/>
                <w:lang w:val="en-US" w:eastAsia="zh-CN"/>
              </w:rPr>
              <w:t>4</w:t>
            </w:r>
            <w:r>
              <w:rPr>
                <w:rFonts w:hint="eastAsia" w:ascii="宋体" w:hAnsi="宋体" w:eastAsia="宋体" w:cs="宋体"/>
                <w:color w:val="auto"/>
                <w:szCs w:val="21"/>
              </w:rPr>
              <w:t>0</w:t>
            </w:r>
            <w:r>
              <w:rPr>
                <w:rFonts w:hint="eastAsia" w:ascii="宋体" w:hAnsi="宋体" w:eastAsia="宋体" w:cs="宋体"/>
                <w:color w:val="auto"/>
                <w:szCs w:val="21"/>
                <w:lang w:val="zh-CN"/>
              </w:rPr>
              <w:t>分）</w:t>
            </w:r>
          </w:p>
        </w:tc>
      </w:tr>
      <w:tr w14:paraId="2B89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2B89D30E">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2B89D30F">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2B89D310">
            <w:pPr>
              <w:tabs>
                <w:tab w:val="left" w:pos="1260"/>
              </w:tabs>
              <w:autoSpaceDE w:val="0"/>
              <w:autoSpaceDN w:val="0"/>
              <w:spacing w:line="330" w:lineRule="atLeast"/>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分值</w:t>
            </w:r>
          </w:p>
        </w:tc>
      </w:tr>
      <w:tr w14:paraId="2B89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2B89D312">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投标报价</w:t>
            </w:r>
          </w:p>
          <w:p w14:paraId="2B89D313">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评分标准</w:t>
            </w:r>
          </w:p>
        </w:tc>
        <w:tc>
          <w:tcPr>
            <w:tcW w:w="6310" w:type="dxa"/>
            <w:tcBorders>
              <w:top w:val="single" w:color="auto" w:sz="4" w:space="0"/>
              <w:left w:val="single" w:color="auto" w:sz="4" w:space="0"/>
              <w:bottom w:val="single" w:color="auto" w:sz="4" w:space="0"/>
              <w:right w:val="single" w:color="auto" w:sz="4" w:space="0"/>
            </w:tcBorders>
            <w:vAlign w:val="center"/>
          </w:tcPr>
          <w:p w14:paraId="2B89D314">
            <w:pPr>
              <w:pStyle w:val="26"/>
              <w:rPr>
                <w:rFonts w:hint="eastAsia" w:hAnsi="宋体" w:cs="Times New Roman"/>
                <w:color w:val="auto"/>
                <w:sz w:val="21"/>
                <w:szCs w:val="21"/>
              </w:rPr>
            </w:pPr>
            <w:r>
              <w:rPr>
                <w:rFonts w:hint="eastAsia" w:hAnsi="宋体" w:cs="Times New Roman"/>
                <w:color w:val="auto"/>
                <w:sz w:val="21"/>
                <w:szCs w:val="21"/>
              </w:rPr>
              <w:t>投标报价分采用低价优先法计算，即满足招标文件要求且投标报价最低的为评审基准价，其报价分为满分</w:t>
            </w:r>
            <w:r>
              <w:rPr>
                <w:rFonts w:hint="eastAsia" w:hAnsi="宋体" w:cs="Times New Roman"/>
                <w:color w:val="auto"/>
                <w:sz w:val="21"/>
                <w:szCs w:val="21"/>
                <w:lang w:eastAsia="zh-CN"/>
              </w:rPr>
              <w:t>，其他投标人的价格分统一按照下列公式计算：</w:t>
            </w:r>
          </w:p>
          <w:p w14:paraId="2B89D315">
            <w:pPr>
              <w:pStyle w:val="26"/>
              <w:rPr>
                <w:rFonts w:hint="default" w:hAnsi="宋体" w:eastAsia="宋体" w:cs="Times New Roman"/>
                <w:color w:val="auto"/>
                <w:sz w:val="21"/>
                <w:szCs w:val="21"/>
                <w:lang w:val="en-US" w:eastAsia="zh-CN"/>
              </w:rPr>
            </w:pPr>
            <w:r>
              <w:rPr>
                <w:rFonts w:hint="eastAsia" w:hAnsi="宋体" w:cs="Times New Roman"/>
                <w:color w:val="auto"/>
                <w:sz w:val="21"/>
                <w:szCs w:val="21"/>
                <w:lang w:val="en-US" w:eastAsia="zh-CN"/>
              </w:rPr>
              <w:t>投标</w:t>
            </w:r>
            <w:r>
              <w:rPr>
                <w:rFonts w:hint="eastAsia" w:hAnsi="宋体" w:cs="Times New Roman"/>
                <w:color w:val="auto"/>
                <w:sz w:val="21"/>
                <w:szCs w:val="21"/>
              </w:rPr>
              <w:t>报价得分=（评审基准价/投标报价）×</w:t>
            </w:r>
            <w:r>
              <w:rPr>
                <w:rFonts w:hint="eastAsia" w:hAnsi="宋体" w:cs="Times New Roman"/>
                <w:color w:val="auto"/>
                <w:sz w:val="21"/>
                <w:szCs w:val="21"/>
                <w:lang w:val="en-US" w:eastAsia="zh-CN"/>
              </w:rPr>
              <w:t>40</w:t>
            </w:r>
          </w:p>
          <w:p w14:paraId="2B89D316">
            <w:pPr>
              <w:tabs>
                <w:tab w:val="left" w:pos="1260"/>
              </w:tabs>
              <w:autoSpaceDE w:val="0"/>
              <w:autoSpaceDN w:val="0"/>
              <w:spacing w:line="360" w:lineRule="auto"/>
              <w:contextualSpacing/>
              <w:rPr>
                <w:rFonts w:hint="eastAsia" w:ascii="宋体" w:hAnsi="宋体" w:eastAsia="宋体" w:cs="宋体"/>
                <w:color w:val="auto"/>
                <w:szCs w:val="21"/>
                <w:lang w:val="zh-CN"/>
              </w:rPr>
            </w:pPr>
            <w:r>
              <w:rPr>
                <w:rFonts w:hint="eastAsia" w:ascii="宋体" w:hAnsi="宋体" w:eastAsia="宋体" w:cs="Times New Roman"/>
                <w:color w:val="auto"/>
                <w:szCs w:val="21"/>
              </w:rPr>
              <w:t>注：分值计算保留小数点后两位，小数点后第三位“四舍五入”。</w:t>
            </w:r>
          </w:p>
        </w:tc>
        <w:tc>
          <w:tcPr>
            <w:tcW w:w="873" w:type="dxa"/>
            <w:tcBorders>
              <w:top w:val="single" w:color="auto" w:sz="4" w:space="0"/>
              <w:left w:val="single" w:color="auto" w:sz="4" w:space="0"/>
              <w:bottom w:val="single" w:color="auto" w:sz="4" w:space="0"/>
              <w:right w:val="single" w:color="auto" w:sz="4" w:space="0"/>
            </w:tcBorders>
            <w:vAlign w:val="center"/>
          </w:tcPr>
          <w:p w14:paraId="2B89D317">
            <w:pPr>
              <w:tabs>
                <w:tab w:val="left" w:pos="1260"/>
              </w:tabs>
              <w:autoSpaceDE w:val="0"/>
              <w:autoSpaceDN w:val="0"/>
              <w:spacing w:line="360" w:lineRule="auto"/>
              <w:contextualSpacing/>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40</w:t>
            </w:r>
          </w:p>
        </w:tc>
      </w:tr>
      <w:tr w14:paraId="2B89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2B89D319">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二、商务部分（满分</w:t>
            </w:r>
            <w:r>
              <w:rPr>
                <w:rFonts w:hint="eastAsia" w:ascii="宋体" w:hAnsi="宋体" w:eastAsia="宋体" w:cs="宋体"/>
                <w:color w:val="auto"/>
                <w:szCs w:val="21"/>
                <w:lang w:val="en-US" w:eastAsia="zh-CN"/>
              </w:rPr>
              <w:t>10</w:t>
            </w:r>
            <w:r>
              <w:rPr>
                <w:rFonts w:hint="eastAsia" w:ascii="宋体" w:hAnsi="宋体" w:eastAsia="宋体" w:cs="宋体"/>
                <w:color w:val="auto"/>
                <w:szCs w:val="21"/>
                <w:lang w:val="zh-CN"/>
              </w:rPr>
              <w:t>分）</w:t>
            </w:r>
          </w:p>
        </w:tc>
      </w:tr>
      <w:tr w14:paraId="2B89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2B89D31B">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2B89D31C">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2B89D31D">
            <w:pPr>
              <w:tabs>
                <w:tab w:val="left" w:pos="1260"/>
              </w:tabs>
              <w:autoSpaceDE w:val="0"/>
              <w:autoSpaceDN w:val="0"/>
              <w:spacing w:line="330" w:lineRule="atLeast"/>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分值</w:t>
            </w:r>
          </w:p>
        </w:tc>
      </w:tr>
      <w:tr w14:paraId="2B8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2B89D31F">
            <w:pPr>
              <w:tabs>
                <w:tab w:val="left" w:pos="5130"/>
              </w:tabs>
              <w:adjustRightInd w:val="0"/>
              <w:spacing w:line="276" w:lineRule="auto"/>
              <w:jc w:val="center"/>
              <w:rPr>
                <w:rFonts w:hint="eastAsia" w:ascii="宋体" w:hAnsi="宋体" w:eastAsia="宋体" w:cs="宋体"/>
                <w:color w:val="auto"/>
                <w:szCs w:val="21"/>
                <w:lang w:val="zh-CN"/>
              </w:rPr>
            </w:pPr>
            <w:r>
              <w:rPr>
                <w:rFonts w:hint="eastAsia" w:ascii="宋体" w:hAnsi="宋体" w:eastAsia="宋体" w:cs="宋体"/>
                <w:bCs/>
                <w:color w:val="auto"/>
                <w:kern w:val="0"/>
                <w:szCs w:val="21"/>
              </w:rPr>
              <w:t>投标人业绩</w:t>
            </w:r>
          </w:p>
        </w:tc>
        <w:tc>
          <w:tcPr>
            <w:tcW w:w="6310" w:type="dxa"/>
            <w:tcBorders>
              <w:top w:val="single" w:color="auto" w:sz="4" w:space="0"/>
              <w:left w:val="nil"/>
              <w:bottom w:val="single" w:color="auto" w:sz="4" w:space="0"/>
              <w:right w:val="single" w:color="auto" w:sz="4" w:space="0"/>
            </w:tcBorders>
            <w:vAlign w:val="center"/>
          </w:tcPr>
          <w:p w14:paraId="2B89D320">
            <w:pPr>
              <w:tabs>
                <w:tab w:val="left" w:pos="540"/>
                <w:tab w:val="center" w:pos="3155"/>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投标人自2022年1月1日以来（以合同签订日为准）承担过类似项目业绩每个得</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分，最多得</w:t>
            </w:r>
            <w:r>
              <w:rPr>
                <w:rFonts w:hint="eastAsia" w:ascii="宋体" w:hAnsi="宋体" w:eastAsia="宋体" w:cs="宋体"/>
                <w:color w:val="auto"/>
                <w:szCs w:val="21"/>
                <w:lang w:val="en-US" w:eastAsia="zh-CN"/>
              </w:rPr>
              <w:t>6</w:t>
            </w:r>
            <w:r>
              <w:rPr>
                <w:rFonts w:hint="eastAsia" w:ascii="宋体" w:hAnsi="宋体" w:eastAsia="宋体" w:cs="宋体"/>
                <w:color w:val="auto"/>
                <w:szCs w:val="21"/>
              </w:rPr>
              <w:t>分，（须提供项目合同扫描件，缺少不得分）。</w:t>
            </w:r>
          </w:p>
        </w:tc>
        <w:tc>
          <w:tcPr>
            <w:tcW w:w="873" w:type="dxa"/>
            <w:tcBorders>
              <w:top w:val="single" w:color="auto" w:sz="4" w:space="0"/>
              <w:left w:val="single" w:color="auto" w:sz="4" w:space="0"/>
              <w:bottom w:val="single" w:color="auto" w:sz="4" w:space="0"/>
              <w:right w:val="single" w:color="auto" w:sz="4" w:space="0"/>
            </w:tcBorders>
            <w:vAlign w:val="center"/>
          </w:tcPr>
          <w:p w14:paraId="2B89D321">
            <w:pPr>
              <w:spacing w:line="330" w:lineRule="atLeast"/>
              <w:ind w:right="240"/>
              <w:jc w:val="center"/>
              <w:rPr>
                <w:rFonts w:hint="eastAsia" w:ascii="宋体" w:hAnsi="宋体" w:eastAsia="宋体" w:cs="宋体"/>
                <w:color w:val="auto"/>
                <w:szCs w:val="21"/>
                <w:lang w:eastAsia="zh-CN"/>
              </w:rPr>
            </w:pPr>
            <w:r>
              <w:rPr>
                <w:rFonts w:hint="eastAsia" w:ascii="宋体" w:hAnsi="宋体" w:eastAsia="宋体"/>
                <w:color w:val="auto"/>
                <w:szCs w:val="21"/>
                <w:lang w:val="en-US" w:eastAsia="zh-CN"/>
              </w:rPr>
              <w:t>6</w:t>
            </w:r>
          </w:p>
        </w:tc>
      </w:tr>
      <w:tr w14:paraId="2B89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2B89D323">
            <w:pPr>
              <w:tabs>
                <w:tab w:val="left" w:pos="540"/>
                <w:tab w:val="center" w:pos="3155"/>
              </w:tabs>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rPr>
              <w:t>工作团队</w:t>
            </w:r>
          </w:p>
        </w:tc>
        <w:tc>
          <w:tcPr>
            <w:tcW w:w="6310" w:type="dxa"/>
            <w:tcBorders>
              <w:top w:val="single" w:color="auto" w:sz="4" w:space="0"/>
              <w:left w:val="nil"/>
              <w:bottom w:val="single" w:color="auto" w:sz="4" w:space="0"/>
              <w:right w:val="single" w:color="auto" w:sz="4" w:space="0"/>
            </w:tcBorders>
            <w:vAlign w:val="center"/>
          </w:tcPr>
          <w:p w14:paraId="2B89D324">
            <w:pPr>
              <w:tabs>
                <w:tab w:val="left" w:pos="540"/>
                <w:tab w:val="center" w:pos="3155"/>
              </w:tabs>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rPr>
              <w:t>拟派服务工程师经过相关设备维修技能培训的（提供生产厂家培训或国家级维修技术培训证书等），每有一名得</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分，最多得</w:t>
            </w:r>
            <w:r>
              <w:rPr>
                <w:rFonts w:hint="eastAsia" w:ascii="宋体" w:hAnsi="宋体" w:eastAsia="宋体" w:cs="宋体"/>
                <w:color w:val="auto"/>
                <w:szCs w:val="21"/>
                <w:lang w:val="en-US" w:eastAsia="zh-CN"/>
              </w:rPr>
              <w:t>4</w:t>
            </w:r>
            <w:r>
              <w:rPr>
                <w:rFonts w:hint="eastAsia" w:ascii="宋体" w:hAnsi="宋体" w:eastAsia="宋体" w:cs="宋体"/>
                <w:color w:val="auto"/>
                <w:szCs w:val="21"/>
              </w:rPr>
              <w:t>分。</w:t>
            </w:r>
          </w:p>
        </w:tc>
        <w:tc>
          <w:tcPr>
            <w:tcW w:w="873" w:type="dxa"/>
            <w:tcBorders>
              <w:top w:val="single" w:color="auto" w:sz="4" w:space="0"/>
              <w:left w:val="single" w:color="auto" w:sz="4" w:space="0"/>
              <w:bottom w:val="single" w:color="auto" w:sz="4" w:space="0"/>
              <w:right w:val="single" w:color="auto" w:sz="4" w:space="0"/>
            </w:tcBorders>
            <w:vAlign w:val="center"/>
          </w:tcPr>
          <w:p w14:paraId="2B89D325">
            <w:pPr>
              <w:spacing w:line="330" w:lineRule="atLeast"/>
              <w:ind w:right="240"/>
              <w:jc w:val="center"/>
              <w:rPr>
                <w:rFonts w:hint="eastAsia" w:ascii="宋体" w:hAnsi="宋体" w:eastAsia="宋体" w:cs="宋体"/>
                <w:color w:val="auto"/>
                <w:szCs w:val="21"/>
                <w:lang w:eastAsia="zh-CN"/>
              </w:rPr>
            </w:pPr>
            <w:r>
              <w:rPr>
                <w:rFonts w:hint="eastAsia" w:ascii="宋体" w:hAnsi="宋体" w:eastAsia="宋体"/>
                <w:color w:val="auto"/>
                <w:szCs w:val="21"/>
                <w:lang w:val="en-US" w:eastAsia="zh-CN"/>
              </w:rPr>
              <w:t>4</w:t>
            </w:r>
          </w:p>
        </w:tc>
      </w:tr>
      <w:tr w14:paraId="2B89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2B89D327">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三、技术部分（满分</w:t>
            </w:r>
            <w:r>
              <w:rPr>
                <w:rFonts w:hint="eastAsia" w:ascii="宋体" w:hAnsi="宋体" w:eastAsia="宋体" w:cs="宋体"/>
                <w:color w:val="auto"/>
                <w:szCs w:val="21"/>
                <w:lang w:val="en-US" w:eastAsia="zh-CN"/>
              </w:rPr>
              <w:t>50</w:t>
            </w:r>
            <w:r>
              <w:rPr>
                <w:rFonts w:hint="eastAsia" w:ascii="宋体" w:hAnsi="宋体" w:eastAsia="宋体" w:cs="宋体"/>
                <w:color w:val="auto"/>
                <w:szCs w:val="21"/>
                <w:lang w:val="zh-CN"/>
              </w:rPr>
              <w:t>分）</w:t>
            </w:r>
          </w:p>
        </w:tc>
      </w:tr>
      <w:tr w14:paraId="2B89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2B89D329">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2B89D32A">
            <w:pPr>
              <w:tabs>
                <w:tab w:val="left" w:pos="1260"/>
              </w:tabs>
              <w:autoSpaceDE w:val="0"/>
              <w:autoSpaceDN w:val="0"/>
              <w:spacing w:line="360" w:lineRule="auto"/>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2B89D32B">
            <w:pPr>
              <w:tabs>
                <w:tab w:val="left" w:pos="1260"/>
              </w:tabs>
              <w:autoSpaceDE w:val="0"/>
              <w:autoSpaceDN w:val="0"/>
              <w:spacing w:line="330" w:lineRule="atLeast"/>
              <w:contextualSpacing/>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分值</w:t>
            </w:r>
          </w:p>
        </w:tc>
      </w:tr>
      <w:tr w14:paraId="2B89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1275056B">
            <w:pPr>
              <w:spacing w:line="500" w:lineRule="exact"/>
              <w:jc w:val="center"/>
              <w:rPr>
                <w:rFonts w:hint="eastAsia" w:asciiTheme="minorEastAsia" w:hAnsiTheme="minorEastAsia" w:cstheme="minorEastAsia"/>
                <w:color w:val="auto"/>
                <w:szCs w:val="21"/>
                <w:lang w:val="zh-CN"/>
              </w:rPr>
            </w:pPr>
          </w:p>
          <w:p w14:paraId="082DED2C">
            <w:pPr>
              <w:spacing w:line="500" w:lineRule="exact"/>
              <w:jc w:val="center"/>
              <w:rPr>
                <w:rFonts w:hint="eastAsia" w:asciiTheme="minorEastAsia" w:hAnsiTheme="minorEastAsia" w:cstheme="minorEastAsia"/>
                <w:color w:val="auto"/>
                <w:szCs w:val="21"/>
                <w:lang w:val="zh-CN"/>
              </w:rPr>
            </w:pPr>
          </w:p>
          <w:p w14:paraId="0545BA67">
            <w:pPr>
              <w:spacing w:line="500" w:lineRule="exact"/>
              <w:jc w:val="center"/>
              <w:rPr>
                <w:rFonts w:hint="eastAsia" w:asciiTheme="minorEastAsia" w:hAnsiTheme="minorEastAsia" w:cstheme="minorEastAsia"/>
                <w:color w:val="auto"/>
                <w:szCs w:val="21"/>
                <w:lang w:val="zh-CN"/>
              </w:rPr>
            </w:pPr>
          </w:p>
          <w:p w14:paraId="25A12AAA">
            <w:pPr>
              <w:spacing w:line="500" w:lineRule="exact"/>
              <w:jc w:val="center"/>
              <w:rPr>
                <w:rFonts w:hint="eastAsia" w:asciiTheme="minorEastAsia" w:hAnsiTheme="minorEastAsia" w:cstheme="minorEastAsia"/>
                <w:color w:val="auto"/>
                <w:szCs w:val="21"/>
                <w:lang w:val="zh-CN"/>
              </w:rPr>
            </w:pPr>
          </w:p>
          <w:p w14:paraId="0A8C548F">
            <w:pPr>
              <w:spacing w:line="500" w:lineRule="exact"/>
              <w:jc w:val="center"/>
              <w:rPr>
                <w:rFonts w:hint="eastAsia" w:asciiTheme="minorEastAsia" w:hAnsiTheme="minorEastAsia" w:cstheme="minorEastAsia"/>
                <w:color w:val="auto"/>
                <w:szCs w:val="21"/>
                <w:lang w:val="zh-CN"/>
              </w:rPr>
            </w:pPr>
          </w:p>
          <w:p w14:paraId="5A0B49E0">
            <w:pPr>
              <w:spacing w:line="500" w:lineRule="exact"/>
              <w:jc w:val="center"/>
              <w:rPr>
                <w:rFonts w:hint="eastAsia" w:asciiTheme="minorEastAsia" w:hAnsiTheme="minorEastAsia" w:cstheme="minorEastAsia"/>
                <w:color w:val="auto"/>
                <w:szCs w:val="21"/>
                <w:lang w:val="zh-CN"/>
              </w:rPr>
            </w:pPr>
          </w:p>
          <w:p w14:paraId="237DE39E">
            <w:pPr>
              <w:spacing w:line="500" w:lineRule="exact"/>
              <w:jc w:val="center"/>
              <w:rPr>
                <w:rFonts w:hint="eastAsia" w:asciiTheme="minorEastAsia" w:hAnsiTheme="minorEastAsia" w:cstheme="minorEastAsia"/>
                <w:color w:val="auto"/>
                <w:szCs w:val="21"/>
                <w:lang w:val="zh-CN"/>
              </w:rPr>
            </w:pPr>
          </w:p>
          <w:p w14:paraId="58E236F1">
            <w:pPr>
              <w:spacing w:line="500" w:lineRule="exact"/>
              <w:jc w:val="center"/>
              <w:rPr>
                <w:rFonts w:hint="eastAsia" w:asciiTheme="minorEastAsia" w:hAnsiTheme="minorEastAsia" w:cstheme="minorEastAsia"/>
                <w:color w:val="auto"/>
                <w:szCs w:val="21"/>
                <w:lang w:val="zh-CN"/>
              </w:rPr>
            </w:pPr>
          </w:p>
          <w:p w14:paraId="2B89D32D">
            <w:pPr>
              <w:spacing w:line="500" w:lineRule="exact"/>
              <w:jc w:val="center"/>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lang w:val="zh-CN"/>
              </w:rPr>
              <w:t>维修服务方案</w:t>
            </w:r>
          </w:p>
        </w:tc>
        <w:tc>
          <w:tcPr>
            <w:tcW w:w="6310" w:type="dxa"/>
            <w:tcBorders>
              <w:top w:val="single" w:color="auto" w:sz="4" w:space="0"/>
              <w:left w:val="nil"/>
              <w:bottom w:val="single" w:color="auto" w:sz="4" w:space="0"/>
              <w:right w:val="single" w:color="auto" w:sz="4" w:space="0"/>
            </w:tcBorders>
            <w:vAlign w:val="center"/>
          </w:tcPr>
          <w:p w14:paraId="73182D81">
            <w:pPr>
              <w:spacing w:line="500" w:lineRule="exact"/>
              <w:rPr>
                <w:rFonts w:hint="eastAsia" w:asciiTheme="minorEastAsia" w:hAnsiTheme="minorEastAsia" w:cstheme="minorEastAsia"/>
                <w:color w:val="auto"/>
                <w:szCs w:val="21"/>
              </w:rPr>
            </w:pPr>
            <w:r>
              <w:rPr>
                <w:rFonts w:hint="eastAsia" w:asciiTheme="minorEastAsia" w:hAnsiTheme="minorEastAsia" w:cstheme="minorEastAsia"/>
                <w:color w:val="auto"/>
                <w:szCs w:val="21"/>
              </w:rPr>
              <w:t>投标人提供详细的维修方案，包括但不限于</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故障响应时间、故障修复的措施及时效性保障措施、特殊设备或重要部件维修后的检测验收方案、维修记录的存档措施、维修人员及设备的安全保障措施、备用机的配置措施、人员培训、应急保障工作方案等，评委根据其内容是否准确理解采购人需求并能够充分满足采购人需求，实施重点难点分析是否得当，实施部署方案是否合理等方面进行综合评价，具体分值如下</w:t>
            </w:r>
            <w:r>
              <w:rPr>
                <w:rFonts w:hint="eastAsia" w:asciiTheme="minorEastAsia" w:hAnsiTheme="minorEastAsia" w:cstheme="minorEastAsia"/>
                <w:color w:val="auto"/>
                <w:szCs w:val="21"/>
                <w:lang w:eastAsia="zh-CN"/>
              </w:rPr>
              <w:t>：</w:t>
            </w:r>
          </w:p>
          <w:p w14:paraId="0AD7C717">
            <w:pPr>
              <w:spacing w:line="500" w:lineRule="exact"/>
              <w:rPr>
                <w:rFonts w:hint="eastAsia" w:asciiTheme="minorEastAsia" w:hAnsiTheme="minorEastAsia" w:eastAsiaTheme="minorEastAsia" w:cstheme="minorEastAsia"/>
                <w:color w:val="auto"/>
                <w:szCs w:val="21"/>
                <w:lang w:eastAsia="zh-CN"/>
              </w:rPr>
            </w:pPr>
            <w:r>
              <w:rPr>
                <w:rFonts w:hint="eastAsia" w:asciiTheme="minorEastAsia" w:hAnsiTheme="minorEastAsia" w:cstheme="minorEastAsia"/>
                <w:color w:val="auto"/>
                <w:szCs w:val="21"/>
              </w:rPr>
              <w:t>1.医疗设备维修方案合理成熟，能充分满足采购需求，实施重点难点分析非常得当，内容全面且高度贴合医院实际情况，措施非常合理，可行性强，对招标文件的医疗设备维修内容响应程度高且有针对性，得 15分</w:t>
            </w:r>
            <w:r>
              <w:rPr>
                <w:rFonts w:hint="eastAsia" w:asciiTheme="minorEastAsia" w:hAnsiTheme="minorEastAsia" w:cstheme="minorEastAsia"/>
                <w:color w:val="auto"/>
                <w:szCs w:val="21"/>
                <w:lang w:eastAsia="zh-CN"/>
              </w:rPr>
              <w:t>；</w:t>
            </w:r>
          </w:p>
          <w:p w14:paraId="057E4368">
            <w:pPr>
              <w:spacing w:line="500" w:lineRule="exact"/>
              <w:rPr>
                <w:rFonts w:hint="eastAsia" w:asciiTheme="minorEastAsia" w:hAnsiTheme="minorEastAsia" w:eastAsiaTheme="minorEastAsia" w:cstheme="minorEastAsia"/>
                <w:color w:val="auto"/>
                <w:szCs w:val="21"/>
                <w:lang w:eastAsia="zh-CN"/>
              </w:rPr>
            </w:pPr>
            <w:r>
              <w:rPr>
                <w:rFonts w:hint="eastAsia" w:asciiTheme="minorEastAsia" w:hAnsiTheme="minorEastAsia" w:cstheme="minorEastAsia"/>
                <w:color w:val="auto"/>
                <w:szCs w:val="21"/>
              </w:rPr>
              <w:t>2.医疗设备维修方案较合理，基本符合采购需求，实施重点难点分析比较得当，内容全面且比较合理，具备可行性，对招标文件的响应程度较高，得10分</w:t>
            </w:r>
            <w:r>
              <w:rPr>
                <w:rFonts w:hint="eastAsia" w:asciiTheme="minorEastAsia" w:hAnsiTheme="minorEastAsia" w:cstheme="minorEastAsia"/>
                <w:color w:val="auto"/>
                <w:szCs w:val="21"/>
                <w:lang w:eastAsia="zh-CN"/>
              </w:rPr>
              <w:t>；</w:t>
            </w:r>
          </w:p>
          <w:p w14:paraId="79811F96">
            <w:pPr>
              <w:spacing w:line="500" w:lineRule="exact"/>
              <w:rPr>
                <w:rFonts w:hint="eastAsia" w:asciiTheme="minorEastAsia" w:hAnsiTheme="minorEastAsia" w:eastAsiaTheme="minorEastAsia" w:cstheme="minorEastAsia"/>
                <w:color w:val="auto"/>
                <w:szCs w:val="21"/>
                <w:lang w:eastAsia="zh-CN"/>
              </w:rPr>
            </w:pPr>
            <w:r>
              <w:rPr>
                <w:rFonts w:hint="eastAsia" w:asciiTheme="minorEastAsia" w:hAnsiTheme="minorEastAsia" w:cstheme="minorEastAsia"/>
                <w:color w:val="auto"/>
                <w:szCs w:val="21"/>
              </w:rPr>
              <w:t>3.医疗设备维修方案一般，采购需求、实施重点难点分析一般，内容欠全面、合理性欠妥，可行性欠妥，对招标文件的响应程度一般，得7分</w:t>
            </w:r>
            <w:r>
              <w:rPr>
                <w:rFonts w:hint="eastAsia" w:asciiTheme="minorEastAsia" w:hAnsiTheme="minorEastAsia" w:cstheme="minorEastAsia"/>
                <w:color w:val="auto"/>
                <w:szCs w:val="21"/>
                <w:lang w:eastAsia="zh-CN"/>
              </w:rPr>
              <w:t>；</w:t>
            </w:r>
          </w:p>
          <w:p w14:paraId="2B89D331">
            <w:pPr>
              <w:spacing w:line="500" w:lineRule="exact"/>
              <w:rPr>
                <w:rFonts w:hint="eastAsia" w:asciiTheme="minorEastAsia" w:hAnsiTheme="minorEastAsia" w:cstheme="minorEastAsia"/>
                <w:color w:val="auto"/>
                <w:szCs w:val="21"/>
              </w:rPr>
            </w:pPr>
            <w:r>
              <w:rPr>
                <w:rFonts w:hint="eastAsia" w:asciiTheme="minorEastAsia" w:hAnsiTheme="minorEastAsia" w:cstheme="minorEastAsia"/>
                <w:color w:val="auto"/>
                <w:szCs w:val="21"/>
              </w:rPr>
              <w:t>4.不提供或内容完全不符的不得分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2B89D332">
            <w:pPr>
              <w:tabs>
                <w:tab w:val="left" w:pos="540"/>
                <w:tab w:val="center" w:pos="3155"/>
              </w:tabs>
              <w:spacing w:line="360" w:lineRule="auto"/>
              <w:jc w:val="center"/>
              <w:rPr>
                <w:rFonts w:hint="eastAsia" w:asciiTheme="minorEastAsia" w:hAnsiTheme="minorEastAsia" w:cstheme="minorEastAsia"/>
                <w:color w:val="auto"/>
                <w:szCs w:val="21"/>
              </w:rPr>
            </w:pPr>
            <w:r>
              <w:rPr>
                <w:rFonts w:hint="eastAsia" w:ascii="宋体" w:hAnsi="宋体" w:eastAsia="宋体" w:cs="宋体"/>
                <w:color w:val="auto"/>
                <w:szCs w:val="21"/>
              </w:rPr>
              <w:t>15</w:t>
            </w:r>
          </w:p>
        </w:tc>
      </w:tr>
      <w:tr w14:paraId="2B89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2B89D334">
            <w:pPr>
              <w:spacing w:line="500" w:lineRule="exact"/>
              <w:jc w:val="center"/>
              <w:rPr>
                <w:rFonts w:hint="eastAsia" w:asciiTheme="minorEastAsia" w:hAnsiTheme="minorEastAsia" w:cstheme="minorEastAsia"/>
                <w:color w:val="auto"/>
                <w:szCs w:val="21"/>
              </w:rPr>
            </w:pPr>
            <w:r>
              <w:rPr>
                <w:rFonts w:hint="eastAsia"/>
                <w:color w:val="auto"/>
                <w:spacing w:val="4"/>
                <w:szCs w:val="21"/>
              </w:rPr>
              <w:t>零配件保障方案</w:t>
            </w:r>
          </w:p>
        </w:tc>
        <w:tc>
          <w:tcPr>
            <w:tcW w:w="6310" w:type="dxa"/>
            <w:tcBorders>
              <w:top w:val="single" w:color="auto" w:sz="4" w:space="0"/>
              <w:left w:val="nil"/>
              <w:bottom w:val="single" w:color="auto" w:sz="4" w:space="0"/>
              <w:right w:val="single" w:color="auto" w:sz="4" w:space="0"/>
            </w:tcBorders>
            <w:vAlign w:val="center"/>
          </w:tcPr>
          <w:p w14:paraId="6DFB60C6">
            <w:pPr>
              <w:spacing w:line="500" w:lineRule="exact"/>
              <w:rPr>
                <w:rFonts w:hint="eastAsia" w:ascii="宋体" w:hAnsi="宋体" w:cs="宋体"/>
                <w:color w:val="auto"/>
                <w:szCs w:val="21"/>
              </w:rPr>
            </w:pPr>
            <w:r>
              <w:rPr>
                <w:rFonts w:hint="eastAsia" w:ascii="宋体" w:hAnsi="宋体" w:cs="宋体"/>
                <w:color w:val="auto"/>
                <w:szCs w:val="21"/>
              </w:rPr>
              <w:t>投标人提供详细的零配件保障方案，包括但不限于</w:t>
            </w:r>
            <w:r>
              <w:rPr>
                <w:rFonts w:hint="eastAsia" w:ascii="宋体" w:hAnsi="宋体" w:cs="宋体"/>
                <w:color w:val="auto"/>
                <w:szCs w:val="21"/>
                <w:lang w:eastAsia="zh-CN"/>
              </w:rPr>
              <w:t>：</w:t>
            </w:r>
            <w:r>
              <w:rPr>
                <w:rFonts w:hint="eastAsia" w:ascii="宋体" w:hAnsi="宋体" w:cs="宋体"/>
                <w:color w:val="auto"/>
                <w:szCs w:val="21"/>
              </w:rPr>
              <w:t>配件库问题的解决措施、零配件供应的时效性、零配件采购流程的合理性等，评委根据其内容是否准确理解采购人需求并能够充分满足采购人需求，实施重点难点分析是否得当，方案是否合理等方面进行综合评价，具体分值如下</w:t>
            </w:r>
            <w:r>
              <w:rPr>
                <w:rFonts w:hint="eastAsia" w:ascii="宋体" w:hAnsi="宋体" w:cs="宋体"/>
                <w:color w:val="auto"/>
                <w:szCs w:val="21"/>
                <w:lang w:eastAsia="zh-CN"/>
              </w:rPr>
              <w:t>：</w:t>
            </w:r>
          </w:p>
          <w:p w14:paraId="47B12FD9">
            <w:pPr>
              <w:spacing w:line="500" w:lineRule="exact"/>
              <w:rPr>
                <w:rFonts w:hint="eastAsia" w:ascii="宋体" w:hAnsi="宋体" w:cs="宋体"/>
                <w:color w:val="auto"/>
                <w:szCs w:val="21"/>
              </w:rPr>
            </w:pPr>
            <w:r>
              <w:rPr>
                <w:rFonts w:hint="eastAsia" w:ascii="宋体" w:hAnsi="宋体" w:cs="宋体"/>
                <w:color w:val="auto"/>
                <w:szCs w:val="21"/>
              </w:rPr>
              <w:t>零配件保障方案</w:t>
            </w:r>
          </w:p>
          <w:p w14:paraId="3CF66A08">
            <w:pPr>
              <w:spacing w:line="500" w:lineRule="exact"/>
              <w:rPr>
                <w:rFonts w:hint="eastAsia" w:ascii="宋体" w:hAnsi="宋体" w:cs="宋体" w:eastAsiaTheme="minorEastAsia"/>
                <w:color w:val="auto"/>
                <w:szCs w:val="21"/>
                <w:lang w:eastAsia="zh-CN"/>
              </w:rPr>
            </w:pPr>
            <w:r>
              <w:rPr>
                <w:rFonts w:hint="eastAsia" w:ascii="宋体" w:hAnsi="宋体" w:cs="宋体"/>
                <w:color w:val="auto"/>
                <w:szCs w:val="21"/>
              </w:rPr>
              <w:t>1.零配件供货方案合理，能充分满足采购需求，配件库解决措施全面、零配件供应的时效性保障措施得当、零配件采购流程的具体实施方案等内容全面且非常合理，可行性强，对招标文件的响应程度高且有针对性，得</w:t>
            </w:r>
            <w:r>
              <w:rPr>
                <w:rFonts w:hint="eastAsia" w:ascii="宋体" w:hAnsi="宋体" w:cs="宋体"/>
                <w:color w:val="auto"/>
                <w:szCs w:val="21"/>
                <w:lang w:val="en-US" w:eastAsia="zh-CN"/>
              </w:rPr>
              <w:t>10</w:t>
            </w:r>
            <w:r>
              <w:rPr>
                <w:rFonts w:hint="eastAsia" w:ascii="宋体" w:hAnsi="宋体" w:cs="宋体"/>
                <w:color w:val="auto"/>
                <w:szCs w:val="21"/>
              </w:rPr>
              <w:t>分</w:t>
            </w:r>
            <w:r>
              <w:rPr>
                <w:rFonts w:hint="eastAsia" w:ascii="宋体" w:hAnsi="宋体" w:cs="宋体"/>
                <w:color w:val="auto"/>
                <w:szCs w:val="21"/>
                <w:lang w:eastAsia="zh-CN"/>
              </w:rPr>
              <w:t>；</w:t>
            </w:r>
          </w:p>
          <w:p w14:paraId="68A8EB64">
            <w:pPr>
              <w:spacing w:line="500" w:lineRule="exact"/>
              <w:rPr>
                <w:rFonts w:hint="eastAsia" w:ascii="宋体" w:hAnsi="宋体" w:cs="宋体" w:eastAsiaTheme="minorEastAsia"/>
                <w:color w:val="auto"/>
                <w:szCs w:val="21"/>
                <w:lang w:eastAsia="zh-CN"/>
              </w:rPr>
            </w:pPr>
            <w:r>
              <w:rPr>
                <w:rFonts w:hint="eastAsia" w:ascii="宋体" w:hAnsi="宋体" w:cs="宋体"/>
                <w:color w:val="auto"/>
                <w:szCs w:val="21"/>
              </w:rPr>
              <w:t>2.零配件供货方案较合理，能基本符合采购需求，配件库解决措施较全面、零配件供应的时效性保障措施较得当、零配件采购流程的具体实施方案等内容较全面且比较合理，具备可行性，对招标文件的响应程度较高，得</w:t>
            </w:r>
            <w:r>
              <w:rPr>
                <w:rFonts w:hint="eastAsia" w:ascii="宋体" w:hAnsi="宋体" w:cs="宋体"/>
                <w:color w:val="auto"/>
                <w:szCs w:val="21"/>
                <w:lang w:val="en-US" w:eastAsia="zh-CN"/>
              </w:rPr>
              <w:t>6</w:t>
            </w:r>
            <w:r>
              <w:rPr>
                <w:rFonts w:hint="eastAsia" w:ascii="宋体" w:hAnsi="宋体" w:cs="宋体"/>
                <w:color w:val="auto"/>
                <w:szCs w:val="21"/>
              </w:rPr>
              <w:t>分</w:t>
            </w:r>
            <w:r>
              <w:rPr>
                <w:rFonts w:hint="eastAsia" w:ascii="宋体" w:hAnsi="宋体" w:cs="宋体"/>
                <w:color w:val="auto"/>
                <w:szCs w:val="21"/>
                <w:lang w:eastAsia="zh-CN"/>
              </w:rPr>
              <w:t>；</w:t>
            </w:r>
          </w:p>
          <w:p w14:paraId="3AD17A2B">
            <w:pPr>
              <w:spacing w:line="500" w:lineRule="exact"/>
              <w:rPr>
                <w:rFonts w:hint="eastAsia" w:ascii="宋体" w:hAnsi="宋体" w:cs="宋体" w:eastAsiaTheme="minorEastAsia"/>
                <w:color w:val="auto"/>
                <w:szCs w:val="21"/>
                <w:lang w:eastAsia="zh-CN"/>
              </w:rPr>
            </w:pPr>
            <w:r>
              <w:rPr>
                <w:rFonts w:hint="eastAsia" w:ascii="宋体" w:hAnsi="宋体" w:cs="宋体"/>
                <w:color w:val="auto"/>
                <w:szCs w:val="21"/>
              </w:rPr>
              <w:t>3.零配件供货方案一般，采购需求、配件库解决措施欠全面、零配件供应的时效性保障措施欠得当、零配件采购流程的具体实施方案内容欠全面且合理性一般，可行性一般，对招标文件的响应程度一般，得</w:t>
            </w:r>
            <w:r>
              <w:rPr>
                <w:rFonts w:hint="eastAsia" w:ascii="宋体" w:hAnsi="宋体" w:cs="宋体"/>
                <w:color w:val="auto"/>
                <w:szCs w:val="21"/>
                <w:lang w:val="en-US" w:eastAsia="zh-CN"/>
              </w:rPr>
              <w:t>4</w:t>
            </w:r>
            <w:r>
              <w:rPr>
                <w:rFonts w:hint="eastAsia" w:ascii="宋体" w:hAnsi="宋体" w:cs="宋体"/>
                <w:color w:val="auto"/>
                <w:szCs w:val="21"/>
              </w:rPr>
              <w:t xml:space="preserve"> 分</w:t>
            </w:r>
            <w:r>
              <w:rPr>
                <w:rFonts w:hint="eastAsia" w:ascii="宋体" w:hAnsi="宋体" w:cs="宋体"/>
                <w:color w:val="auto"/>
                <w:szCs w:val="21"/>
                <w:lang w:eastAsia="zh-CN"/>
              </w:rPr>
              <w:t>；</w:t>
            </w:r>
          </w:p>
          <w:p w14:paraId="2B89D338">
            <w:pPr>
              <w:spacing w:line="500" w:lineRule="exact"/>
              <w:rPr>
                <w:rFonts w:hint="eastAsia" w:asciiTheme="minorEastAsia" w:hAnsiTheme="minorEastAsia" w:cstheme="minorEastAsia"/>
                <w:color w:val="auto"/>
                <w:szCs w:val="21"/>
              </w:rPr>
            </w:pPr>
            <w:r>
              <w:rPr>
                <w:rFonts w:hint="eastAsia" w:ascii="宋体" w:hAnsi="宋体" w:cs="宋体"/>
                <w:color w:val="auto"/>
                <w:szCs w:val="21"/>
              </w:rPr>
              <w:t>4.不提供或内容完全不符的不得分。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2B89D339">
            <w:pPr>
              <w:tabs>
                <w:tab w:val="left" w:pos="540"/>
                <w:tab w:val="center" w:pos="3155"/>
              </w:tabs>
              <w:spacing w:line="360" w:lineRule="auto"/>
              <w:jc w:val="center"/>
              <w:rPr>
                <w:rFonts w:hint="eastAsia" w:asciiTheme="minorEastAsia" w:hAnsiTheme="minorEastAsia" w:cstheme="minorEastAsia"/>
                <w:color w:val="auto"/>
                <w:szCs w:val="21"/>
              </w:rPr>
            </w:pPr>
            <w:r>
              <w:rPr>
                <w:rFonts w:hint="eastAsia" w:ascii="宋体" w:hAnsi="宋体" w:eastAsia="宋体" w:cs="宋体"/>
                <w:color w:val="auto"/>
                <w:szCs w:val="21"/>
              </w:rPr>
              <w:t>10</w:t>
            </w:r>
          </w:p>
        </w:tc>
      </w:tr>
      <w:tr w14:paraId="2B89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7780E51">
            <w:pPr>
              <w:spacing w:line="500" w:lineRule="exact"/>
              <w:jc w:val="center"/>
              <w:rPr>
                <w:rFonts w:hint="eastAsia" w:ascii="宋体" w:hAnsi="宋体" w:eastAsia="宋体" w:cs="宋体"/>
                <w:color w:val="auto"/>
                <w:szCs w:val="21"/>
              </w:rPr>
            </w:pPr>
          </w:p>
          <w:p w14:paraId="4C3149CD">
            <w:pPr>
              <w:spacing w:line="500" w:lineRule="exact"/>
              <w:jc w:val="center"/>
              <w:rPr>
                <w:rFonts w:hint="eastAsia" w:ascii="宋体" w:hAnsi="宋体" w:eastAsia="宋体" w:cs="宋体"/>
                <w:color w:val="auto"/>
                <w:szCs w:val="21"/>
              </w:rPr>
            </w:pPr>
          </w:p>
          <w:p w14:paraId="2D9B3B23">
            <w:pPr>
              <w:spacing w:line="500" w:lineRule="exact"/>
              <w:jc w:val="center"/>
              <w:rPr>
                <w:rFonts w:hint="eastAsia" w:ascii="宋体" w:hAnsi="宋体" w:eastAsia="宋体" w:cs="宋体"/>
                <w:color w:val="auto"/>
                <w:szCs w:val="21"/>
              </w:rPr>
            </w:pPr>
          </w:p>
          <w:p w14:paraId="058BB79A">
            <w:pPr>
              <w:spacing w:line="500" w:lineRule="exact"/>
              <w:jc w:val="center"/>
              <w:rPr>
                <w:rFonts w:hint="eastAsia" w:ascii="宋体" w:hAnsi="宋体" w:eastAsia="宋体" w:cs="宋体"/>
                <w:color w:val="auto"/>
                <w:szCs w:val="21"/>
              </w:rPr>
            </w:pPr>
          </w:p>
          <w:p w14:paraId="2B89D33B">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项目组织管理方案</w:t>
            </w:r>
          </w:p>
          <w:p w14:paraId="2B89D33C">
            <w:pPr>
              <w:spacing w:line="500" w:lineRule="exact"/>
              <w:jc w:val="center"/>
              <w:rPr>
                <w:rFonts w:hint="eastAsia" w:asciiTheme="minorEastAsia" w:hAnsiTheme="minorEastAsia" w:cstheme="minorEastAsia"/>
                <w:color w:val="auto"/>
                <w:szCs w:val="21"/>
              </w:rPr>
            </w:pPr>
          </w:p>
        </w:tc>
        <w:tc>
          <w:tcPr>
            <w:tcW w:w="6310" w:type="dxa"/>
            <w:tcBorders>
              <w:top w:val="single" w:color="auto" w:sz="4" w:space="0"/>
              <w:left w:val="nil"/>
              <w:bottom w:val="single" w:color="auto" w:sz="4" w:space="0"/>
              <w:right w:val="single" w:color="auto" w:sz="4" w:space="0"/>
            </w:tcBorders>
            <w:vAlign w:val="center"/>
          </w:tcPr>
          <w:p w14:paraId="2B89D33D">
            <w:pPr>
              <w:adjustRightInd w:val="0"/>
              <w:spacing w:line="500" w:lineRule="exact"/>
              <w:rPr>
                <w:rFonts w:hint="eastAsia" w:ascii="宋体" w:hAnsi="宋体" w:eastAsia="宋体" w:cs="宋体"/>
                <w:color w:val="auto"/>
                <w:szCs w:val="21"/>
              </w:rPr>
            </w:pPr>
            <w:r>
              <w:rPr>
                <w:rFonts w:hint="eastAsia" w:ascii="宋体" w:hAnsi="宋体" w:eastAsia="宋体" w:cs="宋体"/>
                <w:color w:val="auto"/>
                <w:szCs w:val="21"/>
              </w:rPr>
              <w:t>项目管理团队和一线员工配置方案齐全。项目组织管理架构清晰，层级及岗位设置满足需要，分工明确且有</w:t>
            </w:r>
            <w:r>
              <w:rPr>
                <w:rFonts w:hint="eastAsia" w:ascii="宋体" w:hAnsi="宋体" w:eastAsia="宋体" w:cs="宋体"/>
                <w:color w:val="auto"/>
                <w:szCs w:val="21"/>
                <w:lang w:val="en-US" w:eastAsia="zh-CN"/>
              </w:rPr>
              <w:t>利于</w:t>
            </w:r>
            <w:r>
              <w:rPr>
                <w:rFonts w:hint="eastAsia" w:ascii="宋体" w:hAnsi="宋体" w:eastAsia="宋体" w:cs="宋体"/>
                <w:color w:val="auto"/>
                <w:szCs w:val="21"/>
              </w:rPr>
              <w:t>一体化协作。</w:t>
            </w:r>
          </w:p>
          <w:p w14:paraId="2B89D33E">
            <w:pPr>
              <w:adjustRightInd w:val="0"/>
              <w:spacing w:line="50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项目组织管理方案全面、架构清晰</w:t>
            </w:r>
            <w:r>
              <w:rPr>
                <w:rFonts w:hint="eastAsia" w:ascii="宋体" w:hAnsi="宋体" w:eastAsia="宋体" w:cs="宋体"/>
                <w:color w:val="auto"/>
                <w:szCs w:val="21"/>
                <w:lang w:eastAsia="zh-CN"/>
              </w:rPr>
              <w:t>、</w:t>
            </w:r>
            <w:r>
              <w:rPr>
                <w:rFonts w:hint="eastAsia" w:ascii="宋体" w:hAnsi="宋体" w:eastAsia="宋体" w:cs="宋体"/>
                <w:color w:val="auto"/>
                <w:szCs w:val="21"/>
              </w:rPr>
              <w:t>职责明确、</w:t>
            </w:r>
            <w:r>
              <w:rPr>
                <w:rFonts w:hint="eastAsia" w:ascii="宋体" w:hAnsi="宋体" w:cs="宋体"/>
                <w:color w:val="auto"/>
                <w:szCs w:val="21"/>
              </w:rPr>
              <w:t>可行性强，对招</w:t>
            </w:r>
            <w:r>
              <w:rPr>
                <w:rFonts w:hint="eastAsia" w:ascii="宋体" w:hAnsi="宋体" w:eastAsia="宋体" w:cs="宋体"/>
                <w:color w:val="auto"/>
                <w:szCs w:val="21"/>
              </w:rPr>
              <w:t>标文件的响应程度高且有针对性，得 1</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p w14:paraId="624DD92D">
            <w:pPr>
              <w:adjustRightInd w:val="0"/>
              <w:spacing w:line="5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项目组织管理方案</w:t>
            </w:r>
            <w:r>
              <w:rPr>
                <w:rFonts w:hint="eastAsia" w:ascii="宋体" w:hAnsi="宋体" w:eastAsia="宋体" w:cs="宋体"/>
                <w:color w:val="auto"/>
                <w:szCs w:val="21"/>
                <w:lang w:eastAsia="zh-CN"/>
              </w:rPr>
              <w:t>较</w:t>
            </w:r>
            <w:r>
              <w:rPr>
                <w:rFonts w:hint="eastAsia" w:ascii="宋体" w:hAnsi="宋体" w:eastAsia="宋体" w:cs="宋体"/>
                <w:color w:val="auto"/>
                <w:szCs w:val="21"/>
              </w:rPr>
              <w:t>全面、架构</w:t>
            </w:r>
            <w:r>
              <w:rPr>
                <w:rFonts w:hint="eastAsia" w:ascii="宋体" w:hAnsi="宋体" w:eastAsia="宋体" w:cs="宋体"/>
                <w:color w:val="auto"/>
                <w:szCs w:val="21"/>
                <w:lang w:eastAsia="zh-CN"/>
              </w:rPr>
              <w:t>较</w:t>
            </w:r>
            <w:r>
              <w:rPr>
                <w:rFonts w:hint="eastAsia" w:ascii="宋体" w:hAnsi="宋体" w:eastAsia="宋体" w:cs="宋体"/>
                <w:color w:val="auto"/>
                <w:szCs w:val="21"/>
              </w:rPr>
              <w:t>清晰</w:t>
            </w:r>
            <w:r>
              <w:rPr>
                <w:rFonts w:hint="eastAsia" w:ascii="宋体" w:hAnsi="宋体" w:eastAsia="宋体" w:cs="宋体"/>
                <w:color w:val="auto"/>
                <w:szCs w:val="21"/>
                <w:lang w:eastAsia="zh-CN"/>
              </w:rPr>
              <w:t>、</w:t>
            </w:r>
            <w:r>
              <w:rPr>
                <w:rFonts w:hint="eastAsia" w:ascii="宋体" w:hAnsi="宋体" w:eastAsia="宋体" w:cs="宋体"/>
                <w:color w:val="auto"/>
                <w:szCs w:val="21"/>
              </w:rPr>
              <w:t>职责</w:t>
            </w:r>
            <w:r>
              <w:rPr>
                <w:rFonts w:hint="eastAsia" w:ascii="宋体" w:hAnsi="宋体" w:eastAsia="宋体" w:cs="宋体"/>
                <w:color w:val="auto"/>
                <w:szCs w:val="21"/>
                <w:lang w:eastAsia="zh-CN"/>
              </w:rPr>
              <w:t>较</w:t>
            </w:r>
            <w:r>
              <w:rPr>
                <w:rFonts w:hint="eastAsia" w:ascii="宋体" w:hAnsi="宋体" w:eastAsia="宋体" w:cs="宋体"/>
                <w:color w:val="auto"/>
                <w:szCs w:val="21"/>
              </w:rPr>
              <w:t>明确</w:t>
            </w:r>
            <w:r>
              <w:rPr>
                <w:rFonts w:hint="eastAsia" w:ascii="宋体" w:hAnsi="宋体" w:eastAsia="宋体" w:cs="宋体"/>
                <w:color w:val="auto"/>
                <w:szCs w:val="21"/>
                <w:lang w:eastAsia="zh-CN"/>
              </w:rPr>
              <w:t>，</w:t>
            </w:r>
            <w:r>
              <w:rPr>
                <w:rFonts w:hint="eastAsia" w:ascii="宋体" w:hAnsi="宋体" w:cs="宋体"/>
                <w:color w:val="auto"/>
                <w:szCs w:val="21"/>
              </w:rPr>
              <w:t>具体</w:t>
            </w:r>
            <w:r>
              <w:rPr>
                <w:rFonts w:hint="eastAsia" w:ascii="宋体" w:hAnsi="宋体" w:cs="宋体"/>
                <w:color w:val="auto"/>
                <w:szCs w:val="21"/>
                <w:lang w:eastAsia="zh-CN"/>
              </w:rPr>
              <w:t>管理</w:t>
            </w:r>
            <w:r>
              <w:rPr>
                <w:rFonts w:hint="eastAsia" w:ascii="宋体" w:hAnsi="宋体" w:cs="宋体"/>
                <w:color w:val="auto"/>
                <w:szCs w:val="21"/>
              </w:rPr>
              <w:t>方案等内容较全面且比较合理，具备可行性，对招标文件的响应程度较高，</w:t>
            </w:r>
            <w:r>
              <w:rPr>
                <w:rFonts w:hint="eastAsia" w:ascii="宋体" w:hAnsi="宋体" w:eastAsia="宋体" w:cs="宋体"/>
                <w:color w:val="auto"/>
                <w:szCs w:val="21"/>
              </w:rPr>
              <w:t>得 10分</w:t>
            </w:r>
            <w:r>
              <w:rPr>
                <w:rFonts w:hint="eastAsia" w:ascii="宋体" w:hAnsi="宋体" w:eastAsia="宋体" w:cs="宋体"/>
                <w:color w:val="auto"/>
                <w:szCs w:val="21"/>
                <w:lang w:eastAsia="zh-CN"/>
              </w:rPr>
              <w:t>；</w:t>
            </w:r>
          </w:p>
          <w:p w14:paraId="2B89D33F">
            <w:pPr>
              <w:adjustRightInd w:val="0"/>
              <w:spacing w:line="50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项目组织管理方案基本全面、基本明确、职责</w:t>
            </w:r>
            <w:r>
              <w:rPr>
                <w:rFonts w:hint="eastAsia" w:ascii="宋体" w:hAnsi="宋体" w:eastAsia="宋体" w:cs="宋体"/>
                <w:color w:val="auto"/>
                <w:szCs w:val="21"/>
                <w:lang w:eastAsia="zh-CN"/>
              </w:rPr>
              <w:t>基本</w:t>
            </w:r>
            <w:r>
              <w:rPr>
                <w:rFonts w:hint="eastAsia" w:ascii="宋体" w:hAnsi="宋体" w:eastAsia="宋体" w:cs="宋体"/>
                <w:color w:val="auto"/>
                <w:szCs w:val="21"/>
              </w:rPr>
              <w:t>明确</w:t>
            </w:r>
            <w:r>
              <w:rPr>
                <w:rFonts w:hint="eastAsia" w:ascii="宋体" w:hAnsi="宋体" w:eastAsia="宋体" w:cs="宋体"/>
                <w:color w:val="auto"/>
                <w:szCs w:val="21"/>
                <w:lang w:eastAsia="zh-CN"/>
              </w:rPr>
              <w:t>管理</w:t>
            </w:r>
            <w:r>
              <w:rPr>
                <w:rFonts w:hint="eastAsia" w:ascii="宋体" w:hAnsi="宋体" w:cs="宋体"/>
                <w:color w:val="auto"/>
                <w:szCs w:val="21"/>
              </w:rPr>
              <w:t>方案内容欠全面且合理性一般，可行性一般，对招标文件的响应程度一般，</w:t>
            </w:r>
            <w:r>
              <w:rPr>
                <w:rFonts w:hint="eastAsia" w:ascii="宋体" w:hAnsi="宋体" w:eastAsia="宋体" w:cs="宋体"/>
                <w:color w:val="auto"/>
                <w:szCs w:val="21"/>
              </w:rPr>
              <w:t>得7分；</w:t>
            </w:r>
          </w:p>
          <w:p w14:paraId="2B89D340">
            <w:pPr>
              <w:adjustRightInd w:val="0"/>
              <w:spacing w:line="500" w:lineRule="exact"/>
              <w:rPr>
                <w:rFonts w:hint="eastAsia" w:asciiTheme="minorEastAsia" w:hAnsiTheme="minorEastAsia" w:cstheme="minorEastAsia"/>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未提供方案，得0分。</w:t>
            </w:r>
          </w:p>
        </w:tc>
        <w:tc>
          <w:tcPr>
            <w:tcW w:w="873" w:type="dxa"/>
            <w:tcBorders>
              <w:top w:val="single" w:color="auto" w:sz="4" w:space="0"/>
              <w:left w:val="single" w:color="auto" w:sz="4" w:space="0"/>
              <w:bottom w:val="single" w:color="auto" w:sz="4" w:space="0"/>
              <w:right w:val="single" w:color="auto" w:sz="4" w:space="0"/>
            </w:tcBorders>
            <w:vAlign w:val="center"/>
          </w:tcPr>
          <w:p w14:paraId="6F02B2CD">
            <w:pPr>
              <w:tabs>
                <w:tab w:val="left" w:pos="540"/>
                <w:tab w:val="center" w:pos="3155"/>
              </w:tabs>
              <w:spacing w:line="360" w:lineRule="auto"/>
              <w:jc w:val="center"/>
              <w:rPr>
                <w:rFonts w:hint="eastAsia" w:ascii="宋体" w:hAnsi="宋体" w:eastAsia="宋体" w:cs="宋体"/>
                <w:color w:val="auto"/>
                <w:szCs w:val="21"/>
              </w:rPr>
            </w:pPr>
          </w:p>
          <w:p w14:paraId="7F3C831B">
            <w:pPr>
              <w:tabs>
                <w:tab w:val="left" w:pos="540"/>
                <w:tab w:val="center" w:pos="3155"/>
              </w:tabs>
              <w:spacing w:line="360" w:lineRule="auto"/>
              <w:jc w:val="center"/>
              <w:rPr>
                <w:rFonts w:hint="eastAsia" w:ascii="宋体" w:hAnsi="宋体" w:eastAsia="宋体" w:cs="宋体"/>
                <w:color w:val="auto"/>
                <w:szCs w:val="21"/>
              </w:rPr>
            </w:pPr>
          </w:p>
          <w:p w14:paraId="40BD001F">
            <w:pPr>
              <w:tabs>
                <w:tab w:val="left" w:pos="540"/>
                <w:tab w:val="center" w:pos="3155"/>
              </w:tabs>
              <w:spacing w:line="360" w:lineRule="auto"/>
              <w:jc w:val="center"/>
              <w:rPr>
                <w:rFonts w:hint="eastAsia" w:ascii="宋体" w:hAnsi="宋体" w:eastAsia="宋体" w:cs="宋体"/>
                <w:color w:val="auto"/>
                <w:szCs w:val="21"/>
              </w:rPr>
            </w:pPr>
          </w:p>
          <w:p w14:paraId="68705EB5">
            <w:pPr>
              <w:tabs>
                <w:tab w:val="left" w:pos="540"/>
                <w:tab w:val="center" w:pos="3155"/>
              </w:tabs>
              <w:spacing w:line="360" w:lineRule="auto"/>
              <w:jc w:val="center"/>
              <w:rPr>
                <w:rFonts w:hint="eastAsia" w:ascii="宋体" w:hAnsi="宋体" w:eastAsia="宋体" w:cs="宋体"/>
                <w:color w:val="auto"/>
                <w:szCs w:val="21"/>
              </w:rPr>
            </w:pPr>
          </w:p>
          <w:p w14:paraId="49BB1079">
            <w:pPr>
              <w:tabs>
                <w:tab w:val="left" w:pos="540"/>
                <w:tab w:val="center" w:pos="3155"/>
              </w:tabs>
              <w:spacing w:line="360" w:lineRule="auto"/>
              <w:jc w:val="center"/>
              <w:rPr>
                <w:rFonts w:hint="eastAsia" w:ascii="宋体" w:hAnsi="宋体" w:eastAsia="宋体" w:cs="宋体"/>
                <w:color w:val="auto"/>
                <w:szCs w:val="21"/>
              </w:rPr>
            </w:pPr>
          </w:p>
          <w:p w14:paraId="2730DFF6">
            <w:pPr>
              <w:tabs>
                <w:tab w:val="left" w:pos="540"/>
                <w:tab w:val="center" w:pos="3155"/>
              </w:tabs>
              <w:spacing w:line="360" w:lineRule="auto"/>
              <w:jc w:val="center"/>
              <w:rPr>
                <w:rFonts w:hint="eastAsia" w:ascii="宋体" w:hAnsi="宋体" w:eastAsia="宋体" w:cs="宋体"/>
                <w:color w:val="auto"/>
                <w:szCs w:val="21"/>
              </w:rPr>
            </w:pPr>
          </w:p>
          <w:p w14:paraId="2B89D341">
            <w:pPr>
              <w:tabs>
                <w:tab w:val="left" w:pos="540"/>
                <w:tab w:val="center" w:pos="3155"/>
              </w:tabs>
              <w:spacing w:line="360" w:lineRule="auto"/>
              <w:jc w:val="center"/>
              <w:rPr>
                <w:rFonts w:hint="eastAsia" w:eastAsia="宋体" w:asciiTheme="minorEastAsia" w:hAnsiTheme="minorEastAsia" w:cstheme="minorEastAsia"/>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r>
      <w:tr w14:paraId="2B89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5F033CC6">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设备预防性</w:t>
            </w:r>
          </w:p>
          <w:p w14:paraId="2B89D344">
            <w:pPr>
              <w:spacing w:line="500" w:lineRule="exact"/>
              <w:jc w:val="center"/>
              <w:rPr>
                <w:rFonts w:hint="eastAsia" w:asciiTheme="minorEastAsia" w:hAnsiTheme="minorEastAsia" w:cstheme="minorEastAsia"/>
                <w:color w:val="auto"/>
                <w:szCs w:val="21"/>
              </w:rPr>
            </w:pPr>
            <w:r>
              <w:rPr>
                <w:rFonts w:hint="eastAsia" w:ascii="宋体" w:hAnsi="宋体" w:eastAsia="宋体" w:cs="宋体"/>
                <w:color w:val="auto"/>
                <w:szCs w:val="21"/>
              </w:rPr>
              <w:t>维护方案</w:t>
            </w:r>
          </w:p>
        </w:tc>
        <w:tc>
          <w:tcPr>
            <w:tcW w:w="6310" w:type="dxa"/>
            <w:tcBorders>
              <w:top w:val="single" w:color="auto" w:sz="4" w:space="0"/>
              <w:left w:val="nil"/>
              <w:bottom w:val="single" w:color="auto" w:sz="4" w:space="0"/>
              <w:right w:val="single" w:color="auto" w:sz="4" w:space="0"/>
            </w:tcBorders>
            <w:vAlign w:val="center"/>
          </w:tcPr>
          <w:p w14:paraId="0B36095C">
            <w:pPr>
              <w:spacing w:line="500" w:lineRule="exact"/>
              <w:jc w:val="left"/>
              <w:rPr>
                <w:rFonts w:hint="eastAsia" w:ascii="宋体" w:hAnsi="宋体" w:eastAsia="宋体" w:cs="宋体"/>
                <w:color w:val="auto"/>
                <w:szCs w:val="21"/>
              </w:rPr>
            </w:pPr>
            <w:bookmarkStart w:id="16" w:name="_GoBack"/>
            <w:r>
              <w:rPr>
                <w:rFonts w:hint="eastAsia" w:ascii="宋体" w:hAnsi="宋体" w:eastAsia="宋体" w:cs="宋体"/>
                <w:color w:val="auto"/>
                <w:szCs w:val="21"/>
              </w:rPr>
              <w:t>投标人提供详细的医疗设备预防性维护方案，包括实施计划、部署方案等，评委根据其内容是否准确理解采购人需求并能够充分满足采购人需求，实施重点难点分析是否得当，实施部署方案是否合理等方面进行。</w:t>
            </w:r>
          </w:p>
          <w:p w14:paraId="4D229A92">
            <w:pPr>
              <w:spacing w:line="500" w:lineRule="exact"/>
              <w:jc w:val="left"/>
              <w:rPr>
                <w:rFonts w:hint="eastAsia" w:ascii="宋体" w:hAnsi="宋体" w:eastAsia="宋体" w:cs="宋体"/>
                <w:color w:val="auto"/>
                <w:szCs w:val="21"/>
              </w:rPr>
            </w:pPr>
            <w:r>
              <w:rPr>
                <w:rFonts w:hint="eastAsia" w:ascii="宋体" w:hAnsi="宋体" w:eastAsia="宋体" w:cs="宋体"/>
                <w:color w:val="auto"/>
                <w:szCs w:val="21"/>
              </w:rPr>
              <w:t>医疗设备预防性维护方案</w:t>
            </w:r>
          </w:p>
          <w:p w14:paraId="05160116">
            <w:pPr>
              <w:spacing w:line="500" w:lineRule="exact"/>
              <w:jc w:val="left"/>
              <w:rPr>
                <w:rFonts w:hint="eastAsia" w:ascii="宋体" w:hAnsi="宋体" w:eastAsia="宋体" w:cs="宋体"/>
                <w:color w:val="auto"/>
                <w:szCs w:val="21"/>
              </w:rPr>
            </w:pPr>
            <w:r>
              <w:rPr>
                <w:rFonts w:hint="eastAsia" w:ascii="宋体" w:hAnsi="宋体" w:eastAsia="宋体" w:cs="宋体"/>
                <w:color w:val="auto"/>
                <w:szCs w:val="21"/>
              </w:rPr>
              <w:t>综合评价，具体分值如下</w:t>
            </w:r>
            <w:r>
              <w:rPr>
                <w:rFonts w:hint="eastAsia" w:ascii="宋体" w:hAnsi="宋体" w:eastAsia="宋体" w:cs="宋体"/>
                <w:color w:val="auto"/>
                <w:szCs w:val="21"/>
                <w:lang w:eastAsia="zh-CN"/>
              </w:rPr>
              <w:t>：</w:t>
            </w:r>
          </w:p>
          <w:p w14:paraId="3EC3CDF7">
            <w:pPr>
              <w:numPr>
                <w:ilvl w:val="0"/>
                <w:numId w:val="15"/>
              </w:numPr>
              <w:spacing w:line="500" w:lineRule="exact"/>
              <w:jc w:val="left"/>
              <w:rPr>
                <w:rFonts w:hint="eastAsia" w:ascii="宋体" w:hAnsi="宋体" w:eastAsia="宋体" w:cs="宋体"/>
                <w:color w:val="auto"/>
                <w:szCs w:val="21"/>
              </w:rPr>
            </w:pPr>
            <w:r>
              <w:rPr>
                <w:rFonts w:hint="eastAsia" w:ascii="宋体" w:hAnsi="宋体" w:eastAsia="宋体" w:cs="宋体"/>
                <w:color w:val="auto"/>
                <w:szCs w:val="21"/>
              </w:rPr>
              <w:t>所提供预防性保养方案合理成熟，能充分满足采购需求，实施重点难点分析非常得当，不同设备的预防性保养周期、内容全面且非常合理，养护、排查过程中记录重点要点的保障措施详细、全面、合理、可行性强，对招标文件的响应程度高且有针对性的得1</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14:paraId="0E9CF4F4">
            <w:pPr>
              <w:numPr>
                <w:ilvl w:val="0"/>
                <w:numId w:val="15"/>
              </w:numPr>
              <w:spacing w:line="500" w:lineRule="exact"/>
              <w:ind w:left="0" w:leftChars="0" w:firstLine="0" w:firstLineChars="0"/>
              <w:jc w:val="left"/>
              <w:rPr>
                <w:rFonts w:hint="eastAsia" w:ascii="宋体" w:hAnsi="宋体" w:eastAsia="宋体" w:cs="宋体"/>
                <w:color w:val="auto"/>
                <w:szCs w:val="21"/>
              </w:rPr>
            </w:pPr>
            <w:r>
              <w:rPr>
                <w:rFonts w:hint="eastAsia" w:ascii="宋体" w:hAnsi="宋体" w:eastAsia="宋体" w:cs="宋体"/>
                <w:color w:val="auto"/>
                <w:szCs w:val="21"/>
              </w:rPr>
              <w:t>所提供预防性保养方案较合理，基本符合采购需求，实施重点难点分析比较得当，不同设备的预防性保养周期、内容全面且比较合理养护、排查过程中记录重点要点的保障措施较详细、较全面、较合理、具备可行性，对招标文件的响应程度较高的得</w:t>
            </w:r>
            <w:r>
              <w:rPr>
                <w:rFonts w:hint="eastAsia" w:ascii="宋体" w:hAnsi="宋体" w:eastAsia="宋体" w:cs="宋体"/>
                <w:color w:val="auto"/>
                <w:szCs w:val="21"/>
                <w:lang w:val="en-US" w:eastAsia="zh-CN"/>
              </w:rPr>
              <w:t>6</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14:paraId="7AB22910">
            <w:pPr>
              <w:numPr>
                <w:ilvl w:val="0"/>
                <w:numId w:val="0"/>
              </w:numPr>
              <w:spacing w:line="500" w:lineRule="exact"/>
              <w:ind w:leftChars="0"/>
              <w:jc w:val="left"/>
              <w:rPr>
                <w:rFonts w:hint="eastAsia" w:asciiTheme="minorEastAsia" w:hAnsiTheme="minorEastAsia" w:cstheme="minorEastAsia"/>
                <w:color w:val="auto"/>
                <w:szCs w:val="21"/>
              </w:rPr>
            </w:pPr>
            <w:r>
              <w:rPr>
                <w:rFonts w:hint="eastAsia" w:ascii="宋体" w:hAnsi="宋体" w:eastAsia="宋体" w:cs="宋体"/>
                <w:color w:val="auto"/>
                <w:szCs w:val="21"/>
              </w:rPr>
              <w:t>3.所提供预防性保养方案一般，采购需求、实施重点难点分析一般，不同设备的预防性保养周期、内容欠全面且合理性一般，养护、排查过程中记录重点要点的保障措施欠详细、欠全面、欠合理、可行性一般，对招标文件的响应程度一般的得</w:t>
            </w:r>
            <w:r>
              <w:rPr>
                <w:rFonts w:hint="eastAsia" w:ascii="宋体" w:hAnsi="宋体" w:eastAsia="宋体" w:cs="宋体"/>
                <w:color w:val="auto"/>
                <w:szCs w:val="21"/>
                <w:lang w:val="en-US" w:eastAsia="zh-CN"/>
              </w:rPr>
              <w:t>4</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14:paraId="2B89D348">
            <w:pPr>
              <w:numPr>
                <w:ilvl w:val="0"/>
                <w:numId w:val="0"/>
              </w:numPr>
              <w:spacing w:line="500" w:lineRule="exact"/>
              <w:ind w:leftChars="0"/>
              <w:jc w:val="left"/>
              <w:rPr>
                <w:rFonts w:hint="eastAsia" w:asciiTheme="minorEastAsia" w:hAnsiTheme="minorEastAsia" w:cstheme="minorEastAsia"/>
                <w:color w:val="auto"/>
                <w:szCs w:val="21"/>
              </w:rPr>
            </w:pPr>
            <w:r>
              <w:rPr>
                <w:rFonts w:hint="eastAsia" w:ascii="宋体" w:hAnsi="宋体" w:eastAsia="宋体" w:cs="宋体"/>
                <w:color w:val="auto"/>
                <w:szCs w:val="21"/>
              </w:rPr>
              <w:t>4.不提供或内容完全不符的不得分。</w:t>
            </w:r>
            <w:bookmarkEnd w:id="16"/>
          </w:p>
        </w:tc>
        <w:tc>
          <w:tcPr>
            <w:tcW w:w="873" w:type="dxa"/>
            <w:tcBorders>
              <w:top w:val="single" w:color="auto" w:sz="4" w:space="0"/>
              <w:left w:val="single" w:color="auto" w:sz="4" w:space="0"/>
              <w:bottom w:val="single" w:color="auto" w:sz="4" w:space="0"/>
              <w:right w:val="single" w:color="auto" w:sz="4" w:space="0"/>
            </w:tcBorders>
            <w:vAlign w:val="center"/>
          </w:tcPr>
          <w:p w14:paraId="2B89D349">
            <w:pPr>
              <w:tabs>
                <w:tab w:val="left" w:pos="540"/>
                <w:tab w:val="center" w:pos="3155"/>
              </w:tabs>
              <w:spacing w:line="360" w:lineRule="auto"/>
              <w:jc w:val="center"/>
              <w:rPr>
                <w:rFonts w:hint="eastAsia" w:asciiTheme="minorEastAsia" w:hAnsiTheme="minorEastAsia" w:cstheme="minorEastAsia"/>
                <w:color w:val="auto"/>
                <w:szCs w:val="21"/>
              </w:rPr>
            </w:pPr>
            <w:r>
              <w:rPr>
                <w:rFonts w:hint="eastAsia" w:ascii="宋体" w:hAnsi="宋体" w:eastAsia="宋体" w:cs="宋体"/>
                <w:color w:val="auto"/>
                <w:szCs w:val="21"/>
              </w:rPr>
              <w:t>10</w:t>
            </w:r>
          </w:p>
        </w:tc>
      </w:tr>
    </w:tbl>
    <w:p w14:paraId="2B89D34B">
      <w:pPr>
        <w:pStyle w:val="10"/>
        <w:spacing w:line="360" w:lineRule="auto"/>
        <w:ind w:firstLine="211" w:firstLineChars="100"/>
        <w:contextualSpacing/>
        <w:rPr>
          <w:rFonts w:hint="eastAsia"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b/>
          <w:color w:val="auto"/>
          <w:sz w:val="21"/>
          <w:szCs w:val="21"/>
          <w:lang w:val="zh-CN"/>
        </w:rPr>
        <w:t>（</w:t>
      </w:r>
      <w:r>
        <w:rPr>
          <w:rFonts w:hint="eastAsia" w:cs="仿宋_GB2312" w:asciiTheme="minorEastAsia" w:hAnsiTheme="minorEastAsia" w:eastAsiaTheme="minorEastAsia"/>
          <w:b/>
          <w:color w:val="auto"/>
          <w:sz w:val="21"/>
          <w:szCs w:val="21"/>
        </w:rPr>
        <w:t>7</w:t>
      </w:r>
      <w:r>
        <w:rPr>
          <w:rFonts w:hint="eastAsia" w:cs="仿宋_GB2312" w:asciiTheme="minorEastAsia" w:hAnsiTheme="minorEastAsia" w:eastAsiaTheme="minorEastAsia"/>
          <w:b/>
          <w:color w:val="auto"/>
          <w:sz w:val="21"/>
          <w:szCs w:val="21"/>
          <w:lang w:val="zh-CN"/>
        </w:rPr>
        <w:t>）</w:t>
      </w:r>
      <w:r>
        <w:rPr>
          <w:rFonts w:cs="仿宋_GB2312" w:asciiTheme="minorEastAsia" w:hAnsiTheme="minorEastAsia" w:eastAsiaTheme="minorEastAsia"/>
          <w:b/>
          <w:color w:val="auto"/>
          <w:sz w:val="21"/>
          <w:szCs w:val="21"/>
          <w:lang w:val="zh-CN"/>
        </w:rPr>
        <w:t>评标结果汇总完成后，除下列情形外，任何人不得修改评标结果：</w:t>
      </w:r>
    </w:p>
    <w:p w14:paraId="2B89D34C">
      <w:pPr>
        <w:tabs>
          <w:tab w:val="left" w:pos="1260"/>
        </w:tabs>
        <w:autoSpaceDE w:val="0"/>
        <w:autoSpaceDN w:val="0"/>
        <w:spacing w:line="360" w:lineRule="auto"/>
        <w:ind w:firstLine="420" w:firstLineChars="200"/>
        <w:contextualSpacing/>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1） </w:t>
      </w:r>
      <w:r>
        <w:rPr>
          <w:rFonts w:cs="仿宋_GB2312" w:asciiTheme="minorEastAsia" w:hAnsiTheme="minorEastAsia"/>
          <w:color w:val="auto"/>
          <w:szCs w:val="21"/>
          <w:lang w:val="zh-CN"/>
        </w:rPr>
        <w:t>分值汇总计算错误的；</w:t>
      </w:r>
    </w:p>
    <w:p w14:paraId="2B89D34D">
      <w:pPr>
        <w:tabs>
          <w:tab w:val="left" w:pos="1260"/>
        </w:tabs>
        <w:autoSpaceDE w:val="0"/>
        <w:autoSpaceDN w:val="0"/>
        <w:spacing w:line="360" w:lineRule="auto"/>
        <w:ind w:firstLine="420" w:firstLineChars="200"/>
        <w:contextualSpacing/>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2） </w:t>
      </w:r>
      <w:r>
        <w:rPr>
          <w:rFonts w:cs="仿宋_GB2312" w:asciiTheme="minorEastAsia" w:hAnsiTheme="minorEastAsia"/>
          <w:color w:val="auto"/>
          <w:szCs w:val="21"/>
          <w:lang w:val="zh-CN"/>
        </w:rPr>
        <w:t>分项评分超出评分标准范围的；</w:t>
      </w:r>
    </w:p>
    <w:p w14:paraId="2B89D34E">
      <w:pPr>
        <w:tabs>
          <w:tab w:val="left" w:pos="1260"/>
        </w:tabs>
        <w:autoSpaceDE w:val="0"/>
        <w:autoSpaceDN w:val="0"/>
        <w:spacing w:line="360" w:lineRule="auto"/>
        <w:ind w:firstLine="420" w:firstLineChars="200"/>
        <w:contextualSpacing/>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3） </w:t>
      </w:r>
      <w:r>
        <w:rPr>
          <w:rFonts w:cs="仿宋_GB2312" w:asciiTheme="minorEastAsia" w:hAnsiTheme="minorEastAsia"/>
          <w:color w:val="auto"/>
          <w:szCs w:val="21"/>
          <w:lang w:val="zh-CN"/>
        </w:rPr>
        <w:t>评标委员会成员对客观评审因素评分不一致的；</w:t>
      </w:r>
    </w:p>
    <w:p w14:paraId="2B89D34F">
      <w:pPr>
        <w:tabs>
          <w:tab w:val="left" w:pos="1260"/>
        </w:tabs>
        <w:autoSpaceDE w:val="0"/>
        <w:autoSpaceDN w:val="0"/>
        <w:spacing w:line="360" w:lineRule="auto"/>
        <w:ind w:firstLine="420" w:firstLineChars="200"/>
        <w:contextualSpacing/>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4） </w:t>
      </w:r>
      <w:r>
        <w:rPr>
          <w:rFonts w:cs="仿宋_GB2312" w:asciiTheme="minorEastAsia" w:hAnsiTheme="minorEastAsia"/>
          <w:color w:val="auto"/>
          <w:szCs w:val="21"/>
          <w:lang w:val="zh-CN"/>
        </w:rPr>
        <w:t>经评标委员会认定评分畸高、畸低的。</w:t>
      </w:r>
    </w:p>
    <w:p w14:paraId="2B89D350">
      <w:pPr>
        <w:tabs>
          <w:tab w:val="left" w:pos="1260"/>
        </w:tabs>
        <w:autoSpaceDE w:val="0"/>
        <w:autoSpaceDN w:val="0"/>
        <w:spacing w:line="360" w:lineRule="auto"/>
        <w:ind w:firstLine="420" w:firstLineChars="200"/>
        <w:contextualSpacing/>
        <w:rPr>
          <w:rFonts w:hint="eastAsia" w:cs="仿宋_GB2312" w:asciiTheme="minorEastAsia" w:hAnsiTheme="minorEastAsia"/>
          <w:color w:val="auto"/>
          <w:szCs w:val="21"/>
          <w:lang w:val="zh-CN"/>
        </w:rPr>
      </w:pPr>
      <w:r>
        <w:rPr>
          <w:rFonts w:cs="仿宋_GB2312" w:asciiTheme="minorEastAsia" w:hAnsiTheme="minorEastAsia"/>
          <w:color w:val="auto"/>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B89D351">
      <w:pPr>
        <w:tabs>
          <w:tab w:val="left" w:pos="1260"/>
        </w:tabs>
        <w:autoSpaceDE w:val="0"/>
        <w:autoSpaceDN w:val="0"/>
        <w:spacing w:line="360" w:lineRule="auto"/>
        <w:ind w:firstLine="420" w:firstLineChars="200"/>
        <w:contextualSpacing/>
        <w:rPr>
          <w:rFonts w:hint="eastAsia" w:cs="仿宋_GB2312" w:asciiTheme="minorEastAsia" w:hAnsiTheme="minorEastAsia"/>
          <w:color w:val="auto"/>
          <w:szCs w:val="21"/>
          <w:lang w:val="zh-CN"/>
        </w:rPr>
      </w:pPr>
      <w:r>
        <w:rPr>
          <w:rFonts w:cs="仿宋_GB2312" w:asciiTheme="minorEastAsia" w:hAnsiTheme="minorEastAsia"/>
          <w:color w:val="auto"/>
          <w:szCs w:val="21"/>
          <w:lang w:val="zh-CN"/>
        </w:rPr>
        <w:t>投标人对本条第一款情形提出质疑的，采购人或者采购代理机构可以组织原评标委员会进行重新评审，重新评审改变评标结果的，应当书面报告本级财政部门。</w:t>
      </w:r>
    </w:p>
    <w:p w14:paraId="2B89D352">
      <w:pPr>
        <w:wordWrap w:val="0"/>
        <w:spacing w:line="360" w:lineRule="auto"/>
        <w:ind w:firstLine="422" w:firstLineChars="200"/>
        <w:contextualSpacing/>
        <w:rPr>
          <w:rFonts w:hint="eastAsia" w:cs="仿宋_GB2312" w:asciiTheme="minorEastAsia" w:hAnsiTheme="minorEastAsia"/>
          <w:b/>
          <w:bCs/>
          <w:color w:val="auto"/>
          <w:szCs w:val="21"/>
          <w:lang w:val="zh-CN"/>
        </w:rPr>
      </w:pPr>
      <w:r>
        <w:rPr>
          <w:rFonts w:hint="eastAsia" w:cs="仿宋_GB2312" w:asciiTheme="minorEastAsia" w:hAnsiTheme="minorEastAsia"/>
          <w:b/>
          <w:bCs/>
          <w:color w:val="auto"/>
          <w:szCs w:val="21"/>
          <w:lang w:val="zh-CN"/>
        </w:rPr>
        <w:t>（</w:t>
      </w:r>
      <w:r>
        <w:rPr>
          <w:rFonts w:hint="eastAsia" w:cs="仿宋_GB2312" w:asciiTheme="minorEastAsia" w:hAnsiTheme="minorEastAsia"/>
          <w:b/>
          <w:bCs/>
          <w:color w:val="auto"/>
          <w:szCs w:val="21"/>
        </w:rPr>
        <w:t>8</w:t>
      </w:r>
      <w:r>
        <w:rPr>
          <w:rFonts w:hint="eastAsia" w:cs="仿宋_GB2312" w:asciiTheme="minorEastAsia" w:hAnsiTheme="minorEastAsia"/>
          <w:b/>
          <w:bCs/>
          <w:color w:val="auto"/>
          <w:szCs w:val="21"/>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2B89D353">
      <w:pPr>
        <w:tabs>
          <w:tab w:val="left" w:pos="1260"/>
        </w:tabs>
        <w:autoSpaceDE w:val="0"/>
        <w:autoSpaceDN w:val="0"/>
        <w:spacing w:line="360" w:lineRule="auto"/>
        <w:ind w:firstLine="422" w:firstLineChars="200"/>
        <w:contextualSpacing/>
        <w:rPr>
          <w:rFonts w:hint="eastAsia" w:cs="仿宋_GB2312" w:asciiTheme="minorEastAsia" w:hAnsiTheme="minorEastAsia"/>
          <w:b/>
          <w:color w:val="auto"/>
          <w:szCs w:val="21"/>
          <w:lang w:val="zh-CN"/>
        </w:rPr>
      </w:pPr>
      <w:r>
        <w:rPr>
          <w:rFonts w:hint="eastAsia" w:cs="仿宋_GB2312" w:asciiTheme="minorEastAsia" w:hAnsiTheme="minorEastAsia"/>
          <w:b/>
          <w:color w:val="auto"/>
          <w:szCs w:val="21"/>
          <w:lang w:val="zh-CN"/>
        </w:rPr>
        <w:t>（</w:t>
      </w:r>
      <w:r>
        <w:rPr>
          <w:rFonts w:hint="eastAsia" w:cs="仿宋_GB2312" w:asciiTheme="minorEastAsia" w:hAnsiTheme="minorEastAsia"/>
          <w:b/>
          <w:color w:val="auto"/>
          <w:szCs w:val="21"/>
        </w:rPr>
        <w:t>9</w:t>
      </w:r>
      <w:r>
        <w:rPr>
          <w:rFonts w:hint="eastAsia" w:cs="仿宋_GB2312" w:asciiTheme="minorEastAsia" w:hAnsiTheme="minorEastAsia"/>
          <w:b/>
          <w:color w:val="auto"/>
          <w:szCs w:val="21"/>
          <w:lang w:val="zh-CN"/>
        </w:rPr>
        <w:t>）</w:t>
      </w:r>
      <w:r>
        <w:rPr>
          <w:rFonts w:cs="仿宋_GB2312" w:asciiTheme="minorEastAsia" w:hAnsiTheme="minorEastAsia"/>
          <w:b/>
          <w:color w:val="auto"/>
          <w:szCs w:val="21"/>
          <w:lang w:val="zh-CN"/>
        </w:rPr>
        <w:t>评标委员会</w:t>
      </w:r>
      <w:r>
        <w:rPr>
          <w:rFonts w:hint="eastAsia" w:cs="仿宋_GB2312" w:asciiTheme="minorEastAsia" w:hAnsiTheme="minorEastAsia"/>
          <w:b/>
          <w:color w:val="auto"/>
          <w:szCs w:val="21"/>
          <w:lang w:val="zh-CN"/>
        </w:rPr>
        <w:t>争议处理</w:t>
      </w:r>
    </w:p>
    <w:p w14:paraId="2B89D354">
      <w:pPr>
        <w:tabs>
          <w:tab w:val="left" w:pos="1260"/>
        </w:tabs>
        <w:autoSpaceDE w:val="0"/>
        <w:autoSpaceDN w:val="0"/>
        <w:spacing w:line="360" w:lineRule="auto"/>
        <w:ind w:firstLine="420" w:firstLineChars="200"/>
        <w:contextualSpacing/>
        <w:rPr>
          <w:rFonts w:hint="eastAsia" w:cs="仿宋_GB2312" w:asciiTheme="minorEastAsia" w:hAnsiTheme="minorEastAsia"/>
          <w:color w:val="auto"/>
          <w:szCs w:val="21"/>
          <w:lang w:val="zh-CN"/>
        </w:rPr>
      </w:pPr>
      <w:r>
        <w:rPr>
          <w:rFonts w:cs="仿宋_GB2312" w:asciiTheme="minorEastAsia" w:hAnsiTheme="minorEastAsia"/>
          <w:color w:val="auto"/>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2B89D355">
      <w:pPr>
        <w:spacing w:line="360" w:lineRule="auto"/>
        <w:ind w:firstLine="420" w:firstLineChars="200"/>
        <w:contextualSpacing/>
        <w:rPr>
          <w:rFonts w:hint="eastAsia" w:cs="仿宋_GB2312" w:asciiTheme="minorEastAsia" w:hAnsiTheme="minorEastAsia"/>
          <w:color w:val="auto"/>
          <w:szCs w:val="21"/>
          <w:lang w:val="zh-CN"/>
        </w:rPr>
      </w:pPr>
      <w:r>
        <w:rPr>
          <w:rFonts w:cs="仿宋_GB2312" w:asciiTheme="minorEastAsia" w:hAnsiTheme="minorEastAsia"/>
          <w:bCs/>
          <w:color w:val="auto"/>
          <w:szCs w:val="21"/>
          <w:lang w:val="zh-CN"/>
        </w:rPr>
        <w:t>确定中标候选人名单，以及根据采购人委托直接确定中标人</w:t>
      </w:r>
      <w:r>
        <w:rPr>
          <w:rFonts w:cs="仿宋_GB2312" w:asciiTheme="minorEastAsia" w:hAnsiTheme="minorEastAsia"/>
          <w:color w:val="auto"/>
          <w:szCs w:val="21"/>
          <w:lang w:val="zh-CN"/>
        </w:rPr>
        <w:t>。</w:t>
      </w:r>
    </w:p>
    <w:p w14:paraId="2B89D356">
      <w:pPr>
        <w:pStyle w:val="19"/>
        <w:rPr>
          <w:color w:val="auto"/>
        </w:rPr>
      </w:pPr>
    </w:p>
    <w:p w14:paraId="2B89D357">
      <w:pPr>
        <w:rPr>
          <w:color w:val="auto"/>
        </w:rPr>
      </w:pPr>
    </w:p>
    <w:p w14:paraId="2B89D358">
      <w:pPr>
        <w:pStyle w:val="2"/>
        <w:rPr>
          <w:color w:val="auto"/>
        </w:rPr>
      </w:pPr>
    </w:p>
    <w:p w14:paraId="2B89D359">
      <w:pPr>
        <w:pStyle w:val="2"/>
        <w:rPr>
          <w:color w:val="auto"/>
        </w:rPr>
      </w:pPr>
    </w:p>
    <w:p w14:paraId="2B89D35A">
      <w:pPr>
        <w:pStyle w:val="2"/>
        <w:rPr>
          <w:color w:val="auto"/>
        </w:rPr>
      </w:pPr>
    </w:p>
    <w:p w14:paraId="2B89D364">
      <w:pPr>
        <w:pStyle w:val="2"/>
        <w:rPr>
          <w:color w:val="auto"/>
        </w:rPr>
      </w:pPr>
    </w:p>
    <w:p w14:paraId="2B89D365">
      <w:pPr>
        <w:numPr>
          <w:ilvl w:val="0"/>
          <w:numId w:val="16"/>
        </w:num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合同条款及格式</w:t>
      </w:r>
    </w:p>
    <w:p w14:paraId="2B89D366">
      <w:pPr>
        <w:spacing w:line="360" w:lineRule="auto"/>
        <w:ind w:firstLine="3990" w:firstLineChars="1900"/>
        <w:rPr>
          <w:rFonts w:hint="eastAsia" w:ascii="宋体" w:hAnsi="宋体" w:eastAsia="宋体" w:cs="宋体"/>
          <w:color w:val="auto"/>
          <w:szCs w:val="21"/>
        </w:rPr>
      </w:pPr>
      <w:r>
        <w:rPr>
          <w:rFonts w:hint="eastAsia" w:ascii="宋体" w:hAnsi="宋体" w:eastAsia="宋体" w:cs="宋体"/>
          <w:color w:val="auto"/>
          <w:szCs w:val="21"/>
        </w:rPr>
        <w:t>本合同口是/口否中小企业预留合同</w:t>
      </w:r>
    </w:p>
    <w:p w14:paraId="2B89D367">
      <w:pPr>
        <w:spacing w:line="400" w:lineRule="exact"/>
        <w:ind w:firstLine="560" w:firstLineChars="200"/>
        <w:jc w:val="right"/>
        <w:rPr>
          <w:rFonts w:hint="eastAsia" w:ascii="黑体" w:hAnsi="黑体" w:eastAsia="黑体" w:cs="仿宋"/>
          <w:color w:val="auto"/>
          <w:sz w:val="28"/>
          <w:szCs w:val="28"/>
          <w:lang w:val="zh-CN"/>
        </w:rPr>
      </w:pPr>
      <w:r>
        <w:rPr>
          <w:rFonts w:hint="eastAsia" w:ascii="黑体" w:hAnsi="黑体" w:eastAsia="黑体" w:cs="仿宋"/>
          <w:color w:val="auto"/>
          <w:sz w:val="28"/>
          <w:szCs w:val="28"/>
          <w:lang w:val="zh-CN"/>
        </w:rPr>
        <w:t>本合同</w:t>
      </w:r>
      <w:r>
        <w:rPr>
          <w:rFonts w:hint="eastAsia" w:ascii="黑体" w:hAnsi="黑体" w:eastAsia="黑体"/>
          <w:color w:val="auto"/>
          <w:szCs w:val="21"/>
        </w:rPr>
        <w:t>□</w:t>
      </w:r>
      <w:r>
        <w:rPr>
          <w:rFonts w:hint="eastAsia" w:ascii="黑体" w:hAnsi="黑体" w:eastAsia="黑体"/>
          <w:color w:val="auto"/>
          <w:sz w:val="28"/>
          <w:szCs w:val="28"/>
        </w:rPr>
        <w:t>是</w:t>
      </w:r>
      <w:r>
        <w:rPr>
          <w:rFonts w:ascii="黑体" w:hAnsi="黑体" w:eastAsia="黑体"/>
          <w:color w:val="auto"/>
          <w:sz w:val="28"/>
          <w:szCs w:val="28"/>
        </w:rPr>
        <w:t>/</w:t>
      </w:r>
      <w:r>
        <w:rPr>
          <w:rFonts w:hint="eastAsia" w:ascii="黑体" w:hAnsi="黑体" w:eastAsia="黑体"/>
          <w:color w:val="auto"/>
          <w:szCs w:val="21"/>
        </w:rPr>
        <w:t>□</w:t>
      </w:r>
      <w:r>
        <w:rPr>
          <w:rFonts w:hint="eastAsia" w:ascii="黑体" w:hAnsi="黑体" w:eastAsia="黑体"/>
          <w:color w:val="auto"/>
          <w:sz w:val="28"/>
          <w:szCs w:val="28"/>
        </w:rPr>
        <w:t>否中小企业预留合同</w:t>
      </w:r>
    </w:p>
    <w:p w14:paraId="2B89D368">
      <w:pPr>
        <w:pStyle w:val="2"/>
        <w:rPr>
          <w:color w:val="auto"/>
        </w:rPr>
      </w:pPr>
    </w:p>
    <w:p w14:paraId="2B89D369">
      <w:pPr>
        <w:jc w:val="center"/>
        <w:rPr>
          <w:color w:val="auto"/>
          <w:kern w:val="0"/>
          <w:sz w:val="40"/>
          <w:szCs w:val="40"/>
        </w:rPr>
      </w:pPr>
      <w:bookmarkStart w:id="7" w:name="bookmark110"/>
      <w:bookmarkStart w:id="8" w:name="bookmark111"/>
      <w:bookmarkStart w:id="9" w:name="bookmark112"/>
      <w:r>
        <w:rPr>
          <w:color w:val="auto"/>
          <w:kern w:val="0"/>
          <w:sz w:val="40"/>
          <w:szCs w:val="40"/>
        </w:rPr>
        <w:t>政府采购货物合同（范本）</w:t>
      </w:r>
      <w:bookmarkEnd w:id="7"/>
      <w:bookmarkEnd w:id="8"/>
      <w:bookmarkEnd w:id="9"/>
    </w:p>
    <w:p w14:paraId="2B89D36A">
      <w:pPr>
        <w:rPr>
          <w:rFonts w:ascii="Calibri" w:hAnsi="Calibri"/>
          <w:color w:val="auto"/>
        </w:rPr>
      </w:pPr>
    </w:p>
    <w:p w14:paraId="2B89D36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合同编号：</w:t>
      </w:r>
      <w:r>
        <w:rPr>
          <w:rFonts w:hint="eastAsia" w:ascii="宋体" w:hAnsi="宋体" w:eastAsia="宋体" w:cs="宋体"/>
          <w:color w:val="auto"/>
          <w:szCs w:val="21"/>
          <w:u w:val="single"/>
          <w:lang w:val="zh-CN"/>
        </w:rPr>
        <w:t xml:space="preserve">                          </w:t>
      </w:r>
    </w:p>
    <w:p w14:paraId="2B89D36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签 订 地：</w:t>
      </w:r>
      <w:r>
        <w:rPr>
          <w:rFonts w:hint="eastAsia" w:ascii="宋体" w:hAnsi="宋体" w:eastAsia="宋体" w:cs="宋体"/>
          <w:color w:val="auto"/>
          <w:szCs w:val="21"/>
          <w:u w:val="single"/>
          <w:lang w:val="zh-CN"/>
        </w:rPr>
        <w:t xml:space="preserve">                          </w:t>
      </w:r>
    </w:p>
    <w:p w14:paraId="2B89D36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甲方（采购人）：</w:t>
      </w:r>
      <w:r>
        <w:rPr>
          <w:rFonts w:hint="eastAsia" w:ascii="宋体" w:hAnsi="宋体" w:eastAsia="宋体" w:cs="宋体"/>
          <w:color w:val="auto"/>
          <w:szCs w:val="21"/>
          <w:u w:val="single"/>
          <w:lang w:val="zh-CN"/>
        </w:rPr>
        <w:t xml:space="preserve">                    </w:t>
      </w:r>
    </w:p>
    <w:p w14:paraId="2B89D36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住所地：</w:t>
      </w:r>
      <w:r>
        <w:rPr>
          <w:rFonts w:hint="eastAsia" w:ascii="宋体" w:hAnsi="宋体" w:eastAsia="宋体" w:cs="宋体"/>
          <w:color w:val="auto"/>
          <w:szCs w:val="21"/>
          <w:u w:val="single"/>
          <w:lang w:val="zh-CN"/>
        </w:rPr>
        <w:t xml:space="preserve">                            </w:t>
      </w:r>
    </w:p>
    <w:p w14:paraId="2B89D36F">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乙方（中标人）：</w:t>
      </w:r>
      <w:r>
        <w:rPr>
          <w:rFonts w:hint="eastAsia" w:ascii="宋体" w:hAnsi="宋体" w:eastAsia="宋体" w:cs="宋体"/>
          <w:color w:val="auto"/>
          <w:szCs w:val="21"/>
          <w:u w:val="single"/>
          <w:lang w:val="zh-CN"/>
        </w:rPr>
        <w:t xml:space="preserve">                    </w:t>
      </w:r>
    </w:p>
    <w:p w14:paraId="2B89D37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住 所 地：</w:t>
      </w:r>
      <w:r>
        <w:rPr>
          <w:rFonts w:hint="eastAsia" w:ascii="宋体" w:hAnsi="宋体" w:eastAsia="宋体" w:cs="宋体"/>
          <w:color w:val="auto"/>
          <w:szCs w:val="21"/>
          <w:u w:val="single"/>
          <w:lang w:val="zh-CN"/>
        </w:rPr>
        <w:t xml:space="preserve">                          </w:t>
      </w:r>
    </w:p>
    <w:p w14:paraId="2B89D37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乙方于</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年</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月</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日参加了</w:t>
      </w:r>
      <w:r>
        <w:rPr>
          <w:rFonts w:hint="eastAsia" w:ascii="宋体" w:hAnsi="宋体" w:eastAsia="宋体" w:cs="宋体"/>
          <w:color w:val="auto"/>
          <w:szCs w:val="21"/>
          <w:u w:val="single"/>
          <w:lang w:val="zh-CN"/>
        </w:rPr>
        <w:t>（采购代理机构）</w:t>
      </w:r>
      <w:r>
        <w:rPr>
          <w:rFonts w:hint="eastAsia" w:ascii="宋体" w:hAnsi="宋体" w:eastAsia="宋体" w:cs="宋体"/>
          <w:color w:val="auto"/>
          <w:szCs w:val="21"/>
          <w:lang w:val="zh-CN"/>
        </w:rPr>
        <w:t>组织的“</w:t>
      </w:r>
      <w:r>
        <w:rPr>
          <w:rFonts w:hint="eastAsia" w:ascii="宋体" w:hAnsi="宋体" w:eastAsia="宋体" w:cs="宋体"/>
          <w:color w:val="auto"/>
          <w:szCs w:val="21"/>
          <w:u w:val="single"/>
          <w:lang w:val="zh-CN"/>
        </w:rPr>
        <w:t>（项目名称及项目编号）</w:t>
      </w:r>
      <w:r>
        <w:rPr>
          <w:rFonts w:hint="eastAsia" w:ascii="宋体" w:hAnsi="宋体" w:eastAsia="宋体" w:cs="宋体"/>
          <w:color w:val="auto"/>
          <w:szCs w:val="21"/>
          <w:lang w:val="zh-CN"/>
        </w:rPr>
        <w:t>”政府采购活动，经评标委员会评审确定乙方为</w:t>
      </w:r>
      <w:r>
        <w:rPr>
          <w:rFonts w:hint="eastAsia" w:ascii="宋体" w:hAnsi="宋体" w:eastAsia="宋体" w:cs="宋体"/>
          <w:color w:val="auto"/>
          <w:szCs w:val="21"/>
          <w:u w:val="single"/>
          <w:lang w:val="zh-CN"/>
        </w:rPr>
        <w:t>（包及包名称）</w:t>
      </w:r>
      <w:r>
        <w:rPr>
          <w:rFonts w:hint="eastAsia" w:ascii="宋体" w:hAnsi="宋体" w:eastAsia="宋体" w:cs="宋体"/>
          <w:color w:val="auto"/>
          <w:szCs w:val="21"/>
          <w:lang w:val="zh-CN"/>
        </w:rPr>
        <w:t>中标人，按照《中华人民共和国民法典》《中华人民共和国政府采购法》和相关的法律法规规定，以及招标文件规定，经甲乙双方协商一致，签订本政府采购合同。</w:t>
      </w:r>
    </w:p>
    <w:p w14:paraId="2B89D37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第一条货物条款</w:t>
      </w:r>
    </w:p>
    <w:p w14:paraId="2B89D37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乙方向甲方提供以下货物</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2B89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6" w:type="dxa"/>
            <w:noWrap/>
            <w:vAlign w:val="center"/>
          </w:tcPr>
          <w:p w14:paraId="2B89D374">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货物名称</w:t>
            </w:r>
          </w:p>
        </w:tc>
        <w:tc>
          <w:tcPr>
            <w:tcW w:w="5013" w:type="dxa"/>
            <w:noWrap/>
            <w:vAlign w:val="center"/>
          </w:tcPr>
          <w:p w14:paraId="2B89D375">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品牌、规格型号（技术参数）</w:t>
            </w:r>
          </w:p>
        </w:tc>
        <w:tc>
          <w:tcPr>
            <w:tcW w:w="884" w:type="dxa"/>
            <w:noWrap/>
            <w:vAlign w:val="center"/>
          </w:tcPr>
          <w:p w14:paraId="2B89D376">
            <w:pPr>
              <w:spacing w:line="440" w:lineRule="exact"/>
              <w:ind w:firstLine="105"/>
              <w:rPr>
                <w:rFonts w:hint="eastAsia" w:ascii="宋体" w:hAnsi="宋体" w:eastAsia="宋体" w:cs="宋体"/>
                <w:color w:val="auto"/>
                <w:szCs w:val="21"/>
                <w:lang w:val="zh-CN"/>
              </w:rPr>
            </w:pPr>
            <w:r>
              <w:rPr>
                <w:rFonts w:hint="eastAsia" w:ascii="宋体" w:hAnsi="宋体" w:eastAsia="宋体" w:cs="宋体"/>
                <w:color w:val="auto"/>
                <w:szCs w:val="21"/>
                <w:lang w:val="zh-CN"/>
              </w:rPr>
              <w:t>单价</w:t>
            </w:r>
          </w:p>
        </w:tc>
        <w:tc>
          <w:tcPr>
            <w:tcW w:w="884" w:type="dxa"/>
            <w:noWrap/>
            <w:vAlign w:val="center"/>
          </w:tcPr>
          <w:p w14:paraId="2B89D377">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数量</w:t>
            </w:r>
          </w:p>
        </w:tc>
        <w:tc>
          <w:tcPr>
            <w:tcW w:w="1179" w:type="dxa"/>
            <w:noWrap/>
            <w:vAlign w:val="center"/>
          </w:tcPr>
          <w:p w14:paraId="2B89D378">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小计</w:t>
            </w:r>
          </w:p>
        </w:tc>
      </w:tr>
      <w:tr w14:paraId="2B89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6" w:type="dxa"/>
            <w:noWrap/>
            <w:vAlign w:val="center"/>
          </w:tcPr>
          <w:p w14:paraId="2B89D37A">
            <w:pPr>
              <w:spacing w:line="440" w:lineRule="exact"/>
              <w:jc w:val="center"/>
              <w:rPr>
                <w:rFonts w:hint="eastAsia" w:ascii="宋体" w:hAnsi="宋体" w:eastAsia="宋体" w:cs="宋体"/>
                <w:color w:val="auto"/>
                <w:szCs w:val="21"/>
                <w:lang w:val="zh-CN"/>
              </w:rPr>
            </w:pPr>
          </w:p>
        </w:tc>
        <w:tc>
          <w:tcPr>
            <w:tcW w:w="5013" w:type="dxa"/>
            <w:noWrap/>
            <w:vAlign w:val="center"/>
          </w:tcPr>
          <w:p w14:paraId="2B89D37B">
            <w:pPr>
              <w:spacing w:line="440" w:lineRule="exact"/>
              <w:jc w:val="center"/>
              <w:rPr>
                <w:rFonts w:hint="eastAsia" w:ascii="宋体" w:hAnsi="宋体" w:eastAsia="宋体" w:cs="宋体"/>
                <w:color w:val="auto"/>
                <w:szCs w:val="21"/>
                <w:lang w:val="zh-CN"/>
              </w:rPr>
            </w:pPr>
          </w:p>
        </w:tc>
        <w:tc>
          <w:tcPr>
            <w:tcW w:w="884" w:type="dxa"/>
            <w:noWrap/>
            <w:vAlign w:val="center"/>
          </w:tcPr>
          <w:p w14:paraId="2B89D37C">
            <w:pPr>
              <w:spacing w:line="440" w:lineRule="exact"/>
              <w:jc w:val="center"/>
              <w:rPr>
                <w:rFonts w:hint="eastAsia" w:ascii="宋体" w:hAnsi="宋体" w:eastAsia="宋体" w:cs="宋体"/>
                <w:color w:val="auto"/>
                <w:szCs w:val="21"/>
                <w:lang w:val="zh-CN"/>
              </w:rPr>
            </w:pPr>
          </w:p>
        </w:tc>
        <w:tc>
          <w:tcPr>
            <w:tcW w:w="884" w:type="dxa"/>
            <w:noWrap/>
            <w:vAlign w:val="center"/>
          </w:tcPr>
          <w:p w14:paraId="2B89D37D">
            <w:pPr>
              <w:spacing w:line="440" w:lineRule="exact"/>
              <w:jc w:val="center"/>
              <w:rPr>
                <w:rFonts w:hint="eastAsia" w:ascii="宋体" w:hAnsi="宋体" w:eastAsia="宋体" w:cs="宋体"/>
                <w:color w:val="auto"/>
                <w:szCs w:val="21"/>
                <w:lang w:val="zh-CN"/>
              </w:rPr>
            </w:pPr>
          </w:p>
        </w:tc>
        <w:tc>
          <w:tcPr>
            <w:tcW w:w="1179" w:type="dxa"/>
            <w:noWrap/>
            <w:vAlign w:val="center"/>
          </w:tcPr>
          <w:p w14:paraId="2B89D37E">
            <w:pPr>
              <w:spacing w:line="440" w:lineRule="exact"/>
              <w:jc w:val="center"/>
              <w:rPr>
                <w:rFonts w:hint="eastAsia" w:ascii="宋体" w:hAnsi="宋体" w:eastAsia="宋体" w:cs="宋体"/>
                <w:color w:val="auto"/>
                <w:szCs w:val="21"/>
                <w:lang w:val="zh-CN"/>
              </w:rPr>
            </w:pPr>
          </w:p>
        </w:tc>
      </w:tr>
      <w:tr w14:paraId="2B89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6" w:type="dxa"/>
            <w:noWrap/>
            <w:vAlign w:val="center"/>
          </w:tcPr>
          <w:p w14:paraId="2B89D380">
            <w:pPr>
              <w:spacing w:line="440" w:lineRule="exact"/>
              <w:jc w:val="center"/>
              <w:rPr>
                <w:rFonts w:hint="eastAsia" w:ascii="宋体" w:hAnsi="宋体" w:eastAsia="宋体" w:cs="宋体"/>
                <w:color w:val="auto"/>
                <w:szCs w:val="21"/>
                <w:lang w:val="zh-CN"/>
              </w:rPr>
            </w:pPr>
          </w:p>
        </w:tc>
        <w:tc>
          <w:tcPr>
            <w:tcW w:w="5013" w:type="dxa"/>
            <w:noWrap/>
            <w:vAlign w:val="center"/>
          </w:tcPr>
          <w:p w14:paraId="2B89D381">
            <w:pPr>
              <w:spacing w:line="440" w:lineRule="exact"/>
              <w:jc w:val="center"/>
              <w:rPr>
                <w:rFonts w:hint="eastAsia" w:ascii="宋体" w:hAnsi="宋体" w:eastAsia="宋体" w:cs="宋体"/>
                <w:color w:val="auto"/>
                <w:szCs w:val="21"/>
                <w:lang w:val="zh-CN"/>
              </w:rPr>
            </w:pPr>
          </w:p>
        </w:tc>
        <w:tc>
          <w:tcPr>
            <w:tcW w:w="884" w:type="dxa"/>
            <w:noWrap/>
            <w:vAlign w:val="center"/>
          </w:tcPr>
          <w:p w14:paraId="2B89D382">
            <w:pPr>
              <w:spacing w:line="440" w:lineRule="exact"/>
              <w:jc w:val="center"/>
              <w:rPr>
                <w:rFonts w:hint="eastAsia" w:ascii="宋体" w:hAnsi="宋体" w:eastAsia="宋体" w:cs="宋体"/>
                <w:color w:val="auto"/>
                <w:szCs w:val="21"/>
                <w:lang w:val="zh-CN"/>
              </w:rPr>
            </w:pPr>
          </w:p>
        </w:tc>
        <w:tc>
          <w:tcPr>
            <w:tcW w:w="884" w:type="dxa"/>
            <w:noWrap/>
            <w:vAlign w:val="center"/>
          </w:tcPr>
          <w:p w14:paraId="2B89D383">
            <w:pPr>
              <w:spacing w:line="440" w:lineRule="exact"/>
              <w:jc w:val="center"/>
              <w:rPr>
                <w:rFonts w:hint="eastAsia" w:ascii="宋体" w:hAnsi="宋体" w:eastAsia="宋体" w:cs="宋体"/>
                <w:color w:val="auto"/>
                <w:szCs w:val="21"/>
                <w:lang w:val="zh-CN"/>
              </w:rPr>
            </w:pPr>
          </w:p>
        </w:tc>
        <w:tc>
          <w:tcPr>
            <w:tcW w:w="1179" w:type="dxa"/>
            <w:noWrap/>
            <w:vAlign w:val="center"/>
          </w:tcPr>
          <w:p w14:paraId="2B89D384">
            <w:pPr>
              <w:spacing w:line="440" w:lineRule="exact"/>
              <w:jc w:val="center"/>
              <w:rPr>
                <w:rFonts w:hint="eastAsia" w:ascii="宋体" w:hAnsi="宋体" w:eastAsia="宋体" w:cs="宋体"/>
                <w:color w:val="auto"/>
                <w:szCs w:val="21"/>
                <w:lang w:val="zh-CN"/>
              </w:rPr>
            </w:pPr>
          </w:p>
        </w:tc>
      </w:tr>
      <w:tr w14:paraId="2B89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6" w:type="dxa"/>
            <w:noWrap/>
            <w:vAlign w:val="center"/>
          </w:tcPr>
          <w:p w14:paraId="2B89D386">
            <w:pPr>
              <w:spacing w:line="440" w:lineRule="exact"/>
              <w:jc w:val="center"/>
              <w:rPr>
                <w:rFonts w:hint="eastAsia" w:ascii="宋体" w:hAnsi="宋体" w:eastAsia="宋体" w:cs="宋体"/>
                <w:color w:val="auto"/>
                <w:szCs w:val="21"/>
                <w:lang w:val="zh-CN"/>
              </w:rPr>
            </w:pPr>
          </w:p>
        </w:tc>
        <w:tc>
          <w:tcPr>
            <w:tcW w:w="5013" w:type="dxa"/>
            <w:noWrap/>
            <w:vAlign w:val="center"/>
          </w:tcPr>
          <w:p w14:paraId="2B89D387">
            <w:pPr>
              <w:spacing w:line="440" w:lineRule="exact"/>
              <w:jc w:val="center"/>
              <w:rPr>
                <w:rFonts w:hint="eastAsia" w:ascii="宋体" w:hAnsi="宋体" w:eastAsia="宋体" w:cs="宋体"/>
                <w:color w:val="auto"/>
                <w:szCs w:val="21"/>
                <w:lang w:val="zh-CN"/>
              </w:rPr>
            </w:pPr>
          </w:p>
        </w:tc>
        <w:tc>
          <w:tcPr>
            <w:tcW w:w="884" w:type="dxa"/>
            <w:noWrap/>
            <w:vAlign w:val="center"/>
          </w:tcPr>
          <w:p w14:paraId="2B89D388">
            <w:pPr>
              <w:spacing w:line="440" w:lineRule="exact"/>
              <w:jc w:val="center"/>
              <w:rPr>
                <w:rFonts w:hint="eastAsia" w:ascii="宋体" w:hAnsi="宋体" w:eastAsia="宋体" w:cs="宋体"/>
                <w:color w:val="auto"/>
                <w:szCs w:val="21"/>
                <w:lang w:val="zh-CN"/>
              </w:rPr>
            </w:pPr>
          </w:p>
        </w:tc>
        <w:tc>
          <w:tcPr>
            <w:tcW w:w="884" w:type="dxa"/>
            <w:noWrap/>
            <w:vAlign w:val="center"/>
          </w:tcPr>
          <w:p w14:paraId="2B89D389">
            <w:pPr>
              <w:spacing w:line="440" w:lineRule="exact"/>
              <w:jc w:val="center"/>
              <w:rPr>
                <w:rFonts w:hint="eastAsia" w:ascii="宋体" w:hAnsi="宋体" w:eastAsia="宋体" w:cs="宋体"/>
                <w:color w:val="auto"/>
                <w:szCs w:val="21"/>
                <w:lang w:val="zh-CN"/>
              </w:rPr>
            </w:pPr>
          </w:p>
        </w:tc>
        <w:tc>
          <w:tcPr>
            <w:tcW w:w="1179" w:type="dxa"/>
            <w:noWrap/>
            <w:vAlign w:val="center"/>
          </w:tcPr>
          <w:p w14:paraId="2B89D38A">
            <w:pPr>
              <w:spacing w:line="440" w:lineRule="exact"/>
              <w:jc w:val="center"/>
              <w:rPr>
                <w:rFonts w:hint="eastAsia" w:ascii="宋体" w:hAnsi="宋体" w:eastAsia="宋体" w:cs="宋体"/>
                <w:color w:val="auto"/>
                <w:szCs w:val="21"/>
                <w:lang w:val="zh-CN"/>
              </w:rPr>
            </w:pPr>
          </w:p>
        </w:tc>
      </w:tr>
      <w:tr w14:paraId="2B89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9" w:type="dxa"/>
            <w:gridSpan w:val="2"/>
            <w:noWrap/>
            <w:vAlign w:val="center"/>
          </w:tcPr>
          <w:p w14:paraId="2B89D38C">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合计</w:t>
            </w:r>
          </w:p>
        </w:tc>
        <w:tc>
          <w:tcPr>
            <w:tcW w:w="2947" w:type="dxa"/>
            <w:gridSpan w:val="3"/>
            <w:noWrap/>
            <w:vAlign w:val="center"/>
          </w:tcPr>
          <w:p w14:paraId="2B89D38D">
            <w:pPr>
              <w:spacing w:line="440" w:lineRule="exact"/>
              <w:jc w:val="center"/>
              <w:rPr>
                <w:rFonts w:hint="eastAsia" w:ascii="宋体" w:hAnsi="宋体" w:eastAsia="宋体" w:cs="宋体"/>
                <w:color w:val="auto"/>
                <w:szCs w:val="21"/>
                <w:lang w:val="zh-CN"/>
              </w:rPr>
            </w:pPr>
          </w:p>
        </w:tc>
      </w:tr>
    </w:tbl>
    <w:p w14:paraId="2B89D38F">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注：如上述表格不适用相关货物的，具体品牌、数量、规格型号（技术参数）及质保期等可用附件形式列明，作为本合同组成部分。……</w:t>
      </w:r>
    </w:p>
    <w:p w14:paraId="2B89D39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第二条合同总金额</w:t>
      </w:r>
    </w:p>
    <w:p w14:paraId="2B89D391">
      <w:pPr>
        <w:spacing w:line="400" w:lineRule="exact"/>
        <w:ind w:firstLine="420" w:firstLineChars="200"/>
        <w:rPr>
          <w:rFonts w:hint="eastAsia" w:ascii="宋体" w:hAnsi="宋体" w:eastAsia="宋体" w:cs="宋体"/>
          <w:color w:val="auto"/>
          <w:szCs w:val="21"/>
          <w:u w:val="single"/>
          <w:lang w:val="zh-CN"/>
        </w:rPr>
      </w:pPr>
      <w:r>
        <w:rPr>
          <w:rFonts w:hint="eastAsia" w:ascii="宋体" w:hAnsi="宋体" w:eastAsia="宋体" w:cs="宋体"/>
          <w:color w:val="auto"/>
          <w:szCs w:val="21"/>
          <w:lang w:val="zh-CN"/>
        </w:rPr>
        <w:t>合同总金额为人民币（大写）：</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w:t>
      </w:r>
    </w:p>
    <w:p w14:paraId="2B89D39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14:paraId="2B89D39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第三条质量要求及技术标准</w:t>
      </w:r>
    </w:p>
    <w:p w14:paraId="2B89D39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1.货物原产地：</w:t>
      </w:r>
    </w:p>
    <w:p w14:paraId="2B89D39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2.货物的质量要求：……</w:t>
      </w:r>
    </w:p>
    <w:p w14:paraId="2B89D396">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3.货物的技术标准：……</w:t>
      </w:r>
    </w:p>
    <w:p w14:paraId="2B89D39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第四条交货</w:t>
      </w:r>
    </w:p>
    <w:p w14:paraId="2B89D39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1.交货日期：</w:t>
      </w:r>
    </w:p>
    <w:p w14:paraId="2B89D399">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2.交货地点：……</w:t>
      </w:r>
    </w:p>
    <w:p w14:paraId="2B89D39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第五条包装、装运及运输</w:t>
      </w:r>
    </w:p>
    <w:p w14:paraId="2B89D39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1.乙方负责包装、装运和运输，由于不适当的包装、装运和运输造成货物有任何损坏均由乙方负责。</w:t>
      </w:r>
    </w:p>
    <w:p w14:paraId="2B89D39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2.包装费、运费及相关费用已包含在合同总金额内。</w:t>
      </w:r>
    </w:p>
    <w:p w14:paraId="2B89D39D">
      <w:pPr>
        <w:autoSpaceDE w:val="0"/>
        <w:autoSpaceDN w:val="0"/>
        <w:adjustRightInd w:val="0"/>
        <w:spacing w:line="400" w:lineRule="exact"/>
        <w:ind w:firstLine="482"/>
        <w:rPr>
          <w:rFonts w:hint="eastAsia" w:ascii="宋体" w:hAnsi="宋体" w:eastAsia="宋体" w:cs="宋体"/>
          <w:color w:val="auto"/>
          <w:szCs w:val="21"/>
        </w:rPr>
      </w:pPr>
      <w:r>
        <w:rPr>
          <w:rFonts w:hint="eastAsia" w:ascii="宋体" w:hAnsi="宋体" w:eastAsia="宋体" w:cs="宋体"/>
          <w:color w:val="auto"/>
          <w:szCs w:val="21"/>
          <w:lang w:val="zh-CN"/>
        </w:rPr>
        <w:t>3.</w:t>
      </w:r>
      <w:r>
        <w:rPr>
          <w:rFonts w:hint="eastAsia" w:ascii="宋体" w:hAnsi="宋体" w:eastAsia="宋体" w:cs="宋体"/>
          <w:color w:val="auto"/>
          <w:szCs w:val="21"/>
        </w:rPr>
        <w:t>根据财政部等三部门《关于印发〈商品包装政府采购需求标准（试行）〉〈快递包装政府采购需求标准（试行）〉的通知</w:t>
      </w:r>
      <w:r>
        <w:rPr>
          <w:rFonts w:hint="eastAsia" w:ascii="宋体" w:hAnsi="宋体" w:eastAsia="宋体" w:cs="宋体"/>
          <w:color w:val="auto"/>
          <w:szCs w:val="21"/>
          <w:lang w:eastAsia="zh-CN"/>
        </w:rPr>
        <w:t>》的</w:t>
      </w:r>
      <w:r>
        <w:rPr>
          <w:rFonts w:hint="eastAsia" w:ascii="宋体" w:hAnsi="宋体" w:eastAsia="宋体" w:cs="宋体"/>
          <w:color w:val="auto"/>
          <w:szCs w:val="21"/>
        </w:rPr>
        <w:t>规定，对乙方提出的具体包装要求：</w:t>
      </w:r>
    </w:p>
    <w:p w14:paraId="2B89D39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第六条货款支付</w:t>
      </w:r>
    </w:p>
    <w:p w14:paraId="2B89D39F">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1.货物运到交货地点，经甲乙双方共同验收合格后由甲方负责办理货款支付手续。</w:t>
      </w:r>
    </w:p>
    <w:p w14:paraId="2B89D3A0">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2.允许并鼓励乙方提供电子发票，甲方自收到发票之日起2个工作日内支付资金，并不得附加未经约定的其他条件。</w:t>
      </w:r>
    </w:p>
    <w:p w14:paraId="2B89D3A1">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3.付款方式</w:t>
      </w:r>
    </w:p>
    <w:p w14:paraId="2B89D3A2">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3.1预付款比例：</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％，于政府采购合同签订生效并具备实施条件后2个工作日内支付。</w:t>
      </w:r>
    </w:p>
    <w:p w14:paraId="2B89D3A3">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第七条履约保证金</w:t>
      </w:r>
    </w:p>
    <w:p w14:paraId="2B89D3A4">
      <w:pPr>
        <w:autoSpaceDE w:val="0"/>
        <w:autoSpaceDN w:val="0"/>
        <w:adjustRightInd w:val="0"/>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根据许昌市优化政府采购营商环境要求，项目不收取履约保证金。</w:t>
      </w:r>
    </w:p>
    <w:p w14:paraId="2B89D3A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第八条售后服务及承诺</w:t>
      </w:r>
    </w:p>
    <w:p w14:paraId="2B89D3A6">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1.乙方有完善的服务体系，有能力提供持续的、本地化售后服务。</w:t>
      </w:r>
    </w:p>
    <w:p w14:paraId="2B89D3A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2B89D3A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3.供货及服务范围：乙方负责货物的供应、运输、安装调试、免费培训、售后服务。</w:t>
      </w:r>
    </w:p>
    <w:p w14:paraId="2B89D3A9">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第九条</w:t>
      </w:r>
      <w:r>
        <w:rPr>
          <w:rFonts w:hint="eastAsia" w:ascii="宋体" w:hAnsi="宋体" w:eastAsia="宋体" w:cs="宋体"/>
          <w:color w:val="auto"/>
          <w:kern w:val="1"/>
          <w:szCs w:val="21"/>
        </w:rPr>
        <w:t>验收</w:t>
      </w:r>
    </w:p>
    <w:p w14:paraId="2B89D3A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1.货物运抵现场后，采购人将对货物数量、质量、规格等进行检验。如发现货物和规格或者两者都与合同不符，采购人有权根据检验结果要求中标人立即更换或者提出索赔要求。</w:t>
      </w:r>
    </w:p>
    <w:p w14:paraId="2B89D3A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2.开箱检查设备外观，如有损伤或质量缺陷，乙方应及时更换。</w:t>
      </w:r>
    </w:p>
    <w:p w14:paraId="2B89D3A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3.依据合同设备清单，对设备品牌、规格型号（技术参数）、数量、质保书等必备附件进行检查。</w:t>
      </w:r>
    </w:p>
    <w:p w14:paraId="2B89D3A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4.货物由中标人进行安装，完毕后，采购人应对货物的数量、质量、规格、性能等进行详细而全面检验。在收到乙方项目验收建议之日起7个工作日内，对采购项目进行实质性验收（验收建议有明显不当的除外）。</w:t>
      </w:r>
    </w:p>
    <w:p w14:paraId="2B89D3A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2B89D3AF">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6.根据财</w:t>
      </w:r>
      <w:r>
        <w:rPr>
          <w:rFonts w:hint="eastAsia" w:ascii="宋体" w:hAnsi="宋体" w:eastAsia="宋体" w:cs="宋体"/>
          <w:color w:val="auto"/>
          <w:szCs w:val="21"/>
        </w:rPr>
        <w:t>政部等三部门《关于印发〈商品包装政府采购需求标准（试行）〉〈快递包装政府采购需求标准（试行）〉的通知</w:t>
      </w:r>
      <w:r>
        <w:rPr>
          <w:rFonts w:hint="eastAsia" w:ascii="宋体" w:hAnsi="宋体" w:eastAsia="宋体" w:cs="宋体"/>
          <w:color w:val="auto"/>
          <w:szCs w:val="21"/>
          <w:lang w:eastAsia="zh-CN"/>
        </w:rPr>
        <w:t>》的</w:t>
      </w:r>
      <w:r>
        <w:rPr>
          <w:rFonts w:hint="eastAsia" w:ascii="宋体" w:hAnsi="宋体" w:eastAsia="宋体" w:cs="宋体"/>
          <w:color w:val="auto"/>
          <w:szCs w:val="21"/>
        </w:rPr>
        <w:t>规定，</w:t>
      </w:r>
      <w:r>
        <w:rPr>
          <w:rFonts w:hint="eastAsia" w:ascii="宋体" w:hAnsi="宋体" w:eastAsia="宋体" w:cs="宋体"/>
          <w:color w:val="auto"/>
          <w:szCs w:val="21"/>
          <w:lang w:val="zh-CN"/>
        </w:rPr>
        <w:t>采购文件对商品包装和快递包装提出具体要求的，</w:t>
      </w:r>
      <w:r>
        <w:rPr>
          <w:rFonts w:hint="eastAsia" w:ascii="宋体" w:hAnsi="宋体" w:eastAsia="宋体" w:cs="宋体"/>
          <w:color w:val="auto"/>
          <w:szCs w:val="21"/>
        </w:rPr>
        <w:t>对乙方所提供包装的履约验收要求（必要时要求乙方在履约验收环节出具检测报告）：</w:t>
      </w:r>
      <w:r>
        <w:rPr>
          <w:rFonts w:hint="eastAsia" w:ascii="宋体" w:hAnsi="宋体" w:eastAsia="宋体" w:cs="宋体"/>
          <w:color w:val="auto"/>
          <w:szCs w:val="21"/>
          <w:u w:val="single"/>
          <w:lang w:val="zh-CN"/>
        </w:rPr>
        <w:t xml:space="preserve">                        </w:t>
      </w:r>
    </w:p>
    <w:p w14:paraId="2B89D3B0">
      <w:pPr>
        <w:numPr>
          <w:ilvl w:val="0"/>
          <w:numId w:val="17"/>
        </w:numPr>
        <w:spacing w:line="40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权利瑕疵担当</w:t>
      </w:r>
    </w:p>
    <w:p w14:paraId="2B89D3B1">
      <w:pPr>
        <w:numPr>
          <w:ilvl w:val="0"/>
          <w:numId w:val="18"/>
        </w:numPr>
        <w:spacing w:line="40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乙方保证对其出售的标的物享有合法的权利；</w:t>
      </w:r>
    </w:p>
    <w:p w14:paraId="2B89D3B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2.乙方应保证在其出售的标的物上不存在任何未曾向甲方透露的担保物权，如抵押权、质押权、留置权等；</w:t>
      </w:r>
    </w:p>
    <w:p w14:paraId="2B89D3B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3.乙方应保证其所出售的标的物没有侵害任何第三人的知识产权和商业秘密等权利；</w:t>
      </w:r>
    </w:p>
    <w:p w14:paraId="2B89D3B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4.如甲方使用该标的物构成上述侵权的，则由乙方承担全部责任。</w:t>
      </w:r>
    </w:p>
    <w:p w14:paraId="2B89D3B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第十一条知识产权</w:t>
      </w:r>
    </w:p>
    <w:p w14:paraId="2B89D3B6">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2B89D3B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2.乙方为执行本合同而提供的技术资料或者其他相关资料、软件等由甲方永久免费使用。</w:t>
      </w:r>
    </w:p>
    <w:p w14:paraId="2B89D3B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第十二条甲方责任</w:t>
      </w:r>
    </w:p>
    <w:p w14:paraId="2B89D3B9">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1.及时办理付款手续。</w:t>
      </w:r>
    </w:p>
    <w:p w14:paraId="2B89D3B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2.负责提供工作场地，协助乙方办理有关事宜。</w:t>
      </w:r>
    </w:p>
    <w:p w14:paraId="2B89D3B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3.对合同条款及所知悉的乙方商业秘密负有保密义务。</w:t>
      </w:r>
    </w:p>
    <w:p w14:paraId="2B89D3B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第十三条乙方责任</w:t>
      </w:r>
    </w:p>
    <w:p w14:paraId="2B89D3B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1.保证所供货物均为投标文件承诺的货物，符合相关质量检测标准，具有该产品的出厂标准或国家鉴定证书，保证其全部部件为全新的未使用的且符合相关质量要求。</w:t>
      </w:r>
    </w:p>
    <w:p w14:paraId="2B89D3B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2.保证货物的售后服务，严格依据投标文件及相关承诺，对货物及系统进行保修、维护等服务。</w:t>
      </w:r>
    </w:p>
    <w:p w14:paraId="2B89D3BF">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3.保证其所供货物不存在侵犯第三方知识产权的行为，否则由此产生的损失由乙方承担。</w:t>
      </w:r>
    </w:p>
    <w:p w14:paraId="2B89D3C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第十四条违约责任</w:t>
      </w:r>
    </w:p>
    <w:p w14:paraId="2B89D3C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1.甲乙双方任意一方无故终止合同的，违约方应当按照合同总金额的%向守约方支付违约金。</w:t>
      </w:r>
    </w:p>
    <w:p w14:paraId="2B89D3C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2.乙方逾期交付货物时，每逾</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日乙方向甲方支付合同总金额</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‰的滞纳金。逾期交货超过一</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日的，甲方有权决定是否继续履行合同，如甲方决定终止履行合同的，乙方应按照第1款的规定赔偿甲方违约金。</w:t>
      </w:r>
    </w:p>
    <w:p w14:paraId="2B89D3C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%的违约金，如果违约金不足以支付甲方所受损失的，甲方有权要求其赔偿。</w:t>
      </w:r>
    </w:p>
    <w:p w14:paraId="2B89D3C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4.在质保期内产品出现质量问题，乙方必须在接到甲方通知后</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小时内到达现场解决，否则甲方有权另请单位解决，由此产生的费用由乙方承担，产生的损失由乙方赔偿。</w:t>
      </w:r>
    </w:p>
    <w:p w14:paraId="2B89D3C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5.甲方逾期支付资金的违约责任：</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w:t>
      </w:r>
    </w:p>
    <w:p w14:paraId="2B89D3C6">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6.因甲方原因导致变更、中止或者终止政府采购合同的，甲方对供应商受到的损失予以赔偿或者补偿：</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w:t>
      </w:r>
    </w:p>
    <w:p w14:paraId="2B89D3C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7.甲乙双方违背其他合同条款，违约方赔偿对方损失。</w:t>
      </w:r>
    </w:p>
    <w:p w14:paraId="2B89D3C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第十五条不可抗力</w:t>
      </w:r>
    </w:p>
    <w:p w14:paraId="2B89D3C9">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于承担违约责任。</w:t>
      </w:r>
    </w:p>
    <w:p w14:paraId="2B89D3C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第十六条保密</w:t>
      </w:r>
    </w:p>
    <w:p w14:paraId="2B89D3C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2B89D3C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乙方违反本合同所规定的保密义务，应按照本合同总金额的</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%支付违约金。</w:t>
      </w:r>
    </w:p>
    <w:p w14:paraId="2B89D3C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第十七条争议解决</w:t>
      </w:r>
    </w:p>
    <w:p w14:paraId="2B89D3C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甲乙双方在合同履行中发生争议，应通过协商解决。如协商不成，可以向合同签订地法院提起诉讼。</w:t>
      </w:r>
    </w:p>
    <w:p w14:paraId="2B89D3CF">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第十八条合同生效及其他</w:t>
      </w:r>
    </w:p>
    <w:p w14:paraId="2B89D3D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1.除招标文件规定且甲方事先书面同意外，乙方不得部分或者全部转让、分包履行其应履行的合同项下的义务。</w:t>
      </w:r>
    </w:p>
    <w:p w14:paraId="2B89D3D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2.合同由甲、乙双方法定代表人（或者授权代表）签字并加盖单位公章，以最后一方签字日期为合同生效日期。</w:t>
      </w:r>
    </w:p>
    <w:p w14:paraId="2B89D3D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3.本合同一式份，甲方</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份，乙方</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份。</w:t>
      </w:r>
    </w:p>
    <w:p w14:paraId="2B89D3D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第十九条  政府采购合同融资</w:t>
      </w:r>
    </w:p>
    <w:p w14:paraId="2B89D3D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2B89D3D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2B89D3D6">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2B89D3D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第二十条本合同附件</w:t>
      </w:r>
    </w:p>
    <w:p w14:paraId="2B89D3D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1.中标通知书；</w:t>
      </w:r>
    </w:p>
    <w:p w14:paraId="2B89D3D9">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2.政府采购招标文件（含招标文件的澄清、修改等）；</w:t>
      </w:r>
    </w:p>
    <w:p w14:paraId="2B89D3D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3.乙方投标文件；</w:t>
      </w:r>
    </w:p>
    <w:p w14:paraId="2B89D3D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4.中标人在评标过程中做出的有关澄清、说明、承诺或者补正文件（材料）。</w:t>
      </w:r>
    </w:p>
    <w:p w14:paraId="2B89D3D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w:t>
      </w:r>
    </w:p>
    <w:p w14:paraId="2B89D3D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   方：                               乙   方：</w:t>
      </w:r>
    </w:p>
    <w:p w14:paraId="2B89D3D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单位名称（公章）：                        单位名称（公章）：</w:t>
      </w:r>
    </w:p>
    <w:p w14:paraId="2B89D3DF">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法定代表人（授权代表）签字：            法定代表人（授权代表）签字：</w:t>
      </w:r>
    </w:p>
    <w:p w14:paraId="2B89D3E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电   话：                               电   话：</w:t>
      </w:r>
    </w:p>
    <w:p w14:paraId="2B89D3E1">
      <w:pPr>
        <w:spacing w:line="400" w:lineRule="exact"/>
        <w:ind w:firstLine="420" w:firstLineChars="200"/>
        <w:rPr>
          <w:rFonts w:hint="eastAsia" w:ascii="宋体" w:hAnsi="宋体" w:eastAsia="宋体" w:cs="宋体"/>
          <w:color w:val="auto"/>
          <w:szCs w:val="21"/>
          <w:lang w:val="zh-CN"/>
        </w:rPr>
      </w:pPr>
    </w:p>
    <w:p w14:paraId="2B89D3E2">
      <w:pPr>
        <w:spacing w:line="360" w:lineRule="auto"/>
        <w:contextualSpacing/>
        <w:jc w:val="center"/>
        <w:rPr>
          <w:rFonts w:hint="eastAsia" w:ascii="宋体" w:hAnsi="宋体" w:eastAsia="宋体" w:cs="宋体"/>
          <w:b/>
          <w:color w:val="auto"/>
          <w:kern w:val="0"/>
          <w:szCs w:val="21"/>
        </w:rPr>
      </w:pPr>
      <w:r>
        <w:rPr>
          <w:rFonts w:hint="eastAsia" w:ascii="宋体" w:hAnsi="宋体" w:eastAsia="宋体" w:cs="宋体"/>
          <w:color w:val="auto"/>
          <w:szCs w:val="21"/>
          <w:lang w:val="zh-CN"/>
        </w:rPr>
        <w:t>年  月  日                                 年  月  日</w:t>
      </w:r>
    </w:p>
    <w:p w14:paraId="2B89D3E3">
      <w:pPr>
        <w:pStyle w:val="10"/>
        <w:spacing w:line="360" w:lineRule="auto"/>
        <w:contextualSpacing/>
        <w:jc w:val="center"/>
        <w:rPr>
          <w:rFonts w:hint="eastAsia" w:cs="宋体" w:asciiTheme="minorEastAsia" w:hAnsiTheme="minorEastAsia" w:eastAsiaTheme="minorEastAsia"/>
          <w:b/>
          <w:color w:val="auto"/>
          <w:kern w:val="0"/>
          <w:sz w:val="21"/>
          <w:szCs w:val="21"/>
        </w:rPr>
      </w:pPr>
    </w:p>
    <w:p w14:paraId="2B89D3E4">
      <w:pPr>
        <w:pStyle w:val="10"/>
        <w:spacing w:line="360" w:lineRule="auto"/>
        <w:contextualSpacing/>
        <w:jc w:val="center"/>
        <w:rPr>
          <w:rFonts w:hint="eastAsia" w:cs="宋体" w:asciiTheme="majorEastAsia" w:hAnsiTheme="majorEastAsia" w:eastAsiaTheme="majorEastAsia"/>
          <w:b/>
          <w:color w:val="auto"/>
          <w:kern w:val="0"/>
          <w:sz w:val="36"/>
          <w:szCs w:val="36"/>
        </w:rPr>
      </w:pPr>
    </w:p>
    <w:p w14:paraId="2B89D3E5">
      <w:pPr>
        <w:pStyle w:val="10"/>
        <w:spacing w:line="360" w:lineRule="auto"/>
        <w:contextualSpacing/>
        <w:jc w:val="center"/>
        <w:rPr>
          <w:rFonts w:hint="eastAsia" w:cs="宋体" w:asciiTheme="majorEastAsia" w:hAnsiTheme="majorEastAsia" w:eastAsiaTheme="majorEastAsia"/>
          <w:b/>
          <w:color w:val="auto"/>
          <w:kern w:val="0"/>
          <w:sz w:val="36"/>
          <w:szCs w:val="36"/>
        </w:rPr>
      </w:pPr>
    </w:p>
    <w:p w14:paraId="2B89D3E6">
      <w:pPr>
        <w:pStyle w:val="10"/>
        <w:spacing w:line="360" w:lineRule="auto"/>
        <w:contextualSpacing/>
        <w:jc w:val="center"/>
        <w:rPr>
          <w:rFonts w:hint="eastAsia" w:cs="宋体" w:asciiTheme="majorEastAsia" w:hAnsiTheme="majorEastAsia" w:eastAsiaTheme="majorEastAsia"/>
          <w:b/>
          <w:color w:val="auto"/>
          <w:kern w:val="0"/>
          <w:sz w:val="36"/>
          <w:szCs w:val="36"/>
        </w:rPr>
      </w:pPr>
    </w:p>
    <w:p w14:paraId="2B89D3E7">
      <w:pPr>
        <w:pStyle w:val="10"/>
        <w:spacing w:line="360" w:lineRule="auto"/>
        <w:contextualSpacing/>
        <w:jc w:val="center"/>
        <w:rPr>
          <w:rFonts w:hint="eastAsia" w:cs="宋体" w:asciiTheme="majorEastAsia" w:hAnsiTheme="majorEastAsia" w:eastAsiaTheme="majorEastAsia"/>
          <w:b/>
          <w:color w:val="auto"/>
          <w:kern w:val="0"/>
          <w:sz w:val="36"/>
          <w:szCs w:val="36"/>
        </w:rPr>
      </w:pPr>
    </w:p>
    <w:p w14:paraId="2B89D3E8">
      <w:pPr>
        <w:pStyle w:val="10"/>
        <w:spacing w:line="360" w:lineRule="auto"/>
        <w:contextualSpacing/>
        <w:jc w:val="center"/>
        <w:rPr>
          <w:rFonts w:hint="eastAsia" w:cs="宋体" w:asciiTheme="majorEastAsia" w:hAnsiTheme="majorEastAsia" w:eastAsiaTheme="majorEastAsia"/>
          <w:b/>
          <w:color w:val="auto"/>
          <w:kern w:val="0"/>
          <w:sz w:val="36"/>
          <w:szCs w:val="36"/>
        </w:rPr>
      </w:pPr>
    </w:p>
    <w:p w14:paraId="2B89D3E9">
      <w:pPr>
        <w:pStyle w:val="10"/>
        <w:spacing w:line="360" w:lineRule="auto"/>
        <w:contextualSpacing/>
        <w:jc w:val="center"/>
        <w:rPr>
          <w:rFonts w:hint="eastAsia" w:cs="宋体" w:asciiTheme="majorEastAsia" w:hAnsiTheme="majorEastAsia" w:eastAsiaTheme="majorEastAsia"/>
          <w:b/>
          <w:color w:val="auto"/>
          <w:kern w:val="0"/>
          <w:sz w:val="36"/>
          <w:szCs w:val="36"/>
        </w:rPr>
      </w:pPr>
    </w:p>
    <w:p w14:paraId="2B89D3EA">
      <w:pPr>
        <w:pStyle w:val="10"/>
        <w:spacing w:line="360" w:lineRule="auto"/>
        <w:contextualSpacing/>
        <w:jc w:val="center"/>
        <w:rPr>
          <w:rFonts w:hint="eastAsia" w:cs="宋体" w:asciiTheme="majorEastAsia" w:hAnsiTheme="majorEastAsia" w:eastAsiaTheme="majorEastAsia"/>
          <w:b/>
          <w:color w:val="auto"/>
          <w:kern w:val="0"/>
          <w:sz w:val="36"/>
          <w:szCs w:val="36"/>
        </w:rPr>
      </w:pPr>
    </w:p>
    <w:p w14:paraId="2B89D3EB">
      <w:pPr>
        <w:pStyle w:val="10"/>
        <w:spacing w:line="360" w:lineRule="auto"/>
        <w:contextualSpacing/>
        <w:rPr>
          <w:rFonts w:hint="eastAsia" w:cs="宋体" w:asciiTheme="majorEastAsia" w:hAnsiTheme="majorEastAsia" w:eastAsiaTheme="majorEastAsia"/>
          <w:b/>
          <w:color w:val="auto"/>
          <w:kern w:val="0"/>
          <w:sz w:val="36"/>
          <w:szCs w:val="36"/>
        </w:rPr>
      </w:pPr>
    </w:p>
    <w:p w14:paraId="2B89D3E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第八章 投标文件有关格式</w:t>
      </w:r>
    </w:p>
    <w:p w14:paraId="2B89D3ED">
      <w:pPr>
        <w:spacing w:line="480" w:lineRule="exact"/>
        <w:ind w:firstLine="540" w:firstLineChars="192"/>
        <w:rPr>
          <w:rFonts w:hint="eastAsia" w:ascii="宋体" w:hAnsi="宋体" w:eastAsia="宋体" w:cs="黑体"/>
          <w:b/>
          <w:color w:val="auto"/>
          <w:kern w:val="0"/>
          <w:sz w:val="28"/>
          <w:szCs w:val="28"/>
        </w:rPr>
      </w:pPr>
      <w:r>
        <w:rPr>
          <w:rFonts w:hint="eastAsia" w:ascii="宋体" w:hAnsi="宋体" w:eastAsia="宋体" w:cs="黑体"/>
          <w:b/>
          <w:color w:val="auto"/>
          <w:kern w:val="0"/>
          <w:sz w:val="28"/>
          <w:szCs w:val="28"/>
        </w:rPr>
        <w:t>注：</w:t>
      </w:r>
    </w:p>
    <w:p w14:paraId="2B89D3EE">
      <w:pPr>
        <w:spacing w:line="480" w:lineRule="exact"/>
        <w:ind w:firstLine="463" w:firstLineChars="192"/>
        <w:rPr>
          <w:rFonts w:hint="eastAsia" w:ascii="宋体" w:hAnsi="宋体" w:eastAsia="宋体" w:cs="黑体"/>
          <w:b/>
          <w:color w:val="auto"/>
          <w:kern w:val="0"/>
          <w:sz w:val="24"/>
          <w:szCs w:val="24"/>
        </w:rPr>
      </w:pPr>
      <w:r>
        <w:rPr>
          <w:rFonts w:hint="eastAsia" w:ascii="宋体" w:hAnsi="宋体" w:eastAsia="宋体" w:cs="黑体"/>
          <w:b/>
          <w:color w:val="auto"/>
          <w:kern w:val="0"/>
          <w:sz w:val="24"/>
          <w:szCs w:val="24"/>
        </w:rPr>
        <w:t>1.以下的投标文件格式为通用的格式，投标人在制作投标文件时应以招标文件内容要求为准，选择相应的投标文件格式。</w:t>
      </w:r>
    </w:p>
    <w:p w14:paraId="2B89D3EF">
      <w:pPr>
        <w:spacing w:line="480" w:lineRule="exact"/>
        <w:ind w:firstLine="463" w:firstLineChars="192"/>
        <w:rPr>
          <w:rFonts w:hint="eastAsia" w:ascii="宋体" w:hAnsi="宋体" w:eastAsia="宋体" w:cs="黑体"/>
          <w:b/>
          <w:color w:val="auto"/>
          <w:kern w:val="0"/>
          <w:sz w:val="24"/>
          <w:szCs w:val="24"/>
        </w:rPr>
      </w:pPr>
      <w:r>
        <w:rPr>
          <w:rFonts w:hint="eastAsia" w:ascii="宋体" w:hAnsi="宋体" w:eastAsia="宋体" w:cs="黑体"/>
          <w:b/>
          <w:color w:val="auto"/>
          <w:kern w:val="0"/>
          <w:sz w:val="24"/>
          <w:szCs w:val="24"/>
        </w:rPr>
        <w:t>2.没有给定格式的，投标人可以自行设计。</w:t>
      </w:r>
    </w:p>
    <w:p w14:paraId="2B89D3F0">
      <w:pPr>
        <w:pStyle w:val="8"/>
        <w:ind w:firstLine="480"/>
        <w:rPr>
          <w:color w:val="auto"/>
          <w:lang w:val="zh-CN"/>
        </w:rPr>
      </w:pPr>
    </w:p>
    <w:p w14:paraId="2B89D3F1">
      <w:pPr>
        <w:pStyle w:val="2"/>
        <w:rPr>
          <w:color w:val="auto"/>
          <w:lang w:val="zh-CN"/>
        </w:rPr>
      </w:pPr>
    </w:p>
    <w:p w14:paraId="2B89D3F2">
      <w:pPr>
        <w:spacing w:line="480" w:lineRule="auto"/>
        <w:ind w:firstLine="1080" w:firstLineChars="300"/>
        <w:rPr>
          <w:rFonts w:hint="eastAsia" w:ascii="宋体" w:hAnsi="宋体" w:eastAsia="宋体" w:cs="宋体"/>
          <w:color w:val="auto"/>
          <w:sz w:val="24"/>
        </w:rPr>
      </w:pPr>
      <w:r>
        <w:rPr>
          <w:rFonts w:hint="eastAsia" w:ascii="宋体" w:hAnsi="宋体" w:eastAsia="宋体" w:cs="宋体"/>
          <w:color w:val="auto"/>
          <w:sz w:val="36"/>
          <w:szCs w:val="36"/>
          <w:u w:val="single"/>
        </w:rPr>
        <w:t xml:space="preserve">                   （项目名称/标段）</w:t>
      </w:r>
    </w:p>
    <w:p w14:paraId="2B89D3F3">
      <w:pPr>
        <w:spacing w:line="380" w:lineRule="exact"/>
        <w:rPr>
          <w:rFonts w:hint="eastAsia" w:ascii="宋体" w:hAnsi="宋体" w:eastAsia="宋体" w:cs="宋体"/>
          <w:color w:val="auto"/>
          <w:sz w:val="24"/>
        </w:rPr>
      </w:pPr>
    </w:p>
    <w:p w14:paraId="2B89D3F4">
      <w:pPr>
        <w:spacing w:line="380" w:lineRule="exact"/>
        <w:rPr>
          <w:rFonts w:hint="eastAsia" w:ascii="宋体" w:hAnsi="宋体" w:eastAsia="宋体" w:cs="宋体"/>
          <w:color w:val="auto"/>
          <w:sz w:val="24"/>
        </w:rPr>
      </w:pPr>
    </w:p>
    <w:p w14:paraId="2B89D3F5">
      <w:pPr>
        <w:spacing w:line="380" w:lineRule="exact"/>
        <w:rPr>
          <w:rFonts w:hint="eastAsia" w:ascii="宋体" w:hAnsi="宋体" w:eastAsia="宋体" w:cs="宋体"/>
          <w:color w:val="auto"/>
          <w:sz w:val="24"/>
        </w:rPr>
      </w:pPr>
    </w:p>
    <w:p w14:paraId="2B89D3F6">
      <w:pPr>
        <w:spacing w:line="380" w:lineRule="exact"/>
        <w:rPr>
          <w:rFonts w:hint="eastAsia" w:ascii="宋体" w:hAnsi="宋体" w:eastAsia="宋体" w:cs="宋体"/>
          <w:color w:val="auto"/>
          <w:sz w:val="24"/>
        </w:rPr>
      </w:pPr>
    </w:p>
    <w:p w14:paraId="2B89D3F7">
      <w:pPr>
        <w:spacing w:line="380" w:lineRule="exact"/>
        <w:jc w:val="center"/>
        <w:rPr>
          <w:rFonts w:hint="eastAsia" w:ascii="宋体" w:hAnsi="宋体" w:eastAsia="宋体" w:cs="宋体"/>
          <w:b/>
          <w:bCs/>
          <w:color w:val="auto"/>
          <w:sz w:val="48"/>
          <w:szCs w:val="48"/>
        </w:rPr>
      </w:pPr>
    </w:p>
    <w:p w14:paraId="2B89D3F8">
      <w:pPr>
        <w:spacing w:line="380" w:lineRule="exact"/>
        <w:jc w:val="center"/>
        <w:rPr>
          <w:rFonts w:hint="eastAsia" w:ascii="宋体" w:hAnsi="宋体" w:eastAsia="宋体" w:cs="宋体"/>
          <w:b/>
          <w:bCs/>
          <w:color w:val="auto"/>
          <w:sz w:val="48"/>
          <w:szCs w:val="48"/>
        </w:rPr>
      </w:pPr>
    </w:p>
    <w:p w14:paraId="2B89D3F9">
      <w:pPr>
        <w:spacing w:line="480" w:lineRule="auto"/>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投标文件</w:t>
      </w:r>
    </w:p>
    <w:p w14:paraId="2B89D3FA">
      <w:pPr>
        <w:spacing w:line="380" w:lineRule="exact"/>
        <w:rPr>
          <w:rFonts w:hint="eastAsia" w:ascii="宋体" w:hAnsi="宋体" w:eastAsia="宋体" w:cs="宋体"/>
          <w:color w:val="auto"/>
          <w:sz w:val="24"/>
        </w:rPr>
      </w:pPr>
    </w:p>
    <w:p w14:paraId="2B89D3FB">
      <w:pPr>
        <w:spacing w:line="380" w:lineRule="exact"/>
        <w:rPr>
          <w:rFonts w:hint="eastAsia" w:ascii="宋体" w:hAnsi="宋体" w:eastAsia="宋体" w:cs="宋体"/>
          <w:color w:val="auto"/>
          <w:sz w:val="24"/>
        </w:rPr>
      </w:pPr>
    </w:p>
    <w:p w14:paraId="2B89D3FC">
      <w:pPr>
        <w:spacing w:line="38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项目编号：</w:t>
      </w:r>
    </w:p>
    <w:p w14:paraId="2B89D3FD">
      <w:pPr>
        <w:spacing w:line="380" w:lineRule="exact"/>
        <w:rPr>
          <w:rFonts w:hint="eastAsia" w:ascii="宋体" w:hAnsi="宋体" w:eastAsia="宋体" w:cs="宋体"/>
          <w:color w:val="auto"/>
          <w:sz w:val="24"/>
        </w:rPr>
      </w:pPr>
    </w:p>
    <w:p w14:paraId="2B89D3FE">
      <w:pPr>
        <w:spacing w:line="380" w:lineRule="exact"/>
        <w:rPr>
          <w:rFonts w:hint="eastAsia" w:ascii="宋体" w:hAnsi="宋体" w:eastAsia="宋体" w:cs="宋体"/>
          <w:color w:val="auto"/>
          <w:sz w:val="24"/>
        </w:rPr>
      </w:pPr>
    </w:p>
    <w:p w14:paraId="2B89D3FF">
      <w:pPr>
        <w:spacing w:line="380" w:lineRule="exact"/>
        <w:rPr>
          <w:rFonts w:hint="eastAsia" w:ascii="宋体" w:hAnsi="宋体" w:eastAsia="宋体" w:cs="宋体"/>
          <w:color w:val="auto"/>
          <w:sz w:val="24"/>
        </w:rPr>
      </w:pPr>
    </w:p>
    <w:p w14:paraId="2B89D400">
      <w:pPr>
        <w:spacing w:after="120"/>
        <w:ind w:left="63" w:right="63" w:firstLine="340" w:firstLineChars="100"/>
        <w:rPr>
          <w:rFonts w:hint="eastAsia" w:ascii="宋体" w:hAnsi="宋体" w:eastAsia="宋体" w:cs="Times New Roman"/>
          <w:color w:val="auto"/>
          <w:kern w:val="0"/>
          <w:sz w:val="34"/>
          <w:szCs w:val="20"/>
        </w:rPr>
      </w:pPr>
    </w:p>
    <w:p w14:paraId="2B89D401">
      <w:pPr>
        <w:spacing w:line="380" w:lineRule="exact"/>
        <w:rPr>
          <w:rFonts w:hint="eastAsia" w:ascii="宋体" w:hAnsi="宋体" w:eastAsia="宋体" w:cs="宋体"/>
          <w:color w:val="auto"/>
          <w:sz w:val="24"/>
        </w:rPr>
      </w:pPr>
    </w:p>
    <w:p w14:paraId="2B89D402">
      <w:pPr>
        <w:spacing w:line="480" w:lineRule="auto"/>
        <w:ind w:firstLine="1820" w:firstLineChars="650"/>
        <w:rPr>
          <w:rFonts w:hint="eastAsia" w:ascii="宋体" w:hAnsi="宋体" w:eastAsia="宋体" w:cs="宋体"/>
          <w:color w:val="auto"/>
          <w:sz w:val="28"/>
          <w:szCs w:val="28"/>
        </w:rPr>
      </w:pPr>
      <w:bookmarkStart w:id="10" w:name="_Toc7428_WPSOffice_Level1"/>
      <w:bookmarkStart w:id="11" w:name="_Toc27760_WPSOffice_Level1"/>
      <w:r>
        <w:rPr>
          <w:rFonts w:hint="eastAsia" w:ascii="宋体" w:hAnsi="宋体" w:eastAsia="宋体" w:cs="宋体"/>
          <w:color w:val="auto"/>
          <w:sz w:val="28"/>
          <w:szCs w:val="28"/>
        </w:rPr>
        <w:t>投 标 人：（全称并加盖公章）</w:t>
      </w:r>
      <w:bookmarkEnd w:id="10"/>
      <w:bookmarkEnd w:id="11"/>
    </w:p>
    <w:p w14:paraId="2B89D403">
      <w:pPr>
        <w:spacing w:line="480" w:lineRule="auto"/>
        <w:ind w:firstLine="1540" w:firstLineChars="550"/>
        <w:rPr>
          <w:rFonts w:hint="eastAsia" w:ascii="宋体" w:hAnsi="宋体" w:eastAsia="宋体" w:cs="宋体"/>
          <w:b/>
          <w:bCs/>
          <w:color w:val="auto"/>
          <w:sz w:val="28"/>
          <w:szCs w:val="28"/>
        </w:rPr>
      </w:pPr>
      <w:bookmarkStart w:id="12" w:name="_Toc28157_WPSOffice_Level1"/>
      <w:bookmarkStart w:id="13" w:name="_Toc4840_WPSOffice_Level1"/>
      <w:r>
        <w:rPr>
          <w:rFonts w:hint="eastAsia" w:ascii="宋体" w:hAnsi="宋体" w:eastAsia="宋体" w:cs="宋体"/>
          <w:color w:val="auto"/>
          <w:sz w:val="28"/>
          <w:szCs w:val="28"/>
        </w:rPr>
        <w:t>法定代表人或委托代理人（签字）：</w:t>
      </w:r>
      <w:bookmarkEnd w:id="12"/>
      <w:bookmarkEnd w:id="13"/>
    </w:p>
    <w:p w14:paraId="2B89D404">
      <w:pPr>
        <w:spacing w:line="480" w:lineRule="auto"/>
        <w:ind w:firstLine="1820" w:firstLineChars="650"/>
        <w:rPr>
          <w:rFonts w:hint="eastAsia" w:ascii="宋体" w:hAnsi="宋体" w:eastAsia="宋体" w:cs="宋体"/>
          <w:color w:val="auto"/>
          <w:sz w:val="28"/>
          <w:szCs w:val="28"/>
        </w:rPr>
      </w:pPr>
      <w:bookmarkStart w:id="14" w:name="_Toc15640_WPSOffice_Level1"/>
      <w:bookmarkStart w:id="15" w:name="_Toc2311_WPSOffice_Level1"/>
      <w:r>
        <w:rPr>
          <w:rFonts w:hint="eastAsia" w:ascii="宋体" w:hAnsi="宋体" w:eastAsia="宋体" w:cs="宋体"/>
          <w:color w:val="auto"/>
          <w:sz w:val="28"/>
          <w:szCs w:val="28"/>
        </w:rPr>
        <w:t>日    期：年 月 日</w:t>
      </w:r>
      <w:bookmarkEnd w:id="14"/>
      <w:bookmarkEnd w:id="15"/>
    </w:p>
    <w:p w14:paraId="2B89D405">
      <w:pPr>
        <w:pStyle w:val="11"/>
        <w:rPr>
          <w:color w:val="auto"/>
          <w:lang w:val="zh-CN"/>
        </w:rPr>
      </w:pPr>
    </w:p>
    <w:p w14:paraId="2B89D406">
      <w:pPr>
        <w:pStyle w:val="27"/>
        <w:numPr>
          <w:ilvl w:val="0"/>
          <w:numId w:val="0"/>
        </w:numPr>
        <w:tabs>
          <w:tab w:val="left" w:pos="660"/>
        </w:tabs>
        <w:snapToGrid w:val="0"/>
        <w:spacing w:before="0" w:line="400" w:lineRule="exact"/>
        <w:jc w:val="center"/>
        <w:rPr>
          <w:rFonts w:hint="eastAsia"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1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2B89D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2B89D407">
            <w:pPr>
              <w:snapToGrid w:val="0"/>
              <w:spacing w:line="400" w:lineRule="exact"/>
              <w:jc w:val="center"/>
              <w:rPr>
                <w:rFonts w:hint="eastAsia" w:ascii="宋体" w:hAnsi="宋体" w:cs="微软雅黑"/>
                <w:b/>
                <w:color w:val="auto"/>
                <w:szCs w:val="21"/>
              </w:rPr>
            </w:pPr>
            <w:r>
              <w:rPr>
                <w:rFonts w:hint="eastAsia" w:ascii="宋体" w:hAnsi="宋体" w:cs="微软雅黑"/>
                <w:b/>
                <w:color w:val="auto"/>
                <w:szCs w:val="21"/>
              </w:rPr>
              <w:t>序号</w:t>
            </w:r>
          </w:p>
        </w:tc>
        <w:tc>
          <w:tcPr>
            <w:tcW w:w="3751" w:type="dxa"/>
            <w:vAlign w:val="center"/>
          </w:tcPr>
          <w:p w14:paraId="2B89D408">
            <w:pPr>
              <w:snapToGrid w:val="0"/>
              <w:spacing w:line="400" w:lineRule="exact"/>
              <w:jc w:val="center"/>
              <w:rPr>
                <w:rFonts w:hint="eastAsia" w:ascii="宋体" w:hAnsi="宋体" w:cs="微软雅黑"/>
                <w:b/>
                <w:color w:val="auto"/>
                <w:szCs w:val="21"/>
              </w:rPr>
            </w:pPr>
            <w:r>
              <w:rPr>
                <w:rFonts w:hint="eastAsia" w:ascii="宋体" w:hAnsi="宋体" w:cs="微软雅黑"/>
                <w:b/>
                <w:color w:val="auto"/>
                <w:szCs w:val="21"/>
              </w:rPr>
              <w:t>项  目</w:t>
            </w:r>
          </w:p>
        </w:tc>
        <w:tc>
          <w:tcPr>
            <w:tcW w:w="1559" w:type="dxa"/>
            <w:vAlign w:val="center"/>
          </w:tcPr>
          <w:p w14:paraId="2B89D409">
            <w:pPr>
              <w:snapToGrid w:val="0"/>
              <w:spacing w:line="400" w:lineRule="exact"/>
              <w:jc w:val="center"/>
              <w:rPr>
                <w:rFonts w:hint="eastAsia" w:ascii="宋体" w:hAnsi="宋体" w:cs="微软雅黑"/>
                <w:b/>
                <w:color w:val="auto"/>
                <w:szCs w:val="21"/>
              </w:rPr>
            </w:pPr>
            <w:r>
              <w:rPr>
                <w:rFonts w:hint="eastAsia" w:ascii="宋体" w:hAnsi="宋体" w:cs="微软雅黑"/>
                <w:b/>
                <w:color w:val="auto"/>
                <w:szCs w:val="21"/>
              </w:rPr>
              <w:t>投标人应答</w:t>
            </w:r>
          </w:p>
          <w:p w14:paraId="2B89D40A">
            <w:pPr>
              <w:snapToGrid w:val="0"/>
              <w:spacing w:line="400" w:lineRule="exact"/>
              <w:jc w:val="center"/>
              <w:rPr>
                <w:rFonts w:hint="eastAsia" w:ascii="宋体" w:hAnsi="宋体" w:cs="微软雅黑"/>
                <w:b/>
                <w:color w:val="auto"/>
                <w:szCs w:val="21"/>
              </w:rPr>
            </w:pPr>
            <w:r>
              <w:rPr>
                <w:rFonts w:hint="eastAsia" w:ascii="宋体" w:hAnsi="宋体" w:cs="微软雅黑"/>
                <w:b/>
                <w:color w:val="auto"/>
                <w:szCs w:val="21"/>
              </w:rPr>
              <w:t>（有/没有）</w:t>
            </w:r>
          </w:p>
        </w:tc>
        <w:tc>
          <w:tcPr>
            <w:tcW w:w="1560" w:type="dxa"/>
            <w:vAlign w:val="center"/>
          </w:tcPr>
          <w:p w14:paraId="2B89D40B">
            <w:pPr>
              <w:snapToGrid w:val="0"/>
              <w:spacing w:line="400" w:lineRule="exact"/>
              <w:jc w:val="center"/>
              <w:rPr>
                <w:rFonts w:hint="eastAsia" w:ascii="宋体" w:hAnsi="宋体" w:cs="微软雅黑"/>
                <w:b/>
                <w:color w:val="auto"/>
                <w:szCs w:val="21"/>
              </w:rPr>
            </w:pPr>
            <w:r>
              <w:rPr>
                <w:rFonts w:hint="eastAsia" w:ascii="宋体" w:hAnsi="宋体" w:cs="微软雅黑"/>
                <w:b/>
                <w:color w:val="auto"/>
                <w:szCs w:val="21"/>
              </w:rPr>
              <w:t>投标文件中所在页码</w:t>
            </w:r>
          </w:p>
        </w:tc>
        <w:tc>
          <w:tcPr>
            <w:tcW w:w="2018" w:type="dxa"/>
            <w:vAlign w:val="center"/>
          </w:tcPr>
          <w:p w14:paraId="2B89D40C">
            <w:pPr>
              <w:snapToGrid w:val="0"/>
              <w:spacing w:line="400" w:lineRule="exact"/>
              <w:jc w:val="center"/>
              <w:rPr>
                <w:rFonts w:hint="eastAsia" w:ascii="宋体" w:hAnsi="宋体" w:cs="微软雅黑"/>
                <w:b/>
                <w:color w:val="auto"/>
                <w:szCs w:val="21"/>
              </w:rPr>
            </w:pPr>
            <w:r>
              <w:rPr>
                <w:rFonts w:hint="eastAsia" w:ascii="宋体" w:hAnsi="宋体" w:cs="微软雅黑"/>
                <w:b/>
                <w:color w:val="auto"/>
                <w:szCs w:val="21"/>
              </w:rPr>
              <w:t>备注说明</w:t>
            </w:r>
          </w:p>
        </w:tc>
      </w:tr>
      <w:tr w14:paraId="2B89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0E">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1</w:t>
            </w:r>
          </w:p>
        </w:tc>
        <w:tc>
          <w:tcPr>
            <w:tcW w:w="3751" w:type="dxa"/>
            <w:vAlign w:val="center"/>
          </w:tcPr>
          <w:p w14:paraId="2B89D40F">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hAnsi="宋体"/>
                <w:color w:val="auto"/>
                <w:kern w:val="0"/>
                <w:sz w:val="21"/>
                <w:szCs w:val="21"/>
              </w:rPr>
              <w:t>投标人应答索引表</w:t>
            </w:r>
          </w:p>
        </w:tc>
        <w:tc>
          <w:tcPr>
            <w:tcW w:w="1559" w:type="dxa"/>
            <w:vAlign w:val="center"/>
          </w:tcPr>
          <w:p w14:paraId="2B89D410">
            <w:pPr>
              <w:snapToGrid w:val="0"/>
              <w:spacing w:line="400" w:lineRule="exact"/>
              <w:jc w:val="center"/>
              <w:rPr>
                <w:rFonts w:hint="eastAsia" w:ascii="宋体" w:hAnsi="宋体" w:cs="微软雅黑"/>
                <w:color w:val="auto"/>
                <w:szCs w:val="21"/>
              </w:rPr>
            </w:pPr>
          </w:p>
        </w:tc>
        <w:tc>
          <w:tcPr>
            <w:tcW w:w="1560" w:type="dxa"/>
            <w:vAlign w:val="center"/>
          </w:tcPr>
          <w:p w14:paraId="2B89D411">
            <w:pPr>
              <w:snapToGrid w:val="0"/>
              <w:spacing w:line="400" w:lineRule="exact"/>
              <w:rPr>
                <w:rFonts w:hint="eastAsia" w:ascii="宋体" w:hAnsi="宋体" w:cs="微软雅黑"/>
                <w:color w:val="auto"/>
                <w:szCs w:val="21"/>
              </w:rPr>
            </w:pPr>
          </w:p>
        </w:tc>
        <w:tc>
          <w:tcPr>
            <w:tcW w:w="2018" w:type="dxa"/>
            <w:vAlign w:val="center"/>
          </w:tcPr>
          <w:p w14:paraId="2B89D412">
            <w:pPr>
              <w:snapToGrid w:val="0"/>
              <w:spacing w:line="400" w:lineRule="exact"/>
              <w:rPr>
                <w:rFonts w:hint="eastAsia" w:ascii="宋体" w:hAnsi="宋体" w:cs="微软雅黑"/>
                <w:color w:val="auto"/>
                <w:szCs w:val="21"/>
              </w:rPr>
            </w:pPr>
          </w:p>
        </w:tc>
      </w:tr>
      <w:tr w14:paraId="2B89D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14">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2</w:t>
            </w:r>
          </w:p>
        </w:tc>
        <w:tc>
          <w:tcPr>
            <w:tcW w:w="3751" w:type="dxa"/>
            <w:vAlign w:val="center"/>
          </w:tcPr>
          <w:p w14:paraId="2B89D415">
            <w:pPr>
              <w:pStyle w:val="10"/>
              <w:kinsoku w:val="0"/>
              <w:overflowPunct w:val="0"/>
              <w:autoSpaceDE w:val="0"/>
              <w:autoSpaceDN w:val="0"/>
              <w:spacing w:line="320" w:lineRule="exact"/>
              <w:rPr>
                <w:rFonts w:hint="eastAsia" w:hAnsi="宋体"/>
                <w:color w:val="auto"/>
                <w:kern w:val="0"/>
                <w:sz w:val="21"/>
                <w:szCs w:val="21"/>
              </w:rPr>
            </w:pPr>
            <w:r>
              <w:rPr>
                <w:rFonts w:hint="eastAsia" w:hAnsi="宋体"/>
                <w:color w:val="auto"/>
                <w:kern w:val="0"/>
                <w:sz w:val="21"/>
                <w:szCs w:val="21"/>
              </w:rPr>
              <w:t>开标一览表</w:t>
            </w:r>
          </w:p>
        </w:tc>
        <w:tc>
          <w:tcPr>
            <w:tcW w:w="1559" w:type="dxa"/>
            <w:vAlign w:val="center"/>
          </w:tcPr>
          <w:p w14:paraId="2B89D416">
            <w:pPr>
              <w:snapToGrid w:val="0"/>
              <w:spacing w:line="400" w:lineRule="exact"/>
              <w:jc w:val="center"/>
              <w:rPr>
                <w:rFonts w:hint="eastAsia" w:ascii="宋体" w:hAnsi="宋体" w:cs="微软雅黑"/>
                <w:color w:val="auto"/>
                <w:szCs w:val="21"/>
              </w:rPr>
            </w:pPr>
          </w:p>
        </w:tc>
        <w:tc>
          <w:tcPr>
            <w:tcW w:w="1560" w:type="dxa"/>
            <w:vAlign w:val="center"/>
          </w:tcPr>
          <w:p w14:paraId="2B89D417">
            <w:pPr>
              <w:snapToGrid w:val="0"/>
              <w:spacing w:line="400" w:lineRule="exact"/>
              <w:rPr>
                <w:rFonts w:hint="eastAsia" w:ascii="宋体" w:hAnsi="宋体" w:cs="微软雅黑"/>
                <w:color w:val="auto"/>
                <w:szCs w:val="21"/>
              </w:rPr>
            </w:pPr>
          </w:p>
        </w:tc>
        <w:tc>
          <w:tcPr>
            <w:tcW w:w="2018" w:type="dxa"/>
            <w:vAlign w:val="center"/>
          </w:tcPr>
          <w:p w14:paraId="2B89D418">
            <w:pPr>
              <w:snapToGrid w:val="0"/>
              <w:spacing w:line="400" w:lineRule="exact"/>
              <w:rPr>
                <w:rFonts w:hint="eastAsia" w:ascii="宋体" w:hAnsi="宋体" w:cs="微软雅黑"/>
                <w:color w:val="auto"/>
                <w:szCs w:val="21"/>
              </w:rPr>
            </w:pPr>
          </w:p>
        </w:tc>
      </w:tr>
      <w:tr w14:paraId="2B89D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1A">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3</w:t>
            </w:r>
          </w:p>
        </w:tc>
        <w:tc>
          <w:tcPr>
            <w:tcW w:w="3751" w:type="dxa"/>
            <w:vAlign w:val="center"/>
          </w:tcPr>
          <w:p w14:paraId="2B89D41B">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hAnsi="宋体"/>
                <w:color w:val="auto"/>
                <w:kern w:val="0"/>
                <w:sz w:val="21"/>
                <w:szCs w:val="21"/>
              </w:rPr>
              <w:t>投标函</w:t>
            </w:r>
          </w:p>
        </w:tc>
        <w:tc>
          <w:tcPr>
            <w:tcW w:w="1559" w:type="dxa"/>
            <w:vAlign w:val="center"/>
          </w:tcPr>
          <w:p w14:paraId="2B89D41C">
            <w:pPr>
              <w:snapToGrid w:val="0"/>
              <w:spacing w:line="400" w:lineRule="exact"/>
              <w:jc w:val="center"/>
              <w:rPr>
                <w:rFonts w:hint="eastAsia" w:ascii="宋体" w:hAnsi="宋体" w:cs="微软雅黑"/>
                <w:color w:val="auto"/>
                <w:szCs w:val="21"/>
              </w:rPr>
            </w:pPr>
          </w:p>
        </w:tc>
        <w:tc>
          <w:tcPr>
            <w:tcW w:w="1560" w:type="dxa"/>
            <w:vAlign w:val="center"/>
          </w:tcPr>
          <w:p w14:paraId="2B89D41D">
            <w:pPr>
              <w:snapToGrid w:val="0"/>
              <w:spacing w:line="400" w:lineRule="exact"/>
              <w:rPr>
                <w:rFonts w:hint="eastAsia" w:ascii="宋体" w:hAnsi="宋体" w:cs="微软雅黑"/>
                <w:color w:val="auto"/>
                <w:szCs w:val="21"/>
              </w:rPr>
            </w:pPr>
          </w:p>
        </w:tc>
        <w:tc>
          <w:tcPr>
            <w:tcW w:w="2018" w:type="dxa"/>
            <w:vAlign w:val="center"/>
          </w:tcPr>
          <w:p w14:paraId="2B89D41E">
            <w:pPr>
              <w:snapToGrid w:val="0"/>
              <w:spacing w:line="400" w:lineRule="exact"/>
              <w:rPr>
                <w:rFonts w:hint="eastAsia" w:ascii="宋体" w:hAnsi="宋体" w:cs="微软雅黑"/>
                <w:color w:val="auto"/>
                <w:szCs w:val="21"/>
              </w:rPr>
            </w:pPr>
          </w:p>
        </w:tc>
      </w:tr>
      <w:tr w14:paraId="2B89D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20">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4</w:t>
            </w:r>
          </w:p>
        </w:tc>
        <w:tc>
          <w:tcPr>
            <w:tcW w:w="3751" w:type="dxa"/>
            <w:vAlign w:val="center"/>
          </w:tcPr>
          <w:p w14:paraId="2B89D421">
            <w:pPr>
              <w:pStyle w:val="10"/>
              <w:kinsoku w:val="0"/>
              <w:overflowPunct w:val="0"/>
              <w:autoSpaceDE w:val="0"/>
              <w:autoSpaceDN w:val="0"/>
              <w:spacing w:line="320" w:lineRule="exact"/>
              <w:rPr>
                <w:rFonts w:hint="eastAsia"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14:paraId="2B89D422">
            <w:pPr>
              <w:snapToGrid w:val="0"/>
              <w:spacing w:line="400" w:lineRule="exact"/>
              <w:jc w:val="center"/>
              <w:rPr>
                <w:rFonts w:hint="eastAsia" w:ascii="宋体" w:hAnsi="宋体" w:cs="微软雅黑"/>
                <w:color w:val="auto"/>
                <w:szCs w:val="21"/>
              </w:rPr>
            </w:pPr>
          </w:p>
        </w:tc>
        <w:tc>
          <w:tcPr>
            <w:tcW w:w="1560" w:type="dxa"/>
            <w:vAlign w:val="center"/>
          </w:tcPr>
          <w:p w14:paraId="2B89D423">
            <w:pPr>
              <w:snapToGrid w:val="0"/>
              <w:spacing w:line="400" w:lineRule="exact"/>
              <w:rPr>
                <w:rFonts w:hint="eastAsia" w:ascii="宋体" w:hAnsi="宋体" w:cs="微软雅黑"/>
                <w:color w:val="auto"/>
                <w:szCs w:val="21"/>
              </w:rPr>
            </w:pPr>
          </w:p>
        </w:tc>
        <w:tc>
          <w:tcPr>
            <w:tcW w:w="2018" w:type="dxa"/>
            <w:vAlign w:val="center"/>
          </w:tcPr>
          <w:p w14:paraId="2B89D424">
            <w:pPr>
              <w:snapToGrid w:val="0"/>
              <w:spacing w:line="400" w:lineRule="exact"/>
              <w:rPr>
                <w:rFonts w:hint="eastAsia" w:ascii="宋体" w:hAnsi="宋体" w:cs="微软雅黑"/>
                <w:color w:val="auto"/>
                <w:szCs w:val="21"/>
              </w:rPr>
            </w:pPr>
          </w:p>
        </w:tc>
      </w:tr>
      <w:tr w14:paraId="2B89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26">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5</w:t>
            </w:r>
          </w:p>
        </w:tc>
        <w:tc>
          <w:tcPr>
            <w:tcW w:w="3751" w:type="dxa"/>
            <w:vAlign w:val="center"/>
          </w:tcPr>
          <w:p w14:paraId="2B89D427">
            <w:pPr>
              <w:pStyle w:val="10"/>
              <w:kinsoku w:val="0"/>
              <w:overflowPunct w:val="0"/>
              <w:autoSpaceDE w:val="0"/>
              <w:autoSpaceDN w:val="0"/>
              <w:spacing w:line="320" w:lineRule="exact"/>
              <w:rPr>
                <w:rFonts w:hint="eastAsia"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14:paraId="2B89D428">
            <w:pPr>
              <w:snapToGrid w:val="0"/>
              <w:spacing w:line="400" w:lineRule="exact"/>
              <w:jc w:val="center"/>
              <w:rPr>
                <w:rFonts w:hint="eastAsia" w:ascii="宋体" w:hAnsi="宋体" w:cs="微软雅黑"/>
                <w:color w:val="auto"/>
                <w:szCs w:val="21"/>
              </w:rPr>
            </w:pPr>
          </w:p>
        </w:tc>
        <w:tc>
          <w:tcPr>
            <w:tcW w:w="1560" w:type="dxa"/>
            <w:vAlign w:val="center"/>
          </w:tcPr>
          <w:p w14:paraId="2B89D429">
            <w:pPr>
              <w:snapToGrid w:val="0"/>
              <w:spacing w:line="400" w:lineRule="exact"/>
              <w:rPr>
                <w:rFonts w:hint="eastAsia" w:ascii="宋体" w:hAnsi="宋体" w:cs="微软雅黑"/>
                <w:color w:val="auto"/>
                <w:szCs w:val="21"/>
              </w:rPr>
            </w:pPr>
          </w:p>
        </w:tc>
        <w:tc>
          <w:tcPr>
            <w:tcW w:w="2018" w:type="dxa"/>
            <w:vAlign w:val="center"/>
          </w:tcPr>
          <w:p w14:paraId="2B89D42A">
            <w:pPr>
              <w:snapToGrid w:val="0"/>
              <w:spacing w:line="400" w:lineRule="exact"/>
              <w:rPr>
                <w:rFonts w:hint="eastAsia" w:ascii="宋体" w:hAnsi="宋体" w:cs="微软雅黑"/>
                <w:color w:val="auto"/>
                <w:szCs w:val="21"/>
              </w:rPr>
            </w:pPr>
          </w:p>
        </w:tc>
      </w:tr>
      <w:tr w14:paraId="2B89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2C">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6</w:t>
            </w:r>
          </w:p>
        </w:tc>
        <w:tc>
          <w:tcPr>
            <w:tcW w:w="3751" w:type="dxa"/>
            <w:vAlign w:val="center"/>
          </w:tcPr>
          <w:p w14:paraId="2B89D42D">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asciiTheme="majorEastAsia" w:hAnsiTheme="majorEastAsia" w:eastAsiaTheme="majorEastAsia" w:cstheme="majorEastAsia"/>
                <w:bCs/>
                <w:color w:val="auto"/>
                <w:sz w:val="21"/>
                <w:szCs w:val="21"/>
                <w:lang w:val="zh-CN"/>
              </w:rPr>
              <w:t>投标承诺函</w:t>
            </w:r>
          </w:p>
        </w:tc>
        <w:tc>
          <w:tcPr>
            <w:tcW w:w="1559" w:type="dxa"/>
            <w:vAlign w:val="center"/>
          </w:tcPr>
          <w:p w14:paraId="2B89D42E">
            <w:pPr>
              <w:snapToGrid w:val="0"/>
              <w:spacing w:line="400" w:lineRule="exact"/>
              <w:jc w:val="center"/>
              <w:rPr>
                <w:rFonts w:hint="eastAsia" w:ascii="宋体" w:hAnsi="宋体" w:cs="微软雅黑"/>
                <w:color w:val="auto"/>
                <w:szCs w:val="21"/>
              </w:rPr>
            </w:pPr>
          </w:p>
        </w:tc>
        <w:tc>
          <w:tcPr>
            <w:tcW w:w="1560" w:type="dxa"/>
            <w:vAlign w:val="center"/>
          </w:tcPr>
          <w:p w14:paraId="2B89D42F">
            <w:pPr>
              <w:snapToGrid w:val="0"/>
              <w:spacing w:line="400" w:lineRule="exact"/>
              <w:rPr>
                <w:rFonts w:hint="eastAsia" w:ascii="宋体" w:hAnsi="宋体" w:cs="微软雅黑"/>
                <w:color w:val="auto"/>
                <w:szCs w:val="21"/>
              </w:rPr>
            </w:pPr>
          </w:p>
        </w:tc>
        <w:tc>
          <w:tcPr>
            <w:tcW w:w="2018" w:type="dxa"/>
            <w:vAlign w:val="center"/>
          </w:tcPr>
          <w:p w14:paraId="2B89D430">
            <w:pPr>
              <w:snapToGrid w:val="0"/>
              <w:spacing w:line="400" w:lineRule="exact"/>
              <w:rPr>
                <w:rFonts w:hint="eastAsia" w:ascii="宋体" w:hAnsi="宋体" w:cs="微软雅黑"/>
                <w:color w:val="auto"/>
                <w:szCs w:val="21"/>
              </w:rPr>
            </w:pPr>
          </w:p>
        </w:tc>
      </w:tr>
      <w:tr w14:paraId="2B89D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32">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7</w:t>
            </w:r>
          </w:p>
        </w:tc>
        <w:tc>
          <w:tcPr>
            <w:tcW w:w="3751" w:type="dxa"/>
            <w:vAlign w:val="center"/>
          </w:tcPr>
          <w:p w14:paraId="2B89D433">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hAnsi="宋体"/>
                <w:color w:val="auto"/>
                <w:kern w:val="0"/>
                <w:sz w:val="21"/>
                <w:szCs w:val="21"/>
              </w:rPr>
              <w:t>禹州市政府采购供应商信用承诺函</w:t>
            </w:r>
          </w:p>
        </w:tc>
        <w:tc>
          <w:tcPr>
            <w:tcW w:w="1559" w:type="dxa"/>
            <w:vAlign w:val="center"/>
          </w:tcPr>
          <w:p w14:paraId="2B89D434">
            <w:pPr>
              <w:jc w:val="center"/>
              <w:rPr>
                <w:color w:val="auto"/>
                <w:szCs w:val="21"/>
              </w:rPr>
            </w:pPr>
          </w:p>
        </w:tc>
        <w:tc>
          <w:tcPr>
            <w:tcW w:w="1560" w:type="dxa"/>
            <w:vAlign w:val="center"/>
          </w:tcPr>
          <w:p w14:paraId="2B89D435">
            <w:pPr>
              <w:snapToGrid w:val="0"/>
              <w:spacing w:line="400" w:lineRule="exact"/>
              <w:rPr>
                <w:rFonts w:hint="eastAsia" w:ascii="宋体" w:hAnsi="宋体" w:cs="微软雅黑"/>
                <w:color w:val="auto"/>
                <w:szCs w:val="21"/>
              </w:rPr>
            </w:pPr>
          </w:p>
        </w:tc>
        <w:tc>
          <w:tcPr>
            <w:tcW w:w="2018" w:type="dxa"/>
            <w:vAlign w:val="center"/>
          </w:tcPr>
          <w:p w14:paraId="2B89D436">
            <w:pPr>
              <w:snapToGrid w:val="0"/>
              <w:spacing w:line="400" w:lineRule="exact"/>
              <w:rPr>
                <w:rFonts w:hint="eastAsia" w:ascii="宋体" w:hAnsi="宋体" w:cs="微软雅黑"/>
                <w:color w:val="auto"/>
                <w:szCs w:val="21"/>
              </w:rPr>
            </w:pPr>
          </w:p>
        </w:tc>
      </w:tr>
      <w:tr w14:paraId="2B89D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38">
            <w:pPr>
              <w:adjustRightInd w:val="0"/>
              <w:snapToGrid w:val="0"/>
              <w:spacing w:line="400" w:lineRule="exact"/>
              <w:jc w:val="center"/>
              <w:textAlignment w:val="baseline"/>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8</w:t>
            </w:r>
          </w:p>
        </w:tc>
        <w:tc>
          <w:tcPr>
            <w:tcW w:w="3751" w:type="dxa"/>
            <w:vAlign w:val="center"/>
          </w:tcPr>
          <w:p w14:paraId="2B89D439">
            <w:pPr>
              <w:pStyle w:val="10"/>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14:paraId="2B89D43A">
            <w:pPr>
              <w:jc w:val="center"/>
              <w:rPr>
                <w:color w:val="auto"/>
                <w:szCs w:val="21"/>
              </w:rPr>
            </w:pPr>
          </w:p>
        </w:tc>
        <w:tc>
          <w:tcPr>
            <w:tcW w:w="1560" w:type="dxa"/>
            <w:vAlign w:val="center"/>
          </w:tcPr>
          <w:p w14:paraId="2B89D43B">
            <w:pPr>
              <w:snapToGrid w:val="0"/>
              <w:spacing w:line="400" w:lineRule="exact"/>
              <w:rPr>
                <w:rFonts w:hint="eastAsia" w:ascii="宋体" w:hAnsi="宋体" w:cs="微软雅黑"/>
                <w:color w:val="auto"/>
                <w:szCs w:val="21"/>
              </w:rPr>
            </w:pPr>
          </w:p>
        </w:tc>
        <w:tc>
          <w:tcPr>
            <w:tcW w:w="2018" w:type="dxa"/>
            <w:vAlign w:val="center"/>
          </w:tcPr>
          <w:p w14:paraId="2B89D43C">
            <w:pPr>
              <w:snapToGrid w:val="0"/>
              <w:spacing w:line="400" w:lineRule="exact"/>
              <w:rPr>
                <w:rFonts w:hint="eastAsia" w:ascii="宋体" w:hAnsi="宋体" w:cs="微软雅黑"/>
                <w:color w:val="auto"/>
                <w:szCs w:val="21"/>
              </w:rPr>
            </w:pPr>
          </w:p>
        </w:tc>
      </w:tr>
      <w:tr w14:paraId="2B89D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3E">
            <w:pPr>
              <w:adjustRightInd w:val="0"/>
              <w:snapToGrid w:val="0"/>
              <w:spacing w:line="400" w:lineRule="exact"/>
              <w:jc w:val="center"/>
              <w:textAlignment w:val="baseline"/>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9</w:t>
            </w:r>
          </w:p>
        </w:tc>
        <w:tc>
          <w:tcPr>
            <w:tcW w:w="3751" w:type="dxa"/>
            <w:vAlign w:val="center"/>
          </w:tcPr>
          <w:p w14:paraId="2B89D43F">
            <w:pPr>
              <w:pStyle w:val="10"/>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投标人与参加本项目投标的其他供应商之间，单位负责人不为同一人并且不存在直接控股、管理关系承诺函</w:t>
            </w:r>
          </w:p>
        </w:tc>
        <w:tc>
          <w:tcPr>
            <w:tcW w:w="1559" w:type="dxa"/>
            <w:vAlign w:val="center"/>
          </w:tcPr>
          <w:p w14:paraId="2B89D440">
            <w:pPr>
              <w:jc w:val="center"/>
              <w:rPr>
                <w:color w:val="auto"/>
                <w:szCs w:val="21"/>
              </w:rPr>
            </w:pPr>
          </w:p>
        </w:tc>
        <w:tc>
          <w:tcPr>
            <w:tcW w:w="1560" w:type="dxa"/>
            <w:vAlign w:val="center"/>
          </w:tcPr>
          <w:p w14:paraId="2B89D441">
            <w:pPr>
              <w:snapToGrid w:val="0"/>
              <w:spacing w:line="400" w:lineRule="exact"/>
              <w:rPr>
                <w:rFonts w:hint="eastAsia" w:ascii="宋体" w:hAnsi="宋体" w:cs="微软雅黑"/>
                <w:color w:val="auto"/>
                <w:szCs w:val="21"/>
              </w:rPr>
            </w:pPr>
          </w:p>
        </w:tc>
        <w:tc>
          <w:tcPr>
            <w:tcW w:w="2018" w:type="dxa"/>
            <w:vAlign w:val="center"/>
          </w:tcPr>
          <w:p w14:paraId="2B89D442">
            <w:pPr>
              <w:snapToGrid w:val="0"/>
              <w:spacing w:line="400" w:lineRule="exact"/>
              <w:rPr>
                <w:rFonts w:hint="eastAsia" w:ascii="宋体" w:hAnsi="宋体" w:cs="微软雅黑"/>
                <w:color w:val="auto"/>
                <w:szCs w:val="21"/>
              </w:rPr>
            </w:pPr>
          </w:p>
        </w:tc>
      </w:tr>
      <w:tr w14:paraId="2B89D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44">
            <w:pPr>
              <w:adjustRightInd w:val="0"/>
              <w:snapToGrid w:val="0"/>
              <w:spacing w:line="400" w:lineRule="exact"/>
              <w:jc w:val="center"/>
              <w:textAlignment w:val="baseline"/>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10</w:t>
            </w:r>
          </w:p>
        </w:tc>
        <w:tc>
          <w:tcPr>
            <w:tcW w:w="3751" w:type="dxa"/>
            <w:vAlign w:val="center"/>
          </w:tcPr>
          <w:p w14:paraId="2B89D445">
            <w:pPr>
              <w:pStyle w:val="10"/>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lang w:val="zh-CN"/>
              </w:rPr>
            </w:pPr>
            <w:r>
              <w:rPr>
                <w:rFonts w:hint="eastAsia" w:cs="仿宋_GB2312" w:asciiTheme="minorEastAsia" w:hAnsiTheme="minorEastAsia"/>
                <w:color w:val="auto"/>
                <w:sz w:val="21"/>
                <w:szCs w:val="21"/>
                <w:lang w:val="zh-CN"/>
              </w:rPr>
              <w:t>投标人未为本项目提供整体设计、规范编制或者项目管理、监理、检测等服务承诺函</w:t>
            </w:r>
          </w:p>
        </w:tc>
        <w:tc>
          <w:tcPr>
            <w:tcW w:w="1559" w:type="dxa"/>
            <w:vAlign w:val="center"/>
          </w:tcPr>
          <w:p w14:paraId="2B89D446">
            <w:pPr>
              <w:jc w:val="center"/>
              <w:rPr>
                <w:color w:val="auto"/>
                <w:szCs w:val="21"/>
              </w:rPr>
            </w:pPr>
          </w:p>
        </w:tc>
        <w:tc>
          <w:tcPr>
            <w:tcW w:w="1560" w:type="dxa"/>
            <w:vAlign w:val="center"/>
          </w:tcPr>
          <w:p w14:paraId="2B89D447">
            <w:pPr>
              <w:snapToGrid w:val="0"/>
              <w:spacing w:line="400" w:lineRule="exact"/>
              <w:rPr>
                <w:rFonts w:hint="eastAsia" w:ascii="宋体" w:hAnsi="宋体" w:cs="微软雅黑"/>
                <w:color w:val="auto"/>
                <w:szCs w:val="21"/>
              </w:rPr>
            </w:pPr>
          </w:p>
        </w:tc>
        <w:tc>
          <w:tcPr>
            <w:tcW w:w="2018" w:type="dxa"/>
            <w:vAlign w:val="center"/>
          </w:tcPr>
          <w:p w14:paraId="2B89D448">
            <w:pPr>
              <w:snapToGrid w:val="0"/>
              <w:spacing w:line="400" w:lineRule="exact"/>
              <w:rPr>
                <w:rFonts w:hint="eastAsia" w:ascii="宋体" w:hAnsi="宋体" w:cs="微软雅黑"/>
                <w:color w:val="auto"/>
                <w:szCs w:val="21"/>
              </w:rPr>
            </w:pPr>
          </w:p>
        </w:tc>
      </w:tr>
      <w:tr w14:paraId="2B89D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4A">
            <w:pPr>
              <w:adjustRightInd w:val="0"/>
              <w:snapToGrid w:val="0"/>
              <w:spacing w:line="400" w:lineRule="exact"/>
              <w:jc w:val="center"/>
              <w:textAlignment w:val="baseline"/>
              <w:rPr>
                <w:rFonts w:hint="eastAsia" w:ascii="宋体" w:hAnsi="宋体" w:cs="微软雅黑"/>
                <w:color w:val="auto"/>
                <w:szCs w:val="21"/>
                <w:lang w:val="zh-CN"/>
              </w:rPr>
            </w:pPr>
            <w:r>
              <w:rPr>
                <w:rFonts w:hint="eastAsia" w:ascii="宋体" w:hAnsi="宋体" w:cs="微软雅黑"/>
                <w:color w:val="auto"/>
                <w:szCs w:val="21"/>
              </w:rPr>
              <w:t>11</w:t>
            </w:r>
          </w:p>
        </w:tc>
        <w:tc>
          <w:tcPr>
            <w:tcW w:w="3751" w:type="dxa"/>
            <w:vAlign w:val="center"/>
          </w:tcPr>
          <w:p w14:paraId="2B89D44B">
            <w:pPr>
              <w:pStyle w:val="10"/>
              <w:kinsoku w:val="0"/>
              <w:overflowPunct w:val="0"/>
              <w:autoSpaceDE w:val="0"/>
              <w:autoSpaceDN w:val="0"/>
              <w:spacing w:line="320" w:lineRule="exact"/>
              <w:rPr>
                <w:rFonts w:hint="eastAsia" w:cs="仿宋_GB2312" w:asciiTheme="minorEastAsia" w:hAnsiTheme="minorEastAsia"/>
                <w:color w:val="auto"/>
                <w:sz w:val="21"/>
                <w:szCs w:val="21"/>
                <w:lang w:val="zh-CN"/>
              </w:rPr>
            </w:pPr>
            <w:r>
              <w:rPr>
                <w:rFonts w:hint="eastAsia" w:cs="仿宋_GB2312" w:asciiTheme="minorEastAsia" w:hAnsiTheme="minorEastAsia"/>
                <w:color w:val="auto"/>
                <w:sz w:val="21"/>
                <w:szCs w:val="21"/>
                <w:lang w:val="zh-CN"/>
              </w:rPr>
              <w:t>分项报价表</w:t>
            </w:r>
          </w:p>
        </w:tc>
        <w:tc>
          <w:tcPr>
            <w:tcW w:w="1559" w:type="dxa"/>
            <w:vAlign w:val="center"/>
          </w:tcPr>
          <w:p w14:paraId="2B89D44C">
            <w:pPr>
              <w:jc w:val="center"/>
              <w:rPr>
                <w:color w:val="auto"/>
                <w:szCs w:val="21"/>
              </w:rPr>
            </w:pPr>
          </w:p>
        </w:tc>
        <w:tc>
          <w:tcPr>
            <w:tcW w:w="1560" w:type="dxa"/>
            <w:vAlign w:val="center"/>
          </w:tcPr>
          <w:p w14:paraId="2B89D44D">
            <w:pPr>
              <w:snapToGrid w:val="0"/>
              <w:spacing w:line="400" w:lineRule="exact"/>
              <w:rPr>
                <w:rFonts w:hint="eastAsia" w:ascii="宋体" w:hAnsi="宋体" w:cs="微软雅黑"/>
                <w:color w:val="auto"/>
                <w:szCs w:val="21"/>
              </w:rPr>
            </w:pPr>
          </w:p>
        </w:tc>
        <w:tc>
          <w:tcPr>
            <w:tcW w:w="2018" w:type="dxa"/>
            <w:vAlign w:val="center"/>
          </w:tcPr>
          <w:p w14:paraId="2B89D44E">
            <w:pPr>
              <w:snapToGrid w:val="0"/>
              <w:spacing w:line="400" w:lineRule="exact"/>
              <w:rPr>
                <w:rFonts w:hint="eastAsia" w:ascii="宋体" w:hAnsi="宋体" w:cs="微软雅黑"/>
                <w:color w:val="auto"/>
                <w:szCs w:val="21"/>
              </w:rPr>
            </w:pPr>
          </w:p>
        </w:tc>
      </w:tr>
      <w:tr w14:paraId="2B89D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50">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12</w:t>
            </w:r>
          </w:p>
        </w:tc>
        <w:tc>
          <w:tcPr>
            <w:tcW w:w="3751" w:type="dxa"/>
            <w:vAlign w:val="center"/>
          </w:tcPr>
          <w:p w14:paraId="2B89D451">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hAnsi="宋体" w:cs="微软雅黑"/>
                <w:bCs/>
                <w:color w:val="auto"/>
                <w:kern w:val="0"/>
                <w:sz w:val="21"/>
                <w:szCs w:val="21"/>
              </w:rPr>
              <w:t>技术规格偏离表</w:t>
            </w:r>
          </w:p>
        </w:tc>
        <w:tc>
          <w:tcPr>
            <w:tcW w:w="1559" w:type="dxa"/>
            <w:vAlign w:val="center"/>
          </w:tcPr>
          <w:p w14:paraId="2B89D452">
            <w:pPr>
              <w:jc w:val="center"/>
              <w:rPr>
                <w:color w:val="auto"/>
                <w:szCs w:val="21"/>
              </w:rPr>
            </w:pPr>
          </w:p>
        </w:tc>
        <w:tc>
          <w:tcPr>
            <w:tcW w:w="1560" w:type="dxa"/>
            <w:vAlign w:val="center"/>
          </w:tcPr>
          <w:p w14:paraId="2B89D453">
            <w:pPr>
              <w:snapToGrid w:val="0"/>
              <w:spacing w:line="400" w:lineRule="exact"/>
              <w:rPr>
                <w:rFonts w:hint="eastAsia" w:ascii="宋体" w:hAnsi="宋体" w:cs="微软雅黑"/>
                <w:color w:val="auto"/>
                <w:szCs w:val="21"/>
              </w:rPr>
            </w:pPr>
          </w:p>
        </w:tc>
        <w:tc>
          <w:tcPr>
            <w:tcW w:w="2018" w:type="dxa"/>
            <w:vAlign w:val="center"/>
          </w:tcPr>
          <w:p w14:paraId="2B89D454">
            <w:pPr>
              <w:snapToGrid w:val="0"/>
              <w:spacing w:line="400" w:lineRule="exact"/>
              <w:rPr>
                <w:rFonts w:hint="eastAsia" w:ascii="宋体" w:hAnsi="宋体" w:cs="微软雅黑"/>
                <w:color w:val="auto"/>
                <w:szCs w:val="21"/>
              </w:rPr>
            </w:pPr>
          </w:p>
        </w:tc>
      </w:tr>
      <w:tr w14:paraId="2B89D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56">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13</w:t>
            </w:r>
          </w:p>
        </w:tc>
        <w:tc>
          <w:tcPr>
            <w:tcW w:w="3751" w:type="dxa"/>
            <w:vAlign w:val="center"/>
          </w:tcPr>
          <w:p w14:paraId="2B89D457">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vAlign w:val="center"/>
          </w:tcPr>
          <w:p w14:paraId="2B89D458">
            <w:pPr>
              <w:jc w:val="center"/>
              <w:rPr>
                <w:color w:val="auto"/>
                <w:szCs w:val="21"/>
              </w:rPr>
            </w:pPr>
          </w:p>
        </w:tc>
        <w:tc>
          <w:tcPr>
            <w:tcW w:w="1560" w:type="dxa"/>
            <w:tcBorders>
              <w:top w:val="single" w:color="auto" w:sz="4" w:space="0"/>
            </w:tcBorders>
            <w:vAlign w:val="center"/>
          </w:tcPr>
          <w:p w14:paraId="2B89D459">
            <w:pPr>
              <w:snapToGrid w:val="0"/>
              <w:spacing w:line="400" w:lineRule="exact"/>
              <w:rPr>
                <w:rFonts w:hint="eastAsia" w:ascii="宋体" w:hAnsi="宋体" w:cs="微软雅黑"/>
                <w:color w:val="auto"/>
                <w:szCs w:val="21"/>
              </w:rPr>
            </w:pPr>
          </w:p>
        </w:tc>
        <w:tc>
          <w:tcPr>
            <w:tcW w:w="2018" w:type="dxa"/>
            <w:tcBorders>
              <w:top w:val="single" w:color="auto" w:sz="4" w:space="0"/>
            </w:tcBorders>
            <w:vAlign w:val="center"/>
          </w:tcPr>
          <w:p w14:paraId="2B89D45A">
            <w:pPr>
              <w:snapToGrid w:val="0"/>
              <w:spacing w:line="400" w:lineRule="exact"/>
              <w:rPr>
                <w:rFonts w:hint="eastAsia" w:ascii="宋体" w:hAnsi="宋体" w:cs="微软雅黑"/>
                <w:color w:val="auto"/>
                <w:szCs w:val="21"/>
              </w:rPr>
            </w:pPr>
          </w:p>
        </w:tc>
      </w:tr>
      <w:tr w14:paraId="2B89D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5C">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14</w:t>
            </w:r>
          </w:p>
        </w:tc>
        <w:tc>
          <w:tcPr>
            <w:tcW w:w="3751" w:type="dxa"/>
            <w:vAlign w:val="center"/>
          </w:tcPr>
          <w:p w14:paraId="2B89D45D">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hAnsi="宋体" w:cs="微软雅黑"/>
                <w:bCs/>
                <w:color w:val="auto"/>
                <w:kern w:val="0"/>
                <w:sz w:val="21"/>
                <w:szCs w:val="21"/>
              </w:rPr>
              <w:t>售后服务方案及服务承诺</w:t>
            </w:r>
          </w:p>
        </w:tc>
        <w:tc>
          <w:tcPr>
            <w:tcW w:w="1559" w:type="dxa"/>
            <w:vAlign w:val="center"/>
          </w:tcPr>
          <w:p w14:paraId="2B89D45E">
            <w:pPr>
              <w:jc w:val="center"/>
              <w:rPr>
                <w:color w:val="auto"/>
                <w:szCs w:val="21"/>
              </w:rPr>
            </w:pPr>
          </w:p>
        </w:tc>
        <w:tc>
          <w:tcPr>
            <w:tcW w:w="1560" w:type="dxa"/>
            <w:vAlign w:val="center"/>
          </w:tcPr>
          <w:p w14:paraId="2B89D45F">
            <w:pPr>
              <w:snapToGrid w:val="0"/>
              <w:spacing w:line="400" w:lineRule="exact"/>
              <w:rPr>
                <w:rFonts w:hint="eastAsia" w:ascii="宋体" w:hAnsi="宋体" w:cs="微软雅黑"/>
                <w:color w:val="auto"/>
                <w:szCs w:val="21"/>
              </w:rPr>
            </w:pPr>
          </w:p>
        </w:tc>
        <w:tc>
          <w:tcPr>
            <w:tcW w:w="2018" w:type="dxa"/>
            <w:vAlign w:val="center"/>
          </w:tcPr>
          <w:p w14:paraId="2B89D460">
            <w:pPr>
              <w:snapToGrid w:val="0"/>
              <w:spacing w:line="400" w:lineRule="exact"/>
              <w:rPr>
                <w:rFonts w:hint="eastAsia" w:ascii="宋体" w:hAnsi="宋体" w:cs="微软雅黑"/>
                <w:color w:val="auto"/>
                <w:szCs w:val="21"/>
              </w:rPr>
            </w:pPr>
          </w:p>
        </w:tc>
      </w:tr>
      <w:tr w14:paraId="2B89D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62">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15</w:t>
            </w:r>
          </w:p>
        </w:tc>
        <w:tc>
          <w:tcPr>
            <w:tcW w:w="3751" w:type="dxa"/>
            <w:vAlign w:val="center"/>
          </w:tcPr>
          <w:p w14:paraId="2B89D463">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14:paraId="2B89D464">
            <w:pPr>
              <w:jc w:val="center"/>
              <w:rPr>
                <w:color w:val="auto"/>
                <w:szCs w:val="21"/>
              </w:rPr>
            </w:pPr>
          </w:p>
        </w:tc>
        <w:tc>
          <w:tcPr>
            <w:tcW w:w="1560" w:type="dxa"/>
            <w:vAlign w:val="center"/>
          </w:tcPr>
          <w:p w14:paraId="2B89D465">
            <w:pPr>
              <w:snapToGrid w:val="0"/>
              <w:spacing w:line="400" w:lineRule="exact"/>
              <w:rPr>
                <w:rFonts w:hint="eastAsia" w:ascii="宋体" w:hAnsi="宋体" w:cs="微软雅黑"/>
                <w:color w:val="auto"/>
                <w:szCs w:val="21"/>
              </w:rPr>
            </w:pPr>
          </w:p>
        </w:tc>
        <w:tc>
          <w:tcPr>
            <w:tcW w:w="2018" w:type="dxa"/>
            <w:vAlign w:val="center"/>
          </w:tcPr>
          <w:p w14:paraId="2B89D466">
            <w:pPr>
              <w:snapToGrid w:val="0"/>
              <w:spacing w:line="400" w:lineRule="exact"/>
              <w:rPr>
                <w:rFonts w:hint="eastAsia" w:ascii="宋体" w:hAnsi="宋体" w:cs="微软雅黑"/>
                <w:color w:val="auto"/>
                <w:szCs w:val="21"/>
              </w:rPr>
            </w:pPr>
          </w:p>
        </w:tc>
      </w:tr>
      <w:tr w14:paraId="2B89D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68">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16</w:t>
            </w:r>
          </w:p>
        </w:tc>
        <w:tc>
          <w:tcPr>
            <w:tcW w:w="3751" w:type="dxa"/>
            <w:vAlign w:val="center"/>
          </w:tcPr>
          <w:p w14:paraId="2B89D469">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14:paraId="2B89D46A">
            <w:pPr>
              <w:jc w:val="center"/>
              <w:rPr>
                <w:color w:val="auto"/>
                <w:szCs w:val="21"/>
              </w:rPr>
            </w:pPr>
          </w:p>
        </w:tc>
        <w:tc>
          <w:tcPr>
            <w:tcW w:w="1560" w:type="dxa"/>
            <w:vAlign w:val="center"/>
          </w:tcPr>
          <w:p w14:paraId="2B89D46B">
            <w:pPr>
              <w:snapToGrid w:val="0"/>
              <w:spacing w:line="400" w:lineRule="exact"/>
              <w:rPr>
                <w:rFonts w:hint="eastAsia" w:ascii="宋体" w:hAnsi="宋体" w:cs="微软雅黑"/>
                <w:color w:val="auto"/>
                <w:szCs w:val="21"/>
              </w:rPr>
            </w:pPr>
          </w:p>
        </w:tc>
        <w:tc>
          <w:tcPr>
            <w:tcW w:w="2018" w:type="dxa"/>
            <w:vAlign w:val="center"/>
          </w:tcPr>
          <w:p w14:paraId="2B89D46C">
            <w:pPr>
              <w:snapToGrid w:val="0"/>
              <w:spacing w:line="400" w:lineRule="exact"/>
              <w:rPr>
                <w:rFonts w:hint="eastAsia" w:ascii="宋体" w:hAnsi="宋体" w:cs="微软雅黑"/>
                <w:color w:val="auto"/>
                <w:szCs w:val="21"/>
              </w:rPr>
            </w:pPr>
          </w:p>
        </w:tc>
      </w:tr>
      <w:tr w14:paraId="2B89D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6E">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17</w:t>
            </w:r>
          </w:p>
        </w:tc>
        <w:tc>
          <w:tcPr>
            <w:tcW w:w="3751" w:type="dxa"/>
            <w:vAlign w:val="center"/>
          </w:tcPr>
          <w:p w14:paraId="2B89D46F">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14:paraId="2B89D470">
            <w:pPr>
              <w:jc w:val="center"/>
              <w:rPr>
                <w:color w:val="auto"/>
                <w:szCs w:val="21"/>
              </w:rPr>
            </w:pPr>
          </w:p>
        </w:tc>
        <w:tc>
          <w:tcPr>
            <w:tcW w:w="1560" w:type="dxa"/>
            <w:vAlign w:val="center"/>
          </w:tcPr>
          <w:p w14:paraId="2B89D471">
            <w:pPr>
              <w:snapToGrid w:val="0"/>
              <w:spacing w:line="400" w:lineRule="exact"/>
              <w:rPr>
                <w:rFonts w:hint="eastAsia" w:ascii="宋体" w:hAnsi="宋体" w:cs="微软雅黑"/>
                <w:color w:val="auto"/>
                <w:szCs w:val="21"/>
              </w:rPr>
            </w:pPr>
          </w:p>
        </w:tc>
        <w:tc>
          <w:tcPr>
            <w:tcW w:w="2018" w:type="dxa"/>
            <w:vAlign w:val="center"/>
          </w:tcPr>
          <w:p w14:paraId="2B89D472">
            <w:pPr>
              <w:snapToGrid w:val="0"/>
              <w:spacing w:line="400" w:lineRule="exact"/>
              <w:rPr>
                <w:rFonts w:hint="eastAsia" w:ascii="宋体" w:hAnsi="宋体" w:cs="微软雅黑"/>
                <w:color w:val="auto"/>
                <w:szCs w:val="21"/>
              </w:rPr>
            </w:pPr>
          </w:p>
        </w:tc>
      </w:tr>
      <w:tr w14:paraId="2B89D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74">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18</w:t>
            </w:r>
          </w:p>
        </w:tc>
        <w:tc>
          <w:tcPr>
            <w:tcW w:w="3751" w:type="dxa"/>
            <w:vAlign w:val="center"/>
          </w:tcPr>
          <w:p w14:paraId="2B89D475">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14:paraId="2B89D476">
            <w:pPr>
              <w:jc w:val="center"/>
              <w:rPr>
                <w:color w:val="auto"/>
                <w:szCs w:val="21"/>
              </w:rPr>
            </w:pPr>
          </w:p>
        </w:tc>
        <w:tc>
          <w:tcPr>
            <w:tcW w:w="1560" w:type="dxa"/>
            <w:vAlign w:val="center"/>
          </w:tcPr>
          <w:p w14:paraId="2B89D477">
            <w:pPr>
              <w:snapToGrid w:val="0"/>
              <w:spacing w:line="400" w:lineRule="exact"/>
              <w:rPr>
                <w:rFonts w:hint="eastAsia" w:ascii="宋体" w:hAnsi="宋体" w:cs="微软雅黑"/>
                <w:color w:val="auto"/>
                <w:szCs w:val="21"/>
              </w:rPr>
            </w:pPr>
          </w:p>
        </w:tc>
        <w:tc>
          <w:tcPr>
            <w:tcW w:w="2018" w:type="dxa"/>
            <w:vAlign w:val="center"/>
          </w:tcPr>
          <w:p w14:paraId="2B89D478">
            <w:pPr>
              <w:snapToGrid w:val="0"/>
              <w:spacing w:line="400" w:lineRule="exact"/>
              <w:rPr>
                <w:rFonts w:hint="eastAsia" w:ascii="宋体" w:hAnsi="宋体" w:cs="微软雅黑"/>
                <w:color w:val="auto"/>
                <w:szCs w:val="21"/>
              </w:rPr>
            </w:pPr>
          </w:p>
        </w:tc>
      </w:tr>
      <w:tr w14:paraId="0A32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B8DE05">
            <w:pPr>
              <w:adjustRightInd w:val="0"/>
              <w:snapToGrid w:val="0"/>
              <w:spacing w:line="400" w:lineRule="exact"/>
              <w:jc w:val="center"/>
              <w:textAlignment w:val="baseline"/>
              <w:rPr>
                <w:rFonts w:hint="default" w:ascii="宋体" w:hAnsi="宋体" w:cs="微软雅黑" w:eastAsiaTheme="minorEastAsia"/>
                <w:color w:val="auto"/>
                <w:szCs w:val="21"/>
                <w:lang w:val="en-US" w:eastAsia="zh-CN"/>
              </w:rPr>
            </w:pPr>
            <w:r>
              <w:rPr>
                <w:rFonts w:hint="eastAsia" w:ascii="宋体" w:hAnsi="宋体" w:cs="微软雅黑"/>
                <w:color w:val="auto"/>
                <w:szCs w:val="21"/>
                <w:lang w:val="en-US" w:eastAsia="zh-CN"/>
              </w:rPr>
              <w:t>19</w:t>
            </w:r>
          </w:p>
        </w:tc>
        <w:tc>
          <w:tcPr>
            <w:tcW w:w="3751" w:type="dxa"/>
            <w:vAlign w:val="center"/>
          </w:tcPr>
          <w:p w14:paraId="5FAE5BB7">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“节能产品政府采购品目清单 ”强制节能产品情况</w:t>
            </w:r>
          </w:p>
        </w:tc>
        <w:tc>
          <w:tcPr>
            <w:tcW w:w="1559" w:type="dxa"/>
            <w:vAlign w:val="center"/>
          </w:tcPr>
          <w:p w14:paraId="529552FD">
            <w:pPr>
              <w:jc w:val="center"/>
              <w:rPr>
                <w:color w:val="auto"/>
                <w:szCs w:val="21"/>
              </w:rPr>
            </w:pPr>
          </w:p>
        </w:tc>
        <w:tc>
          <w:tcPr>
            <w:tcW w:w="1560" w:type="dxa"/>
            <w:vAlign w:val="center"/>
          </w:tcPr>
          <w:p w14:paraId="7C2A0934">
            <w:pPr>
              <w:snapToGrid w:val="0"/>
              <w:spacing w:line="400" w:lineRule="exact"/>
              <w:rPr>
                <w:rFonts w:hint="eastAsia" w:ascii="宋体" w:hAnsi="宋体" w:cs="微软雅黑"/>
                <w:color w:val="auto"/>
                <w:szCs w:val="21"/>
              </w:rPr>
            </w:pPr>
          </w:p>
        </w:tc>
        <w:tc>
          <w:tcPr>
            <w:tcW w:w="2018" w:type="dxa"/>
            <w:vAlign w:val="center"/>
          </w:tcPr>
          <w:p w14:paraId="3F7441E8">
            <w:pPr>
              <w:snapToGrid w:val="0"/>
              <w:spacing w:line="400" w:lineRule="exact"/>
              <w:rPr>
                <w:rFonts w:hint="eastAsia" w:ascii="宋体" w:hAnsi="宋体" w:cs="微软雅黑"/>
                <w:color w:val="auto"/>
                <w:szCs w:val="21"/>
              </w:rPr>
            </w:pPr>
          </w:p>
        </w:tc>
      </w:tr>
      <w:tr w14:paraId="3FE70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1DDC372">
            <w:pPr>
              <w:adjustRightInd w:val="0"/>
              <w:snapToGrid w:val="0"/>
              <w:spacing w:line="400" w:lineRule="exact"/>
              <w:jc w:val="center"/>
              <w:textAlignment w:val="baseline"/>
              <w:rPr>
                <w:rFonts w:hint="default" w:ascii="宋体" w:hAnsi="宋体" w:cs="微软雅黑" w:eastAsiaTheme="minorEastAsia"/>
                <w:color w:val="auto"/>
                <w:szCs w:val="21"/>
                <w:lang w:val="en-US" w:eastAsia="zh-CN"/>
              </w:rPr>
            </w:pPr>
            <w:r>
              <w:rPr>
                <w:rFonts w:hint="eastAsia" w:ascii="宋体" w:hAnsi="宋体" w:cs="微软雅黑"/>
                <w:color w:val="auto"/>
                <w:szCs w:val="21"/>
                <w:lang w:val="en-US" w:eastAsia="zh-CN"/>
              </w:rPr>
              <w:t>20</w:t>
            </w:r>
          </w:p>
        </w:tc>
        <w:tc>
          <w:tcPr>
            <w:tcW w:w="3751" w:type="dxa"/>
            <w:vAlign w:val="center"/>
          </w:tcPr>
          <w:p w14:paraId="77FDE991">
            <w:pPr>
              <w:adjustRightInd w:val="0"/>
              <w:snapToGrid w:val="0"/>
              <w:spacing w:line="400" w:lineRule="exact"/>
              <w:jc w:val="left"/>
              <w:textAlignment w:val="baseline"/>
              <w:rPr>
                <w:rFonts w:hint="eastAsia" w:ascii="宋体" w:hAnsi="宋体" w:cs="微软雅黑"/>
                <w:color w:val="auto"/>
                <w:szCs w:val="21"/>
              </w:rPr>
            </w:pPr>
            <w:r>
              <w:rPr>
                <w:rFonts w:hint="eastAsia" w:ascii="宋体" w:hAnsi="宋体" w:cs="微软雅黑"/>
                <w:color w:val="auto"/>
                <w:szCs w:val="21"/>
              </w:rPr>
              <w:t>“节能产品政府采购品目清单 ”优先采购节能产品情况</w:t>
            </w:r>
          </w:p>
        </w:tc>
        <w:tc>
          <w:tcPr>
            <w:tcW w:w="1559" w:type="dxa"/>
            <w:vAlign w:val="center"/>
          </w:tcPr>
          <w:p w14:paraId="0E6AFA22">
            <w:pPr>
              <w:adjustRightInd w:val="0"/>
              <w:snapToGrid w:val="0"/>
              <w:spacing w:line="400" w:lineRule="exact"/>
              <w:jc w:val="center"/>
              <w:textAlignment w:val="baseline"/>
              <w:rPr>
                <w:rFonts w:hint="eastAsia" w:ascii="宋体" w:hAnsi="宋体" w:cs="微软雅黑"/>
                <w:color w:val="auto"/>
                <w:szCs w:val="21"/>
              </w:rPr>
            </w:pPr>
          </w:p>
        </w:tc>
        <w:tc>
          <w:tcPr>
            <w:tcW w:w="1560" w:type="dxa"/>
            <w:vAlign w:val="center"/>
          </w:tcPr>
          <w:p w14:paraId="71CDE275">
            <w:pPr>
              <w:snapToGrid w:val="0"/>
              <w:spacing w:line="400" w:lineRule="exact"/>
              <w:rPr>
                <w:rFonts w:hint="eastAsia" w:ascii="宋体" w:hAnsi="宋体" w:cs="微软雅黑"/>
                <w:color w:val="auto"/>
                <w:szCs w:val="21"/>
              </w:rPr>
            </w:pPr>
          </w:p>
        </w:tc>
        <w:tc>
          <w:tcPr>
            <w:tcW w:w="2018" w:type="dxa"/>
            <w:vAlign w:val="center"/>
          </w:tcPr>
          <w:p w14:paraId="59163781">
            <w:pPr>
              <w:snapToGrid w:val="0"/>
              <w:spacing w:line="400" w:lineRule="exact"/>
              <w:rPr>
                <w:rFonts w:hint="eastAsia" w:ascii="宋体" w:hAnsi="宋体" w:cs="微软雅黑"/>
                <w:color w:val="auto"/>
                <w:szCs w:val="21"/>
              </w:rPr>
            </w:pPr>
          </w:p>
        </w:tc>
      </w:tr>
      <w:tr w14:paraId="7F21A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E309323">
            <w:pPr>
              <w:adjustRightInd w:val="0"/>
              <w:snapToGrid w:val="0"/>
              <w:spacing w:line="400" w:lineRule="exact"/>
              <w:jc w:val="center"/>
              <w:textAlignment w:val="baseline"/>
              <w:rPr>
                <w:rFonts w:hint="default" w:ascii="宋体" w:hAnsi="宋体" w:cs="微软雅黑" w:eastAsiaTheme="minorEastAsia"/>
                <w:color w:val="auto"/>
                <w:szCs w:val="21"/>
                <w:lang w:val="en-US" w:eastAsia="zh-CN"/>
              </w:rPr>
            </w:pPr>
            <w:r>
              <w:rPr>
                <w:rFonts w:hint="eastAsia" w:ascii="宋体" w:hAnsi="宋体" w:cs="微软雅黑"/>
                <w:color w:val="auto"/>
                <w:szCs w:val="21"/>
                <w:lang w:val="en-US" w:eastAsia="zh-CN"/>
              </w:rPr>
              <w:t>21</w:t>
            </w:r>
          </w:p>
        </w:tc>
        <w:tc>
          <w:tcPr>
            <w:tcW w:w="3751" w:type="dxa"/>
            <w:vAlign w:val="center"/>
          </w:tcPr>
          <w:p w14:paraId="7446F8CD">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cs="仿宋_GB2312" w:asciiTheme="minorEastAsia" w:hAnsiTheme="minorEastAsia" w:eastAsiaTheme="minorEastAsia"/>
                <w:color w:val="auto"/>
                <w:sz w:val="21"/>
                <w:szCs w:val="21"/>
                <w:lang w:val="en-US" w:eastAsia="zh-CN"/>
              </w:rPr>
              <w:t>“环境标志产品政府采购品目清单 ”优先采购产品情况</w:t>
            </w:r>
          </w:p>
        </w:tc>
        <w:tc>
          <w:tcPr>
            <w:tcW w:w="1559" w:type="dxa"/>
            <w:vAlign w:val="center"/>
          </w:tcPr>
          <w:p w14:paraId="06E54939">
            <w:pPr>
              <w:jc w:val="center"/>
              <w:rPr>
                <w:color w:val="auto"/>
                <w:szCs w:val="21"/>
              </w:rPr>
            </w:pPr>
          </w:p>
        </w:tc>
        <w:tc>
          <w:tcPr>
            <w:tcW w:w="1560" w:type="dxa"/>
            <w:vAlign w:val="center"/>
          </w:tcPr>
          <w:p w14:paraId="422D5C82">
            <w:pPr>
              <w:snapToGrid w:val="0"/>
              <w:spacing w:line="400" w:lineRule="exact"/>
              <w:rPr>
                <w:rFonts w:hint="eastAsia" w:ascii="宋体" w:hAnsi="宋体" w:cs="微软雅黑"/>
                <w:color w:val="auto"/>
                <w:szCs w:val="21"/>
              </w:rPr>
            </w:pPr>
          </w:p>
        </w:tc>
        <w:tc>
          <w:tcPr>
            <w:tcW w:w="2018" w:type="dxa"/>
            <w:vAlign w:val="center"/>
          </w:tcPr>
          <w:p w14:paraId="4A8CE5B3">
            <w:pPr>
              <w:snapToGrid w:val="0"/>
              <w:spacing w:line="400" w:lineRule="exact"/>
              <w:rPr>
                <w:rFonts w:hint="eastAsia" w:ascii="宋体" w:hAnsi="宋体" w:cs="微软雅黑"/>
                <w:color w:val="auto"/>
                <w:szCs w:val="21"/>
              </w:rPr>
            </w:pPr>
          </w:p>
        </w:tc>
      </w:tr>
      <w:tr w14:paraId="2B89D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7A">
            <w:pPr>
              <w:adjustRightInd w:val="0"/>
              <w:snapToGrid w:val="0"/>
              <w:spacing w:line="400" w:lineRule="exact"/>
              <w:jc w:val="center"/>
              <w:textAlignment w:val="baseline"/>
              <w:rPr>
                <w:rFonts w:hint="default" w:ascii="宋体" w:hAnsi="宋体" w:cs="微软雅黑" w:eastAsiaTheme="minorEastAsia"/>
                <w:color w:val="auto"/>
                <w:szCs w:val="21"/>
                <w:lang w:val="en-US" w:eastAsia="zh-CN"/>
              </w:rPr>
            </w:pPr>
            <w:r>
              <w:rPr>
                <w:rFonts w:hint="eastAsia" w:ascii="宋体" w:hAnsi="宋体" w:cs="微软雅黑"/>
                <w:color w:val="auto"/>
                <w:szCs w:val="21"/>
                <w:lang w:val="en-US" w:eastAsia="zh-CN"/>
              </w:rPr>
              <w:t>22</w:t>
            </w:r>
          </w:p>
        </w:tc>
        <w:tc>
          <w:tcPr>
            <w:tcW w:w="3751" w:type="dxa"/>
            <w:vAlign w:val="center"/>
          </w:tcPr>
          <w:p w14:paraId="2B89D47B">
            <w:pPr>
              <w:pStyle w:val="10"/>
              <w:kinsoku w:val="0"/>
              <w:overflowPunct w:val="0"/>
              <w:autoSpaceDE w:val="0"/>
              <w:autoSpaceDN w:val="0"/>
              <w:spacing w:line="320" w:lineRule="exact"/>
              <w:rPr>
                <w:rFonts w:hint="eastAsia" w:hAnsi="宋体" w:cs="微软雅黑"/>
                <w:bCs/>
                <w:color w:val="auto"/>
                <w:kern w:val="0"/>
                <w:sz w:val="21"/>
                <w:szCs w:val="21"/>
              </w:rPr>
            </w:pPr>
            <w:r>
              <w:rPr>
                <w:rFonts w:hint="eastAsia" w:hAnsi="宋体" w:cs="微软雅黑"/>
                <w:bCs/>
                <w:color w:val="auto"/>
                <w:kern w:val="0"/>
                <w:sz w:val="21"/>
                <w:szCs w:val="21"/>
                <w:lang w:eastAsia="zh-CN"/>
              </w:rPr>
              <w:t>其他</w:t>
            </w:r>
            <w:r>
              <w:rPr>
                <w:rFonts w:hint="eastAsia" w:hAnsi="宋体" w:cs="微软雅黑"/>
                <w:bCs/>
                <w:color w:val="auto"/>
                <w:kern w:val="0"/>
                <w:sz w:val="21"/>
                <w:szCs w:val="21"/>
              </w:rPr>
              <w:t>资料</w:t>
            </w:r>
          </w:p>
        </w:tc>
        <w:tc>
          <w:tcPr>
            <w:tcW w:w="1559" w:type="dxa"/>
            <w:vAlign w:val="center"/>
          </w:tcPr>
          <w:p w14:paraId="2B89D47C">
            <w:pPr>
              <w:jc w:val="center"/>
              <w:rPr>
                <w:color w:val="auto"/>
                <w:szCs w:val="21"/>
              </w:rPr>
            </w:pPr>
          </w:p>
        </w:tc>
        <w:tc>
          <w:tcPr>
            <w:tcW w:w="1560" w:type="dxa"/>
            <w:vAlign w:val="center"/>
          </w:tcPr>
          <w:p w14:paraId="2B89D47D">
            <w:pPr>
              <w:snapToGrid w:val="0"/>
              <w:spacing w:line="400" w:lineRule="exact"/>
              <w:rPr>
                <w:rFonts w:hint="eastAsia" w:ascii="宋体" w:hAnsi="宋体" w:cs="微软雅黑"/>
                <w:color w:val="auto"/>
                <w:szCs w:val="21"/>
              </w:rPr>
            </w:pPr>
          </w:p>
        </w:tc>
        <w:tc>
          <w:tcPr>
            <w:tcW w:w="2018" w:type="dxa"/>
            <w:vAlign w:val="center"/>
          </w:tcPr>
          <w:p w14:paraId="2B89D47E">
            <w:pPr>
              <w:snapToGrid w:val="0"/>
              <w:spacing w:line="400" w:lineRule="exact"/>
              <w:rPr>
                <w:rFonts w:hint="eastAsia" w:ascii="宋体" w:hAnsi="宋体" w:cs="微软雅黑"/>
                <w:color w:val="auto"/>
                <w:szCs w:val="21"/>
              </w:rPr>
            </w:pPr>
          </w:p>
        </w:tc>
      </w:tr>
    </w:tbl>
    <w:p w14:paraId="1B7C7039">
      <w:pPr>
        <w:pStyle w:val="10"/>
        <w:spacing w:line="360" w:lineRule="auto"/>
        <w:jc w:val="center"/>
        <w:rPr>
          <w:rFonts w:hint="eastAsia" w:asciiTheme="majorEastAsia" w:hAnsiTheme="majorEastAsia" w:eastAsiaTheme="majorEastAsia"/>
          <w:b/>
          <w:snapToGrid w:val="0"/>
          <w:color w:val="auto"/>
          <w:kern w:val="0"/>
          <w:sz w:val="28"/>
          <w:szCs w:val="28"/>
        </w:rPr>
      </w:pPr>
    </w:p>
    <w:p w14:paraId="390626F3">
      <w:pPr>
        <w:pStyle w:val="10"/>
        <w:spacing w:line="360" w:lineRule="auto"/>
        <w:jc w:val="center"/>
        <w:rPr>
          <w:rFonts w:hint="eastAsia" w:asciiTheme="majorEastAsia" w:hAnsiTheme="majorEastAsia" w:eastAsiaTheme="majorEastAsia"/>
          <w:b/>
          <w:snapToGrid w:val="0"/>
          <w:color w:val="auto"/>
          <w:kern w:val="0"/>
          <w:sz w:val="28"/>
          <w:szCs w:val="28"/>
        </w:rPr>
      </w:pPr>
    </w:p>
    <w:p w14:paraId="0F6AA4FC">
      <w:pPr>
        <w:pStyle w:val="10"/>
        <w:spacing w:line="360" w:lineRule="auto"/>
        <w:jc w:val="center"/>
        <w:rPr>
          <w:rFonts w:hint="eastAsia" w:asciiTheme="majorEastAsia" w:hAnsiTheme="majorEastAsia" w:eastAsiaTheme="majorEastAsia"/>
          <w:b/>
          <w:snapToGrid w:val="0"/>
          <w:color w:val="auto"/>
          <w:kern w:val="0"/>
          <w:sz w:val="28"/>
          <w:szCs w:val="28"/>
        </w:rPr>
      </w:pPr>
    </w:p>
    <w:p w14:paraId="7864D8F9">
      <w:pPr>
        <w:pStyle w:val="10"/>
        <w:spacing w:line="360" w:lineRule="auto"/>
        <w:jc w:val="center"/>
        <w:rPr>
          <w:rFonts w:hint="eastAsia" w:asciiTheme="majorEastAsia" w:hAnsiTheme="majorEastAsia" w:eastAsiaTheme="majorEastAsia"/>
          <w:b/>
          <w:snapToGrid w:val="0"/>
          <w:color w:val="auto"/>
          <w:kern w:val="0"/>
          <w:sz w:val="28"/>
          <w:szCs w:val="28"/>
        </w:rPr>
      </w:pPr>
    </w:p>
    <w:p w14:paraId="332C7773">
      <w:pPr>
        <w:pStyle w:val="10"/>
        <w:spacing w:line="360" w:lineRule="auto"/>
        <w:jc w:val="center"/>
        <w:rPr>
          <w:rFonts w:hint="eastAsia" w:asciiTheme="majorEastAsia" w:hAnsiTheme="majorEastAsia" w:eastAsiaTheme="majorEastAsia"/>
          <w:b/>
          <w:snapToGrid w:val="0"/>
          <w:color w:val="auto"/>
          <w:kern w:val="0"/>
          <w:sz w:val="28"/>
          <w:szCs w:val="28"/>
        </w:rPr>
      </w:pPr>
    </w:p>
    <w:p w14:paraId="74D7279F">
      <w:pPr>
        <w:pStyle w:val="10"/>
        <w:spacing w:line="360" w:lineRule="auto"/>
        <w:jc w:val="center"/>
        <w:rPr>
          <w:rFonts w:hint="eastAsia" w:asciiTheme="majorEastAsia" w:hAnsiTheme="majorEastAsia" w:eastAsiaTheme="majorEastAsia"/>
          <w:b/>
          <w:snapToGrid w:val="0"/>
          <w:color w:val="auto"/>
          <w:kern w:val="0"/>
          <w:sz w:val="28"/>
          <w:szCs w:val="28"/>
        </w:rPr>
      </w:pPr>
    </w:p>
    <w:p w14:paraId="11158E2E">
      <w:pPr>
        <w:pStyle w:val="10"/>
        <w:spacing w:line="360" w:lineRule="auto"/>
        <w:jc w:val="center"/>
        <w:rPr>
          <w:rFonts w:hint="eastAsia" w:asciiTheme="majorEastAsia" w:hAnsiTheme="majorEastAsia" w:eastAsiaTheme="majorEastAsia"/>
          <w:b/>
          <w:snapToGrid w:val="0"/>
          <w:color w:val="auto"/>
          <w:kern w:val="0"/>
          <w:sz w:val="28"/>
          <w:szCs w:val="28"/>
        </w:rPr>
      </w:pPr>
    </w:p>
    <w:p w14:paraId="3DF7AF07">
      <w:pPr>
        <w:pStyle w:val="10"/>
        <w:spacing w:line="360" w:lineRule="auto"/>
        <w:jc w:val="center"/>
        <w:rPr>
          <w:rFonts w:hint="eastAsia" w:asciiTheme="majorEastAsia" w:hAnsiTheme="majorEastAsia" w:eastAsiaTheme="majorEastAsia"/>
          <w:b/>
          <w:snapToGrid w:val="0"/>
          <w:color w:val="auto"/>
          <w:kern w:val="0"/>
          <w:sz w:val="28"/>
          <w:szCs w:val="28"/>
        </w:rPr>
      </w:pPr>
    </w:p>
    <w:p w14:paraId="7096D2B7">
      <w:pPr>
        <w:pStyle w:val="10"/>
        <w:spacing w:line="360" w:lineRule="auto"/>
        <w:jc w:val="center"/>
        <w:rPr>
          <w:rFonts w:hint="eastAsia" w:asciiTheme="majorEastAsia" w:hAnsiTheme="majorEastAsia" w:eastAsiaTheme="majorEastAsia"/>
          <w:b/>
          <w:snapToGrid w:val="0"/>
          <w:color w:val="auto"/>
          <w:kern w:val="0"/>
          <w:sz w:val="28"/>
          <w:szCs w:val="28"/>
        </w:rPr>
      </w:pPr>
    </w:p>
    <w:p w14:paraId="03B3B874">
      <w:pPr>
        <w:pStyle w:val="10"/>
        <w:spacing w:line="360" w:lineRule="auto"/>
        <w:jc w:val="center"/>
        <w:rPr>
          <w:rFonts w:hint="eastAsia" w:asciiTheme="majorEastAsia" w:hAnsiTheme="majorEastAsia" w:eastAsiaTheme="majorEastAsia"/>
          <w:b/>
          <w:snapToGrid w:val="0"/>
          <w:color w:val="auto"/>
          <w:kern w:val="0"/>
          <w:sz w:val="28"/>
          <w:szCs w:val="28"/>
        </w:rPr>
      </w:pPr>
    </w:p>
    <w:p w14:paraId="2C2E80CB">
      <w:pPr>
        <w:pStyle w:val="10"/>
        <w:spacing w:line="360" w:lineRule="auto"/>
        <w:jc w:val="center"/>
        <w:rPr>
          <w:rFonts w:hint="eastAsia" w:asciiTheme="majorEastAsia" w:hAnsiTheme="majorEastAsia" w:eastAsiaTheme="majorEastAsia"/>
          <w:b/>
          <w:snapToGrid w:val="0"/>
          <w:color w:val="auto"/>
          <w:kern w:val="0"/>
          <w:sz w:val="28"/>
          <w:szCs w:val="28"/>
        </w:rPr>
      </w:pPr>
    </w:p>
    <w:p w14:paraId="5F98E0F5">
      <w:pPr>
        <w:pStyle w:val="10"/>
        <w:spacing w:line="360" w:lineRule="auto"/>
        <w:jc w:val="center"/>
        <w:rPr>
          <w:rFonts w:hint="eastAsia" w:asciiTheme="majorEastAsia" w:hAnsiTheme="majorEastAsia" w:eastAsiaTheme="majorEastAsia"/>
          <w:b/>
          <w:snapToGrid w:val="0"/>
          <w:color w:val="auto"/>
          <w:kern w:val="0"/>
          <w:sz w:val="28"/>
          <w:szCs w:val="28"/>
        </w:rPr>
      </w:pPr>
    </w:p>
    <w:p w14:paraId="619F7F52">
      <w:pPr>
        <w:pStyle w:val="10"/>
        <w:spacing w:line="360" w:lineRule="auto"/>
        <w:jc w:val="center"/>
        <w:rPr>
          <w:rFonts w:hint="eastAsia" w:asciiTheme="majorEastAsia" w:hAnsiTheme="majorEastAsia" w:eastAsiaTheme="majorEastAsia"/>
          <w:b/>
          <w:snapToGrid w:val="0"/>
          <w:color w:val="auto"/>
          <w:kern w:val="0"/>
          <w:sz w:val="28"/>
          <w:szCs w:val="28"/>
        </w:rPr>
      </w:pPr>
    </w:p>
    <w:p w14:paraId="0852C9CF">
      <w:pPr>
        <w:pStyle w:val="10"/>
        <w:spacing w:line="360" w:lineRule="auto"/>
        <w:jc w:val="center"/>
        <w:rPr>
          <w:rFonts w:hint="eastAsia" w:asciiTheme="majorEastAsia" w:hAnsiTheme="majorEastAsia" w:eastAsiaTheme="majorEastAsia"/>
          <w:b/>
          <w:snapToGrid w:val="0"/>
          <w:color w:val="auto"/>
          <w:kern w:val="0"/>
          <w:sz w:val="28"/>
          <w:szCs w:val="28"/>
        </w:rPr>
      </w:pPr>
    </w:p>
    <w:p w14:paraId="3F728D51">
      <w:pPr>
        <w:pStyle w:val="10"/>
        <w:spacing w:line="360" w:lineRule="auto"/>
        <w:jc w:val="center"/>
        <w:rPr>
          <w:rFonts w:hint="eastAsia" w:asciiTheme="majorEastAsia" w:hAnsiTheme="majorEastAsia" w:eastAsiaTheme="majorEastAsia"/>
          <w:b/>
          <w:snapToGrid w:val="0"/>
          <w:color w:val="auto"/>
          <w:kern w:val="0"/>
          <w:sz w:val="28"/>
          <w:szCs w:val="28"/>
        </w:rPr>
      </w:pPr>
    </w:p>
    <w:p w14:paraId="1166D420">
      <w:pPr>
        <w:pStyle w:val="10"/>
        <w:spacing w:line="360" w:lineRule="auto"/>
        <w:jc w:val="center"/>
        <w:rPr>
          <w:rFonts w:hint="eastAsia" w:asciiTheme="majorEastAsia" w:hAnsiTheme="majorEastAsia" w:eastAsiaTheme="majorEastAsia"/>
          <w:b/>
          <w:snapToGrid w:val="0"/>
          <w:color w:val="auto"/>
          <w:kern w:val="0"/>
          <w:sz w:val="28"/>
          <w:szCs w:val="28"/>
        </w:rPr>
      </w:pPr>
    </w:p>
    <w:p w14:paraId="34DECCD5">
      <w:pPr>
        <w:pStyle w:val="10"/>
        <w:spacing w:line="360" w:lineRule="auto"/>
        <w:jc w:val="center"/>
        <w:rPr>
          <w:rFonts w:hint="eastAsia" w:asciiTheme="majorEastAsia" w:hAnsiTheme="majorEastAsia" w:eastAsiaTheme="majorEastAsia"/>
          <w:b/>
          <w:snapToGrid w:val="0"/>
          <w:color w:val="auto"/>
          <w:kern w:val="0"/>
          <w:sz w:val="28"/>
          <w:szCs w:val="28"/>
        </w:rPr>
      </w:pPr>
    </w:p>
    <w:p w14:paraId="43F3C4D7">
      <w:pPr>
        <w:pStyle w:val="10"/>
        <w:spacing w:line="360" w:lineRule="auto"/>
        <w:jc w:val="center"/>
        <w:rPr>
          <w:rFonts w:hint="eastAsia" w:asciiTheme="majorEastAsia" w:hAnsiTheme="majorEastAsia" w:eastAsiaTheme="majorEastAsia"/>
          <w:b/>
          <w:snapToGrid w:val="0"/>
          <w:color w:val="auto"/>
          <w:kern w:val="0"/>
          <w:sz w:val="28"/>
          <w:szCs w:val="28"/>
        </w:rPr>
      </w:pPr>
    </w:p>
    <w:p w14:paraId="013CDF4E">
      <w:pPr>
        <w:pStyle w:val="10"/>
        <w:spacing w:line="360" w:lineRule="auto"/>
        <w:jc w:val="center"/>
        <w:rPr>
          <w:rFonts w:hint="eastAsia" w:asciiTheme="majorEastAsia" w:hAnsiTheme="majorEastAsia" w:eastAsiaTheme="majorEastAsia"/>
          <w:b/>
          <w:snapToGrid w:val="0"/>
          <w:color w:val="auto"/>
          <w:kern w:val="0"/>
          <w:sz w:val="28"/>
          <w:szCs w:val="28"/>
        </w:rPr>
      </w:pPr>
    </w:p>
    <w:p w14:paraId="3642B008">
      <w:pPr>
        <w:pStyle w:val="10"/>
        <w:spacing w:line="360" w:lineRule="auto"/>
        <w:jc w:val="center"/>
        <w:rPr>
          <w:rFonts w:hint="eastAsia" w:asciiTheme="majorEastAsia" w:hAnsiTheme="majorEastAsia" w:eastAsiaTheme="majorEastAsia"/>
          <w:b/>
          <w:snapToGrid w:val="0"/>
          <w:color w:val="auto"/>
          <w:kern w:val="0"/>
          <w:sz w:val="28"/>
          <w:szCs w:val="28"/>
        </w:rPr>
      </w:pPr>
    </w:p>
    <w:p w14:paraId="760F43D4">
      <w:pPr>
        <w:pStyle w:val="10"/>
        <w:spacing w:line="360" w:lineRule="auto"/>
        <w:jc w:val="center"/>
        <w:rPr>
          <w:rFonts w:hint="eastAsia" w:asciiTheme="majorEastAsia" w:hAnsiTheme="majorEastAsia" w:eastAsiaTheme="majorEastAsia"/>
          <w:b/>
          <w:snapToGrid w:val="0"/>
          <w:color w:val="auto"/>
          <w:kern w:val="0"/>
          <w:sz w:val="28"/>
          <w:szCs w:val="28"/>
        </w:rPr>
      </w:pPr>
    </w:p>
    <w:p w14:paraId="2B89D483">
      <w:pPr>
        <w:pStyle w:val="10"/>
        <w:spacing w:line="360" w:lineRule="auto"/>
        <w:jc w:val="center"/>
        <w:rPr>
          <w:rFonts w:hint="eastAsia"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二、开标一览表</w:t>
      </w:r>
    </w:p>
    <w:p w14:paraId="2B89D484">
      <w:pPr>
        <w:autoSpaceDE w:val="0"/>
        <w:autoSpaceDN w:val="0"/>
        <w:adjustRightInd w:val="0"/>
        <w:spacing w:line="360" w:lineRule="auto"/>
        <w:rPr>
          <w:rFonts w:hint="eastAsia" w:asciiTheme="minorEastAsia" w:hAnsiTheme="minorEastAsia"/>
          <w:color w:val="auto"/>
          <w:szCs w:val="21"/>
        </w:rPr>
      </w:pPr>
      <w:r>
        <w:rPr>
          <w:rFonts w:hint="eastAsia" w:asciiTheme="minorEastAsia" w:hAnsiTheme="minorEastAsia"/>
          <w:color w:val="auto"/>
          <w:szCs w:val="21"/>
        </w:rPr>
        <w:t>项目编号：</w:t>
      </w:r>
    </w:p>
    <w:p w14:paraId="2B89D485">
      <w:pPr>
        <w:autoSpaceDE w:val="0"/>
        <w:autoSpaceDN w:val="0"/>
        <w:adjustRightInd w:val="0"/>
        <w:spacing w:line="360" w:lineRule="auto"/>
        <w:rPr>
          <w:rFonts w:hint="eastAsia" w:asciiTheme="minorEastAsia" w:hAnsiTheme="minorEastAsia"/>
          <w:color w:val="auto"/>
          <w:szCs w:val="21"/>
        </w:rPr>
      </w:pPr>
      <w:r>
        <w:rPr>
          <w:rFonts w:hint="eastAsia" w:asciiTheme="minorEastAsia" w:hAnsiTheme="minorEastAsia"/>
          <w:color w:val="auto"/>
          <w:szCs w:val="21"/>
        </w:rPr>
        <w:t>项目名称：                                             单位：元</w:t>
      </w:r>
    </w:p>
    <w:tbl>
      <w:tblPr>
        <w:tblStyle w:val="14"/>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2B89D48B">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2B89D486">
            <w:pPr>
              <w:autoSpaceDE w:val="0"/>
              <w:autoSpaceDN w:val="0"/>
              <w:adjustRightInd w:val="0"/>
              <w:spacing w:line="360" w:lineRule="auto"/>
              <w:jc w:val="center"/>
              <w:rPr>
                <w:rFonts w:hint="eastAsia" w:asciiTheme="minorEastAsia" w:hAnsiTheme="minorEastAsia"/>
                <w:b/>
                <w:color w:val="auto"/>
                <w:szCs w:val="21"/>
              </w:rPr>
            </w:pPr>
            <w:r>
              <w:rPr>
                <w:rFonts w:hint="eastAsia" w:asciiTheme="minorEastAsia" w:hAnsiTheme="minorEastAsia"/>
                <w:b/>
                <w:color w:val="auto"/>
                <w:szCs w:val="21"/>
              </w:rPr>
              <w:t>标段</w:t>
            </w:r>
          </w:p>
        </w:tc>
        <w:tc>
          <w:tcPr>
            <w:tcW w:w="2268" w:type="dxa"/>
            <w:tcBorders>
              <w:top w:val="single" w:color="auto" w:sz="6" w:space="0"/>
              <w:left w:val="single" w:color="auto" w:sz="6" w:space="0"/>
              <w:bottom w:val="single" w:color="auto" w:sz="6" w:space="0"/>
              <w:right w:val="single" w:color="auto" w:sz="6" w:space="0"/>
            </w:tcBorders>
            <w:vAlign w:val="center"/>
          </w:tcPr>
          <w:p w14:paraId="2B89D487">
            <w:pPr>
              <w:autoSpaceDE w:val="0"/>
              <w:autoSpaceDN w:val="0"/>
              <w:adjustRightInd w:val="0"/>
              <w:spacing w:line="360" w:lineRule="auto"/>
              <w:jc w:val="center"/>
              <w:rPr>
                <w:rFonts w:hint="eastAsia" w:asciiTheme="minorEastAsia" w:hAnsiTheme="minorEastAsia"/>
                <w:b/>
                <w:color w:val="auto"/>
                <w:szCs w:val="21"/>
              </w:rPr>
            </w:pPr>
            <w:r>
              <w:rPr>
                <w:rFonts w:hint="eastAsia" w:asciiTheme="minorEastAsia" w:hAnsiTheme="minorEastAsia"/>
                <w:b/>
                <w:color w:val="auto"/>
                <w:szCs w:val="21"/>
              </w:rPr>
              <w:t>项目名称</w:t>
            </w:r>
          </w:p>
        </w:tc>
        <w:tc>
          <w:tcPr>
            <w:tcW w:w="2694" w:type="dxa"/>
            <w:tcBorders>
              <w:top w:val="single" w:color="auto" w:sz="6" w:space="0"/>
              <w:left w:val="single" w:color="auto" w:sz="6" w:space="0"/>
              <w:bottom w:val="single" w:color="auto" w:sz="6" w:space="0"/>
              <w:right w:val="single" w:color="auto" w:sz="6" w:space="0"/>
            </w:tcBorders>
            <w:vAlign w:val="center"/>
          </w:tcPr>
          <w:p w14:paraId="2B89D488">
            <w:pPr>
              <w:autoSpaceDE w:val="0"/>
              <w:autoSpaceDN w:val="0"/>
              <w:adjustRightInd w:val="0"/>
              <w:spacing w:line="360" w:lineRule="auto"/>
              <w:jc w:val="center"/>
              <w:rPr>
                <w:rFonts w:hint="eastAsia" w:asciiTheme="minorEastAsia" w:hAnsiTheme="minorEastAsia"/>
                <w:b/>
                <w:color w:val="auto"/>
                <w:szCs w:val="21"/>
              </w:rPr>
            </w:pPr>
            <w:r>
              <w:rPr>
                <w:rFonts w:hint="eastAsia" w:asciiTheme="minorEastAsia" w:hAnsiTheme="minorEastAsia"/>
                <w:b/>
                <w:color w:val="auto"/>
                <w:szCs w:val="21"/>
              </w:rPr>
              <w:t>投标报价</w:t>
            </w:r>
          </w:p>
        </w:tc>
        <w:tc>
          <w:tcPr>
            <w:tcW w:w="1984" w:type="dxa"/>
            <w:tcBorders>
              <w:top w:val="single" w:color="auto" w:sz="6" w:space="0"/>
              <w:left w:val="single" w:color="auto" w:sz="4" w:space="0"/>
              <w:bottom w:val="single" w:color="auto" w:sz="6" w:space="0"/>
              <w:right w:val="single" w:color="auto" w:sz="4" w:space="0"/>
            </w:tcBorders>
            <w:vAlign w:val="center"/>
          </w:tcPr>
          <w:p w14:paraId="2B89D489">
            <w:pPr>
              <w:autoSpaceDE w:val="0"/>
              <w:autoSpaceDN w:val="0"/>
              <w:adjustRightInd w:val="0"/>
              <w:spacing w:line="360" w:lineRule="auto"/>
              <w:jc w:val="center"/>
              <w:rPr>
                <w:rFonts w:hint="eastAsia" w:asciiTheme="minorEastAsia" w:hAnsiTheme="minorEastAsia"/>
                <w:b/>
                <w:color w:val="auto"/>
                <w:szCs w:val="21"/>
              </w:rPr>
            </w:pPr>
            <w:r>
              <w:rPr>
                <w:rFonts w:hint="eastAsia" w:asciiTheme="minorEastAsia" w:hAnsiTheme="minorEastAsia"/>
                <w:b/>
                <w:color w:val="auto"/>
                <w:szCs w:val="21"/>
              </w:rPr>
              <w:t>合同履行期限</w:t>
            </w:r>
          </w:p>
        </w:tc>
        <w:tc>
          <w:tcPr>
            <w:tcW w:w="1559" w:type="dxa"/>
            <w:tcBorders>
              <w:top w:val="single" w:color="auto" w:sz="6" w:space="0"/>
              <w:left w:val="single" w:color="auto" w:sz="6" w:space="0"/>
              <w:bottom w:val="single" w:color="auto" w:sz="6" w:space="0"/>
              <w:right w:val="single" w:color="auto" w:sz="6" w:space="0"/>
            </w:tcBorders>
            <w:vAlign w:val="center"/>
          </w:tcPr>
          <w:p w14:paraId="2B89D48A">
            <w:pPr>
              <w:autoSpaceDE w:val="0"/>
              <w:autoSpaceDN w:val="0"/>
              <w:adjustRightInd w:val="0"/>
              <w:spacing w:line="360" w:lineRule="auto"/>
              <w:jc w:val="center"/>
              <w:rPr>
                <w:rFonts w:hint="eastAsia" w:asciiTheme="minorEastAsia" w:hAnsiTheme="minorEastAsia"/>
                <w:b/>
                <w:color w:val="auto"/>
                <w:szCs w:val="21"/>
              </w:rPr>
            </w:pPr>
            <w:r>
              <w:rPr>
                <w:rFonts w:hint="eastAsia" w:asciiTheme="minorEastAsia" w:hAnsiTheme="minorEastAsia"/>
                <w:b/>
                <w:color w:val="auto"/>
                <w:szCs w:val="21"/>
              </w:rPr>
              <w:t>备注</w:t>
            </w:r>
          </w:p>
        </w:tc>
      </w:tr>
      <w:tr w14:paraId="2B89D491">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2B89D48C">
            <w:pPr>
              <w:autoSpaceDE w:val="0"/>
              <w:autoSpaceDN w:val="0"/>
              <w:adjustRightInd w:val="0"/>
              <w:spacing w:line="360" w:lineRule="auto"/>
              <w:rPr>
                <w:rFonts w:hint="eastAsia" w:asciiTheme="minorEastAsia" w:hAnsiTheme="minorEastAsia"/>
                <w:color w:val="auto"/>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2B89D48D">
            <w:pPr>
              <w:autoSpaceDE w:val="0"/>
              <w:autoSpaceDN w:val="0"/>
              <w:adjustRightInd w:val="0"/>
              <w:spacing w:line="360" w:lineRule="auto"/>
              <w:rPr>
                <w:rFonts w:hint="eastAsia" w:asciiTheme="minorEastAsia" w:hAnsiTheme="minorEastAsia"/>
                <w:color w:val="auto"/>
                <w:szCs w:val="21"/>
              </w:rPr>
            </w:pPr>
          </w:p>
        </w:tc>
        <w:tc>
          <w:tcPr>
            <w:tcW w:w="2694" w:type="dxa"/>
            <w:tcBorders>
              <w:top w:val="single" w:color="auto" w:sz="6" w:space="0"/>
              <w:left w:val="single" w:color="auto" w:sz="6" w:space="0"/>
              <w:bottom w:val="single" w:color="auto" w:sz="6" w:space="0"/>
              <w:right w:val="single" w:color="auto" w:sz="6" w:space="0"/>
            </w:tcBorders>
            <w:vAlign w:val="center"/>
          </w:tcPr>
          <w:p w14:paraId="2B89D48E">
            <w:pPr>
              <w:autoSpaceDE w:val="0"/>
              <w:autoSpaceDN w:val="0"/>
              <w:adjustRightInd w:val="0"/>
              <w:spacing w:line="360" w:lineRule="auto"/>
              <w:rPr>
                <w:rFonts w:hint="eastAsia" w:asciiTheme="minorEastAsia" w:hAnsiTheme="minorEastAsia"/>
                <w:color w:val="auto"/>
                <w:szCs w:val="21"/>
              </w:rPr>
            </w:pPr>
            <w:r>
              <w:rPr>
                <w:rFonts w:hint="eastAsia" w:asciiTheme="minorEastAsia" w:hAnsiTheme="minorEastAsia"/>
                <w:color w:val="auto"/>
                <w:szCs w:val="21"/>
              </w:rPr>
              <w:t>大写：      小写：</w:t>
            </w:r>
          </w:p>
        </w:tc>
        <w:tc>
          <w:tcPr>
            <w:tcW w:w="1984" w:type="dxa"/>
            <w:tcBorders>
              <w:top w:val="single" w:color="auto" w:sz="6" w:space="0"/>
              <w:left w:val="single" w:color="auto" w:sz="4" w:space="0"/>
              <w:bottom w:val="single" w:color="auto" w:sz="6" w:space="0"/>
              <w:right w:val="single" w:color="auto" w:sz="4" w:space="0"/>
            </w:tcBorders>
            <w:vAlign w:val="center"/>
          </w:tcPr>
          <w:p w14:paraId="2B89D48F">
            <w:pPr>
              <w:autoSpaceDE w:val="0"/>
              <w:autoSpaceDN w:val="0"/>
              <w:adjustRightInd w:val="0"/>
              <w:spacing w:line="360" w:lineRule="auto"/>
              <w:rPr>
                <w:rFonts w:hint="eastAsia" w:asciiTheme="minorEastAsia" w:hAnsiTheme="minorEastAsia"/>
                <w:color w:val="auto"/>
                <w:szCs w:val="21"/>
              </w:rPr>
            </w:pPr>
          </w:p>
        </w:tc>
        <w:tc>
          <w:tcPr>
            <w:tcW w:w="1559" w:type="dxa"/>
            <w:tcBorders>
              <w:top w:val="single" w:color="auto" w:sz="6" w:space="0"/>
              <w:left w:val="single" w:color="auto" w:sz="6" w:space="0"/>
              <w:bottom w:val="single" w:color="auto" w:sz="6" w:space="0"/>
              <w:right w:val="single" w:color="auto" w:sz="6" w:space="0"/>
            </w:tcBorders>
            <w:vAlign w:val="center"/>
          </w:tcPr>
          <w:p w14:paraId="2B89D490">
            <w:pPr>
              <w:autoSpaceDE w:val="0"/>
              <w:autoSpaceDN w:val="0"/>
              <w:adjustRightInd w:val="0"/>
              <w:spacing w:line="360" w:lineRule="auto"/>
              <w:rPr>
                <w:rFonts w:hint="eastAsia" w:asciiTheme="minorEastAsia" w:hAnsiTheme="minorEastAsia"/>
                <w:color w:val="auto"/>
                <w:szCs w:val="21"/>
              </w:rPr>
            </w:pPr>
          </w:p>
        </w:tc>
      </w:tr>
    </w:tbl>
    <w:p w14:paraId="2B89D492">
      <w:pPr>
        <w:autoSpaceDE w:val="0"/>
        <w:autoSpaceDN w:val="0"/>
        <w:adjustRightInd w:val="0"/>
        <w:spacing w:line="360" w:lineRule="auto"/>
        <w:rPr>
          <w:rFonts w:hint="eastAsia" w:asciiTheme="minorEastAsia" w:hAnsiTheme="minorEastAsia"/>
          <w:color w:val="auto"/>
          <w:szCs w:val="21"/>
        </w:rPr>
      </w:pPr>
      <w:r>
        <w:rPr>
          <w:rFonts w:hint="eastAsia" w:asciiTheme="minorEastAsia" w:hAnsiTheme="minorEastAsia"/>
          <w:color w:val="auto"/>
          <w:szCs w:val="21"/>
        </w:rPr>
        <w:t>投标人名称：</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（公章）：</w:t>
      </w:r>
    </w:p>
    <w:p w14:paraId="2B89D493">
      <w:pPr>
        <w:autoSpaceDE w:val="0"/>
        <w:autoSpaceDN w:val="0"/>
        <w:adjustRightInd w:val="0"/>
        <w:spacing w:line="360" w:lineRule="auto"/>
        <w:rPr>
          <w:rFonts w:hint="eastAsia" w:asciiTheme="minorEastAsia" w:hAnsiTheme="minorEastAsia"/>
          <w:color w:val="auto"/>
          <w:szCs w:val="21"/>
        </w:rPr>
      </w:pPr>
      <w:r>
        <w:rPr>
          <w:rFonts w:hint="eastAsia" w:asciiTheme="minorEastAsia" w:hAnsiTheme="minorEastAsia"/>
          <w:color w:val="auto"/>
          <w:szCs w:val="21"/>
        </w:rPr>
        <w:t>投标人法定代表人（或授权代表）签字：</w:t>
      </w:r>
    </w:p>
    <w:p w14:paraId="2B89D494">
      <w:pPr>
        <w:autoSpaceDE w:val="0"/>
        <w:autoSpaceDN w:val="0"/>
        <w:adjustRightInd w:val="0"/>
        <w:spacing w:line="360" w:lineRule="auto"/>
        <w:rPr>
          <w:rFonts w:hint="eastAsia" w:asciiTheme="minorEastAsia" w:hAnsiTheme="minorEastAsia"/>
          <w:color w:val="auto"/>
          <w:szCs w:val="21"/>
        </w:rPr>
      </w:pPr>
      <w:r>
        <w:rPr>
          <w:rFonts w:hint="eastAsia" w:asciiTheme="minorEastAsia" w:hAnsiTheme="minorEastAsia"/>
          <w:color w:val="auto"/>
          <w:szCs w:val="21"/>
        </w:rPr>
        <w:t>日期：</w:t>
      </w:r>
    </w:p>
    <w:p w14:paraId="2B89D495">
      <w:pPr>
        <w:autoSpaceDE w:val="0"/>
        <w:autoSpaceDN w:val="0"/>
        <w:adjustRightInd w:val="0"/>
        <w:spacing w:line="360" w:lineRule="auto"/>
        <w:rPr>
          <w:rFonts w:ascii="宋体" w:cs="宋体"/>
          <w:color w:val="auto"/>
          <w:sz w:val="24"/>
          <w:lang w:val="zh-CN"/>
        </w:rPr>
      </w:pPr>
    </w:p>
    <w:p w14:paraId="2B89D496">
      <w:pPr>
        <w:autoSpaceDE w:val="0"/>
        <w:autoSpaceDN w:val="0"/>
        <w:adjustRightInd w:val="0"/>
        <w:spacing w:line="360" w:lineRule="auto"/>
        <w:rPr>
          <w:rFonts w:ascii="宋体" w:cs="宋体"/>
          <w:color w:val="auto"/>
          <w:sz w:val="24"/>
          <w:lang w:val="zh-CN"/>
        </w:rPr>
      </w:pPr>
    </w:p>
    <w:p w14:paraId="2B89D497">
      <w:pPr>
        <w:autoSpaceDE w:val="0"/>
        <w:autoSpaceDN w:val="0"/>
        <w:adjustRightInd w:val="0"/>
        <w:spacing w:line="360" w:lineRule="auto"/>
        <w:rPr>
          <w:rFonts w:ascii="宋体" w:cs="宋体"/>
          <w:color w:val="auto"/>
          <w:sz w:val="24"/>
          <w:lang w:val="zh-CN"/>
        </w:rPr>
      </w:pPr>
    </w:p>
    <w:p w14:paraId="2B89D498">
      <w:pPr>
        <w:autoSpaceDE w:val="0"/>
        <w:autoSpaceDN w:val="0"/>
        <w:adjustRightInd w:val="0"/>
        <w:spacing w:line="360" w:lineRule="auto"/>
        <w:rPr>
          <w:rFonts w:ascii="宋体" w:cs="宋体"/>
          <w:color w:val="auto"/>
          <w:sz w:val="24"/>
          <w:lang w:val="zh-CN"/>
        </w:rPr>
      </w:pPr>
    </w:p>
    <w:p w14:paraId="2B89D499">
      <w:pPr>
        <w:autoSpaceDE w:val="0"/>
        <w:autoSpaceDN w:val="0"/>
        <w:adjustRightInd w:val="0"/>
        <w:spacing w:line="360" w:lineRule="auto"/>
        <w:rPr>
          <w:rFonts w:ascii="宋体" w:cs="宋体"/>
          <w:color w:val="auto"/>
          <w:sz w:val="24"/>
          <w:lang w:val="zh-CN"/>
        </w:rPr>
      </w:pPr>
    </w:p>
    <w:p w14:paraId="2B89D49A">
      <w:pPr>
        <w:autoSpaceDE w:val="0"/>
        <w:autoSpaceDN w:val="0"/>
        <w:adjustRightInd w:val="0"/>
        <w:spacing w:line="360" w:lineRule="auto"/>
        <w:rPr>
          <w:rFonts w:ascii="宋体" w:cs="宋体"/>
          <w:color w:val="auto"/>
          <w:sz w:val="24"/>
          <w:lang w:val="zh-CN"/>
        </w:rPr>
      </w:pPr>
    </w:p>
    <w:p w14:paraId="2B89D49B">
      <w:pPr>
        <w:autoSpaceDE w:val="0"/>
        <w:autoSpaceDN w:val="0"/>
        <w:adjustRightInd w:val="0"/>
        <w:spacing w:line="360" w:lineRule="auto"/>
        <w:rPr>
          <w:rFonts w:ascii="宋体" w:cs="宋体"/>
          <w:color w:val="auto"/>
          <w:sz w:val="24"/>
          <w:lang w:val="zh-CN"/>
        </w:rPr>
      </w:pPr>
    </w:p>
    <w:p w14:paraId="2B89D49C">
      <w:pPr>
        <w:autoSpaceDE w:val="0"/>
        <w:autoSpaceDN w:val="0"/>
        <w:adjustRightInd w:val="0"/>
        <w:spacing w:line="360" w:lineRule="auto"/>
        <w:rPr>
          <w:rFonts w:ascii="宋体" w:cs="宋体"/>
          <w:color w:val="auto"/>
          <w:sz w:val="24"/>
          <w:lang w:val="zh-CN"/>
        </w:rPr>
      </w:pPr>
    </w:p>
    <w:p w14:paraId="2B89D49D">
      <w:pPr>
        <w:autoSpaceDE w:val="0"/>
        <w:autoSpaceDN w:val="0"/>
        <w:adjustRightInd w:val="0"/>
        <w:spacing w:line="360" w:lineRule="auto"/>
        <w:rPr>
          <w:rFonts w:ascii="宋体" w:cs="宋体"/>
          <w:color w:val="auto"/>
          <w:sz w:val="24"/>
          <w:lang w:val="zh-CN"/>
        </w:rPr>
      </w:pPr>
    </w:p>
    <w:p w14:paraId="2B89D49E">
      <w:pPr>
        <w:pStyle w:val="13"/>
        <w:ind w:firstLine="340"/>
        <w:rPr>
          <w:color w:val="auto"/>
          <w:lang w:val="zh-CN"/>
        </w:rPr>
      </w:pPr>
    </w:p>
    <w:p w14:paraId="2B89D49F">
      <w:pPr>
        <w:pStyle w:val="8"/>
        <w:ind w:firstLine="480"/>
        <w:rPr>
          <w:color w:val="auto"/>
          <w:lang w:val="zh-CN"/>
        </w:rPr>
      </w:pPr>
    </w:p>
    <w:p w14:paraId="2B89D4A0">
      <w:pPr>
        <w:pStyle w:val="9"/>
        <w:ind w:left="5250"/>
        <w:rPr>
          <w:color w:val="auto"/>
          <w:lang w:val="zh-CN"/>
        </w:rPr>
      </w:pPr>
    </w:p>
    <w:p w14:paraId="2B89D4A1">
      <w:pPr>
        <w:rPr>
          <w:color w:val="auto"/>
          <w:lang w:val="zh-CN"/>
        </w:rPr>
      </w:pPr>
    </w:p>
    <w:p w14:paraId="2B89D4A2">
      <w:pPr>
        <w:pStyle w:val="2"/>
        <w:rPr>
          <w:color w:val="auto"/>
          <w:lang w:val="zh-CN"/>
        </w:rPr>
      </w:pPr>
    </w:p>
    <w:p w14:paraId="2B89D4A3">
      <w:pPr>
        <w:pStyle w:val="2"/>
        <w:rPr>
          <w:color w:val="auto"/>
          <w:lang w:val="zh-CN"/>
        </w:rPr>
      </w:pPr>
    </w:p>
    <w:p w14:paraId="2B89D4A4">
      <w:pPr>
        <w:pStyle w:val="8"/>
        <w:ind w:firstLine="480"/>
        <w:rPr>
          <w:color w:val="auto"/>
          <w:lang w:val="zh-CN"/>
        </w:rPr>
      </w:pPr>
    </w:p>
    <w:p w14:paraId="2B89D4A5">
      <w:pPr>
        <w:pStyle w:val="8"/>
        <w:ind w:firstLine="480"/>
        <w:rPr>
          <w:color w:val="auto"/>
          <w:lang w:val="zh-CN"/>
        </w:rPr>
      </w:pPr>
    </w:p>
    <w:p w14:paraId="2B89D4A6">
      <w:pPr>
        <w:rPr>
          <w:color w:val="auto"/>
          <w:lang w:val="zh-CN"/>
        </w:rPr>
      </w:pPr>
    </w:p>
    <w:p w14:paraId="2B89D4A7">
      <w:pPr>
        <w:pStyle w:val="2"/>
        <w:rPr>
          <w:color w:val="auto"/>
          <w:lang w:val="zh-CN"/>
        </w:rPr>
      </w:pPr>
    </w:p>
    <w:p w14:paraId="2B89D4A8">
      <w:pPr>
        <w:pStyle w:val="21"/>
        <w:rPr>
          <w:color w:val="auto"/>
          <w:lang w:val="zh-CN"/>
        </w:rPr>
      </w:pPr>
    </w:p>
    <w:p w14:paraId="2B89D4A9">
      <w:pPr>
        <w:autoSpaceDE w:val="0"/>
        <w:autoSpaceDN w:val="0"/>
        <w:adjustRightInd w:val="0"/>
        <w:spacing w:line="360" w:lineRule="auto"/>
        <w:jc w:val="center"/>
        <w:rPr>
          <w:rFonts w:hint="eastAsia"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三、资格审查相关材料</w:t>
      </w:r>
    </w:p>
    <w:p w14:paraId="2B89D4AA">
      <w:pPr>
        <w:autoSpaceDE w:val="0"/>
        <w:autoSpaceDN w:val="0"/>
        <w:adjustRightInd w:val="0"/>
        <w:spacing w:line="360" w:lineRule="auto"/>
        <w:jc w:val="center"/>
        <w:rPr>
          <w:rFonts w:hint="eastAsia" w:asciiTheme="majorEastAsia" w:hAnsiTheme="majorEastAsia" w:eastAsiaTheme="majorEastAsia"/>
          <w:b/>
          <w:snapToGrid w:val="0"/>
          <w:color w:val="auto"/>
          <w:kern w:val="0"/>
          <w:sz w:val="24"/>
          <w:szCs w:val="24"/>
        </w:rPr>
      </w:pPr>
      <w:r>
        <w:rPr>
          <w:rFonts w:hint="eastAsia" w:asciiTheme="majorEastAsia" w:hAnsiTheme="majorEastAsia" w:eastAsiaTheme="majorEastAsia"/>
          <w:b/>
          <w:snapToGrid w:val="0"/>
          <w:color w:val="auto"/>
          <w:kern w:val="0"/>
          <w:sz w:val="24"/>
          <w:szCs w:val="24"/>
        </w:rPr>
        <w:t>3.1投标函</w:t>
      </w:r>
    </w:p>
    <w:p w14:paraId="2B89D4AB">
      <w:pPr>
        <w:pStyle w:val="10"/>
        <w:adjustRightInd w:val="0"/>
        <w:snapToGrid w:val="0"/>
        <w:spacing w:line="360" w:lineRule="auto"/>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致：（采购人）</w:t>
      </w:r>
    </w:p>
    <w:p w14:paraId="2B89D4AC">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根据贵方（项目名称、标段、招标编号）采购的招标公告及投标邀请，（姓名和职务）被正式授权并代表投标人（投标人名称、地址）提交。</w:t>
      </w:r>
    </w:p>
    <w:p w14:paraId="2B89D4AD">
      <w:pPr>
        <w:pStyle w:val="10"/>
        <w:adjustRightInd w:val="0"/>
        <w:snapToGrid w:val="0"/>
        <w:spacing w:line="360" w:lineRule="auto"/>
        <w:ind w:firstLine="420" w:firstLineChars="200"/>
        <w:rPr>
          <w:rFonts w:hint="eastAsia" w:asciiTheme="minorEastAsia" w:hAnsiTheme="minorEastAsia" w:eastAsiaTheme="minorEastAsia"/>
          <w:color w:val="auto"/>
          <w:sz w:val="21"/>
          <w:szCs w:val="21"/>
          <w:u w:val="single"/>
        </w:rPr>
      </w:pPr>
      <w:r>
        <w:rPr>
          <w:rFonts w:hint="eastAsia" w:asciiTheme="minorEastAsia" w:hAnsiTheme="minorEastAsia" w:eastAsiaTheme="minorEastAsia"/>
          <w:color w:val="auto"/>
          <w:sz w:val="21"/>
          <w:szCs w:val="21"/>
        </w:rPr>
        <w:t xml:space="preserve">拟投入 </w:t>
      </w:r>
      <w:r>
        <w:rPr>
          <w:rFonts w:hint="eastAsia" w:asciiTheme="minorEastAsia" w:hAnsiTheme="minorEastAsia" w:eastAsiaTheme="minorEastAsia"/>
          <w:color w:val="auto"/>
          <w:sz w:val="21"/>
          <w:szCs w:val="21"/>
          <w:lang w:eastAsia="zh-CN"/>
        </w:rPr>
        <w:t>（</w:t>
      </w:r>
      <w:r>
        <w:rPr>
          <w:rFonts w:hint="eastAsia" w:asciiTheme="minorEastAsia" w:hAnsiTheme="minorEastAsia" w:eastAsiaTheme="minorEastAsia"/>
          <w:color w:val="auto"/>
          <w:sz w:val="21"/>
          <w:szCs w:val="21"/>
        </w:rPr>
        <w:t>项目名称、标段</w:t>
      </w:r>
      <w:r>
        <w:rPr>
          <w:rFonts w:hint="eastAsia" w:asciiTheme="minorEastAsia" w:hAnsiTheme="minorEastAsia" w:eastAsiaTheme="minorEastAsia"/>
          <w:color w:val="auto"/>
          <w:sz w:val="21"/>
          <w:szCs w:val="21"/>
          <w:lang w:eastAsia="zh-CN"/>
        </w:rPr>
        <w:t>）</w:t>
      </w:r>
      <w:r>
        <w:rPr>
          <w:rFonts w:hint="eastAsia" w:asciiTheme="minorEastAsia" w:hAnsiTheme="minorEastAsia" w:eastAsiaTheme="minorEastAsia"/>
          <w:color w:val="auto"/>
          <w:sz w:val="21"/>
          <w:szCs w:val="21"/>
        </w:rPr>
        <w:t>的项目负责人姓名：</w:t>
      </w:r>
    </w:p>
    <w:p w14:paraId="2B89D4AE">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我方确认收到贵方提供的（项目名称、标段、招标编号）招标文件的全部内容。</w:t>
      </w:r>
    </w:p>
    <w:p w14:paraId="2B89D4AF">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2B89D4B0">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我方已完全明白招标文件的所有条款要求，并申明如下：</w:t>
      </w:r>
    </w:p>
    <w:p w14:paraId="2B89D4B1">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一、按招标文件提供的全部货物与相关服务详见《开标一览表》。</w:t>
      </w:r>
    </w:p>
    <w:p w14:paraId="2B89D4B2">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2B89D4B3">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三、我方明白并同意，在规定的开标日之后，投标有效期之内撤销投标的，则我方承担违背投标承诺的责任追究。</w:t>
      </w:r>
    </w:p>
    <w:p w14:paraId="2B89D4B4">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四、我方同意按照贵方可能提出的要求而提供与投标有关的任何</w:t>
      </w:r>
      <w:r>
        <w:rPr>
          <w:rFonts w:hint="eastAsia" w:asciiTheme="minorEastAsia" w:hAnsiTheme="minorEastAsia" w:eastAsiaTheme="minorEastAsia"/>
          <w:color w:val="auto"/>
          <w:sz w:val="21"/>
          <w:szCs w:val="21"/>
          <w:lang w:eastAsia="zh-CN"/>
        </w:rPr>
        <w:t>其他数据</w:t>
      </w:r>
      <w:r>
        <w:rPr>
          <w:rFonts w:hint="eastAsia" w:asciiTheme="minorEastAsia" w:hAnsiTheme="minorEastAsia" w:eastAsiaTheme="minorEastAsia"/>
          <w:color w:val="auto"/>
          <w:sz w:val="21"/>
          <w:szCs w:val="21"/>
        </w:rPr>
        <w:t>、信息或资料。</w:t>
      </w:r>
    </w:p>
    <w:p w14:paraId="2B89D4B5">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五、我方理解贵方不一定接受最低投标价或任何贵方可能收到的投标。</w:t>
      </w:r>
    </w:p>
    <w:p w14:paraId="2B89D4B6">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六、我方如果中标，将保证履行招标文件及其澄清、修改文件（如果有）中的全部责任和义务，按质、按量、按期完成《项目需求》及《合同书》中的全部任务。</w:t>
      </w:r>
    </w:p>
    <w:p w14:paraId="2B89D4B7">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七、我方在此保证所提交的所有文件和全部说明是真实的和正确的。</w:t>
      </w:r>
    </w:p>
    <w:p w14:paraId="2B89D4B8">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2B89D4B9">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九、我方具备《中华人民共和国政府采购法》第二十二条规定的条件；承诺如下：</w:t>
      </w:r>
    </w:p>
    <w:p w14:paraId="2B89D4BA">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14:paraId="2B89D4BB">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 我方已依法缴纳了各项税费及社会保险费用，如有需要，可随时向采购人提供近一年内任意一个月的相关缴费证明，以便核查。</w:t>
      </w:r>
    </w:p>
    <w:p w14:paraId="2B89D4BC">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 我方已依法建立健全的财务会计制度，如有需要，可随时向采购人提供相关证明材料，以便核查。</w:t>
      </w:r>
    </w:p>
    <w:p w14:paraId="2B89D4BD">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 参加政府采购活动前三年内，在经营活动中没有重大违法记录。</w:t>
      </w:r>
    </w:p>
    <w:p w14:paraId="2B89D4BE">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 符合法律、行政法规规定的其他条件。</w:t>
      </w:r>
    </w:p>
    <w:p w14:paraId="2B89D4BF">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以上内容如有虚假或与事实不符的，评审委员会可将我方做无效投标处理，我方愿意承担相应的法律责任。</w:t>
      </w:r>
    </w:p>
    <w:p w14:paraId="2B89D4C0">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14:paraId="2B89D4C1">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十一、我方对在本函及投标文件中所作的所有承诺承担法律责任。</w:t>
      </w:r>
    </w:p>
    <w:p w14:paraId="2B89D4C2">
      <w:pPr>
        <w:pStyle w:val="10"/>
        <w:adjustRightInd w:val="0"/>
        <w:snapToGrid w:val="0"/>
        <w:spacing w:line="360" w:lineRule="auto"/>
        <w:ind w:firstLine="420" w:firstLineChars="20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十二、若我方中标，愿意按豫招协〔2023〕002规定向代理机构支付招标代理服务费。</w:t>
      </w:r>
    </w:p>
    <w:p w14:paraId="2B89D4C3">
      <w:pPr>
        <w:pStyle w:val="10"/>
        <w:adjustRightInd w:val="0"/>
        <w:snapToGrid w:val="0"/>
        <w:spacing w:line="360" w:lineRule="auto"/>
        <w:ind w:left="5250"/>
        <w:rPr>
          <w:rFonts w:hint="eastAsia" w:asciiTheme="minorEastAsia" w:hAnsiTheme="minorEastAsia" w:eastAsiaTheme="minorEastAsia"/>
          <w:color w:val="auto"/>
          <w:sz w:val="21"/>
          <w:szCs w:val="21"/>
        </w:rPr>
      </w:pPr>
    </w:p>
    <w:p w14:paraId="2B89D4C4">
      <w:pPr>
        <w:pStyle w:val="10"/>
        <w:adjustRightInd w:val="0"/>
        <w:snapToGrid w:val="0"/>
        <w:spacing w:line="360" w:lineRule="auto"/>
        <w:ind w:left="5250"/>
        <w:rPr>
          <w:rFonts w:hint="eastAsia" w:asciiTheme="minorEastAsia" w:hAnsiTheme="minorEastAsia" w:eastAsiaTheme="minorEastAsia"/>
          <w:color w:val="auto"/>
          <w:sz w:val="21"/>
          <w:szCs w:val="21"/>
        </w:rPr>
      </w:pPr>
    </w:p>
    <w:p w14:paraId="2B89D4C5">
      <w:pPr>
        <w:adjustRightInd w:val="0"/>
        <w:snapToGrid w:val="0"/>
        <w:spacing w:line="360" w:lineRule="auto"/>
        <w:rPr>
          <w:rFonts w:hint="eastAsia" w:asciiTheme="minorEastAsia" w:hAnsiTheme="minorEastAsia"/>
          <w:color w:val="auto"/>
          <w:szCs w:val="21"/>
        </w:rPr>
      </w:pPr>
      <w:r>
        <w:rPr>
          <w:rFonts w:hint="eastAsia" w:asciiTheme="minorEastAsia" w:hAnsiTheme="minorEastAsia"/>
          <w:color w:val="auto"/>
          <w:szCs w:val="21"/>
        </w:rPr>
        <w:t>所有与</w:t>
      </w:r>
      <w:r>
        <w:rPr>
          <w:rFonts w:hint="eastAsia" w:asciiTheme="minorEastAsia" w:hAnsiTheme="minorEastAsia"/>
          <w:color w:val="auto"/>
          <w:szCs w:val="21"/>
          <w:lang w:eastAsia="zh-CN"/>
        </w:rPr>
        <w:t>本次</w:t>
      </w:r>
      <w:r>
        <w:rPr>
          <w:rFonts w:hint="eastAsia" w:asciiTheme="minorEastAsia" w:hAnsiTheme="minorEastAsia"/>
          <w:color w:val="auto"/>
          <w:szCs w:val="21"/>
        </w:rPr>
        <w:t>招标有关的一切正式往来请寄：</w:t>
      </w:r>
    </w:p>
    <w:p w14:paraId="2B89D4C6">
      <w:pPr>
        <w:adjustRightInd w:val="0"/>
        <w:snapToGrid w:val="0"/>
        <w:spacing w:line="360" w:lineRule="auto"/>
        <w:rPr>
          <w:rFonts w:hint="eastAsia" w:asciiTheme="minorEastAsia" w:hAnsiTheme="minorEastAsia"/>
          <w:color w:val="auto"/>
          <w:szCs w:val="21"/>
        </w:rPr>
      </w:pPr>
      <w:r>
        <w:rPr>
          <w:rFonts w:hint="eastAsia" w:asciiTheme="minorEastAsia" w:hAnsiTheme="minorEastAsia"/>
          <w:color w:val="auto"/>
          <w:szCs w:val="21"/>
        </w:rPr>
        <w:t>地    址：  邮政编码：</w:t>
      </w:r>
    </w:p>
    <w:p w14:paraId="2B89D4C7">
      <w:pPr>
        <w:adjustRightInd w:val="0"/>
        <w:snapToGrid w:val="0"/>
        <w:spacing w:line="360" w:lineRule="auto"/>
        <w:rPr>
          <w:rFonts w:hint="eastAsia" w:asciiTheme="minorEastAsia" w:hAnsiTheme="minorEastAsia"/>
          <w:color w:val="auto"/>
          <w:szCs w:val="21"/>
        </w:rPr>
      </w:pPr>
      <w:r>
        <w:rPr>
          <w:rFonts w:hint="eastAsia" w:asciiTheme="minorEastAsia" w:hAnsiTheme="minorEastAsia"/>
          <w:color w:val="auto"/>
          <w:szCs w:val="21"/>
        </w:rPr>
        <w:t>电    话：  传    真：</w:t>
      </w:r>
    </w:p>
    <w:p w14:paraId="2B89D4C8">
      <w:pPr>
        <w:adjustRightInd w:val="0"/>
        <w:snapToGrid w:val="0"/>
        <w:spacing w:line="360" w:lineRule="auto"/>
        <w:rPr>
          <w:rFonts w:hint="eastAsia" w:asciiTheme="minorEastAsia" w:hAnsiTheme="minorEastAsia"/>
          <w:color w:val="auto"/>
          <w:szCs w:val="21"/>
          <w:u w:val="single"/>
        </w:rPr>
      </w:pPr>
      <w:r>
        <w:rPr>
          <w:rFonts w:hint="eastAsia" w:asciiTheme="minorEastAsia" w:hAnsiTheme="minorEastAsia"/>
          <w:color w:val="auto"/>
          <w:szCs w:val="21"/>
        </w:rPr>
        <w:t>投标人代表姓名：  职    务：</w:t>
      </w:r>
    </w:p>
    <w:p w14:paraId="2B89D4C9">
      <w:pPr>
        <w:adjustRightInd w:val="0"/>
        <w:snapToGrid w:val="0"/>
        <w:spacing w:line="360" w:lineRule="auto"/>
        <w:rPr>
          <w:rFonts w:hint="eastAsia" w:asciiTheme="minorEastAsia" w:hAnsiTheme="minorEastAsia"/>
          <w:color w:val="auto"/>
          <w:szCs w:val="21"/>
        </w:rPr>
      </w:pPr>
      <w:r>
        <w:rPr>
          <w:rFonts w:hint="eastAsia" w:asciiTheme="minorEastAsia" w:hAnsiTheme="minorEastAsia"/>
          <w:color w:val="auto"/>
          <w:szCs w:val="21"/>
        </w:rPr>
        <w:t>投标人法定代表人（或法定代表人授权代表）签字或盖章：</w:t>
      </w:r>
    </w:p>
    <w:p w14:paraId="2B89D4CA">
      <w:pPr>
        <w:adjustRightInd w:val="0"/>
        <w:snapToGrid w:val="0"/>
        <w:spacing w:line="360" w:lineRule="auto"/>
        <w:rPr>
          <w:rFonts w:hint="eastAsia" w:asciiTheme="minorEastAsia" w:hAnsiTheme="minorEastAsia"/>
          <w:color w:val="auto"/>
          <w:szCs w:val="21"/>
        </w:rPr>
      </w:pPr>
      <w:r>
        <w:rPr>
          <w:rFonts w:hint="eastAsia" w:asciiTheme="minorEastAsia" w:hAnsiTheme="minorEastAsia"/>
          <w:color w:val="auto"/>
          <w:szCs w:val="21"/>
        </w:rPr>
        <w:t>投标人名称（盖章）：</w:t>
      </w:r>
    </w:p>
    <w:p w14:paraId="2B89D4CB">
      <w:pPr>
        <w:adjustRightInd w:val="0"/>
        <w:snapToGrid w:val="0"/>
        <w:spacing w:line="360" w:lineRule="auto"/>
        <w:rPr>
          <w:rFonts w:hint="eastAsia" w:cs="宋体" w:asciiTheme="minorEastAsia" w:hAnsiTheme="minorEastAsia"/>
          <w:color w:val="auto"/>
          <w:szCs w:val="21"/>
          <w:u w:val="single"/>
        </w:rPr>
      </w:pPr>
    </w:p>
    <w:p w14:paraId="2B89D4CC">
      <w:pPr>
        <w:adjustRightInd w:val="0"/>
        <w:snapToGrid w:val="0"/>
        <w:spacing w:line="360" w:lineRule="auto"/>
        <w:rPr>
          <w:rFonts w:hint="eastAsia" w:cs="宋体" w:asciiTheme="minorEastAsia" w:hAnsiTheme="minorEastAsia"/>
          <w:color w:val="auto"/>
          <w:szCs w:val="21"/>
          <w:u w:val="single"/>
        </w:rPr>
      </w:pPr>
    </w:p>
    <w:p w14:paraId="2B89D4CD">
      <w:pPr>
        <w:adjustRightInd w:val="0"/>
        <w:snapToGrid w:val="0"/>
        <w:spacing w:line="360" w:lineRule="auto"/>
        <w:rPr>
          <w:rFonts w:hint="eastAsia" w:cs="宋体" w:asciiTheme="minorEastAsia" w:hAnsiTheme="minorEastAsia"/>
          <w:color w:val="auto"/>
          <w:szCs w:val="21"/>
          <w:u w:val="single"/>
        </w:rPr>
      </w:pPr>
    </w:p>
    <w:p w14:paraId="2B89D4CE">
      <w:pPr>
        <w:spacing w:line="480" w:lineRule="exact"/>
        <w:jc w:val="center"/>
        <w:rPr>
          <w:rFonts w:hint="eastAsia" w:asciiTheme="majorEastAsia" w:hAnsiTheme="majorEastAsia" w:eastAsiaTheme="majorEastAsia"/>
          <w:b/>
          <w:bCs/>
          <w:color w:val="auto"/>
          <w:sz w:val="24"/>
          <w:szCs w:val="24"/>
        </w:rPr>
      </w:pPr>
    </w:p>
    <w:p w14:paraId="2B89D4CF">
      <w:pPr>
        <w:pStyle w:val="8"/>
        <w:ind w:firstLine="480"/>
        <w:rPr>
          <w:color w:val="auto"/>
        </w:rPr>
      </w:pPr>
    </w:p>
    <w:p w14:paraId="2B89D4D0">
      <w:pPr>
        <w:rPr>
          <w:color w:val="auto"/>
        </w:rPr>
      </w:pPr>
    </w:p>
    <w:p w14:paraId="2B89D4D1">
      <w:pPr>
        <w:pStyle w:val="13"/>
        <w:ind w:firstLine="340"/>
        <w:rPr>
          <w:color w:val="auto"/>
        </w:rPr>
      </w:pPr>
    </w:p>
    <w:p w14:paraId="2B89D4D2">
      <w:pPr>
        <w:pStyle w:val="8"/>
        <w:ind w:firstLine="480"/>
        <w:rPr>
          <w:color w:val="auto"/>
        </w:rPr>
      </w:pPr>
    </w:p>
    <w:p w14:paraId="2B89D4D3">
      <w:pPr>
        <w:pStyle w:val="8"/>
        <w:ind w:firstLine="480"/>
        <w:rPr>
          <w:color w:val="auto"/>
        </w:rPr>
      </w:pPr>
    </w:p>
    <w:p w14:paraId="2B89D4D4">
      <w:pPr>
        <w:pStyle w:val="13"/>
        <w:ind w:firstLine="0" w:firstLineChars="0"/>
        <w:rPr>
          <w:color w:val="auto"/>
        </w:rPr>
      </w:pPr>
    </w:p>
    <w:p w14:paraId="2B89D4D5">
      <w:pPr>
        <w:rPr>
          <w:color w:val="auto"/>
        </w:rPr>
      </w:pPr>
    </w:p>
    <w:p w14:paraId="2B89D4D6">
      <w:pPr>
        <w:rPr>
          <w:color w:val="auto"/>
        </w:rPr>
      </w:pPr>
    </w:p>
    <w:p w14:paraId="2B89D4D7">
      <w:pPr>
        <w:rPr>
          <w:color w:val="auto"/>
        </w:rPr>
      </w:pPr>
    </w:p>
    <w:p w14:paraId="2B89D4D8">
      <w:pPr>
        <w:rPr>
          <w:color w:val="auto"/>
        </w:rPr>
      </w:pPr>
    </w:p>
    <w:p w14:paraId="2B89D4D9">
      <w:pPr>
        <w:spacing w:line="480" w:lineRule="exact"/>
        <w:jc w:val="center"/>
        <w:rPr>
          <w:rFonts w:hint="eastAsia" w:ascii="宋体" w:hAnsi="宋体"/>
          <w:color w:val="auto"/>
          <w:sz w:val="24"/>
          <w:szCs w:val="24"/>
        </w:rPr>
      </w:pPr>
      <w:r>
        <w:rPr>
          <w:rFonts w:hint="eastAsia" w:asciiTheme="majorEastAsia" w:hAnsiTheme="majorEastAsia" w:eastAsiaTheme="majorEastAsia"/>
          <w:b/>
          <w:bCs/>
          <w:color w:val="auto"/>
          <w:sz w:val="24"/>
          <w:szCs w:val="24"/>
        </w:rPr>
        <w:t>3.2法定代表人（单位负责人）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14:paraId="2B89D4DA">
      <w:pPr>
        <w:pStyle w:val="28"/>
        <w:spacing w:line="480" w:lineRule="auto"/>
        <w:ind w:firstLine="472" w:firstLineChars="225"/>
        <w:jc w:val="left"/>
        <w:rPr>
          <w:rFonts w:hint="eastAsia" w:asciiTheme="minorEastAsia" w:hAnsiTheme="minorEastAsia"/>
          <w:color w:val="auto"/>
          <w:sz w:val="21"/>
          <w:szCs w:val="21"/>
          <w:u w:val="single"/>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14:paraId="2B89D4DB">
      <w:pPr>
        <w:pStyle w:val="28"/>
        <w:spacing w:line="480" w:lineRule="auto"/>
        <w:ind w:firstLine="472" w:firstLineChars="225"/>
        <w:jc w:val="left"/>
        <w:rPr>
          <w:rFonts w:hint="eastAsia" w:asciiTheme="minorEastAsia" w:hAnsiTheme="minorEastAsia"/>
          <w:color w:val="auto"/>
          <w:sz w:val="21"/>
          <w:szCs w:val="21"/>
          <w:u w:val="single"/>
        </w:rPr>
      </w:pPr>
      <w:r>
        <w:rPr>
          <w:rFonts w:hint="eastAsia" w:asciiTheme="minorEastAsia" w:hAnsiTheme="minorEastAsia"/>
          <w:color w:val="auto"/>
          <w:sz w:val="21"/>
          <w:szCs w:val="21"/>
        </w:rPr>
        <w:t>地址：</w:t>
      </w:r>
    </w:p>
    <w:p w14:paraId="2B89D4DC">
      <w:pPr>
        <w:pStyle w:val="28"/>
        <w:spacing w:line="480" w:lineRule="auto"/>
        <w:ind w:firstLine="472" w:firstLineChars="225"/>
        <w:jc w:val="left"/>
        <w:rPr>
          <w:rFonts w:hint="eastAsia"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w:t>
      </w:r>
    </w:p>
    <w:p w14:paraId="2B89D4DD">
      <w:pPr>
        <w:pStyle w:val="28"/>
        <w:spacing w:line="480" w:lineRule="auto"/>
        <w:ind w:firstLine="472" w:firstLineChars="225"/>
        <w:jc w:val="left"/>
        <w:rPr>
          <w:rFonts w:hint="eastAsia"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i/>
          <w:snapToGrid w:val="0"/>
          <w:color w:val="auto"/>
          <w:sz w:val="21"/>
          <w:szCs w:val="21"/>
          <w:u w:val="single"/>
        </w:rPr>
        <w:t>投</w:t>
      </w:r>
      <w:r>
        <w:rPr>
          <w:rFonts w:asciiTheme="minorEastAsia" w:hAnsiTheme="minorEastAsia"/>
          <w:i/>
          <w:snapToGrid w:val="0"/>
          <w:color w:val="auto"/>
          <w:sz w:val="21"/>
          <w:szCs w:val="21"/>
          <w:u w:val="single"/>
        </w:rPr>
        <w:t>标</w:t>
      </w:r>
      <w:r>
        <w:rPr>
          <w:rFonts w:hint="eastAsia" w:asciiTheme="minorEastAsia" w:hAnsiTheme="minorEastAsia"/>
          <w:i/>
          <w:snapToGrid w:val="0"/>
          <w:color w:val="auto"/>
          <w:sz w:val="21"/>
          <w:szCs w:val="21"/>
          <w:u w:val="single"/>
        </w:rPr>
        <w:t>人名</w:t>
      </w:r>
      <w:r>
        <w:rPr>
          <w:rFonts w:asciiTheme="minorEastAsia" w:hAnsiTheme="minorEastAsia"/>
          <w:i/>
          <w:snapToGrid w:val="0"/>
          <w:color w:val="auto"/>
          <w:sz w:val="21"/>
          <w:szCs w:val="21"/>
          <w:u w:val="single"/>
        </w:rPr>
        <w:t>称</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加贵方招</w:t>
      </w:r>
      <w:r>
        <w:rPr>
          <w:rFonts w:asciiTheme="minorEastAsia" w:hAnsiTheme="minorEastAsia"/>
          <w:color w:val="auto"/>
          <w:sz w:val="21"/>
          <w:szCs w:val="21"/>
        </w:rPr>
        <w:t>标编号为</w:t>
      </w:r>
      <w:r>
        <w:rPr>
          <w:rFonts w:hint="eastAsia" w:asciiTheme="minorEastAsia" w:hAnsiTheme="minorEastAsia"/>
          <w:i/>
          <w:color w:val="auto"/>
          <w:sz w:val="21"/>
          <w:szCs w:val="21"/>
          <w:u w:val="single"/>
        </w:rPr>
        <w:t>招标</w:t>
      </w:r>
      <w:r>
        <w:rPr>
          <w:rFonts w:asciiTheme="minorEastAsia" w:hAnsiTheme="minorEastAsia"/>
          <w:i/>
          <w:color w:val="auto"/>
          <w:sz w:val="21"/>
          <w:szCs w:val="21"/>
          <w:u w:val="single"/>
        </w:rPr>
        <w:t>编号</w:t>
      </w:r>
      <w:r>
        <w:rPr>
          <w:rFonts w:hint="eastAsia" w:asciiTheme="minorEastAsia" w:hAnsiTheme="minorEastAsia"/>
          <w:color w:val="auto"/>
          <w:sz w:val="21"/>
          <w:szCs w:val="21"/>
        </w:rPr>
        <w:t>的</w:t>
      </w:r>
      <w:r>
        <w:rPr>
          <w:rFonts w:asciiTheme="minorEastAsia" w:hAnsiTheme="minorEastAsia"/>
          <w:i/>
          <w:color w:val="auto"/>
          <w:sz w:val="21"/>
          <w:szCs w:val="21"/>
          <w:u w:val="single"/>
        </w:rPr>
        <w:t>项目</w:t>
      </w:r>
      <w:r>
        <w:rPr>
          <w:rFonts w:hint="eastAsia" w:asciiTheme="minorEastAsia" w:hAnsiTheme="minorEastAsia"/>
          <w:i/>
          <w:color w:val="auto"/>
          <w:sz w:val="21"/>
          <w:szCs w:val="21"/>
          <w:u w:val="single"/>
        </w:rPr>
        <w:t>名</w:t>
      </w:r>
      <w:r>
        <w:rPr>
          <w:rFonts w:asciiTheme="minorEastAsia" w:hAnsiTheme="minorEastAsia"/>
          <w:i/>
          <w:color w:val="auto"/>
          <w:sz w:val="21"/>
          <w:szCs w:val="21"/>
          <w:u w:val="single"/>
        </w:rPr>
        <w:t>称</w:t>
      </w:r>
      <w:r>
        <w:rPr>
          <w:rFonts w:hint="eastAsia" w:asciiTheme="minorEastAsia" w:hAnsiTheme="minorEastAsia"/>
          <w:i/>
          <w:color w:val="auto"/>
          <w:sz w:val="21"/>
          <w:szCs w:val="21"/>
          <w:u w:val="single"/>
        </w:rPr>
        <w:t xml:space="preserve">、标段 </w:t>
      </w:r>
      <w:r>
        <w:rPr>
          <w:rFonts w:hint="eastAsia" w:asciiTheme="minorEastAsia" w:hAnsiTheme="minorEastAsia"/>
          <w:color w:val="auto"/>
          <w:sz w:val="21"/>
          <w:szCs w:val="21"/>
        </w:rPr>
        <w:t>公</w:t>
      </w:r>
      <w:r>
        <w:rPr>
          <w:rFonts w:asciiTheme="minorEastAsia" w:hAnsiTheme="minorEastAsia"/>
          <w:color w:val="auto"/>
          <w:sz w:val="21"/>
          <w:szCs w:val="21"/>
        </w:rPr>
        <w:t>开</w:t>
      </w:r>
      <w:r>
        <w:rPr>
          <w:rFonts w:hint="eastAsia" w:asciiTheme="minorEastAsia" w:hAnsiTheme="minorEastAsia"/>
          <w:color w:val="auto"/>
          <w:sz w:val="21"/>
          <w:szCs w:val="21"/>
        </w:rPr>
        <w:t>招</w:t>
      </w:r>
      <w:r>
        <w:rPr>
          <w:rFonts w:asciiTheme="minorEastAsia" w:hAnsiTheme="minorEastAsia"/>
          <w:color w:val="auto"/>
          <w:sz w:val="21"/>
          <w:szCs w:val="21"/>
        </w:rPr>
        <w:t>标项目</w:t>
      </w:r>
      <w:r>
        <w:rPr>
          <w:rFonts w:hint="eastAsia" w:asciiTheme="minorEastAsia" w:hAnsiTheme="minorEastAsia"/>
          <w:color w:val="auto"/>
          <w:sz w:val="21"/>
          <w:szCs w:val="21"/>
        </w:rPr>
        <w:t>的投</w:t>
      </w:r>
      <w:r>
        <w:rPr>
          <w:rFonts w:asciiTheme="minorEastAsia" w:hAnsiTheme="minorEastAsia"/>
          <w:color w:val="auto"/>
          <w:sz w:val="21"/>
          <w:szCs w:val="21"/>
        </w:rPr>
        <w:t>标报价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的投</w:t>
      </w:r>
      <w:r>
        <w:rPr>
          <w:rFonts w:asciiTheme="minorEastAsia" w:hAnsiTheme="minorEastAsia"/>
          <w:color w:val="auto"/>
          <w:sz w:val="21"/>
          <w:szCs w:val="21"/>
        </w:rPr>
        <w:t>标</w:t>
      </w:r>
      <w:r>
        <w:rPr>
          <w:rFonts w:hint="eastAsia" w:asciiTheme="minorEastAsia" w:hAnsiTheme="minorEastAsia"/>
          <w:color w:val="auto"/>
          <w:sz w:val="21"/>
          <w:szCs w:val="21"/>
        </w:rPr>
        <w:t>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14:paraId="2B89D4DE">
      <w:pPr>
        <w:pStyle w:val="28"/>
        <w:spacing w:line="480" w:lineRule="auto"/>
        <w:ind w:firstLine="472" w:firstLineChars="225"/>
        <w:jc w:val="left"/>
        <w:rPr>
          <w:rFonts w:hint="eastAsia"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14:paraId="2B89D4DF">
      <w:pPr>
        <w:pStyle w:val="28"/>
        <w:spacing w:line="480" w:lineRule="auto"/>
        <w:ind w:firstLine="472" w:firstLineChars="225"/>
        <w:jc w:val="left"/>
        <w:rPr>
          <w:rFonts w:hint="eastAsia" w:asciiTheme="minorEastAsia" w:hAnsiTheme="minorEastAsia"/>
          <w:color w:val="auto"/>
          <w:sz w:val="21"/>
          <w:szCs w:val="21"/>
          <w:u w:val="single"/>
        </w:rPr>
      </w:pPr>
      <w:r>
        <w:rPr>
          <w:rFonts w:hint="eastAsia" w:asciiTheme="minorEastAsia" w:hAnsiTheme="minorEastAsia"/>
          <w:color w:val="auto"/>
          <w:sz w:val="21"/>
          <w:szCs w:val="21"/>
        </w:rPr>
        <w:t>法定代表人（单位负责人）联系电话（手机）：</w:t>
      </w:r>
    </w:p>
    <w:p w14:paraId="2B89D4E0">
      <w:pPr>
        <w:pStyle w:val="28"/>
        <w:spacing w:line="480" w:lineRule="auto"/>
        <w:ind w:firstLine="472" w:firstLineChars="225"/>
        <w:jc w:val="left"/>
        <w:rPr>
          <w:rFonts w:hint="eastAsia" w:asciiTheme="minorEastAsia" w:hAnsiTheme="minorEastAsia"/>
          <w:color w:val="auto"/>
          <w:sz w:val="21"/>
          <w:szCs w:val="21"/>
        </w:rPr>
      </w:pPr>
    </w:p>
    <w:p w14:paraId="2B89D4E1">
      <w:pPr>
        <w:pStyle w:val="28"/>
        <w:spacing w:line="480" w:lineRule="auto"/>
        <w:ind w:firstLine="472" w:firstLineChars="225"/>
        <w:jc w:val="left"/>
        <w:rPr>
          <w:rFonts w:hint="eastAsia" w:asciiTheme="minorEastAsia" w:hAnsiTheme="minorEastAsia"/>
          <w:color w:val="auto"/>
          <w:sz w:val="21"/>
          <w:szCs w:val="21"/>
        </w:rPr>
      </w:pPr>
    </w:p>
    <w:p w14:paraId="2B89D4E2">
      <w:pPr>
        <w:pStyle w:val="28"/>
        <w:spacing w:line="480" w:lineRule="auto"/>
        <w:ind w:left="-538" w:leftChars="-256" w:firstLine="539" w:firstLineChars="257"/>
        <w:jc w:val="center"/>
        <w:rPr>
          <w:rFonts w:hint="eastAsia"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证复</w:t>
      </w:r>
      <w:r>
        <w:rPr>
          <w:rFonts w:hint="eastAsia" w:asciiTheme="minorEastAsia" w:hAnsiTheme="minorEastAsia"/>
          <w:bCs/>
          <w:color w:val="auto"/>
          <w:sz w:val="21"/>
          <w:szCs w:val="21"/>
        </w:rPr>
        <w:t>印件，需清晰反映身份证有效期限】</w:t>
      </w:r>
    </w:p>
    <w:p w14:paraId="2B89D4E3">
      <w:pPr>
        <w:pStyle w:val="28"/>
        <w:spacing w:line="480" w:lineRule="auto"/>
        <w:ind w:left="-538" w:leftChars="-256" w:firstLine="539" w:firstLineChars="257"/>
        <w:jc w:val="center"/>
        <w:rPr>
          <w:rFonts w:hint="eastAsia" w:asciiTheme="minorEastAsia" w:hAnsiTheme="minorEastAsia"/>
          <w:bCs/>
          <w:color w:val="auto"/>
          <w:sz w:val="21"/>
          <w:szCs w:val="21"/>
        </w:rPr>
      </w:pPr>
    </w:p>
    <w:p w14:paraId="2B89D4E4">
      <w:pPr>
        <w:autoSpaceDE w:val="0"/>
        <w:autoSpaceDN w:val="0"/>
        <w:adjustRightInd w:val="0"/>
        <w:spacing w:line="360" w:lineRule="auto"/>
        <w:ind w:right="-11"/>
        <w:rPr>
          <w:rFonts w:hint="eastAsia" w:cs="宋体" w:asciiTheme="minorEastAsia" w:hAnsiTheme="minorEastAsia"/>
          <w:color w:val="auto"/>
          <w:szCs w:val="21"/>
          <w:lang w:val="zh-CN"/>
        </w:rPr>
      </w:pPr>
    </w:p>
    <w:p w14:paraId="2B89D4E5">
      <w:pPr>
        <w:autoSpaceDE w:val="0"/>
        <w:autoSpaceDN w:val="0"/>
        <w:adjustRightInd w:val="0"/>
        <w:spacing w:line="360" w:lineRule="auto"/>
        <w:ind w:right="-11"/>
        <w:rPr>
          <w:rFonts w:hint="eastAsia" w:cs="宋体" w:asciiTheme="minorEastAsia" w:hAnsiTheme="minorEastAsia"/>
          <w:color w:val="auto"/>
          <w:szCs w:val="21"/>
          <w:lang w:val="zh-CN"/>
        </w:rPr>
      </w:pPr>
    </w:p>
    <w:p w14:paraId="2B89D4E6">
      <w:pPr>
        <w:autoSpaceDE w:val="0"/>
        <w:autoSpaceDN w:val="0"/>
        <w:adjustRightInd w:val="0"/>
        <w:spacing w:line="360" w:lineRule="auto"/>
        <w:ind w:right="-11"/>
        <w:rPr>
          <w:rFonts w:hint="eastAsia" w:cs="宋体" w:asciiTheme="minorEastAsia" w:hAnsiTheme="minorEastAsia"/>
          <w:color w:val="auto"/>
          <w:szCs w:val="21"/>
          <w:lang w:val="zh-CN"/>
        </w:rPr>
      </w:pPr>
    </w:p>
    <w:p w14:paraId="2B89D4E7">
      <w:pPr>
        <w:adjustRightInd w:val="0"/>
        <w:snapToGrid w:val="0"/>
        <w:spacing w:line="360" w:lineRule="auto"/>
        <w:ind w:firstLine="3885" w:firstLineChars="1850"/>
        <w:rPr>
          <w:rFonts w:hint="eastAsia" w:cs="宋体" w:asciiTheme="minorEastAsia" w:hAnsiTheme="minorEastAsia"/>
          <w:color w:val="auto"/>
          <w:szCs w:val="21"/>
        </w:rPr>
      </w:pPr>
      <w:r>
        <w:rPr>
          <w:rFonts w:hint="eastAsia" w:cs="宋体" w:asciiTheme="minorEastAsia" w:hAnsiTheme="minorEastAsia"/>
          <w:color w:val="auto"/>
          <w:szCs w:val="21"/>
        </w:rPr>
        <w:t>投标人名称（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14:paraId="2B89D4E8">
      <w:pPr>
        <w:pStyle w:val="29"/>
        <w:spacing w:before="60" w:line="480" w:lineRule="auto"/>
        <w:ind w:firstLine="3937" w:firstLineChars="1875"/>
        <w:rPr>
          <w:rFonts w:hint="eastAsia"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14:paraId="2B89D4E9">
      <w:pPr>
        <w:pStyle w:val="30"/>
        <w:spacing w:line="480" w:lineRule="auto"/>
        <w:rPr>
          <w:rFonts w:hint="eastAsia" w:cs="Arial" w:asciiTheme="minorEastAsia" w:hAnsiTheme="minorEastAsia"/>
          <w:color w:val="auto"/>
          <w:sz w:val="21"/>
          <w:szCs w:val="21"/>
        </w:rPr>
      </w:pPr>
    </w:p>
    <w:p w14:paraId="2B89D4EA">
      <w:pPr>
        <w:rPr>
          <w:color w:val="auto"/>
          <w:szCs w:val="21"/>
        </w:rPr>
      </w:pPr>
    </w:p>
    <w:p w14:paraId="2B89D4EB">
      <w:pPr>
        <w:spacing w:line="320" w:lineRule="exact"/>
        <w:ind w:firstLine="420" w:firstLineChars="200"/>
        <w:rPr>
          <w:rFonts w:hint="eastAsia"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加本招</w:t>
      </w:r>
      <w:r>
        <w:rPr>
          <w:rFonts w:asciiTheme="minorEastAsia" w:hAnsiTheme="minorEastAsia"/>
          <w:bCs/>
          <w:color w:val="auto"/>
          <w:kern w:val="12"/>
          <w:szCs w:val="21"/>
        </w:rPr>
        <w:t>标项目</w:t>
      </w:r>
      <w:r>
        <w:rPr>
          <w:rFonts w:hint="eastAsia" w:asciiTheme="minorEastAsia" w:hAnsiTheme="minorEastAsia"/>
          <w:bCs/>
          <w:color w:val="auto"/>
          <w:kern w:val="12"/>
          <w:szCs w:val="21"/>
        </w:rPr>
        <w:t>投</w:t>
      </w:r>
      <w:r>
        <w:rPr>
          <w:rFonts w:asciiTheme="minorEastAsia" w:hAnsiTheme="minorEastAsia"/>
          <w:bCs/>
          <w:color w:val="auto"/>
          <w:kern w:val="12"/>
          <w:szCs w:val="21"/>
        </w:rPr>
        <w:t>标</w:t>
      </w:r>
      <w:r>
        <w:rPr>
          <w:rFonts w:hint="eastAsia" w:asciiTheme="minorEastAsia" w:hAnsiTheme="minorEastAsia"/>
          <w:bCs/>
          <w:color w:val="auto"/>
          <w:kern w:val="12"/>
          <w:szCs w:val="21"/>
        </w:rPr>
        <w:t>的，</w:t>
      </w:r>
      <w:r>
        <w:rPr>
          <w:rFonts w:asciiTheme="minorEastAsia" w:hAnsiTheme="minorEastAsia"/>
          <w:bCs/>
          <w:color w:val="auto"/>
          <w:kern w:val="12"/>
          <w:szCs w:val="21"/>
        </w:rPr>
        <w:t>仅</w:t>
      </w:r>
      <w:r>
        <w:rPr>
          <w:rFonts w:hint="eastAsia" w:asciiTheme="minorEastAsia" w:hAnsiTheme="minorEastAsia"/>
          <w:bCs/>
          <w:color w:val="auto"/>
          <w:kern w:val="12"/>
          <w:szCs w:val="21"/>
        </w:rPr>
        <w:t>需出具此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14:paraId="2B89D4EC">
      <w:pPr>
        <w:pStyle w:val="13"/>
        <w:ind w:firstLine="0" w:firstLineChars="0"/>
        <w:rPr>
          <w:color w:val="auto"/>
        </w:rPr>
      </w:pPr>
    </w:p>
    <w:p w14:paraId="2B89D4ED">
      <w:pPr>
        <w:rPr>
          <w:color w:val="auto"/>
        </w:rPr>
      </w:pPr>
    </w:p>
    <w:p w14:paraId="2B89D4EE">
      <w:pPr>
        <w:rPr>
          <w:color w:val="auto"/>
        </w:rPr>
      </w:pPr>
    </w:p>
    <w:p w14:paraId="2B89D4EF">
      <w:pPr>
        <w:rPr>
          <w:color w:val="auto"/>
        </w:rPr>
      </w:pPr>
    </w:p>
    <w:p w14:paraId="2B89D4F0">
      <w:pPr>
        <w:rPr>
          <w:color w:val="auto"/>
        </w:rPr>
      </w:pPr>
    </w:p>
    <w:p w14:paraId="2B89D4F1">
      <w:pPr>
        <w:spacing w:line="480" w:lineRule="exact"/>
        <w:jc w:val="center"/>
        <w:rPr>
          <w:rFonts w:hint="eastAsia" w:ascii="宋体" w:hAnsi="宋体"/>
          <w:b/>
          <w:bCs/>
          <w:color w:val="auto"/>
          <w:sz w:val="24"/>
          <w:szCs w:val="24"/>
        </w:rPr>
      </w:pPr>
      <w:r>
        <w:rPr>
          <w:rFonts w:hint="eastAsia" w:ascii="宋体" w:hAnsi="宋体"/>
          <w:b/>
          <w:bCs/>
          <w:color w:val="auto"/>
          <w:sz w:val="24"/>
          <w:szCs w:val="24"/>
        </w:rPr>
        <w:t>3.3法定代表人（单位负责人）授权书</w:t>
      </w:r>
    </w:p>
    <w:p w14:paraId="2B89D4F2">
      <w:pPr>
        <w:spacing w:line="480" w:lineRule="exact"/>
        <w:jc w:val="center"/>
        <w:rPr>
          <w:rFonts w:hint="eastAsia" w:ascii="宋体" w:hAnsi="宋体"/>
          <w:b/>
          <w:bCs/>
          <w:color w:val="auto"/>
          <w:sz w:val="36"/>
          <w:szCs w:val="36"/>
        </w:rPr>
      </w:pPr>
    </w:p>
    <w:p w14:paraId="2B89D4F3">
      <w:pPr>
        <w:adjustRightInd w:val="0"/>
        <w:spacing w:line="360" w:lineRule="auto"/>
        <w:ind w:firstLine="441" w:firstLineChars="210"/>
        <w:contextualSpacing/>
        <w:rPr>
          <w:rFonts w:hint="eastAsia"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法人姓名</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i/>
          <w:snapToGrid w:val="0"/>
          <w:color w:val="auto"/>
          <w:szCs w:val="21"/>
          <w:u w:val="single"/>
        </w:rPr>
        <w:t xml:space="preserve">投标人名称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姓名，职务</w:t>
      </w:r>
      <w:r>
        <w:rPr>
          <w:rFonts w:hint="eastAsia" w:cs="Arial" w:asciiTheme="minorEastAsia" w:hAnsiTheme="minorEastAsia"/>
          <w:color w:val="auto"/>
          <w:szCs w:val="21"/>
        </w:rPr>
        <w:t>以我方的名义参加贵方</w:t>
      </w:r>
      <w:r>
        <w:rPr>
          <w:rFonts w:hint="eastAsia" w:asciiTheme="minorEastAsia" w:hAnsiTheme="minorEastAsia"/>
          <w:i/>
          <w:color w:val="auto"/>
          <w:szCs w:val="21"/>
          <w:u w:val="single"/>
        </w:rPr>
        <w:t>招标</w:t>
      </w:r>
      <w:r>
        <w:rPr>
          <w:rFonts w:asciiTheme="minorEastAsia" w:hAnsiTheme="minorEastAsia"/>
          <w:i/>
          <w:color w:val="auto"/>
          <w:szCs w:val="21"/>
          <w:u w:val="single"/>
        </w:rPr>
        <w:t>编号</w:t>
      </w:r>
      <w:r>
        <w:rPr>
          <w:rFonts w:hint="eastAsia" w:asciiTheme="minorEastAsia" w:hAnsiTheme="minorEastAsia"/>
          <w:color w:val="auto"/>
          <w:szCs w:val="21"/>
        </w:rPr>
        <w:t>的</w:t>
      </w:r>
      <w:r>
        <w:rPr>
          <w:rFonts w:asciiTheme="minorEastAsia" w:hAnsiTheme="minorEastAsia"/>
          <w:i/>
          <w:color w:val="auto"/>
          <w:szCs w:val="21"/>
          <w:u w:val="single"/>
        </w:rPr>
        <w:t>项目</w:t>
      </w:r>
      <w:r>
        <w:rPr>
          <w:rFonts w:hint="eastAsia" w:asciiTheme="minorEastAsia" w:hAnsiTheme="minorEastAsia"/>
          <w:i/>
          <w:color w:val="auto"/>
          <w:szCs w:val="21"/>
          <w:u w:val="single"/>
        </w:rPr>
        <w:t>名</w:t>
      </w:r>
      <w:r>
        <w:rPr>
          <w:rFonts w:asciiTheme="minorEastAsia" w:hAnsiTheme="minorEastAsia"/>
          <w:i/>
          <w:color w:val="auto"/>
          <w:szCs w:val="21"/>
          <w:u w:val="single"/>
        </w:rPr>
        <w:t>称</w:t>
      </w:r>
      <w:r>
        <w:rPr>
          <w:rFonts w:hint="eastAsia" w:asciiTheme="minorEastAsia" w:hAnsiTheme="minorEastAsia"/>
          <w:i/>
          <w:color w:val="auto"/>
          <w:szCs w:val="21"/>
          <w:u w:val="single"/>
        </w:rPr>
        <w:t xml:space="preserve">、标段 </w:t>
      </w:r>
      <w:r>
        <w:rPr>
          <w:rFonts w:hint="eastAsia" w:cs="Arial" w:asciiTheme="minorEastAsia" w:hAnsiTheme="minorEastAsia"/>
          <w:color w:val="auto"/>
          <w:szCs w:val="21"/>
        </w:rPr>
        <w:t>项目的投标活动，并代表我方全权办理针对上述项目的投标、开标、投标文件澄清、签约等一切具体事务和签署相关文件。</w:t>
      </w:r>
    </w:p>
    <w:p w14:paraId="2B89D4F4">
      <w:pPr>
        <w:adjustRightInd w:val="0"/>
        <w:spacing w:line="360" w:lineRule="auto"/>
        <w:ind w:firstLine="441" w:firstLineChars="210"/>
        <w:contextualSpacing/>
        <w:rPr>
          <w:rFonts w:hint="eastAsia"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14:paraId="2B89D4F5">
      <w:pPr>
        <w:adjustRightInd w:val="0"/>
        <w:spacing w:line="360" w:lineRule="auto"/>
        <w:ind w:firstLine="441" w:firstLineChars="210"/>
        <w:contextualSpacing/>
        <w:rPr>
          <w:rFonts w:hint="eastAsia"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B89D4F6">
      <w:pPr>
        <w:adjustRightInd w:val="0"/>
        <w:spacing w:line="360" w:lineRule="auto"/>
        <w:ind w:firstLine="441" w:firstLineChars="210"/>
        <w:contextualSpacing/>
        <w:rPr>
          <w:rFonts w:hint="eastAsia" w:cs="Arial" w:asciiTheme="minorEastAsia" w:hAnsiTheme="minorEastAsia"/>
          <w:color w:val="auto"/>
          <w:szCs w:val="21"/>
        </w:rPr>
      </w:pPr>
      <w:r>
        <w:rPr>
          <w:rFonts w:hint="eastAsia" w:cs="Arial" w:asciiTheme="minorEastAsia" w:hAnsiTheme="minorEastAsia"/>
          <w:color w:val="auto"/>
          <w:szCs w:val="21"/>
        </w:rPr>
        <w:t>被授权人无转委托权，特此委托。</w:t>
      </w:r>
    </w:p>
    <w:p w14:paraId="2B89D4F7">
      <w:pPr>
        <w:spacing w:line="480" w:lineRule="auto"/>
        <w:ind w:firstLine="420" w:firstLineChars="200"/>
        <w:rPr>
          <w:rFonts w:hint="eastAsia" w:asciiTheme="minorEastAsia" w:hAnsiTheme="minorEastAsia"/>
          <w:color w:val="auto"/>
          <w:szCs w:val="21"/>
        </w:rPr>
      </w:pPr>
      <w:r>
        <w:rPr>
          <w:rFonts w:hint="eastAsia" w:cs="宋体" w:asciiTheme="minorEastAsia" w:hAnsiTheme="minorEastAsia"/>
          <w:color w:val="auto"/>
          <w:szCs w:val="21"/>
        </w:rPr>
        <w:t>投标人</w:t>
      </w:r>
      <w:r>
        <w:rPr>
          <w:rFonts w:hint="eastAsia" w:asciiTheme="minorEastAsia" w:hAnsiTheme="minorEastAsia"/>
          <w:color w:val="auto"/>
          <w:szCs w:val="21"/>
        </w:rPr>
        <w:t xml:space="preserve">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（加盖单位公章）</w:t>
      </w:r>
    </w:p>
    <w:p w14:paraId="2B89D4F8">
      <w:pPr>
        <w:spacing w:line="480" w:lineRule="auto"/>
        <w:ind w:firstLine="420" w:firstLineChars="200"/>
        <w:rPr>
          <w:rFonts w:hint="eastAsia" w:cs="Arial" w:asciiTheme="minorEastAsia" w:hAnsiTheme="minorEastAsia"/>
          <w:color w:val="auto"/>
          <w:szCs w:val="21"/>
        </w:rPr>
      </w:pPr>
      <w:r>
        <w:rPr>
          <w:rFonts w:hint="eastAsia" w:cs="Arial" w:asciiTheme="minorEastAsia" w:hAnsiTheme="minorEastAsia"/>
          <w:color w:val="auto"/>
          <w:szCs w:val="21"/>
        </w:rPr>
        <w:t>法定代表人（单位负责人）： （签名或加盖名章）</w:t>
      </w:r>
    </w:p>
    <w:p w14:paraId="2B89D4F9">
      <w:pPr>
        <w:spacing w:line="480" w:lineRule="auto"/>
        <w:ind w:firstLine="420" w:firstLineChars="200"/>
        <w:rPr>
          <w:rFonts w:hint="eastAsia"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  （</w:t>
      </w:r>
      <w:r>
        <w:rPr>
          <w:rFonts w:hint="eastAsia" w:cs="Arial" w:asciiTheme="minorEastAsia" w:hAnsiTheme="minorEastAsia"/>
          <w:color w:val="auto"/>
          <w:szCs w:val="21"/>
        </w:rPr>
        <w:t>签名或加盖名章</w:t>
      </w:r>
      <w:r>
        <w:rPr>
          <w:rFonts w:hint="eastAsia" w:asciiTheme="minorEastAsia" w:hAnsiTheme="minorEastAsia"/>
          <w:color w:val="auto"/>
          <w:szCs w:val="21"/>
        </w:rPr>
        <w:t>）</w:t>
      </w:r>
    </w:p>
    <w:p w14:paraId="2B89D4FA">
      <w:pPr>
        <w:spacing w:line="480" w:lineRule="auto"/>
        <w:ind w:firstLine="420" w:firstLineChars="200"/>
        <w:rPr>
          <w:rFonts w:hint="eastAsia"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p>
    <w:tbl>
      <w:tblPr>
        <w:tblStyle w:val="14"/>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2B89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2B89D4FB">
            <w:pPr>
              <w:jc w:val="center"/>
              <w:rPr>
                <w:rFonts w:hint="eastAsia" w:asciiTheme="minorEastAsia" w:hAnsiTheme="minorEastAsia"/>
                <w:color w:val="auto"/>
                <w:szCs w:val="21"/>
              </w:rPr>
            </w:pPr>
            <w:r>
              <w:rPr>
                <w:rFonts w:hint="eastAsia" w:asciiTheme="minorEastAsia" w:hAnsiTheme="minorEastAsia"/>
                <w:color w:val="auto"/>
                <w:szCs w:val="21"/>
              </w:rPr>
              <w:t>法定代表人（单位负责人）身份证（反面）</w:t>
            </w:r>
          </w:p>
        </w:tc>
        <w:tc>
          <w:tcPr>
            <w:tcW w:w="4473" w:type="dxa"/>
            <w:gridSpan w:val="2"/>
            <w:vAlign w:val="center"/>
          </w:tcPr>
          <w:p w14:paraId="2B89D4FC">
            <w:pPr>
              <w:jc w:val="center"/>
              <w:rPr>
                <w:rFonts w:hint="eastAsia" w:asciiTheme="minorEastAsia" w:hAnsiTheme="minorEastAsia"/>
                <w:color w:val="auto"/>
                <w:szCs w:val="21"/>
              </w:rPr>
            </w:pPr>
            <w:r>
              <w:rPr>
                <w:rFonts w:hint="eastAsia" w:asciiTheme="minorEastAsia" w:hAnsiTheme="minorEastAsia"/>
                <w:color w:val="auto"/>
                <w:szCs w:val="21"/>
              </w:rPr>
              <w:t>法定代表人（单位负责人）身份证（正面）</w:t>
            </w:r>
          </w:p>
        </w:tc>
      </w:tr>
      <w:tr w14:paraId="2B89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2B89D4FE">
            <w:pPr>
              <w:jc w:val="center"/>
              <w:rPr>
                <w:rFonts w:hint="eastAsia" w:asciiTheme="minorEastAsia" w:hAnsiTheme="minorEastAsia"/>
                <w:color w:val="auto"/>
                <w:szCs w:val="21"/>
              </w:rPr>
            </w:pPr>
            <w:r>
              <w:rPr>
                <w:rFonts w:hint="eastAsia" w:asciiTheme="minorEastAsia" w:hAnsiTheme="minorEastAsia"/>
                <w:color w:val="auto"/>
                <w:szCs w:val="21"/>
              </w:rPr>
              <w:t>法定代表人（单位负责人）授权代表身份证</w:t>
            </w:r>
          </w:p>
          <w:p w14:paraId="2B89D4FF">
            <w:pPr>
              <w:jc w:val="center"/>
              <w:rPr>
                <w:rFonts w:hint="eastAsia" w:asciiTheme="minorEastAsia" w:hAnsiTheme="minorEastAsia"/>
                <w:color w:val="auto"/>
                <w:szCs w:val="21"/>
              </w:rPr>
            </w:pPr>
            <w:r>
              <w:rPr>
                <w:rFonts w:hint="eastAsia" w:asciiTheme="minorEastAsia" w:hAnsiTheme="minorEastAsia"/>
                <w:color w:val="auto"/>
                <w:szCs w:val="21"/>
              </w:rPr>
              <w:t>（反面）</w:t>
            </w:r>
          </w:p>
        </w:tc>
        <w:tc>
          <w:tcPr>
            <w:tcW w:w="4480" w:type="dxa"/>
            <w:gridSpan w:val="2"/>
            <w:vAlign w:val="center"/>
          </w:tcPr>
          <w:p w14:paraId="2B89D500">
            <w:pPr>
              <w:jc w:val="center"/>
              <w:rPr>
                <w:rFonts w:hint="eastAsia" w:asciiTheme="minorEastAsia" w:hAnsiTheme="minorEastAsia"/>
                <w:color w:val="auto"/>
                <w:szCs w:val="21"/>
              </w:rPr>
            </w:pPr>
            <w:r>
              <w:rPr>
                <w:rFonts w:hint="eastAsia" w:asciiTheme="minorEastAsia" w:hAnsiTheme="minorEastAsia"/>
                <w:color w:val="auto"/>
                <w:szCs w:val="21"/>
              </w:rPr>
              <w:t>法定代表人（单位负责人）授权代表身份证</w:t>
            </w:r>
          </w:p>
          <w:p w14:paraId="2B89D501">
            <w:pPr>
              <w:jc w:val="center"/>
              <w:rPr>
                <w:rFonts w:hint="eastAsia" w:asciiTheme="minorEastAsia" w:hAnsiTheme="minorEastAsia"/>
                <w:color w:val="auto"/>
                <w:szCs w:val="21"/>
              </w:rPr>
            </w:pPr>
            <w:r>
              <w:rPr>
                <w:rFonts w:hint="eastAsia" w:asciiTheme="minorEastAsia" w:hAnsiTheme="minorEastAsia"/>
                <w:color w:val="auto"/>
                <w:szCs w:val="21"/>
              </w:rPr>
              <w:t>（正面）</w:t>
            </w:r>
          </w:p>
        </w:tc>
      </w:tr>
    </w:tbl>
    <w:p w14:paraId="2B89D503">
      <w:pPr>
        <w:widowControl/>
        <w:spacing w:before="100" w:beforeAutospacing="1" w:after="100" w:afterAutospacing="1" w:line="360" w:lineRule="auto"/>
        <w:jc w:val="center"/>
        <w:rPr>
          <w:rFonts w:hint="eastAsia" w:ascii="宋体" w:hAnsi="宋体"/>
          <w:b/>
          <w:bCs/>
          <w:color w:val="auto"/>
          <w:sz w:val="24"/>
          <w:szCs w:val="24"/>
        </w:rPr>
      </w:pPr>
    </w:p>
    <w:p w14:paraId="2B89D504">
      <w:pPr>
        <w:widowControl/>
        <w:spacing w:before="100" w:beforeAutospacing="1" w:after="100" w:afterAutospacing="1" w:line="360" w:lineRule="auto"/>
        <w:jc w:val="center"/>
        <w:rPr>
          <w:rFonts w:hint="eastAsia" w:ascii="宋体" w:hAnsi="宋体"/>
          <w:b/>
          <w:bCs/>
          <w:color w:val="auto"/>
          <w:sz w:val="24"/>
          <w:szCs w:val="24"/>
        </w:rPr>
      </w:pPr>
    </w:p>
    <w:p w14:paraId="2B89D505">
      <w:pPr>
        <w:spacing w:line="480" w:lineRule="exact"/>
        <w:jc w:val="center"/>
        <w:rPr>
          <w:rFonts w:hint="eastAsia" w:cs="Arial" w:asciiTheme="minorEastAsia" w:hAnsiTheme="minorEastAsia"/>
          <w:color w:val="auto"/>
          <w:szCs w:val="21"/>
        </w:rPr>
      </w:pPr>
      <w:r>
        <w:rPr>
          <w:rFonts w:hint="eastAsia" w:ascii="宋体" w:hAnsi="宋体"/>
          <w:b/>
          <w:bCs/>
          <w:color w:val="auto"/>
          <w:sz w:val="24"/>
          <w:szCs w:val="24"/>
        </w:rPr>
        <w:t>3.4禹州市政府采购供应商信用承诺函</w:t>
      </w:r>
    </w:p>
    <w:p w14:paraId="2B89D506">
      <w:pPr>
        <w:adjustRightInd w:val="0"/>
        <w:spacing w:line="360" w:lineRule="auto"/>
        <w:ind w:firstLine="441" w:firstLineChars="210"/>
        <w:contextualSpacing/>
        <w:rPr>
          <w:rFonts w:hint="eastAsia" w:cs="Arial" w:asciiTheme="minorEastAsia" w:hAnsiTheme="minorEastAsia"/>
          <w:color w:val="auto"/>
          <w:szCs w:val="21"/>
        </w:rPr>
      </w:pPr>
    </w:p>
    <w:p w14:paraId="2B89D507">
      <w:pPr>
        <w:spacing w:before="156" w:beforeLines="50" w:after="156" w:afterLines="50" w:line="360" w:lineRule="auto"/>
        <w:contextualSpacing/>
        <w:rPr>
          <w:rFonts w:hint="eastAsia" w:ascii="宋体" w:hAnsi="宋体" w:eastAsia="宋体" w:cs="宋体"/>
          <w:color w:val="auto"/>
          <w:szCs w:val="21"/>
          <w:lang w:val="zh-CN"/>
        </w:rPr>
      </w:pPr>
      <w:r>
        <w:rPr>
          <w:rFonts w:hint="eastAsia" w:ascii="宋体" w:hAnsi="宋体" w:eastAsia="宋体" w:cs="宋体"/>
          <w:color w:val="auto"/>
          <w:szCs w:val="21"/>
        </w:rPr>
        <w:t xml:space="preserve">致（采购人或采购代理机构）： </w:t>
      </w:r>
    </w:p>
    <w:p w14:paraId="2B89D508">
      <w:pPr>
        <w:spacing w:before="156" w:beforeLines="50" w:after="156" w:afterLines="50"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单位名称（自然人姓名）</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p>
    <w:p w14:paraId="2B89D509">
      <w:pPr>
        <w:spacing w:before="156" w:beforeLines="50" w:after="156" w:afterLines="50"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统一社会信用代码（身份证号码）</w:t>
      </w:r>
      <w:r>
        <w:rPr>
          <w:rFonts w:hint="eastAsia" w:ascii="宋体" w:hAnsi="宋体" w:eastAsia="宋体" w:cs="宋体"/>
          <w:color w:val="auto"/>
          <w:szCs w:val="21"/>
          <w:lang w:eastAsia="zh-CN"/>
        </w:rPr>
        <w:t>：</w:t>
      </w:r>
    </w:p>
    <w:p w14:paraId="2B89D50A">
      <w:pPr>
        <w:spacing w:before="156" w:beforeLines="50" w:after="156" w:afterLines="50"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法定代表人（负责人）</w:t>
      </w:r>
      <w:r>
        <w:rPr>
          <w:rFonts w:hint="eastAsia" w:ascii="宋体" w:hAnsi="宋体" w:eastAsia="宋体" w:cs="宋体"/>
          <w:color w:val="auto"/>
          <w:szCs w:val="21"/>
          <w:lang w:eastAsia="zh-CN"/>
        </w:rPr>
        <w:t>：</w:t>
      </w:r>
    </w:p>
    <w:p w14:paraId="2B89D50B">
      <w:pPr>
        <w:spacing w:before="156" w:beforeLines="50" w:after="156" w:afterLines="50"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联系地址和电话：</w:t>
      </w:r>
    </w:p>
    <w:p w14:paraId="2B89D50C">
      <w:pPr>
        <w:spacing w:before="156" w:beforeLines="50" w:after="156" w:after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rPr>
        <w:t xml:space="preserve">为维护公平、公正、公开的政府采购市场秩序，树立诚实守信的政府采购供应商形象，我单位（本人）自愿作出以下承诺： </w:t>
      </w:r>
    </w:p>
    <w:p w14:paraId="2B89D50D">
      <w:pPr>
        <w:spacing w:before="156" w:beforeLines="50" w:after="156" w:after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14:paraId="2B89D50E">
      <w:pPr>
        <w:spacing w:before="156" w:beforeLines="50" w:after="156" w:after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rPr>
        <w:t xml:space="preserve">（一）具有独立承担民事责任的能力； </w:t>
      </w:r>
    </w:p>
    <w:p w14:paraId="2B89D50F">
      <w:pPr>
        <w:spacing w:before="156" w:beforeLines="50" w:after="156" w:after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rPr>
        <w:t xml:space="preserve">（二）具有良好的商业信誉和健全的财务会计制度； </w:t>
      </w:r>
    </w:p>
    <w:p w14:paraId="2B89D510">
      <w:pPr>
        <w:spacing w:before="156" w:beforeLines="50" w:after="156" w:after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rPr>
        <w:t xml:space="preserve">（三）具有履行合同所必需的设备和专业技术能力； </w:t>
      </w:r>
    </w:p>
    <w:p w14:paraId="2B89D511">
      <w:pPr>
        <w:spacing w:before="156" w:beforeLines="50" w:after="156" w:after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rPr>
        <w:t xml:space="preserve">（四）有依法缴纳税收和社会保障资金的良好记录； </w:t>
      </w:r>
    </w:p>
    <w:p w14:paraId="2B89D512">
      <w:pPr>
        <w:spacing w:before="156" w:beforeLines="50" w:after="156" w:after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rPr>
        <w:t xml:space="preserve">（五）参加政府采购活动前三年内，在经营活动中没有重大违法记录； </w:t>
      </w:r>
    </w:p>
    <w:p w14:paraId="2B89D513">
      <w:pPr>
        <w:spacing w:before="156" w:beforeLines="50" w:after="156" w:afterLines="50" w:line="360" w:lineRule="auto"/>
        <w:ind w:left="689" w:leftChars="228" w:hanging="210" w:hangingChars="100"/>
        <w:contextualSpacing/>
        <w:jc w:val="left"/>
        <w:rPr>
          <w:rFonts w:hint="eastAsia" w:ascii="宋体" w:hAnsi="宋体" w:eastAsia="宋体" w:cs="宋体"/>
          <w:color w:val="auto"/>
          <w:szCs w:val="21"/>
          <w:lang w:val="zh-CN"/>
        </w:rPr>
      </w:pPr>
      <w:r>
        <w:rPr>
          <w:rFonts w:hint="eastAsia" w:ascii="宋体" w:hAnsi="宋体" w:eastAsia="宋体" w:cs="宋体"/>
          <w:color w:val="auto"/>
          <w:szCs w:val="21"/>
        </w:rPr>
        <w:t xml:space="preserve">（六）未被列入经营异常名录或者严重违法失信名单、失信被执行人，重大税收违法失信主体、政府采购严重违法失信行为记录名单； </w:t>
      </w:r>
    </w:p>
    <w:p w14:paraId="2B89D514">
      <w:pPr>
        <w:spacing w:before="156" w:beforeLines="50" w:after="156" w:after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rPr>
        <w:t xml:space="preserve">（七）未被相关监管部门作出行政处罚且尚在处罚有效期的； </w:t>
      </w:r>
    </w:p>
    <w:p w14:paraId="2B89D515">
      <w:pPr>
        <w:spacing w:before="156" w:beforeLines="50" w:after="156" w:after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rPr>
        <w:t xml:space="preserve">（八）未曾作出虚假采购承诺； </w:t>
      </w:r>
    </w:p>
    <w:p w14:paraId="2B89D516">
      <w:pPr>
        <w:spacing w:before="156" w:beforeLines="50" w:after="156" w:after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rPr>
        <w:t xml:space="preserve">（九）符合法律、行政法规规定的其他条件。 </w:t>
      </w:r>
    </w:p>
    <w:p w14:paraId="2B89D517">
      <w:pPr>
        <w:spacing w:before="156" w:beforeLines="50" w:after="156" w:after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w:t>
      </w:r>
      <w:r>
        <w:rPr>
          <w:rFonts w:hint="eastAsia" w:ascii="宋体" w:hAnsi="宋体" w:eastAsia="宋体" w:cs="宋体"/>
          <w:color w:val="auto"/>
          <w:szCs w:val="21"/>
          <w:lang w:eastAsia="zh-CN"/>
        </w:rPr>
        <w:t>、第</w:t>
      </w:r>
      <w:r>
        <w:rPr>
          <w:rFonts w:hint="eastAsia" w:ascii="宋体" w:hAnsi="宋体" w:eastAsia="宋体" w:cs="宋体"/>
          <w:color w:val="auto"/>
          <w:szCs w:val="21"/>
        </w:rPr>
        <w:t xml:space="preserve">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B89D518">
      <w:pPr>
        <w:spacing w:before="156" w:beforeLines="50" w:after="156" w:afterLines="50" w:line="360" w:lineRule="auto"/>
        <w:contextualSpacing/>
        <w:rPr>
          <w:rFonts w:hint="eastAsia" w:ascii="宋体" w:hAnsi="宋体" w:eastAsia="宋体" w:cs="宋体"/>
          <w:color w:val="auto"/>
          <w:szCs w:val="21"/>
          <w:lang w:val="zh-CN"/>
        </w:rPr>
      </w:pPr>
      <w:r>
        <w:rPr>
          <w:rFonts w:hint="eastAsia" w:ascii="宋体" w:hAnsi="宋体" w:eastAsia="宋体" w:cs="宋体"/>
          <w:color w:val="auto"/>
          <w:szCs w:val="21"/>
        </w:rPr>
        <w:t>供应商（电子章）</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p>
    <w:p w14:paraId="2B89D519">
      <w:pPr>
        <w:spacing w:before="156" w:beforeLines="50" w:after="156" w:afterLines="50" w:line="360" w:lineRule="auto"/>
        <w:contextualSpacing/>
        <w:rPr>
          <w:rFonts w:hint="eastAsia" w:ascii="宋体" w:hAnsi="宋体" w:eastAsia="宋体" w:cs="宋体"/>
          <w:color w:val="auto"/>
          <w:szCs w:val="21"/>
          <w:lang w:val="zh-CN"/>
        </w:rPr>
      </w:pPr>
      <w:r>
        <w:rPr>
          <w:rFonts w:hint="eastAsia" w:ascii="宋体" w:hAnsi="宋体" w:eastAsia="宋体" w:cs="宋体"/>
          <w:color w:val="auto"/>
          <w:szCs w:val="21"/>
        </w:rPr>
        <w:t>法定代表人、负责人、本人或授权代表（签字或电子印章）</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p>
    <w:p w14:paraId="2B89D51A">
      <w:pPr>
        <w:spacing w:before="156" w:beforeLines="50" w:after="156" w:afterLines="50" w:line="360" w:lineRule="auto"/>
        <w:contextualSpacing/>
        <w:rPr>
          <w:rFonts w:hint="eastAsia" w:ascii="宋体" w:hAnsi="宋体" w:eastAsia="宋体" w:cs="宋体"/>
          <w:color w:val="auto"/>
          <w:szCs w:val="21"/>
          <w:lang w:val="zh-CN"/>
        </w:rPr>
      </w:pPr>
      <w:r>
        <w:rPr>
          <w:rFonts w:hint="eastAsia" w:ascii="宋体" w:hAnsi="宋体" w:eastAsia="宋体" w:cs="宋体"/>
          <w:color w:val="auto"/>
          <w:szCs w:val="21"/>
        </w:rPr>
        <w:t xml:space="preserve">日期：   年   月   日 </w:t>
      </w:r>
    </w:p>
    <w:p w14:paraId="2B89D51B">
      <w:pPr>
        <w:widowControl/>
        <w:jc w:val="left"/>
        <w:rPr>
          <w:color w:val="auto"/>
          <w:sz w:val="24"/>
          <w:szCs w:val="24"/>
        </w:rPr>
      </w:pPr>
      <w:r>
        <w:rPr>
          <w:rFonts w:ascii="仿宋_GB2312" w:hAnsi="仿宋_GB2312" w:eastAsia="仿宋_GB2312" w:cs="仿宋_GB2312"/>
          <w:color w:val="auto"/>
          <w:kern w:val="0"/>
          <w:sz w:val="24"/>
          <w:szCs w:val="24"/>
        </w:rPr>
        <w:t>注：</w:t>
      </w:r>
    </w:p>
    <w:p w14:paraId="2B89D51C">
      <w:pPr>
        <w:widowControl/>
        <w:jc w:val="left"/>
        <w:rPr>
          <w:color w:val="auto"/>
          <w:sz w:val="24"/>
          <w:szCs w:val="24"/>
        </w:rPr>
      </w:pPr>
      <w:r>
        <w:rPr>
          <w:rFonts w:ascii="仿宋_GB2312" w:hAnsi="仿宋_GB2312" w:eastAsia="仿宋_GB2312" w:cs="仿宋_GB2312"/>
          <w:color w:val="auto"/>
          <w:kern w:val="0"/>
          <w:sz w:val="24"/>
          <w:szCs w:val="24"/>
        </w:rPr>
        <w:t xml:space="preserve">1.投标人须在投标文件中按此模板提供承诺函，未提供视为未实质性响应招标文件要求，按无效投标处理。 </w:t>
      </w:r>
    </w:p>
    <w:p w14:paraId="2B89D51D">
      <w:pPr>
        <w:widowControl/>
        <w:jc w:val="left"/>
        <w:rPr>
          <w:color w:val="auto"/>
          <w:sz w:val="24"/>
          <w:szCs w:val="24"/>
        </w:rPr>
      </w:pPr>
      <w:r>
        <w:rPr>
          <w:rFonts w:ascii="仿宋_GB2312" w:hAnsi="仿宋_GB2312" w:eastAsia="仿宋_GB2312" w:cs="仿宋_GB2312"/>
          <w:color w:val="auto"/>
          <w:kern w:val="0"/>
          <w:sz w:val="24"/>
          <w:szCs w:val="24"/>
        </w:rPr>
        <w:t>2.投标人的法定代表人或者授权代表的签字或盖章应真实、有效，如由授权代表签字或盖章的，应提供“法定代表人授权书”。</w:t>
      </w:r>
    </w:p>
    <w:p w14:paraId="2B89D51E">
      <w:pPr>
        <w:spacing w:before="156" w:beforeLines="50" w:after="156" w:afterLines="50" w:line="360" w:lineRule="auto"/>
        <w:ind w:right="420" w:firstLine="5486" w:firstLineChars="2286"/>
        <w:rPr>
          <w:rFonts w:hint="eastAsia" w:cs="宋体" w:asciiTheme="minorEastAsia" w:hAnsiTheme="minorEastAsia"/>
          <w:color w:val="auto"/>
          <w:sz w:val="24"/>
          <w:szCs w:val="24"/>
          <w:lang w:val="zh-CN"/>
        </w:rPr>
      </w:pPr>
    </w:p>
    <w:p w14:paraId="2B89D51F">
      <w:pPr>
        <w:spacing w:before="156" w:beforeLines="50" w:after="156" w:afterLines="50" w:line="360" w:lineRule="auto"/>
        <w:ind w:right="420" w:firstLine="5486" w:firstLineChars="2286"/>
        <w:rPr>
          <w:rFonts w:hint="eastAsia" w:cs="宋体" w:asciiTheme="minorEastAsia" w:hAnsiTheme="minorEastAsia"/>
          <w:color w:val="auto"/>
          <w:sz w:val="24"/>
          <w:szCs w:val="24"/>
          <w:lang w:val="zh-CN"/>
        </w:rPr>
      </w:pPr>
    </w:p>
    <w:p w14:paraId="2B89D520">
      <w:pPr>
        <w:spacing w:before="156" w:beforeLines="50" w:after="156" w:afterLines="50" w:line="360" w:lineRule="auto"/>
        <w:ind w:right="420" w:firstLine="5486" w:firstLineChars="2286"/>
        <w:rPr>
          <w:rFonts w:hint="eastAsia" w:cs="宋体" w:asciiTheme="minorEastAsia" w:hAnsiTheme="minorEastAsia"/>
          <w:color w:val="auto"/>
          <w:sz w:val="24"/>
          <w:szCs w:val="24"/>
          <w:lang w:val="zh-CN"/>
        </w:rPr>
      </w:pPr>
    </w:p>
    <w:p w14:paraId="2B89D521">
      <w:pPr>
        <w:spacing w:before="156" w:beforeLines="50" w:after="156" w:afterLines="50" w:line="360" w:lineRule="auto"/>
        <w:ind w:right="420" w:firstLine="5486" w:firstLineChars="2286"/>
        <w:rPr>
          <w:rFonts w:hint="eastAsia" w:cs="宋体" w:asciiTheme="minorEastAsia" w:hAnsiTheme="minorEastAsia"/>
          <w:color w:val="auto"/>
          <w:sz w:val="24"/>
          <w:szCs w:val="24"/>
          <w:lang w:val="zh-CN"/>
        </w:rPr>
      </w:pPr>
    </w:p>
    <w:p w14:paraId="2B89D522">
      <w:pPr>
        <w:spacing w:before="156" w:beforeLines="50" w:after="156" w:afterLines="50" w:line="360" w:lineRule="auto"/>
        <w:ind w:right="420" w:firstLine="5486" w:firstLineChars="2286"/>
        <w:rPr>
          <w:rFonts w:hint="eastAsia" w:cs="宋体" w:asciiTheme="minorEastAsia" w:hAnsiTheme="minorEastAsia"/>
          <w:color w:val="auto"/>
          <w:sz w:val="24"/>
          <w:szCs w:val="24"/>
          <w:lang w:val="zh-CN"/>
        </w:rPr>
      </w:pPr>
    </w:p>
    <w:p w14:paraId="2B89D523">
      <w:pPr>
        <w:spacing w:before="156" w:beforeLines="50" w:after="156" w:afterLines="50" w:line="360" w:lineRule="auto"/>
        <w:ind w:right="420" w:firstLine="5486" w:firstLineChars="2286"/>
        <w:rPr>
          <w:rFonts w:hint="eastAsia" w:cs="宋体" w:asciiTheme="minorEastAsia" w:hAnsiTheme="minorEastAsia"/>
          <w:color w:val="auto"/>
          <w:sz w:val="24"/>
          <w:szCs w:val="24"/>
          <w:lang w:val="zh-CN"/>
        </w:rPr>
      </w:pPr>
    </w:p>
    <w:p w14:paraId="2B89D524">
      <w:pPr>
        <w:spacing w:before="156" w:beforeLines="50" w:after="156" w:afterLines="50" w:line="360" w:lineRule="auto"/>
        <w:ind w:right="420" w:firstLine="5486" w:firstLineChars="2286"/>
        <w:rPr>
          <w:rFonts w:hint="eastAsia" w:cs="宋体" w:asciiTheme="minorEastAsia" w:hAnsiTheme="minorEastAsia"/>
          <w:color w:val="auto"/>
          <w:sz w:val="24"/>
          <w:szCs w:val="24"/>
          <w:lang w:val="zh-CN"/>
        </w:rPr>
      </w:pPr>
    </w:p>
    <w:p w14:paraId="2B89D525">
      <w:pPr>
        <w:spacing w:before="156" w:beforeLines="50" w:after="156" w:afterLines="50" w:line="360" w:lineRule="auto"/>
        <w:ind w:right="420" w:firstLine="5486" w:firstLineChars="2286"/>
        <w:rPr>
          <w:rFonts w:hint="eastAsia" w:cs="宋体" w:asciiTheme="minorEastAsia" w:hAnsiTheme="minorEastAsia"/>
          <w:color w:val="auto"/>
          <w:sz w:val="24"/>
          <w:szCs w:val="24"/>
          <w:lang w:val="zh-CN"/>
        </w:rPr>
      </w:pPr>
    </w:p>
    <w:p w14:paraId="2B89D526">
      <w:pPr>
        <w:spacing w:before="156" w:beforeLines="50" w:after="156" w:afterLines="50" w:line="360" w:lineRule="auto"/>
        <w:ind w:right="420" w:firstLine="5486" w:firstLineChars="2286"/>
        <w:rPr>
          <w:rFonts w:hint="eastAsia" w:cs="宋体" w:asciiTheme="minorEastAsia" w:hAnsiTheme="minorEastAsia"/>
          <w:color w:val="auto"/>
          <w:sz w:val="24"/>
          <w:szCs w:val="24"/>
          <w:lang w:val="zh-CN"/>
        </w:rPr>
      </w:pPr>
    </w:p>
    <w:p w14:paraId="2B89D527">
      <w:pPr>
        <w:pStyle w:val="13"/>
        <w:ind w:firstLine="340"/>
        <w:rPr>
          <w:color w:val="auto"/>
          <w:lang w:val="zh-CN"/>
        </w:rPr>
      </w:pPr>
    </w:p>
    <w:p w14:paraId="2B89D528">
      <w:pPr>
        <w:pStyle w:val="8"/>
        <w:ind w:firstLine="480"/>
        <w:rPr>
          <w:color w:val="auto"/>
          <w:lang w:val="zh-CN"/>
        </w:rPr>
      </w:pPr>
    </w:p>
    <w:p w14:paraId="2B89D529">
      <w:pPr>
        <w:pStyle w:val="13"/>
        <w:ind w:firstLine="0" w:firstLineChars="0"/>
        <w:rPr>
          <w:color w:val="auto"/>
          <w:lang w:val="zh-CN"/>
        </w:rPr>
      </w:pPr>
    </w:p>
    <w:p w14:paraId="2B89D52A">
      <w:pPr>
        <w:rPr>
          <w:color w:val="auto"/>
          <w:lang w:val="zh-CN"/>
        </w:rPr>
      </w:pPr>
    </w:p>
    <w:p w14:paraId="2B89D52B">
      <w:pPr>
        <w:rPr>
          <w:color w:val="auto"/>
          <w:lang w:val="zh-CN"/>
        </w:rPr>
      </w:pPr>
    </w:p>
    <w:p w14:paraId="2B89D52C">
      <w:pPr>
        <w:pStyle w:val="2"/>
        <w:rPr>
          <w:color w:val="auto"/>
          <w:lang w:val="zh-CN"/>
        </w:rPr>
      </w:pPr>
    </w:p>
    <w:p w14:paraId="2B89D52D">
      <w:pPr>
        <w:pStyle w:val="18"/>
        <w:rPr>
          <w:color w:val="auto"/>
          <w:lang w:val="zh-CN"/>
        </w:rPr>
      </w:pPr>
    </w:p>
    <w:p w14:paraId="2B89D52E">
      <w:pPr>
        <w:pStyle w:val="19"/>
        <w:rPr>
          <w:color w:val="auto"/>
          <w:lang w:val="zh-CN"/>
        </w:rPr>
      </w:pPr>
    </w:p>
    <w:p w14:paraId="2B89D52F">
      <w:pPr>
        <w:rPr>
          <w:color w:val="auto"/>
          <w:lang w:val="zh-CN"/>
        </w:rPr>
      </w:pPr>
    </w:p>
    <w:p w14:paraId="2B89D530">
      <w:pPr>
        <w:rPr>
          <w:color w:val="auto"/>
          <w:lang w:val="zh-CN"/>
        </w:rPr>
      </w:pPr>
    </w:p>
    <w:p w14:paraId="2B89D531">
      <w:pPr>
        <w:rPr>
          <w:color w:val="auto"/>
          <w:lang w:val="zh-CN"/>
        </w:rPr>
      </w:pPr>
    </w:p>
    <w:p w14:paraId="2B89D532">
      <w:pPr>
        <w:rPr>
          <w:color w:val="auto"/>
          <w:lang w:val="zh-CN"/>
        </w:rPr>
      </w:pPr>
    </w:p>
    <w:p w14:paraId="2B89D533">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3.5投标承诺函</w:t>
      </w:r>
    </w:p>
    <w:p w14:paraId="2B89D534">
      <w:pPr>
        <w:autoSpaceDE w:val="0"/>
        <w:autoSpaceDN w:val="0"/>
        <w:snapToGrid w:val="0"/>
        <w:spacing w:line="360" w:lineRule="auto"/>
        <w:jc w:val="center"/>
        <w:rPr>
          <w:rFonts w:hint="eastAsia" w:ascii="宋体" w:hAnsi="宋体"/>
          <w:b/>
          <w:bCs/>
          <w:color w:val="auto"/>
          <w:sz w:val="24"/>
          <w:szCs w:val="24"/>
        </w:rPr>
      </w:pPr>
    </w:p>
    <w:p w14:paraId="2B89D535">
      <w:pPr>
        <w:spacing w:before="156" w:beforeLines="50" w:after="156" w:afterLines="50" w:line="360" w:lineRule="auto"/>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本企业郑重承诺：</w:t>
      </w:r>
    </w:p>
    <w:p w14:paraId="2B89D536">
      <w:pPr>
        <w:spacing w:before="156" w:beforeLines="50" w:after="156" w:afterLines="50" w:line="360" w:lineRule="auto"/>
        <w:ind w:firstLine="420" w:firstLineChars="200"/>
        <w:contextualSpacing/>
        <w:rPr>
          <w:rFonts w:hint="eastAsia" w:cs="宋体" w:asciiTheme="minorEastAsia" w:hAnsiTheme="minorEastAsia"/>
          <w:color w:val="auto"/>
          <w:szCs w:val="21"/>
          <w:lang w:val="zh-CN"/>
        </w:rPr>
      </w:pPr>
      <w:r>
        <w:rPr>
          <w:rFonts w:ascii="宋体" w:hAnsi="宋体" w:eastAsia="宋体" w:cs="宋体"/>
          <w:color w:val="auto"/>
          <w:szCs w:val="21"/>
          <w:lang w:val="zh-CN"/>
        </w:rPr>
        <w:t>经研究，我</w:t>
      </w:r>
      <w:r>
        <w:rPr>
          <w:rFonts w:hint="eastAsia" w:cs="宋体" w:asciiTheme="minorEastAsia" w:hAnsiTheme="minorEastAsia"/>
          <w:color w:val="auto"/>
          <w:szCs w:val="21"/>
          <w:lang w:val="zh-CN"/>
        </w:rPr>
        <w:t>方自愿参与贵方</w:t>
      </w:r>
      <w:r>
        <w:rPr>
          <w:rFonts w:hint="eastAsia" w:cs="宋体" w:asciiTheme="minorEastAsia" w:hAnsiTheme="minorEastAsia"/>
          <w:color w:val="auto"/>
          <w:szCs w:val="21"/>
        </w:rPr>
        <w:t xml:space="preserve">  </w:t>
      </w:r>
      <w:r>
        <w:rPr>
          <w:rFonts w:ascii="宋体" w:hAnsi="宋体" w:eastAsia="宋体" w:cs="宋体"/>
          <w:color w:val="auto"/>
          <w:szCs w:val="21"/>
          <w:lang w:val="zh-CN"/>
        </w:rPr>
        <w:t>年</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月</w:t>
      </w:r>
      <w:r>
        <w:rPr>
          <w:rFonts w:hint="eastAsia" w:ascii="宋体" w:hAnsi="宋体" w:eastAsia="宋体" w:cs="宋体"/>
          <w:color w:val="auto"/>
          <w:szCs w:val="21"/>
        </w:rPr>
        <w:t xml:space="preserve">   </w:t>
      </w:r>
      <w:r>
        <w:rPr>
          <w:rFonts w:ascii="宋体" w:hAnsi="宋体" w:eastAsia="宋体" w:cs="宋体"/>
          <w:color w:val="auto"/>
          <w:szCs w:val="21"/>
          <w:lang w:val="zh-CN"/>
        </w:rPr>
        <w:t>日</w:t>
      </w:r>
      <w:r>
        <w:rPr>
          <w:rFonts w:hint="eastAsia" w:cs="宋体" w:asciiTheme="minorEastAsia" w:hAnsiTheme="minorEastAsia"/>
          <w:color w:val="auto"/>
          <w:szCs w:val="21"/>
          <w:lang w:val="zh-CN"/>
        </w:rPr>
        <w:t>（招标编号、项目名称、</w:t>
      </w:r>
      <w:r>
        <w:rPr>
          <w:rFonts w:hint="eastAsia" w:cs="宋体" w:asciiTheme="minorEastAsia" w:hAnsiTheme="minorEastAsia"/>
          <w:color w:val="auto"/>
          <w:szCs w:val="21"/>
        </w:rPr>
        <w:t>标段</w:t>
      </w:r>
      <w:r>
        <w:rPr>
          <w:rFonts w:hint="eastAsia" w:cs="宋体" w:asciiTheme="minorEastAsia" w:hAnsiTheme="minorEastAsia"/>
          <w:color w:val="auto"/>
          <w:szCs w:val="21"/>
          <w:lang w:val="zh-CN"/>
        </w:rPr>
        <w:t>）的</w:t>
      </w:r>
      <w:r>
        <w:rPr>
          <w:rFonts w:ascii="宋体" w:hAnsi="宋体" w:eastAsia="宋体" w:cs="宋体"/>
          <w:color w:val="auto"/>
          <w:szCs w:val="21"/>
          <w:lang w:val="zh-CN"/>
        </w:rPr>
        <w:t>投标，</w:t>
      </w:r>
      <w:r>
        <w:rPr>
          <w:rFonts w:hint="eastAsia" w:cs="宋体" w:asciiTheme="minorEastAsia" w:hAnsiTheme="minorEastAsia"/>
          <w:color w:val="auto"/>
          <w:szCs w:val="21"/>
          <w:lang w:val="zh-CN"/>
        </w:rPr>
        <w:t>将</w:t>
      </w:r>
      <w:r>
        <w:rPr>
          <w:rFonts w:ascii="宋体" w:hAnsi="宋体" w:eastAsia="宋体" w:cs="宋体"/>
          <w:color w:val="auto"/>
          <w:szCs w:val="21"/>
          <w:lang w:val="zh-CN"/>
        </w:rPr>
        <w:t>严格</w:t>
      </w:r>
      <w:r>
        <w:rPr>
          <w:rFonts w:hint="eastAsia" w:cs="宋体" w:asciiTheme="minorEastAsia" w:hAnsiTheme="minorEastAsia"/>
          <w:color w:val="auto"/>
          <w:szCs w:val="21"/>
          <w:lang w:val="zh-CN"/>
        </w:rPr>
        <w:t>遵守</w:t>
      </w:r>
      <w:r>
        <w:rPr>
          <w:rFonts w:ascii="宋体" w:hAnsi="宋体" w:eastAsia="宋体" w:cs="宋体"/>
          <w:color w:val="auto"/>
          <w:szCs w:val="21"/>
          <w:lang w:val="zh-CN"/>
        </w:rPr>
        <w:t>《</w:t>
      </w:r>
      <w:r>
        <w:rPr>
          <w:rFonts w:hint="eastAsia" w:cs="宋体" w:asciiTheme="minorEastAsia" w:hAnsiTheme="minorEastAsia"/>
          <w:color w:val="auto"/>
          <w:szCs w:val="21"/>
          <w:lang w:val="zh-CN"/>
        </w:rPr>
        <w:t>中华人民共和国政府采购</w:t>
      </w:r>
      <w:r>
        <w:rPr>
          <w:rFonts w:ascii="宋体" w:hAnsi="宋体" w:eastAsia="宋体" w:cs="宋体"/>
          <w:color w:val="auto"/>
          <w:szCs w:val="21"/>
          <w:lang w:val="zh-CN"/>
        </w:rPr>
        <w:t>法》等</w:t>
      </w:r>
      <w:r>
        <w:rPr>
          <w:rFonts w:hint="eastAsia" w:cs="宋体" w:asciiTheme="minorEastAsia" w:hAnsiTheme="minorEastAsia"/>
          <w:color w:val="auto"/>
          <w:szCs w:val="21"/>
          <w:lang w:val="zh-CN"/>
        </w:rPr>
        <w:t>相关</w:t>
      </w:r>
      <w:r>
        <w:rPr>
          <w:rFonts w:ascii="宋体" w:hAnsi="宋体" w:eastAsia="宋体" w:cs="宋体"/>
          <w:color w:val="auto"/>
          <w:szCs w:val="21"/>
          <w:lang w:val="zh-CN"/>
        </w:rPr>
        <w:t>法律法规</w:t>
      </w:r>
      <w:r>
        <w:rPr>
          <w:rFonts w:hint="eastAsia" w:cs="宋体" w:asciiTheme="minorEastAsia" w:hAnsiTheme="minorEastAsia"/>
          <w:color w:val="auto"/>
          <w:szCs w:val="21"/>
          <w:lang w:val="zh-CN"/>
        </w:rPr>
        <w:t>规定</w:t>
      </w:r>
      <w:r>
        <w:rPr>
          <w:rFonts w:cs="宋体" w:asciiTheme="minorEastAsia" w:hAnsiTheme="minorEastAsia"/>
          <w:color w:val="auto"/>
          <w:szCs w:val="21"/>
          <w:lang w:val="zh-CN"/>
        </w:rPr>
        <w:t>，并无条件地遵守本次采购活动各项规定。我们郑重承诺：</w:t>
      </w:r>
      <w:r>
        <w:rPr>
          <w:rFonts w:hint="eastAsia" w:cs="宋体" w:asciiTheme="minorEastAsia" w:hAnsiTheme="minorEastAsia"/>
          <w:color w:val="auto"/>
          <w:szCs w:val="21"/>
          <w:lang w:val="zh-CN"/>
        </w:rPr>
        <w:t>我方</w:t>
      </w:r>
      <w:r>
        <w:rPr>
          <w:rFonts w:cs="宋体" w:asciiTheme="minorEastAsia" w:hAnsiTheme="minorEastAsia"/>
          <w:color w:val="auto"/>
          <w:szCs w:val="21"/>
          <w:lang w:val="zh-CN"/>
        </w:rPr>
        <w:t>如果在本次</w:t>
      </w:r>
      <w:r>
        <w:rPr>
          <w:rFonts w:hint="eastAsia" w:cs="宋体" w:asciiTheme="minorEastAsia" w:hAnsiTheme="minorEastAsia"/>
          <w:color w:val="auto"/>
          <w:szCs w:val="21"/>
          <w:lang w:val="zh-CN"/>
        </w:rPr>
        <w:t>投标</w:t>
      </w:r>
      <w:r>
        <w:rPr>
          <w:rFonts w:cs="宋体" w:asciiTheme="minorEastAsia" w:hAnsiTheme="minorEastAsia"/>
          <w:color w:val="auto"/>
          <w:szCs w:val="21"/>
          <w:lang w:val="zh-CN"/>
        </w:rPr>
        <w:t>活动中有</w:t>
      </w:r>
      <w:r>
        <w:rPr>
          <w:rFonts w:hint="eastAsia" w:cs="宋体" w:asciiTheme="minorEastAsia" w:hAnsiTheme="minorEastAsia"/>
          <w:color w:val="auto"/>
          <w:szCs w:val="21"/>
          <w:lang w:val="zh-CN"/>
        </w:rPr>
        <w:t>下列</w:t>
      </w:r>
      <w:r>
        <w:rPr>
          <w:rFonts w:cs="宋体" w:asciiTheme="minorEastAsia" w:hAnsiTheme="minorEastAsia"/>
          <w:color w:val="auto"/>
          <w:szCs w:val="21"/>
          <w:lang w:val="zh-CN"/>
        </w:rPr>
        <w:t>情形</w:t>
      </w:r>
      <w:r>
        <w:rPr>
          <w:rFonts w:hint="eastAsia" w:cs="宋体" w:asciiTheme="minorEastAsia" w:hAnsiTheme="minorEastAsia"/>
          <w:color w:val="auto"/>
          <w:szCs w:val="21"/>
          <w:lang w:val="zh-CN"/>
        </w:rPr>
        <w:t>之一</w:t>
      </w:r>
      <w:r>
        <w:rPr>
          <w:rFonts w:cs="宋体" w:asciiTheme="minorEastAsia" w:hAnsiTheme="minorEastAsia"/>
          <w:color w:val="auto"/>
          <w:szCs w:val="21"/>
          <w:lang w:val="zh-CN"/>
        </w:rPr>
        <w:t>的，愿接受政府采购</w:t>
      </w:r>
      <w:r>
        <w:rPr>
          <w:rFonts w:hint="eastAsia" w:cs="宋体" w:asciiTheme="minorEastAsia" w:hAnsiTheme="minorEastAsia"/>
          <w:color w:val="auto"/>
          <w:szCs w:val="21"/>
          <w:lang w:val="zh-CN"/>
        </w:rPr>
        <w:t>监督管理</w:t>
      </w:r>
      <w:r>
        <w:rPr>
          <w:rFonts w:cs="宋体" w:asciiTheme="minorEastAsia" w:hAnsiTheme="minorEastAsia"/>
          <w:color w:val="auto"/>
          <w:szCs w:val="21"/>
          <w:lang w:val="zh-CN"/>
        </w:rPr>
        <w:t>部门给予相关处罚并</w:t>
      </w:r>
      <w:r>
        <w:rPr>
          <w:rFonts w:hint="eastAsia" w:cs="宋体" w:asciiTheme="minorEastAsia" w:hAnsiTheme="minorEastAsia"/>
          <w:color w:val="auto"/>
          <w:szCs w:val="21"/>
          <w:lang w:val="zh-CN"/>
        </w:rPr>
        <w:t>承诺依法</w:t>
      </w:r>
      <w:r>
        <w:rPr>
          <w:rFonts w:cs="宋体" w:asciiTheme="minorEastAsia" w:hAnsiTheme="minorEastAsia"/>
          <w:color w:val="auto"/>
          <w:szCs w:val="21"/>
          <w:lang w:val="zh-CN"/>
        </w:rPr>
        <w:t>承担</w:t>
      </w:r>
      <w:r>
        <w:rPr>
          <w:rFonts w:hint="eastAsia" w:cs="宋体" w:asciiTheme="minorEastAsia" w:hAnsiTheme="minorEastAsia"/>
          <w:color w:val="auto"/>
          <w:szCs w:val="21"/>
          <w:lang w:val="zh-CN"/>
        </w:rPr>
        <w:t>相关的经济赔偿责任和</w:t>
      </w:r>
      <w:r>
        <w:rPr>
          <w:rFonts w:cs="宋体" w:asciiTheme="minorEastAsia" w:hAnsiTheme="minorEastAsia"/>
          <w:color w:val="auto"/>
          <w:szCs w:val="21"/>
          <w:lang w:val="zh-CN"/>
        </w:rPr>
        <w:t>法律责任。</w:t>
      </w:r>
    </w:p>
    <w:p w14:paraId="2B89D537">
      <w:pPr>
        <w:spacing w:before="156" w:beforeLines="50" w:after="156" w:afterLines="50" w:line="360" w:lineRule="auto"/>
        <w:ind w:firstLine="420" w:firstLineChars="200"/>
        <w:contextualSpacing/>
        <w:rPr>
          <w:rFonts w:hint="eastAsia" w:cs="宋体" w:asciiTheme="minorEastAsia" w:hAnsiTheme="minorEastAsia"/>
          <w:color w:val="auto"/>
          <w:szCs w:val="21"/>
          <w:lang w:val="zh-CN"/>
        </w:rPr>
      </w:pPr>
      <w:r>
        <w:rPr>
          <w:rFonts w:hint="eastAsia" w:cs="宋体" w:asciiTheme="minorEastAsia" w:hAnsiTheme="minorEastAsia"/>
          <w:color w:val="auto"/>
          <w:szCs w:val="21"/>
          <w:lang w:val="zh-CN"/>
        </w:rPr>
        <w:t>一、在投标有效期内撤销投标文件；</w:t>
      </w:r>
    </w:p>
    <w:p w14:paraId="2B89D538">
      <w:pPr>
        <w:spacing w:before="156" w:beforeLines="50" w:after="156" w:afterLines="50" w:line="360" w:lineRule="auto"/>
        <w:ind w:firstLine="420" w:firstLineChars="200"/>
        <w:contextualSpacing/>
        <w:rPr>
          <w:rFonts w:hint="eastAsia" w:cs="宋体" w:asciiTheme="minorEastAsia" w:hAnsiTheme="minorEastAsia"/>
          <w:color w:val="auto"/>
          <w:szCs w:val="21"/>
          <w:lang w:val="zh-CN"/>
        </w:rPr>
      </w:pPr>
      <w:r>
        <w:rPr>
          <w:rFonts w:hint="eastAsia" w:cs="宋体" w:asciiTheme="minorEastAsia" w:hAnsiTheme="minorEastAsia"/>
          <w:color w:val="auto"/>
          <w:szCs w:val="21"/>
          <w:lang w:val="zh-CN"/>
        </w:rPr>
        <w:t>二、在投标文件中提供虚假材料；</w:t>
      </w:r>
    </w:p>
    <w:p w14:paraId="2B89D539">
      <w:pPr>
        <w:spacing w:before="156" w:beforeLines="50" w:after="156" w:afterLines="50" w:line="360" w:lineRule="auto"/>
        <w:ind w:firstLine="420" w:firstLineChars="200"/>
        <w:contextualSpacing/>
        <w:rPr>
          <w:rFonts w:hint="eastAsia" w:cs="宋体" w:asciiTheme="minorEastAsia" w:hAnsiTheme="minorEastAsia"/>
          <w:color w:val="auto"/>
          <w:szCs w:val="21"/>
          <w:lang w:val="zh-CN"/>
        </w:rPr>
      </w:pPr>
      <w:r>
        <w:rPr>
          <w:rFonts w:hint="eastAsia" w:cs="宋体" w:asciiTheme="minorEastAsia" w:hAnsiTheme="minorEastAsia"/>
          <w:color w:val="auto"/>
          <w:szCs w:val="21"/>
          <w:lang w:val="zh-CN"/>
        </w:rPr>
        <w:t>三、除因不可抗力或招标文件认可的情形以外，中标后不与采购人签订合同；</w:t>
      </w:r>
    </w:p>
    <w:p w14:paraId="2B89D53A">
      <w:pPr>
        <w:spacing w:before="156" w:beforeLines="50" w:after="156" w:afterLines="50" w:line="360" w:lineRule="auto"/>
        <w:ind w:firstLine="420" w:firstLineChars="200"/>
        <w:contextualSpacing/>
        <w:rPr>
          <w:rFonts w:hint="eastAsia" w:cs="宋体" w:asciiTheme="minorEastAsia" w:hAnsiTheme="minorEastAsia"/>
          <w:color w:val="auto"/>
          <w:szCs w:val="21"/>
          <w:lang w:val="zh-CN"/>
        </w:rPr>
      </w:pPr>
      <w:r>
        <w:rPr>
          <w:rFonts w:hint="eastAsia" w:cs="宋体" w:asciiTheme="minorEastAsia" w:hAnsiTheme="minorEastAsia"/>
          <w:color w:val="auto"/>
          <w:szCs w:val="21"/>
          <w:lang w:val="zh-CN"/>
        </w:rPr>
        <w:t>四、与采购人、其他投标人或者采购代理机构恶意串通；</w:t>
      </w:r>
    </w:p>
    <w:p w14:paraId="2B89D53B">
      <w:pPr>
        <w:spacing w:before="156" w:beforeLines="50" w:after="156" w:afterLines="50" w:line="360" w:lineRule="auto"/>
        <w:ind w:firstLine="420" w:firstLineChars="200"/>
        <w:contextualSpacing/>
        <w:rPr>
          <w:rFonts w:hint="eastAsia" w:cs="宋体" w:asciiTheme="minorEastAsia" w:hAnsiTheme="minorEastAsia"/>
          <w:color w:val="auto"/>
          <w:szCs w:val="21"/>
          <w:lang w:val="zh-CN"/>
        </w:rPr>
      </w:pPr>
      <w:r>
        <w:rPr>
          <w:rFonts w:hint="eastAsia" w:cs="宋体" w:asciiTheme="minorEastAsia" w:hAnsiTheme="minorEastAsia"/>
          <w:color w:val="auto"/>
          <w:szCs w:val="21"/>
          <w:lang w:val="zh-CN"/>
        </w:rPr>
        <w:t>五、法律法规及本招标文件规定的其他严重违法行为。</w:t>
      </w:r>
    </w:p>
    <w:p w14:paraId="2B89D53C">
      <w:pPr>
        <w:rPr>
          <w:color w:val="auto"/>
          <w:sz w:val="28"/>
          <w:szCs w:val="28"/>
          <w:u w:val="single"/>
        </w:rPr>
      </w:pPr>
    </w:p>
    <w:p w14:paraId="2B89D53D">
      <w:pPr>
        <w:rPr>
          <w:color w:val="auto"/>
          <w:sz w:val="28"/>
          <w:szCs w:val="28"/>
          <w:u w:val="single"/>
        </w:rPr>
      </w:pPr>
    </w:p>
    <w:p w14:paraId="2B89D53E">
      <w:pPr>
        <w:spacing w:line="480" w:lineRule="auto"/>
        <w:ind w:firstLine="4357" w:firstLineChars="2075"/>
        <w:rPr>
          <w:rFonts w:hint="eastAsia" w:cs="Arial" w:asciiTheme="minorEastAsia" w:hAnsiTheme="minorEastAsia"/>
          <w:color w:val="auto"/>
          <w:szCs w:val="21"/>
        </w:rPr>
      </w:pPr>
      <w:r>
        <w:rPr>
          <w:rFonts w:hint="eastAsia" w:cs="宋体" w:asciiTheme="minorEastAsia" w:hAnsiTheme="minorEastAsia"/>
          <w:color w:val="auto"/>
          <w:szCs w:val="21"/>
          <w:lang w:val="zh-CN"/>
        </w:rPr>
        <w:t>投标人名称（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r>
        <w:rPr>
          <w:rFonts w:hint="eastAsia" w:cs="Arial" w:asciiTheme="minorEastAsia" w:hAnsiTheme="minorEastAsia"/>
          <w:color w:val="auto"/>
          <w:szCs w:val="21"/>
        </w:rPr>
        <w:t>　　　　　　　　　</w:t>
      </w:r>
    </w:p>
    <w:p w14:paraId="2B89D53F">
      <w:pPr>
        <w:spacing w:line="480" w:lineRule="auto"/>
        <w:ind w:firstLine="4357" w:firstLineChars="2075"/>
        <w:rPr>
          <w:rFonts w:hint="eastAsia" w:cs="Arial" w:asciiTheme="minorEastAsia" w:hAnsiTheme="minorEastAsia"/>
          <w:color w:val="auto"/>
          <w:szCs w:val="21"/>
        </w:rPr>
      </w:pPr>
      <w:r>
        <w:rPr>
          <w:rFonts w:hint="eastAsia" w:cs="Arial" w:asciiTheme="minorEastAsia" w:hAnsiTheme="minorEastAsia"/>
          <w:color w:val="auto"/>
          <w:szCs w:val="21"/>
        </w:rPr>
        <w:t>日期：      年    月    日</w:t>
      </w:r>
    </w:p>
    <w:p w14:paraId="2B89D540">
      <w:pPr>
        <w:autoSpaceDE w:val="0"/>
        <w:autoSpaceDN w:val="0"/>
        <w:adjustRightInd w:val="0"/>
        <w:spacing w:line="360" w:lineRule="auto"/>
        <w:jc w:val="center"/>
        <w:rPr>
          <w:rFonts w:ascii="宋体" w:cs="宋体"/>
          <w:color w:val="auto"/>
          <w:szCs w:val="21"/>
          <w:lang w:val="zh-CN"/>
        </w:rPr>
      </w:pPr>
    </w:p>
    <w:p w14:paraId="2B89D541">
      <w:pPr>
        <w:pStyle w:val="2"/>
        <w:rPr>
          <w:color w:val="auto"/>
          <w:lang w:val="zh-CN"/>
        </w:rPr>
      </w:pPr>
    </w:p>
    <w:p w14:paraId="2B89D542">
      <w:pPr>
        <w:pStyle w:val="13"/>
        <w:ind w:firstLine="340"/>
        <w:rPr>
          <w:color w:val="auto"/>
          <w:lang w:val="zh-CN"/>
        </w:rPr>
      </w:pPr>
    </w:p>
    <w:p w14:paraId="2B89D543">
      <w:pPr>
        <w:pStyle w:val="2"/>
        <w:rPr>
          <w:rFonts w:ascii="宋体" w:cs="宋体"/>
          <w:color w:val="auto"/>
          <w:sz w:val="24"/>
          <w:lang w:val="zh-CN"/>
        </w:rPr>
      </w:pPr>
    </w:p>
    <w:p w14:paraId="2B89D544">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 xml:space="preserve">3.6投标人提供与参加本项目投标的其他供应商之间，单位负责人不为同一人并且不存在直接控股、管理关系承诺函 </w:t>
      </w:r>
    </w:p>
    <w:p w14:paraId="2B89D545">
      <w:pPr>
        <w:pStyle w:val="12"/>
        <w:widowControl/>
        <w:spacing w:beforeAutospacing="1" w:afterAutospacing="1" w:line="27" w:lineRule="atLeast"/>
        <w:jc w:val="center"/>
        <w:rPr>
          <w:color w:val="auto"/>
        </w:rPr>
      </w:pPr>
      <w:r>
        <w:rPr>
          <w:color w:val="auto"/>
        </w:rPr>
        <w:t>（承诺函格式自拟）</w:t>
      </w:r>
    </w:p>
    <w:p w14:paraId="2B89D546">
      <w:pPr>
        <w:pStyle w:val="12"/>
        <w:widowControl/>
        <w:spacing w:beforeAutospacing="1" w:afterAutospacing="1"/>
        <w:rPr>
          <w:color w:val="auto"/>
        </w:rPr>
      </w:pPr>
    </w:p>
    <w:p w14:paraId="2B89D547">
      <w:pPr>
        <w:pStyle w:val="12"/>
        <w:widowControl/>
        <w:spacing w:beforeAutospacing="1" w:afterAutospacing="1"/>
        <w:rPr>
          <w:color w:val="auto"/>
        </w:rPr>
      </w:pPr>
    </w:p>
    <w:p w14:paraId="2B89D548">
      <w:pPr>
        <w:pStyle w:val="12"/>
        <w:widowControl/>
        <w:spacing w:beforeAutospacing="1" w:afterAutospacing="1"/>
        <w:rPr>
          <w:color w:val="auto"/>
        </w:rPr>
      </w:pPr>
    </w:p>
    <w:p w14:paraId="2B89D549">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 xml:space="preserve">3.7投标人提供未为本项目提供整体设计、规范编制或者项目管理、监理、检测等服务承诺函 </w:t>
      </w:r>
    </w:p>
    <w:p w14:paraId="2B89D54A">
      <w:pPr>
        <w:autoSpaceDE w:val="0"/>
        <w:autoSpaceDN w:val="0"/>
        <w:adjustRightInd w:val="0"/>
        <w:spacing w:line="360" w:lineRule="auto"/>
        <w:jc w:val="center"/>
        <w:outlineLvl w:val="0"/>
        <w:rPr>
          <w:color w:val="auto"/>
        </w:rPr>
      </w:pPr>
      <w:r>
        <w:rPr>
          <w:color w:val="auto"/>
          <w:sz w:val="24"/>
          <w:szCs w:val="24"/>
        </w:rPr>
        <w:t>（承诺函格式自拟）</w:t>
      </w:r>
    </w:p>
    <w:p w14:paraId="2B89D54B">
      <w:pPr>
        <w:pStyle w:val="2"/>
        <w:rPr>
          <w:rFonts w:ascii="宋体" w:cs="宋体"/>
          <w:color w:val="auto"/>
          <w:sz w:val="24"/>
          <w:lang w:val="zh-CN"/>
        </w:rPr>
      </w:pPr>
    </w:p>
    <w:p w14:paraId="2B89D54C">
      <w:pPr>
        <w:pStyle w:val="2"/>
        <w:rPr>
          <w:rFonts w:ascii="宋体" w:cs="宋体"/>
          <w:color w:val="auto"/>
          <w:sz w:val="24"/>
          <w:lang w:val="zh-CN"/>
        </w:rPr>
      </w:pPr>
    </w:p>
    <w:p w14:paraId="2B89D54D">
      <w:pPr>
        <w:autoSpaceDE w:val="0"/>
        <w:autoSpaceDN w:val="0"/>
        <w:adjustRightInd w:val="0"/>
        <w:spacing w:line="360" w:lineRule="auto"/>
        <w:jc w:val="center"/>
        <w:outlineLvl w:val="0"/>
        <w:rPr>
          <w:rFonts w:hint="eastAsia" w:ascii="宋体" w:hAnsi="宋体" w:eastAsia="宋体" w:cs="宋体"/>
          <w:b/>
          <w:bCs/>
          <w:color w:val="auto"/>
          <w:szCs w:val="21"/>
        </w:rPr>
      </w:pPr>
      <w:r>
        <w:rPr>
          <w:rFonts w:hint="eastAsia" w:ascii="宋体" w:hAnsi="宋体" w:eastAsia="宋体"/>
          <w:b/>
          <w:bCs/>
          <w:color w:val="auto"/>
          <w:sz w:val="24"/>
          <w:szCs w:val="24"/>
        </w:rPr>
        <w:t>3.8</w:t>
      </w:r>
      <w:r>
        <w:rPr>
          <w:rFonts w:hint="eastAsia" w:ascii="宋体" w:hAnsi="宋体" w:eastAsia="宋体" w:cs="宋体"/>
          <w:b/>
          <w:bCs/>
          <w:color w:val="auto"/>
          <w:sz w:val="24"/>
          <w:szCs w:val="21"/>
        </w:rPr>
        <w:t>中小企业声明函（货物）</w:t>
      </w:r>
    </w:p>
    <w:p w14:paraId="2B89D54E">
      <w:pPr>
        <w:pStyle w:val="2"/>
        <w:rPr>
          <w:rFonts w:hint="eastAsia" w:ascii="宋体" w:hAnsi="宋体" w:eastAsia="宋体"/>
          <w:color w:val="auto"/>
          <w:szCs w:val="21"/>
        </w:rPr>
      </w:pPr>
    </w:p>
    <w:p w14:paraId="2B89D54F">
      <w:pPr>
        <w:spacing w:line="360" w:lineRule="auto"/>
        <w:ind w:firstLine="707" w:firstLineChars="337"/>
        <w:jc w:val="left"/>
        <w:rPr>
          <w:rFonts w:hint="eastAsia" w:ascii="宋体" w:hAnsi="宋体" w:eastAsia="宋体" w:cs="Times New Roman"/>
          <w:color w:val="auto"/>
          <w:szCs w:val="21"/>
        </w:rPr>
      </w:pPr>
      <w:r>
        <w:rPr>
          <w:rFonts w:ascii="宋体" w:hAnsi="宋体" w:eastAsia="宋体" w:cs="Times New Roman"/>
          <w:color w:val="auto"/>
          <w:szCs w:val="21"/>
        </w:rPr>
        <w:t>本公司（联合体）郑重声明，根据《政府采购促进中小企业发展管理办法》（财库﹝2020﹞46 号）的规定，本公司参加</w:t>
      </w:r>
      <w:r>
        <w:rPr>
          <w:rFonts w:ascii="宋体" w:hAnsi="宋体" w:eastAsia="宋体" w:cs="Times New Roman"/>
          <w:i/>
          <w:color w:val="auto"/>
          <w:szCs w:val="21"/>
          <w:u w:val="single"/>
        </w:rPr>
        <w:t>（单位名称）</w:t>
      </w:r>
      <w:r>
        <w:rPr>
          <w:rFonts w:ascii="宋体" w:hAnsi="宋体" w:eastAsia="宋体" w:cs="Times New Roman"/>
          <w:color w:val="auto"/>
          <w:szCs w:val="21"/>
        </w:rPr>
        <w:t>的</w:t>
      </w:r>
      <w:r>
        <w:rPr>
          <w:rFonts w:ascii="宋体" w:hAnsi="宋体" w:eastAsia="宋体" w:cs="Times New Roman"/>
          <w:i/>
          <w:color w:val="auto"/>
          <w:szCs w:val="21"/>
          <w:u w:val="single"/>
        </w:rPr>
        <w:t>（项目名称</w:t>
      </w:r>
      <w:r>
        <w:rPr>
          <w:rFonts w:hint="eastAsia" w:ascii="宋体" w:hAnsi="宋体" w:eastAsia="宋体" w:cs="Times New Roman"/>
          <w:i/>
          <w:color w:val="auto"/>
          <w:szCs w:val="21"/>
          <w:u w:val="single"/>
        </w:rPr>
        <w:t>、标段</w:t>
      </w:r>
      <w:r>
        <w:rPr>
          <w:rFonts w:ascii="宋体" w:hAnsi="宋体" w:eastAsia="宋体" w:cs="Times New Roman"/>
          <w:i/>
          <w:color w:val="auto"/>
          <w:szCs w:val="21"/>
          <w:u w:val="single"/>
        </w:rPr>
        <w:t>）</w:t>
      </w:r>
      <w:r>
        <w:rPr>
          <w:rFonts w:ascii="宋体" w:hAnsi="宋体" w:eastAsia="宋体" w:cs="Times New Roman"/>
          <w:color w:val="auto"/>
          <w:szCs w:val="21"/>
        </w:rPr>
        <w:t>采购活动，提供</w:t>
      </w:r>
      <w:r>
        <w:rPr>
          <w:rFonts w:hint="eastAsia" w:ascii="宋体" w:hAnsi="宋体" w:eastAsia="宋体" w:cs="Times New Roman"/>
          <w:color w:val="auto"/>
          <w:szCs w:val="21"/>
        </w:rPr>
        <w:t>本招标文件中所采购的服务</w:t>
      </w:r>
      <w:r>
        <w:rPr>
          <w:rFonts w:ascii="宋体" w:hAnsi="宋体" w:eastAsia="宋体" w:cs="Times New Roman"/>
          <w:color w:val="auto"/>
          <w:szCs w:val="21"/>
        </w:rPr>
        <w:t>全部由</w:t>
      </w:r>
      <w:r>
        <w:rPr>
          <w:rFonts w:hint="eastAsia" w:ascii="宋体" w:hAnsi="宋体" w:eastAsia="宋体" w:cs="Times New Roman"/>
          <w:color w:val="auto"/>
          <w:szCs w:val="21"/>
        </w:rPr>
        <w:t>符合</w:t>
      </w:r>
      <w:r>
        <w:rPr>
          <w:rFonts w:ascii="宋体" w:hAnsi="宋体" w:eastAsia="宋体" w:cs="Times New Roman"/>
          <w:color w:val="auto"/>
          <w:szCs w:val="21"/>
        </w:rPr>
        <w:t>政策要求的中小企业</w:t>
      </w:r>
      <w:r>
        <w:rPr>
          <w:rFonts w:hint="eastAsia" w:ascii="宋体" w:hAnsi="宋体" w:eastAsia="宋体" w:cs="Times New Roman"/>
          <w:color w:val="auto"/>
          <w:szCs w:val="21"/>
        </w:rPr>
        <w:t>承接</w:t>
      </w:r>
      <w:r>
        <w:rPr>
          <w:rFonts w:ascii="宋体" w:hAnsi="宋体" w:eastAsia="宋体" w:cs="Times New Roman"/>
          <w:color w:val="auto"/>
          <w:szCs w:val="21"/>
        </w:rPr>
        <w:t>。</w:t>
      </w:r>
      <w:r>
        <w:rPr>
          <w:rFonts w:hint="eastAsia" w:ascii="宋体" w:hAnsi="宋体" w:eastAsia="宋体" w:cs="Times New Roman"/>
          <w:color w:val="auto"/>
          <w:szCs w:val="21"/>
        </w:rPr>
        <w:t>相关企业（含联合体中的中小企业、签订分包意向协议的中小企业）的具体情况如下：</w:t>
      </w:r>
    </w:p>
    <w:p w14:paraId="2B89D550">
      <w:pPr>
        <w:spacing w:line="360" w:lineRule="auto"/>
        <w:ind w:firstLine="707" w:firstLineChars="337"/>
        <w:jc w:val="left"/>
        <w:rPr>
          <w:rFonts w:hint="eastAsia" w:ascii="宋体" w:hAnsi="宋体" w:eastAsia="宋体" w:cs="Times New Roman"/>
          <w:color w:val="auto"/>
          <w:szCs w:val="21"/>
        </w:rPr>
      </w:pPr>
      <w:r>
        <w:rPr>
          <w:rFonts w:ascii="宋体" w:hAnsi="宋体" w:eastAsia="宋体" w:cs="Times New Roman"/>
          <w:color w:val="auto"/>
          <w:szCs w:val="21"/>
        </w:rPr>
        <w:t xml:space="preserve">1. </w:t>
      </w:r>
      <w:r>
        <w:rPr>
          <w:rFonts w:ascii="宋体" w:hAnsi="宋体" w:eastAsia="宋体" w:cs="Times New Roman"/>
          <w:i/>
          <w:color w:val="auto"/>
          <w:szCs w:val="21"/>
          <w:u w:val="single"/>
        </w:rPr>
        <w:t>（标的名称）</w:t>
      </w:r>
      <w:r>
        <w:rPr>
          <w:rFonts w:ascii="宋体" w:hAnsi="宋体" w:eastAsia="宋体" w:cs="Times New Roman"/>
          <w:color w:val="auto"/>
          <w:szCs w:val="21"/>
        </w:rPr>
        <w:t>，属于</w:t>
      </w:r>
      <w:r>
        <w:rPr>
          <w:rFonts w:ascii="宋体" w:hAnsi="宋体" w:eastAsia="宋体" w:cs="Times New Roman"/>
          <w:i/>
          <w:color w:val="auto"/>
          <w:szCs w:val="21"/>
          <w:u w:val="single"/>
        </w:rPr>
        <w:t>（采购文件中明确的所属行业）</w:t>
      </w:r>
      <w:r>
        <w:rPr>
          <w:rFonts w:ascii="宋体" w:hAnsi="宋体" w:eastAsia="宋体" w:cs="Times New Roman"/>
          <w:color w:val="auto"/>
          <w:szCs w:val="21"/>
        </w:rPr>
        <w:t>行业；</w:t>
      </w:r>
      <w:r>
        <w:rPr>
          <w:rFonts w:hint="eastAsia" w:ascii="宋体" w:hAnsi="宋体" w:eastAsia="宋体" w:cs="Times New Roman"/>
          <w:color w:val="auto"/>
          <w:szCs w:val="21"/>
        </w:rPr>
        <w:t>制造商</w:t>
      </w:r>
      <w:r>
        <w:rPr>
          <w:rFonts w:ascii="宋体" w:hAnsi="宋体" w:eastAsia="宋体" w:cs="Times New Roman"/>
          <w:color w:val="auto"/>
          <w:szCs w:val="21"/>
        </w:rPr>
        <w:t>为</w:t>
      </w:r>
      <w:r>
        <w:rPr>
          <w:rFonts w:ascii="宋体" w:hAnsi="宋体" w:eastAsia="宋体" w:cs="Times New Roman"/>
          <w:i/>
          <w:color w:val="auto"/>
          <w:szCs w:val="21"/>
          <w:u w:val="single"/>
        </w:rPr>
        <w:t>（企业名称）</w:t>
      </w:r>
      <w:r>
        <w:rPr>
          <w:rFonts w:ascii="宋体" w:hAnsi="宋体" w:eastAsia="宋体" w:cs="Times New Roman"/>
          <w:color w:val="auto"/>
          <w:szCs w:val="21"/>
        </w:rPr>
        <w:t>，从业人员</w:t>
      </w:r>
      <w:r>
        <w:rPr>
          <w:rFonts w:hint="eastAsia" w:ascii="宋体" w:hAnsi="宋体" w:eastAsia="宋体" w:cs="Times New Roman"/>
          <w:color w:val="auto"/>
          <w:szCs w:val="21"/>
          <w:u w:val="single"/>
        </w:rPr>
        <w:t xml:space="preserve">   </w:t>
      </w:r>
      <w:r>
        <w:rPr>
          <w:rFonts w:ascii="宋体" w:hAnsi="宋体" w:eastAsia="宋体" w:cs="Times New Roman"/>
          <w:color w:val="auto"/>
          <w:szCs w:val="21"/>
        </w:rPr>
        <w:t>人，营业收入为</w:t>
      </w:r>
      <w:r>
        <w:rPr>
          <w:rFonts w:hint="eastAsia" w:ascii="宋体" w:hAnsi="宋体" w:eastAsia="宋体" w:cs="Times New Roman"/>
          <w:color w:val="auto"/>
          <w:szCs w:val="21"/>
          <w:u w:val="single"/>
        </w:rPr>
        <w:t xml:space="preserve">    </w:t>
      </w:r>
      <w:r>
        <w:rPr>
          <w:rFonts w:ascii="宋体" w:hAnsi="宋体" w:eastAsia="宋体" w:cs="Times New Roman"/>
          <w:color w:val="auto"/>
          <w:szCs w:val="21"/>
        </w:rPr>
        <w:t>万元，资产总额为</w:t>
      </w:r>
      <w:r>
        <w:rPr>
          <w:rFonts w:hint="eastAsia" w:ascii="宋体" w:hAnsi="宋体" w:eastAsia="宋体" w:cs="Times New Roman"/>
          <w:color w:val="auto"/>
          <w:szCs w:val="21"/>
          <w:u w:val="single"/>
        </w:rPr>
        <w:t xml:space="preserve">     </w:t>
      </w:r>
      <w:r>
        <w:rPr>
          <w:rFonts w:ascii="宋体" w:hAnsi="宋体" w:eastAsia="宋体" w:cs="Times New Roman"/>
          <w:color w:val="auto"/>
          <w:szCs w:val="21"/>
        </w:rPr>
        <w:t>万元，属于</w:t>
      </w:r>
      <w:r>
        <w:rPr>
          <w:rFonts w:ascii="宋体" w:hAnsi="宋体" w:eastAsia="宋体" w:cs="Times New Roman"/>
          <w:i/>
          <w:color w:val="auto"/>
          <w:szCs w:val="21"/>
          <w:u w:val="single"/>
        </w:rPr>
        <w:t>（中型企业、小型企业、微型企业）</w:t>
      </w:r>
      <w:r>
        <w:rPr>
          <w:rFonts w:ascii="宋体" w:hAnsi="宋体" w:eastAsia="宋体" w:cs="Times New Roman"/>
          <w:color w:val="auto"/>
          <w:szCs w:val="21"/>
        </w:rPr>
        <w:t>；</w:t>
      </w:r>
    </w:p>
    <w:p w14:paraId="2B89D551">
      <w:pPr>
        <w:spacing w:line="360" w:lineRule="auto"/>
        <w:ind w:firstLine="707" w:firstLineChars="337"/>
        <w:jc w:val="left"/>
        <w:rPr>
          <w:rFonts w:hint="eastAsia" w:ascii="宋体" w:hAnsi="宋体" w:eastAsia="宋体" w:cs="Times New Roman"/>
          <w:color w:val="auto"/>
          <w:szCs w:val="21"/>
        </w:rPr>
      </w:pPr>
      <w:r>
        <w:rPr>
          <w:rFonts w:ascii="宋体" w:hAnsi="宋体" w:eastAsia="宋体" w:cs="Times New Roman"/>
          <w:color w:val="auto"/>
          <w:szCs w:val="21"/>
        </w:rPr>
        <w:t xml:space="preserve">…… </w:t>
      </w:r>
    </w:p>
    <w:p w14:paraId="2B89D552">
      <w:pPr>
        <w:spacing w:line="360" w:lineRule="auto"/>
        <w:ind w:firstLine="707" w:firstLineChars="337"/>
        <w:jc w:val="left"/>
        <w:rPr>
          <w:rFonts w:hint="eastAsia" w:ascii="宋体" w:hAnsi="宋体" w:eastAsia="宋体" w:cs="Times New Roman"/>
          <w:color w:val="auto"/>
          <w:szCs w:val="21"/>
        </w:rPr>
      </w:pPr>
      <w:r>
        <w:rPr>
          <w:rFonts w:ascii="宋体" w:hAnsi="宋体" w:eastAsia="宋体" w:cs="Times New Roman"/>
          <w:color w:val="auto"/>
          <w:szCs w:val="21"/>
        </w:rPr>
        <w:t>以上企业，不属于大企业的分支机构，不存在控股股东为大企业的情形，也不存在与大企业的负责人为同一人的情形。</w:t>
      </w:r>
    </w:p>
    <w:p w14:paraId="2B89D553">
      <w:pPr>
        <w:spacing w:line="360" w:lineRule="auto"/>
        <w:ind w:firstLine="707" w:firstLineChars="337"/>
        <w:jc w:val="left"/>
        <w:rPr>
          <w:rFonts w:hint="eastAsia" w:ascii="宋体" w:hAnsi="宋体" w:eastAsia="宋体" w:cs="Times New Roman"/>
          <w:color w:val="auto"/>
          <w:szCs w:val="21"/>
        </w:rPr>
      </w:pPr>
      <w:r>
        <w:rPr>
          <w:rFonts w:ascii="宋体" w:hAnsi="宋体" w:eastAsia="宋体" w:cs="Times New Roman"/>
          <w:color w:val="auto"/>
          <w:szCs w:val="21"/>
        </w:rPr>
        <w:t>本企业对上述声明内容的真实性负责。如有虚假，将依法承担相应责任。</w:t>
      </w:r>
    </w:p>
    <w:p w14:paraId="2B89D554">
      <w:pPr>
        <w:spacing w:line="360" w:lineRule="auto"/>
        <w:ind w:firstLine="707" w:firstLineChars="337"/>
        <w:jc w:val="left"/>
        <w:rPr>
          <w:rFonts w:hint="eastAsia" w:ascii="宋体" w:hAnsi="宋体" w:eastAsia="宋体" w:cs="Times New Roman"/>
          <w:color w:val="auto"/>
          <w:szCs w:val="21"/>
        </w:rPr>
      </w:pPr>
    </w:p>
    <w:p w14:paraId="2B89D555">
      <w:pPr>
        <w:spacing w:line="480" w:lineRule="auto"/>
        <w:ind w:firstLine="5957" w:firstLineChars="2837"/>
        <w:jc w:val="left"/>
        <w:rPr>
          <w:rFonts w:hint="eastAsia" w:ascii="宋体" w:hAnsi="宋体" w:eastAsia="宋体" w:cs="Times New Roman"/>
          <w:color w:val="auto"/>
          <w:szCs w:val="21"/>
        </w:rPr>
      </w:pPr>
      <w:r>
        <w:rPr>
          <w:rFonts w:ascii="宋体" w:hAnsi="宋体" w:eastAsia="宋体" w:cs="Times New Roman"/>
          <w:color w:val="auto"/>
          <w:szCs w:val="21"/>
        </w:rPr>
        <w:t>企业名称（盖章）：</w:t>
      </w:r>
    </w:p>
    <w:p w14:paraId="2B89D556">
      <w:pPr>
        <w:spacing w:line="480" w:lineRule="auto"/>
        <w:ind w:firstLine="5957" w:firstLineChars="2837"/>
        <w:jc w:val="left"/>
        <w:rPr>
          <w:rFonts w:hint="eastAsia" w:ascii="宋体" w:hAnsi="宋体" w:eastAsia="宋体" w:cs="Arial"/>
          <w:color w:val="auto"/>
          <w:szCs w:val="21"/>
        </w:rPr>
      </w:pPr>
      <w:r>
        <w:rPr>
          <w:rFonts w:ascii="宋体" w:hAnsi="宋体" w:eastAsia="宋体" w:cs="Times New Roman"/>
          <w:color w:val="auto"/>
          <w:szCs w:val="21"/>
        </w:rPr>
        <w:t>日期：</w:t>
      </w:r>
    </w:p>
    <w:p w14:paraId="2B89D557">
      <w:pPr>
        <w:autoSpaceDE w:val="0"/>
        <w:autoSpaceDN w:val="0"/>
        <w:adjustRightInd w:val="0"/>
        <w:spacing w:line="360" w:lineRule="auto"/>
        <w:outlineLvl w:val="0"/>
        <w:rPr>
          <w:rFonts w:hint="eastAsia" w:ascii="宋体" w:hAnsi="宋体" w:eastAsia="宋体" w:cs="Times New Roman"/>
          <w:color w:val="auto"/>
          <w:szCs w:val="21"/>
        </w:rPr>
      </w:pPr>
      <w:r>
        <w:rPr>
          <w:rFonts w:hint="eastAsia" w:ascii="宋体" w:hAnsi="宋体" w:eastAsia="宋体" w:cs="宋体"/>
          <w:color w:val="auto"/>
          <w:szCs w:val="21"/>
        </w:rPr>
        <w:t>说明：</w:t>
      </w:r>
    </w:p>
    <w:p w14:paraId="2B89D558">
      <w:pPr>
        <w:widowControl/>
        <w:spacing w:before="100" w:beforeAutospacing="1" w:after="100" w:afterAutospacing="1" w:line="360" w:lineRule="auto"/>
        <w:jc w:val="left"/>
        <w:rPr>
          <w:rFonts w:hint="eastAsia" w:ascii="宋体" w:hAnsi="宋体" w:eastAsia="宋体" w:cs="Times New Roman"/>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szCs w:val="21"/>
        </w:rPr>
        <w:t>从业人员、营业收入、资产总额填报上一年度数据，无上一年度数据的新成立企业可不填报。</w:t>
      </w:r>
    </w:p>
    <w:p w14:paraId="2B89D559">
      <w:pPr>
        <w:spacing w:line="360" w:lineRule="auto"/>
        <w:jc w:val="left"/>
        <w:rPr>
          <w:rFonts w:hint="eastAsia" w:ascii="宋体" w:hAnsi="宋体" w:eastAsia="宋体" w:cs="Times New Roman"/>
          <w:b/>
          <w:bCs/>
          <w:color w:val="auto"/>
          <w:szCs w:val="21"/>
        </w:rPr>
      </w:pPr>
      <w:r>
        <w:rPr>
          <w:rFonts w:hint="eastAsia" w:ascii="宋体" w:hAnsi="宋体" w:eastAsia="宋体" w:cs="宋体"/>
          <w:color w:val="auto"/>
          <w:kern w:val="0"/>
          <w:szCs w:val="21"/>
          <w:lang w:eastAsia="zh-CN"/>
        </w:rPr>
        <w:t>2.</w:t>
      </w:r>
      <w:r>
        <w:rPr>
          <w:rFonts w:hint="eastAsia" w:ascii="宋体" w:hAnsi="宋体" w:eastAsia="宋体" w:cs="宋体"/>
          <w:color w:val="auto"/>
          <w:kern w:val="0"/>
          <w:szCs w:val="21"/>
        </w:rPr>
        <w:t>中小企业参加政府采购活动，应当出具</w:t>
      </w:r>
      <w:r>
        <w:rPr>
          <w:rFonts w:hint="eastAsia" w:ascii="宋体" w:hAnsi="宋体" w:eastAsia="宋体" w:cs="宋体"/>
          <w:color w:val="auto"/>
          <w:szCs w:val="21"/>
        </w:rPr>
        <w:t>《中小企业声明函》，否则不得享受相关中小企业扶持政</w:t>
      </w:r>
      <w:r>
        <w:rPr>
          <w:rFonts w:hint="eastAsia" w:ascii="宋体" w:hAnsi="宋体" w:eastAsia="宋体" w:cs="宋体"/>
          <w:color w:val="auto"/>
          <w:kern w:val="0"/>
          <w:szCs w:val="21"/>
        </w:rPr>
        <w:t>策</w:t>
      </w:r>
    </w:p>
    <w:p w14:paraId="2B89D55A">
      <w:pPr>
        <w:autoSpaceDE w:val="0"/>
        <w:autoSpaceDN w:val="0"/>
        <w:adjustRightInd w:val="0"/>
        <w:spacing w:line="360" w:lineRule="auto"/>
        <w:jc w:val="center"/>
        <w:outlineLvl w:val="0"/>
        <w:rPr>
          <w:color w:val="auto"/>
        </w:rPr>
      </w:pPr>
    </w:p>
    <w:p w14:paraId="2B89D55B">
      <w:pPr>
        <w:rPr>
          <w:color w:val="auto"/>
        </w:rPr>
      </w:pPr>
    </w:p>
    <w:p w14:paraId="2B89D55C">
      <w:pPr>
        <w:rPr>
          <w:color w:val="auto"/>
        </w:rPr>
      </w:pPr>
    </w:p>
    <w:p w14:paraId="2B89D55D">
      <w:pPr>
        <w:rPr>
          <w:color w:val="auto"/>
        </w:rPr>
      </w:pPr>
    </w:p>
    <w:p w14:paraId="2B89D55E">
      <w:pPr>
        <w:ind w:firstLine="2715" w:firstLineChars="1127"/>
        <w:rPr>
          <w:rFonts w:hint="eastAsia" w:ascii="宋体" w:hAnsi="宋体" w:eastAsia="宋体"/>
          <w:b/>
          <w:bCs/>
          <w:color w:val="auto"/>
          <w:sz w:val="24"/>
          <w:szCs w:val="24"/>
        </w:rPr>
      </w:pPr>
      <w:r>
        <w:rPr>
          <w:rFonts w:hint="eastAsia" w:ascii="宋体" w:hAnsi="宋体" w:eastAsia="宋体"/>
          <w:b/>
          <w:bCs/>
          <w:color w:val="auto"/>
          <w:sz w:val="24"/>
          <w:szCs w:val="24"/>
        </w:rPr>
        <w:t>3.9残疾人福利性单位声明函</w:t>
      </w:r>
    </w:p>
    <w:p w14:paraId="2B89D55F">
      <w:pPr>
        <w:rPr>
          <w:rFonts w:hint="eastAsia" w:ascii="宋体" w:hAnsi="宋体" w:eastAsia="宋体"/>
          <w:color w:val="auto"/>
          <w:szCs w:val="21"/>
        </w:rPr>
      </w:pPr>
    </w:p>
    <w:p w14:paraId="2B89D560">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本单位郑重声明，根据《财政部 民政部 中国残疾人联合会关于促进残疾人就业政府采购政策的通知》（财库〔2017〕141号）的规定，本单位为（□符合</w:t>
      </w:r>
      <w:r>
        <w:rPr>
          <w:rFonts w:ascii="宋体" w:hAnsi="宋体" w:eastAsia="宋体"/>
          <w:color w:val="auto"/>
          <w:szCs w:val="21"/>
        </w:rPr>
        <w:t>/□不符合）</w:t>
      </w:r>
      <w:r>
        <w:rPr>
          <w:rFonts w:hint="eastAsia" w:ascii="宋体" w:hAnsi="宋体" w:eastAsia="宋体"/>
          <w:color w:val="auto"/>
          <w:szCs w:val="21"/>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89D561">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本单位对上述声明的真实性负责。如有虚假，将依法承担相应责任。</w:t>
      </w:r>
    </w:p>
    <w:p w14:paraId="2B89D562">
      <w:pPr>
        <w:spacing w:line="360" w:lineRule="auto"/>
        <w:ind w:firstLine="420" w:firstLineChars="200"/>
        <w:rPr>
          <w:rFonts w:hint="eastAsia" w:ascii="宋体" w:hAnsi="宋体" w:eastAsia="宋体"/>
          <w:color w:val="auto"/>
          <w:szCs w:val="21"/>
        </w:rPr>
      </w:pPr>
    </w:p>
    <w:p w14:paraId="2B89D563">
      <w:pPr>
        <w:spacing w:line="360" w:lineRule="auto"/>
        <w:ind w:firstLine="420" w:firstLineChars="200"/>
        <w:rPr>
          <w:rFonts w:hint="eastAsia" w:ascii="宋体" w:hAnsi="宋体" w:eastAsia="宋体"/>
          <w:color w:val="auto"/>
          <w:szCs w:val="21"/>
        </w:rPr>
      </w:pPr>
    </w:p>
    <w:p w14:paraId="2B89D564">
      <w:pPr>
        <w:spacing w:line="360" w:lineRule="auto"/>
        <w:ind w:firstLine="420" w:firstLineChars="200"/>
        <w:rPr>
          <w:rFonts w:hint="eastAsia" w:ascii="宋体" w:hAnsi="宋体" w:eastAsia="宋体"/>
          <w:color w:val="auto"/>
          <w:szCs w:val="21"/>
        </w:rPr>
      </w:pPr>
    </w:p>
    <w:p w14:paraId="2B89D565">
      <w:pPr>
        <w:spacing w:line="360" w:lineRule="auto"/>
        <w:ind w:firstLine="420" w:firstLineChars="200"/>
        <w:rPr>
          <w:rFonts w:hint="eastAsia" w:ascii="宋体" w:hAnsi="宋体" w:eastAsia="宋体" w:cs="宋体"/>
          <w:color w:val="auto"/>
          <w:szCs w:val="21"/>
        </w:rPr>
      </w:pPr>
      <w:r>
        <w:rPr>
          <w:rFonts w:hint="eastAsia" w:ascii="宋体" w:hAnsi="宋体" w:eastAsia="宋体"/>
          <w:color w:val="auto"/>
          <w:szCs w:val="21"/>
        </w:rPr>
        <w:t>单位名称（盖章）</w:t>
      </w:r>
      <w:r>
        <w:rPr>
          <w:rFonts w:hint="eastAsia" w:ascii="宋体" w:hAnsi="宋体" w:eastAsia="宋体" w:cs="宋体"/>
          <w:color w:val="auto"/>
          <w:szCs w:val="21"/>
        </w:rPr>
        <w:t>：</w:t>
      </w:r>
    </w:p>
    <w:p w14:paraId="2B89D566">
      <w:pPr>
        <w:spacing w:line="360" w:lineRule="auto"/>
        <w:ind w:firstLine="420" w:firstLineChars="200"/>
        <w:rPr>
          <w:rFonts w:hint="eastAsia" w:ascii="宋体" w:hAnsi="宋体" w:eastAsia="宋体" w:cs="Arial"/>
          <w:color w:val="auto"/>
          <w:szCs w:val="21"/>
        </w:rPr>
      </w:pPr>
      <w:r>
        <w:rPr>
          <w:rFonts w:hint="eastAsia" w:ascii="宋体" w:hAnsi="宋体" w:eastAsia="宋体" w:cs="Arial"/>
          <w:color w:val="auto"/>
          <w:szCs w:val="21"/>
        </w:rPr>
        <w:t xml:space="preserve"> 日    期：      年    月    日</w:t>
      </w:r>
    </w:p>
    <w:p w14:paraId="2B89D567">
      <w:pPr>
        <w:pStyle w:val="2"/>
        <w:rPr>
          <w:rFonts w:ascii="宋体" w:cs="宋体"/>
          <w:color w:val="auto"/>
          <w:sz w:val="24"/>
          <w:lang w:val="zh-CN"/>
        </w:rPr>
      </w:pPr>
    </w:p>
    <w:p w14:paraId="2B89D568">
      <w:pPr>
        <w:pStyle w:val="2"/>
        <w:rPr>
          <w:rFonts w:ascii="宋体" w:cs="宋体"/>
          <w:color w:val="auto"/>
          <w:sz w:val="24"/>
          <w:lang w:val="zh-CN"/>
        </w:rPr>
      </w:pPr>
    </w:p>
    <w:p w14:paraId="2B89D569">
      <w:pPr>
        <w:pStyle w:val="2"/>
        <w:rPr>
          <w:rFonts w:ascii="宋体" w:cs="宋体"/>
          <w:color w:val="auto"/>
          <w:sz w:val="24"/>
          <w:lang w:val="zh-CN"/>
        </w:rPr>
      </w:pPr>
    </w:p>
    <w:p w14:paraId="2B89D56A">
      <w:pPr>
        <w:pStyle w:val="2"/>
        <w:rPr>
          <w:rFonts w:ascii="宋体" w:cs="宋体"/>
          <w:color w:val="auto"/>
          <w:sz w:val="24"/>
          <w:lang w:val="zh-CN"/>
        </w:rPr>
      </w:pPr>
    </w:p>
    <w:p w14:paraId="2B89D56B">
      <w:pPr>
        <w:pStyle w:val="2"/>
        <w:rPr>
          <w:rFonts w:ascii="宋体" w:cs="宋体"/>
          <w:color w:val="auto"/>
          <w:sz w:val="24"/>
          <w:lang w:val="zh-CN"/>
        </w:rPr>
      </w:pPr>
    </w:p>
    <w:p w14:paraId="2B89D56C">
      <w:pPr>
        <w:pStyle w:val="2"/>
        <w:rPr>
          <w:rFonts w:ascii="宋体" w:cs="宋体"/>
          <w:color w:val="auto"/>
          <w:sz w:val="24"/>
          <w:lang w:val="zh-CN"/>
        </w:rPr>
      </w:pPr>
    </w:p>
    <w:p w14:paraId="2B89D56D">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 xml:space="preserve">3.10其他资格证书或材料 </w:t>
      </w:r>
    </w:p>
    <w:p w14:paraId="2B89D56E">
      <w:pPr>
        <w:autoSpaceDE w:val="0"/>
        <w:autoSpaceDN w:val="0"/>
        <w:adjustRightInd w:val="0"/>
        <w:spacing w:line="360" w:lineRule="auto"/>
        <w:rPr>
          <w:rFonts w:hint="eastAsia" w:cs="黑体" w:asciiTheme="minorEastAsia" w:hAnsiTheme="minorEastAsia"/>
          <w:b/>
          <w:bCs/>
          <w:color w:val="auto"/>
          <w:sz w:val="28"/>
          <w:szCs w:val="28"/>
          <w:lang w:val="zh-CN"/>
        </w:rPr>
      </w:pPr>
    </w:p>
    <w:p w14:paraId="2B89D56F">
      <w:pPr>
        <w:pStyle w:val="2"/>
        <w:rPr>
          <w:color w:val="auto"/>
          <w:lang w:val="zh-CN"/>
        </w:rPr>
      </w:pPr>
    </w:p>
    <w:p w14:paraId="2B89D570">
      <w:pPr>
        <w:pStyle w:val="2"/>
        <w:rPr>
          <w:color w:val="auto"/>
          <w:lang w:val="zh-CN"/>
        </w:rPr>
      </w:pPr>
    </w:p>
    <w:p w14:paraId="2B89D571">
      <w:pPr>
        <w:pStyle w:val="2"/>
        <w:rPr>
          <w:color w:val="auto"/>
          <w:lang w:val="zh-CN"/>
        </w:rPr>
      </w:pPr>
    </w:p>
    <w:p w14:paraId="2B89D572">
      <w:pPr>
        <w:pStyle w:val="2"/>
        <w:rPr>
          <w:color w:val="auto"/>
          <w:lang w:val="zh-CN"/>
        </w:rPr>
      </w:pPr>
    </w:p>
    <w:p w14:paraId="2B89D573">
      <w:pPr>
        <w:pStyle w:val="2"/>
        <w:rPr>
          <w:color w:val="auto"/>
          <w:lang w:val="zh-CN"/>
        </w:rPr>
      </w:pPr>
    </w:p>
    <w:p w14:paraId="2B89D574">
      <w:pPr>
        <w:pStyle w:val="2"/>
        <w:rPr>
          <w:color w:val="auto"/>
          <w:lang w:val="zh-CN"/>
        </w:rPr>
      </w:pPr>
    </w:p>
    <w:p w14:paraId="2B89D575">
      <w:pPr>
        <w:pStyle w:val="2"/>
        <w:rPr>
          <w:color w:val="auto"/>
          <w:lang w:val="zh-CN"/>
        </w:rPr>
      </w:pPr>
    </w:p>
    <w:p w14:paraId="2B89D576">
      <w:pPr>
        <w:pStyle w:val="2"/>
        <w:rPr>
          <w:color w:val="auto"/>
          <w:lang w:val="zh-CN"/>
        </w:rPr>
      </w:pPr>
    </w:p>
    <w:p w14:paraId="2B89D577">
      <w:pPr>
        <w:pStyle w:val="2"/>
        <w:rPr>
          <w:color w:val="auto"/>
          <w:lang w:val="zh-CN"/>
        </w:rPr>
      </w:pPr>
    </w:p>
    <w:p w14:paraId="2B89D578">
      <w:pPr>
        <w:autoSpaceDE w:val="0"/>
        <w:autoSpaceDN w:val="0"/>
        <w:adjustRightInd w:val="0"/>
        <w:spacing w:line="360" w:lineRule="auto"/>
        <w:jc w:val="center"/>
        <w:rPr>
          <w:rFonts w:hint="eastAsia" w:hAnsi="宋体" w:eastAsia="宋体"/>
          <w:b/>
          <w:snapToGrid w:val="0"/>
          <w:color w:val="auto"/>
          <w:kern w:val="0"/>
          <w:sz w:val="36"/>
          <w:szCs w:val="36"/>
        </w:rPr>
      </w:pPr>
      <w:r>
        <w:rPr>
          <w:rFonts w:hint="eastAsia" w:cs="黑体" w:asciiTheme="minorEastAsia" w:hAnsiTheme="minorEastAsia"/>
          <w:b/>
          <w:bCs/>
          <w:color w:val="auto"/>
          <w:sz w:val="28"/>
          <w:szCs w:val="28"/>
          <w:lang w:val="zh-CN"/>
        </w:rPr>
        <w:t>四、符合性审查相关材料</w:t>
      </w:r>
    </w:p>
    <w:p w14:paraId="2B89D579">
      <w:pPr>
        <w:spacing w:line="480" w:lineRule="exact"/>
        <w:jc w:val="center"/>
        <w:rPr>
          <w:rFonts w:hint="eastAsia" w:ascii="宋体" w:hAnsi="宋体"/>
          <w:b/>
          <w:bCs/>
          <w:color w:val="auto"/>
          <w:sz w:val="24"/>
          <w:szCs w:val="24"/>
        </w:rPr>
      </w:pPr>
      <w:r>
        <w:rPr>
          <w:rFonts w:hint="eastAsia" w:ascii="宋体" w:hAnsi="宋体"/>
          <w:b/>
          <w:bCs/>
          <w:color w:val="auto"/>
          <w:sz w:val="24"/>
          <w:szCs w:val="24"/>
        </w:rPr>
        <w:t>4.1分项报价表（此表供参考，可以根据情况自行修改）</w:t>
      </w:r>
    </w:p>
    <w:p w14:paraId="2B89D57A">
      <w:pPr>
        <w:spacing w:line="360" w:lineRule="auto"/>
        <w:contextualSpacing/>
        <w:jc w:val="left"/>
        <w:rPr>
          <w:rFonts w:hint="eastAsia" w:ascii="宋体" w:hAnsi="宋体" w:eastAsia="宋体"/>
          <w:color w:val="auto"/>
          <w:szCs w:val="21"/>
        </w:rPr>
      </w:pPr>
      <w:r>
        <w:rPr>
          <w:rFonts w:hint="eastAsia" w:ascii="宋体" w:hAnsi="宋体" w:eastAsia="宋体"/>
          <w:color w:val="auto"/>
          <w:szCs w:val="21"/>
        </w:rPr>
        <w:t>项目编号：</w:t>
      </w:r>
    </w:p>
    <w:p w14:paraId="2B89D57B">
      <w:pPr>
        <w:spacing w:line="480" w:lineRule="exact"/>
        <w:rPr>
          <w:rFonts w:hint="eastAsia" w:ascii="宋体" w:hAnsi="宋体"/>
          <w:b/>
          <w:bCs/>
          <w:color w:val="auto"/>
          <w:sz w:val="24"/>
          <w:szCs w:val="24"/>
        </w:rPr>
      </w:pPr>
      <w:r>
        <w:rPr>
          <w:rFonts w:hint="eastAsia" w:ascii="宋体" w:hAnsi="宋体" w:eastAsia="宋体"/>
          <w:color w:val="auto"/>
          <w:szCs w:val="21"/>
        </w:rPr>
        <w:t>项目名称、标段：</w:t>
      </w:r>
    </w:p>
    <w:tbl>
      <w:tblPr>
        <w:tblStyle w:val="14"/>
        <w:tblW w:w="9536" w:type="dxa"/>
        <w:jc w:val="center"/>
        <w:tblLayout w:type="fixed"/>
        <w:tblCellMar>
          <w:top w:w="0" w:type="dxa"/>
          <w:left w:w="108" w:type="dxa"/>
          <w:bottom w:w="0" w:type="dxa"/>
          <w:right w:w="108" w:type="dxa"/>
        </w:tblCellMar>
      </w:tblPr>
      <w:tblGrid>
        <w:gridCol w:w="593"/>
        <w:gridCol w:w="1290"/>
        <w:gridCol w:w="2276"/>
        <w:gridCol w:w="942"/>
        <w:gridCol w:w="1047"/>
        <w:gridCol w:w="1098"/>
        <w:gridCol w:w="1145"/>
        <w:gridCol w:w="1145"/>
      </w:tblGrid>
      <w:tr w14:paraId="2B89D585">
        <w:tblPrEx>
          <w:tblCellMar>
            <w:top w:w="0" w:type="dxa"/>
            <w:left w:w="108" w:type="dxa"/>
            <w:bottom w:w="0" w:type="dxa"/>
            <w:right w:w="108" w:type="dxa"/>
          </w:tblCellMar>
        </w:tblPrEx>
        <w:trPr>
          <w:trHeight w:val="851" w:hRule="atLeast"/>
          <w:jc w:val="center"/>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7C">
            <w:pPr>
              <w:widowControl/>
              <w:autoSpaceDE w:val="0"/>
              <w:autoSpaceDN w:val="0"/>
              <w:adjustRightInd w:val="0"/>
              <w:spacing w:line="280" w:lineRule="exact"/>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序号</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7D">
            <w:pPr>
              <w:widowControl/>
              <w:autoSpaceDE w:val="0"/>
              <w:autoSpaceDN w:val="0"/>
              <w:adjustRightInd w:val="0"/>
              <w:spacing w:line="280" w:lineRule="exact"/>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名称</w:t>
            </w: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2B89D57E">
            <w:pPr>
              <w:widowControl/>
              <w:autoSpaceDE w:val="0"/>
              <w:autoSpaceDN w:val="0"/>
              <w:adjustRightInd w:val="0"/>
              <w:spacing w:line="280" w:lineRule="exact"/>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品牌、</w:t>
            </w:r>
          </w:p>
          <w:p w14:paraId="2B89D57F">
            <w:pPr>
              <w:widowControl/>
              <w:autoSpaceDE w:val="0"/>
              <w:autoSpaceDN w:val="0"/>
              <w:adjustRightInd w:val="0"/>
              <w:spacing w:line="280" w:lineRule="exact"/>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规格、型号</w:t>
            </w: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2B89D580">
            <w:pPr>
              <w:widowControl/>
              <w:autoSpaceDE w:val="0"/>
              <w:autoSpaceDN w:val="0"/>
              <w:adjustRightInd w:val="0"/>
              <w:spacing w:line="280" w:lineRule="exact"/>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单位</w:t>
            </w: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B89D581">
            <w:pPr>
              <w:widowControl/>
              <w:autoSpaceDE w:val="0"/>
              <w:autoSpaceDN w:val="0"/>
              <w:adjustRightInd w:val="0"/>
              <w:spacing w:line="280" w:lineRule="exact"/>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数量</w:t>
            </w: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82">
            <w:pPr>
              <w:widowControl/>
              <w:autoSpaceDE w:val="0"/>
              <w:autoSpaceDN w:val="0"/>
              <w:adjustRightInd w:val="0"/>
              <w:spacing w:line="280" w:lineRule="exact"/>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单价</w:t>
            </w: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83">
            <w:pPr>
              <w:widowControl/>
              <w:autoSpaceDE w:val="0"/>
              <w:autoSpaceDN w:val="0"/>
              <w:adjustRightInd w:val="0"/>
              <w:spacing w:line="280" w:lineRule="exact"/>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总价</w:t>
            </w: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84">
            <w:pPr>
              <w:widowControl/>
              <w:autoSpaceDE w:val="0"/>
              <w:autoSpaceDN w:val="0"/>
              <w:adjustRightInd w:val="0"/>
              <w:spacing w:line="280" w:lineRule="exact"/>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产地、生产厂家</w:t>
            </w:r>
          </w:p>
        </w:tc>
      </w:tr>
      <w:tr w14:paraId="2B89D58E">
        <w:tblPrEx>
          <w:tblCellMar>
            <w:top w:w="0" w:type="dxa"/>
            <w:left w:w="108" w:type="dxa"/>
            <w:bottom w:w="0" w:type="dxa"/>
            <w:right w:w="108" w:type="dxa"/>
          </w:tblCellMar>
        </w:tblPrEx>
        <w:trPr>
          <w:trHeight w:val="851" w:hRule="atLeast"/>
          <w:jc w:val="center"/>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86">
            <w:pPr>
              <w:autoSpaceDE w:val="0"/>
              <w:autoSpaceDN w:val="0"/>
              <w:adjustRightInd w:val="0"/>
              <w:spacing w:line="280" w:lineRule="exact"/>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1</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87">
            <w:pPr>
              <w:autoSpaceDE w:val="0"/>
              <w:autoSpaceDN w:val="0"/>
              <w:adjustRightInd w:val="0"/>
              <w:spacing w:line="360" w:lineRule="auto"/>
              <w:jc w:val="center"/>
              <w:rPr>
                <w:rFonts w:hint="eastAsia" w:asciiTheme="minorEastAsia" w:hAnsiTheme="minorEastAsia" w:cstheme="minorEastAsia"/>
                <w:b/>
                <w:color w:val="auto"/>
                <w:szCs w:val="21"/>
                <w:lang w:val="zh-CN"/>
              </w:rPr>
            </w:pP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2B89D588">
            <w:pPr>
              <w:autoSpaceDE w:val="0"/>
              <w:autoSpaceDN w:val="0"/>
              <w:adjustRightInd w:val="0"/>
              <w:spacing w:line="360" w:lineRule="auto"/>
              <w:jc w:val="center"/>
              <w:rPr>
                <w:rFonts w:hint="eastAsia" w:asciiTheme="minorEastAsia" w:hAnsiTheme="minorEastAsia" w:cstheme="minorEastAsia"/>
                <w:b/>
                <w:color w:val="auto"/>
                <w:szCs w:val="21"/>
              </w:rPr>
            </w:pP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2B89D589">
            <w:pPr>
              <w:autoSpaceDE w:val="0"/>
              <w:autoSpaceDN w:val="0"/>
              <w:adjustRightInd w:val="0"/>
              <w:spacing w:line="360" w:lineRule="auto"/>
              <w:jc w:val="center"/>
              <w:rPr>
                <w:rFonts w:hint="eastAsia" w:asciiTheme="minorEastAsia" w:hAnsiTheme="minorEastAsia" w:cstheme="minorEastAsia"/>
                <w:b/>
                <w:color w:val="auto"/>
                <w:szCs w:val="21"/>
              </w:rPr>
            </w:pP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B89D58A">
            <w:pPr>
              <w:autoSpaceDE w:val="0"/>
              <w:autoSpaceDN w:val="0"/>
              <w:adjustRightInd w:val="0"/>
              <w:spacing w:line="280" w:lineRule="exact"/>
              <w:jc w:val="center"/>
              <w:rPr>
                <w:rFonts w:hint="eastAsia" w:asciiTheme="minorEastAsia" w:hAnsiTheme="minorEastAsia" w:cstheme="minorEastAsia"/>
                <w:b/>
                <w:color w:val="auto"/>
                <w:szCs w:val="21"/>
              </w:rPr>
            </w:pP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8B">
            <w:pPr>
              <w:autoSpaceDE w:val="0"/>
              <w:autoSpaceDN w:val="0"/>
              <w:adjustRightInd w:val="0"/>
              <w:spacing w:line="280" w:lineRule="exact"/>
              <w:jc w:val="center"/>
              <w:rPr>
                <w:rFonts w:hint="eastAsia" w:asciiTheme="minorEastAsia" w:hAnsiTheme="minorEastAsia" w:cstheme="minorEastAsia"/>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8C">
            <w:pPr>
              <w:autoSpaceDE w:val="0"/>
              <w:autoSpaceDN w:val="0"/>
              <w:adjustRightInd w:val="0"/>
              <w:spacing w:line="280" w:lineRule="exact"/>
              <w:jc w:val="center"/>
              <w:rPr>
                <w:rFonts w:hint="eastAsia" w:asciiTheme="minorEastAsia" w:hAnsiTheme="minorEastAsia" w:cstheme="minorEastAsia"/>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8D">
            <w:pPr>
              <w:autoSpaceDE w:val="0"/>
              <w:autoSpaceDN w:val="0"/>
              <w:adjustRightInd w:val="0"/>
              <w:spacing w:line="280" w:lineRule="exact"/>
              <w:jc w:val="center"/>
              <w:rPr>
                <w:rFonts w:hint="eastAsia" w:asciiTheme="minorEastAsia" w:hAnsiTheme="minorEastAsia" w:cstheme="minorEastAsia"/>
                <w:b/>
                <w:color w:val="auto"/>
                <w:szCs w:val="21"/>
                <w:lang w:val="zh-CN"/>
              </w:rPr>
            </w:pPr>
          </w:p>
        </w:tc>
      </w:tr>
      <w:tr w14:paraId="2B89D597">
        <w:tblPrEx>
          <w:tblCellMar>
            <w:top w:w="0" w:type="dxa"/>
            <w:left w:w="108" w:type="dxa"/>
            <w:bottom w:w="0" w:type="dxa"/>
            <w:right w:w="108" w:type="dxa"/>
          </w:tblCellMar>
        </w:tblPrEx>
        <w:trPr>
          <w:trHeight w:val="851" w:hRule="atLeast"/>
          <w:jc w:val="center"/>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8F">
            <w:pPr>
              <w:autoSpaceDE w:val="0"/>
              <w:autoSpaceDN w:val="0"/>
              <w:adjustRightInd w:val="0"/>
              <w:spacing w:line="280" w:lineRule="exact"/>
              <w:jc w:val="center"/>
              <w:rPr>
                <w:rFonts w:hint="eastAsia" w:asciiTheme="minorEastAsia" w:hAnsiTheme="minorEastAsia" w:cstheme="minorEastAsia"/>
                <w:b/>
                <w:color w:val="auto"/>
                <w:szCs w:val="21"/>
              </w:rPr>
            </w:pPr>
            <w:r>
              <w:rPr>
                <w:rFonts w:hint="eastAsia" w:asciiTheme="minorEastAsia" w:hAnsiTheme="minorEastAsia" w:cstheme="minorEastAsia"/>
                <w:b/>
                <w:color w:val="auto"/>
                <w:szCs w:val="21"/>
              </w:rPr>
              <w:t>2</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90">
            <w:pPr>
              <w:autoSpaceDE w:val="0"/>
              <w:autoSpaceDN w:val="0"/>
              <w:adjustRightInd w:val="0"/>
              <w:spacing w:line="360" w:lineRule="auto"/>
              <w:jc w:val="center"/>
              <w:rPr>
                <w:rFonts w:hint="eastAsia" w:asciiTheme="minorEastAsia" w:hAnsiTheme="minorEastAsia" w:cstheme="minorEastAsia"/>
                <w:b/>
                <w:color w:val="auto"/>
                <w:szCs w:val="21"/>
                <w:lang w:val="zh-CN"/>
              </w:rPr>
            </w:pP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2B89D591">
            <w:pPr>
              <w:autoSpaceDE w:val="0"/>
              <w:autoSpaceDN w:val="0"/>
              <w:adjustRightInd w:val="0"/>
              <w:spacing w:line="360" w:lineRule="auto"/>
              <w:jc w:val="center"/>
              <w:rPr>
                <w:rFonts w:hint="eastAsia" w:asciiTheme="minorEastAsia" w:hAnsiTheme="minorEastAsia" w:cstheme="minorEastAsia"/>
                <w:b/>
                <w:color w:val="auto"/>
                <w:szCs w:val="21"/>
              </w:rPr>
            </w:pP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2B89D592">
            <w:pPr>
              <w:autoSpaceDE w:val="0"/>
              <w:autoSpaceDN w:val="0"/>
              <w:adjustRightInd w:val="0"/>
              <w:spacing w:line="360" w:lineRule="auto"/>
              <w:jc w:val="center"/>
              <w:rPr>
                <w:rFonts w:hint="eastAsia" w:asciiTheme="minorEastAsia" w:hAnsiTheme="minorEastAsia" w:cstheme="minorEastAsia"/>
                <w:b/>
                <w:color w:val="auto"/>
                <w:szCs w:val="21"/>
              </w:rPr>
            </w:pP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B89D593">
            <w:pPr>
              <w:autoSpaceDE w:val="0"/>
              <w:autoSpaceDN w:val="0"/>
              <w:adjustRightInd w:val="0"/>
              <w:spacing w:line="280" w:lineRule="exact"/>
              <w:jc w:val="center"/>
              <w:rPr>
                <w:rFonts w:hint="eastAsia" w:asciiTheme="minorEastAsia" w:hAnsiTheme="minorEastAsia" w:cstheme="minorEastAsia"/>
                <w:b/>
                <w:color w:val="auto"/>
                <w:szCs w:val="21"/>
              </w:rPr>
            </w:pP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94">
            <w:pPr>
              <w:autoSpaceDE w:val="0"/>
              <w:autoSpaceDN w:val="0"/>
              <w:adjustRightInd w:val="0"/>
              <w:spacing w:line="280" w:lineRule="exact"/>
              <w:jc w:val="center"/>
              <w:rPr>
                <w:rFonts w:hint="eastAsia" w:asciiTheme="minorEastAsia" w:hAnsiTheme="minorEastAsia" w:cstheme="minorEastAsia"/>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95">
            <w:pPr>
              <w:autoSpaceDE w:val="0"/>
              <w:autoSpaceDN w:val="0"/>
              <w:adjustRightInd w:val="0"/>
              <w:spacing w:line="280" w:lineRule="exact"/>
              <w:jc w:val="center"/>
              <w:rPr>
                <w:rFonts w:hint="eastAsia" w:asciiTheme="minorEastAsia" w:hAnsiTheme="minorEastAsia" w:cstheme="minorEastAsia"/>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96">
            <w:pPr>
              <w:autoSpaceDE w:val="0"/>
              <w:autoSpaceDN w:val="0"/>
              <w:adjustRightInd w:val="0"/>
              <w:spacing w:line="280" w:lineRule="exact"/>
              <w:jc w:val="center"/>
              <w:rPr>
                <w:rFonts w:hint="eastAsia" w:asciiTheme="minorEastAsia" w:hAnsiTheme="minorEastAsia" w:cstheme="minorEastAsia"/>
                <w:b/>
                <w:color w:val="auto"/>
                <w:szCs w:val="21"/>
                <w:lang w:val="zh-CN"/>
              </w:rPr>
            </w:pPr>
          </w:p>
        </w:tc>
      </w:tr>
      <w:tr w14:paraId="2B89D5A0">
        <w:tblPrEx>
          <w:tblCellMar>
            <w:top w:w="0" w:type="dxa"/>
            <w:left w:w="108" w:type="dxa"/>
            <w:bottom w:w="0" w:type="dxa"/>
            <w:right w:w="108" w:type="dxa"/>
          </w:tblCellMar>
        </w:tblPrEx>
        <w:trPr>
          <w:trHeight w:val="851" w:hRule="atLeast"/>
          <w:jc w:val="center"/>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98">
            <w:pPr>
              <w:widowControl/>
              <w:jc w:val="left"/>
              <w:rPr>
                <w:rFonts w:hint="eastAsia" w:asciiTheme="minorEastAsia" w:hAnsiTheme="minorEastAsia" w:cstheme="minorEastAsia"/>
                <w:b/>
                <w:color w:val="auto"/>
                <w:szCs w:val="21"/>
              </w:rPr>
            </w:pPr>
            <w:r>
              <w:rPr>
                <w:rFonts w:hint="eastAsia" w:ascii="宋体" w:hAnsi="宋体" w:eastAsia="宋体" w:cs="宋体"/>
                <w:color w:val="auto"/>
                <w:kern w:val="0"/>
                <w:sz w:val="20"/>
                <w:szCs w:val="20"/>
                <w:lang w:bidi="ar"/>
              </w:rPr>
              <w:t>…</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99">
            <w:pPr>
              <w:autoSpaceDE w:val="0"/>
              <w:autoSpaceDN w:val="0"/>
              <w:adjustRightInd w:val="0"/>
              <w:spacing w:line="360" w:lineRule="auto"/>
              <w:jc w:val="center"/>
              <w:rPr>
                <w:rFonts w:hint="eastAsia" w:asciiTheme="minorEastAsia" w:hAnsiTheme="minorEastAsia" w:cstheme="minorEastAsia"/>
                <w:b/>
                <w:color w:val="auto"/>
                <w:szCs w:val="21"/>
                <w:lang w:val="zh-CN"/>
              </w:rPr>
            </w:pP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2B89D59A">
            <w:pPr>
              <w:autoSpaceDE w:val="0"/>
              <w:autoSpaceDN w:val="0"/>
              <w:adjustRightInd w:val="0"/>
              <w:spacing w:line="360" w:lineRule="auto"/>
              <w:jc w:val="center"/>
              <w:rPr>
                <w:rFonts w:hint="eastAsia" w:asciiTheme="minorEastAsia" w:hAnsiTheme="minorEastAsia" w:cstheme="minorEastAsia"/>
                <w:b/>
                <w:color w:val="auto"/>
                <w:szCs w:val="21"/>
              </w:rPr>
            </w:pP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2B89D59B">
            <w:pPr>
              <w:autoSpaceDE w:val="0"/>
              <w:autoSpaceDN w:val="0"/>
              <w:adjustRightInd w:val="0"/>
              <w:spacing w:line="360" w:lineRule="auto"/>
              <w:jc w:val="center"/>
              <w:rPr>
                <w:rFonts w:hint="eastAsia" w:asciiTheme="minorEastAsia" w:hAnsiTheme="minorEastAsia" w:cstheme="minorEastAsia"/>
                <w:b/>
                <w:color w:val="auto"/>
                <w:szCs w:val="21"/>
              </w:rPr>
            </w:pP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B89D59C">
            <w:pPr>
              <w:autoSpaceDE w:val="0"/>
              <w:autoSpaceDN w:val="0"/>
              <w:adjustRightInd w:val="0"/>
              <w:spacing w:line="280" w:lineRule="exact"/>
              <w:jc w:val="center"/>
              <w:rPr>
                <w:rFonts w:hint="eastAsia" w:asciiTheme="minorEastAsia" w:hAnsiTheme="minorEastAsia" w:cstheme="minorEastAsia"/>
                <w:b/>
                <w:color w:val="auto"/>
                <w:szCs w:val="21"/>
              </w:rPr>
            </w:pP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9D">
            <w:pPr>
              <w:autoSpaceDE w:val="0"/>
              <w:autoSpaceDN w:val="0"/>
              <w:adjustRightInd w:val="0"/>
              <w:spacing w:line="280" w:lineRule="exact"/>
              <w:jc w:val="center"/>
              <w:rPr>
                <w:rFonts w:hint="eastAsia" w:asciiTheme="minorEastAsia" w:hAnsiTheme="minorEastAsia" w:cstheme="minorEastAsia"/>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9E">
            <w:pPr>
              <w:autoSpaceDE w:val="0"/>
              <w:autoSpaceDN w:val="0"/>
              <w:adjustRightInd w:val="0"/>
              <w:spacing w:line="280" w:lineRule="exact"/>
              <w:jc w:val="center"/>
              <w:rPr>
                <w:rFonts w:hint="eastAsia" w:asciiTheme="minorEastAsia" w:hAnsiTheme="minorEastAsia" w:cstheme="minorEastAsia"/>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9F">
            <w:pPr>
              <w:autoSpaceDE w:val="0"/>
              <w:autoSpaceDN w:val="0"/>
              <w:adjustRightInd w:val="0"/>
              <w:spacing w:line="280" w:lineRule="exact"/>
              <w:jc w:val="center"/>
              <w:rPr>
                <w:rFonts w:hint="eastAsia" w:asciiTheme="minorEastAsia" w:hAnsiTheme="minorEastAsia" w:cstheme="minorEastAsia"/>
                <w:b/>
                <w:color w:val="auto"/>
                <w:szCs w:val="21"/>
                <w:lang w:val="zh-CN"/>
              </w:rPr>
            </w:pPr>
          </w:p>
        </w:tc>
      </w:tr>
      <w:tr w14:paraId="2B89D5A3">
        <w:tblPrEx>
          <w:tblCellMar>
            <w:top w:w="0" w:type="dxa"/>
            <w:left w:w="108" w:type="dxa"/>
            <w:bottom w:w="0" w:type="dxa"/>
            <w:right w:w="108" w:type="dxa"/>
          </w:tblCellMar>
        </w:tblPrEx>
        <w:trPr>
          <w:trHeight w:val="851" w:hRule="atLeast"/>
          <w:jc w:val="center"/>
        </w:trPr>
        <w:tc>
          <w:tcPr>
            <w:tcW w:w="1883" w:type="dxa"/>
            <w:gridSpan w:val="2"/>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1">
            <w:pPr>
              <w:autoSpaceDE w:val="0"/>
              <w:autoSpaceDN w:val="0"/>
              <w:adjustRightInd w:val="0"/>
              <w:spacing w:line="360" w:lineRule="auto"/>
              <w:jc w:val="center"/>
              <w:rPr>
                <w:rFonts w:hint="eastAsia" w:asciiTheme="minorEastAsia" w:hAnsiTheme="minorEastAsia" w:cstheme="minorEastAsia"/>
                <w:b/>
                <w:color w:val="auto"/>
                <w:szCs w:val="21"/>
                <w:lang w:val="zh-CN"/>
              </w:rPr>
            </w:pPr>
            <w:r>
              <w:rPr>
                <w:rFonts w:hint="eastAsia" w:asciiTheme="minorEastAsia" w:hAnsiTheme="minorEastAsia" w:cstheme="minorEastAsia"/>
                <w:b/>
                <w:color w:val="auto"/>
                <w:szCs w:val="21"/>
                <w:lang w:val="zh-CN"/>
              </w:rPr>
              <w:t>合计</w:t>
            </w:r>
          </w:p>
        </w:tc>
        <w:tc>
          <w:tcPr>
            <w:tcW w:w="7653" w:type="dxa"/>
            <w:gridSpan w:val="6"/>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2">
            <w:pPr>
              <w:autoSpaceDE w:val="0"/>
              <w:autoSpaceDN w:val="0"/>
              <w:adjustRightInd w:val="0"/>
              <w:spacing w:line="280" w:lineRule="exact"/>
              <w:ind w:firstLine="632" w:firstLineChars="300"/>
              <w:rPr>
                <w:rFonts w:hint="eastAsia" w:asciiTheme="minorEastAsia" w:hAnsiTheme="minorEastAsia" w:cstheme="minorEastAsia"/>
                <w:b/>
                <w:color w:val="auto"/>
                <w:szCs w:val="21"/>
                <w:lang w:val="zh-CN"/>
              </w:rPr>
            </w:pPr>
            <w:r>
              <w:rPr>
                <w:rFonts w:hint="eastAsia" w:asciiTheme="minorEastAsia" w:hAnsiTheme="minorEastAsia" w:cstheme="minorEastAsia"/>
                <w:b/>
                <w:color w:val="auto"/>
                <w:szCs w:val="21"/>
                <w:lang w:val="zh-CN"/>
              </w:rPr>
              <w:t xml:space="preserve">大写： </w:t>
            </w:r>
            <w:r>
              <w:rPr>
                <w:rFonts w:hint="eastAsia" w:asciiTheme="minorEastAsia" w:hAnsiTheme="minorEastAsia" w:cstheme="minorEastAsia"/>
                <w:b/>
                <w:color w:val="auto"/>
                <w:szCs w:val="21"/>
              </w:rPr>
              <w:t xml:space="preserve">     </w:t>
            </w:r>
            <w:r>
              <w:rPr>
                <w:rFonts w:hint="eastAsia" w:asciiTheme="minorEastAsia" w:hAnsiTheme="minorEastAsia" w:cstheme="minorEastAsia"/>
                <w:b/>
                <w:color w:val="auto"/>
                <w:szCs w:val="21"/>
                <w:lang w:val="zh-CN"/>
              </w:rPr>
              <w:t>小写：</w:t>
            </w:r>
          </w:p>
        </w:tc>
      </w:tr>
    </w:tbl>
    <w:p w14:paraId="2B89D5A4">
      <w:pPr>
        <w:spacing w:line="360" w:lineRule="auto"/>
        <w:ind w:firstLine="4410" w:firstLineChars="2100"/>
        <w:contextualSpacing/>
        <w:rPr>
          <w:rFonts w:hint="eastAsia" w:cs="宋体" w:asciiTheme="minorEastAsia" w:hAnsiTheme="minorEastAsia"/>
          <w:color w:val="auto"/>
          <w:szCs w:val="21"/>
          <w:lang w:val="zh-CN"/>
        </w:rPr>
      </w:pPr>
    </w:p>
    <w:p w14:paraId="2B89D5A5">
      <w:pPr>
        <w:spacing w:line="360" w:lineRule="auto"/>
        <w:ind w:firstLine="4410" w:firstLineChars="2100"/>
        <w:contextualSpacing/>
        <w:rPr>
          <w:rFonts w:hint="eastAsia" w:ascii="宋体" w:hAnsi="宋体"/>
          <w:color w:val="auto"/>
          <w:szCs w:val="21"/>
        </w:rPr>
      </w:pPr>
      <w:r>
        <w:rPr>
          <w:rFonts w:hint="eastAsia" w:cs="宋体" w:asciiTheme="minorEastAsia" w:hAnsiTheme="minorEastAsia"/>
          <w:color w:val="auto"/>
          <w:szCs w:val="21"/>
          <w:lang w:val="zh-CN"/>
        </w:rPr>
        <w:t>投标人名称（盖章）：</w:t>
      </w:r>
    </w:p>
    <w:p w14:paraId="2B89D5A6">
      <w:pPr>
        <w:spacing w:line="360" w:lineRule="auto"/>
        <w:contextualSpacing/>
        <w:rPr>
          <w:rFonts w:hint="eastAsia" w:cs="宋体" w:asciiTheme="minorEastAsia" w:hAnsiTheme="minorEastAsia"/>
          <w:color w:val="auto"/>
          <w:sz w:val="24"/>
          <w:szCs w:val="24"/>
        </w:rPr>
      </w:pPr>
      <w:r>
        <w:rPr>
          <w:rFonts w:hint="eastAsia" w:ascii="宋体" w:hAnsi="宋体"/>
          <w:color w:val="auto"/>
          <w:szCs w:val="21"/>
        </w:rPr>
        <w:t xml:space="preserve">                                         日期：   </w:t>
      </w:r>
      <w:r>
        <w:rPr>
          <w:rFonts w:hint="eastAsia" w:cs="宋体" w:asciiTheme="minorEastAsia" w:hAnsiTheme="minorEastAsia"/>
          <w:color w:val="auto"/>
          <w:szCs w:val="21"/>
        </w:rPr>
        <w:t>年    月    日</w:t>
      </w:r>
    </w:p>
    <w:p w14:paraId="2B89D5A7">
      <w:pPr>
        <w:autoSpaceDE w:val="0"/>
        <w:autoSpaceDN w:val="0"/>
        <w:adjustRightInd w:val="0"/>
        <w:spacing w:line="480" w:lineRule="auto"/>
        <w:rPr>
          <w:rFonts w:hint="eastAsia" w:cs="宋体" w:asciiTheme="minorEastAsia" w:hAnsiTheme="minorEastAsia"/>
          <w:color w:val="auto"/>
          <w:sz w:val="24"/>
          <w:szCs w:val="24"/>
        </w:rPr>
      </w:pPr>
    </w:p>
    <w:p w14:paraId="2B89D5A8">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4.2 技术规格偏离表</w:t>
      </w:r>
    </w:p>
    <w:p w14:paraId="2B89D5A9">
      <w:pPr>
        <w:spacing w:line="360" w:lineRule="auto"/>
        <w:contextualSpacing/>
        <w:jc w:val="left"/>
        <w:rPr>
          <w:rFonts w:hint="eastAsia" w:ascii="宋体" w:hAnsi="宋体" w:eastAsia="宋体"/>
          <w:color w:val="auto"/>
          <w:szCs w:val="21"/>
        </w:rPr>
      </w:pPr>
      <w:r>
        <w:rPr>
          <w:rFonts w:hint="eastAsia" w:ascii="宋体" w:hAnsi="宋体" w:eastAsia="宋体"/>
          <w:color w:val="auto"/>
          <w:szCs w:val="21"/>
        </w:rPr>
        <w:t>项目编号：</w:t>
      </w:r>
    </w:p>
    <w:p w14:paraId="2B89D5AA">
      <w:pPr>
        <w:autoSpaceDE w:val="0"/>
        <w:autoSpaceDN w:val="0"/>
        <w:adjustRightInd w:val="0"/>
        <w:spacing w:line="360" w:lineRule="auto"/>
        <w:outlineLvl w:val="0"/>
        <w:rPr>
          <w:rFonts w:hint="eastAsia" w:ascii="宋体" w:hAnsi="宋体" w:eastAsia="宋体"/>
          <w:b/>
          <w:snapToGrid w:val="0"/>
          <w:color w:val="auto"/>
          <w:kern w:val="0"/>
          <w:szCs w:val="21"/>
        </w:rPr>
      </w:pPr>
      <w:r>
        <w:rPr>
          <w:rFonts w:hint="eastAsia" w:ascii="宋体" w:hAnsi="宋体" w:eastAsia="宋体"/>
          <w:color w:val="auto"/>
          <w:szCs w:val="21"/>
        </w:rPr>
        <w:t xml:space="preserve">项目名称、标段：   </w:t>
      </w:r>
    </w:p>
    <w:tbl>
      <w:tblPr>
        <w:tblStyle w:val="14"/>
        <w:tblW w:w="9315" w:type="dxa"/>
        <w:tblInd w:w="0" w:type="dxa"/>
        <w:tblLayout w:type="fixed"/>
        <w:tblCellMar>
          <w:top w:w="0" w:type="dxa"/>
          <w:left w:w="108" w:type="dxa"/>
          <w:bottom w:w="0" w:type="dxa"/>
          <w:right w:w="108" w:type="dxa"/>
        </w:tblCellMar>
      </w:tblPr>
      <w:tblGrid>
        <w:gridCol w:w="674"/>
        <w:gridCol w:w="1417"/>
        <w:gridCol w:w="2383"/>
        <w:gridCol w:w="1866"/>
        <w:gridCol w:w="1559"/>
        <w:gridCol w:w="1416"/>
      </w:tblGrid>
      <w:tr w14:paraId="2B89D5B6">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B">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C">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货物服务</w:t>
            </w:r>
          </w:p>
          <w:p w14:paraId="2B89D5AD">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238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E">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招标文件</w:t>
            </w:r>
          </w:p>
          <w:p w14:paraId="2B89D5AF">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8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B0">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投标文件</w:t>
            </w:r>
          </w:p>
          <w:p w14:paraId="2B89D5B1">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B2">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w:t>
            </w:r>
          </w:p>
          <w:p w14:paraId="2B89D5B3">
            <w:pPr>
              <w:jc w:val="center"/>
              <w:rPr>
                <w:rFonts w:hint="eastAsia"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41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B4">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2B89D5B5">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2B89D5BD">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vAlign w:val="center"/>
          </w:tcPr>
          <w:p w14:paraId="2B89D5B7">
            <w:pPr>
              <w:autoSpaceDE w:val="0"/>
              <w:autoSpaceDN w:val="0"/>
              <w:adjustRightInd w:val="0"/>
              <w:spacing w:line="480" w:lineRule="exact"/>
              <w:jc w:val="center"/>
              <w:rPr>
                <w:rFonts w:hint="eastAsia" w:ascii="宋体" w:hAnsi="宋体" w:eastAsia="宋体"/>
                <w:bCs/>
                <w:color w:val="auto"/>
                <w:szCs w:val="21"/>
              </w:rPr>
            </w:pPr>
            <w:r>
              <w:rPr>
                <w:rFonts w:hint="eastAsia" w:ascii="宋体" w:hAnsi="宋体" w:eastAsia="宋体"/>
                <w:bCs/>
                <w:color w:val="auto"/>
                <w:szCs w:val="21"/>
              </w:rPr>
              <w:t>1</w:t>
            </w:r>
          </w:p>
        </w:tc>
        <w:tc>
          <w:tcPr>
            <w:tcW w:w="1417" w:type="dxa"/>
            <w:tcBorders>
              <w:top w:val="single" w:color="auto" w:sz="6" w:space="0"/>
              <w:left w:val="single" w:color="auto" w:sz="6" w:space="0"/>
              <w:bottom w:val="single" w:color="auto" w:sz="6" w:space="0"/>
              <w:right w:val="single" w:color="auto" w:sz="6" w:space="0"/>
            </w:tcBorders>
          </w:tcPr>
          <w:p w14:paraId="2B89D5B8">
            <w:pPr>
              <w:autoSpaceDE w:val="0"/>
              <w:autoSpaceDN w:val="0"/>
              <w:adjustRightInd w:val="0"/>
              <w:spacing w:line="480" w:lineRule="exact"/>
              <w:rPr>
                <w:rFonts w:hint="eastAsia" w:ascii="宋体" w:hAnsi="宋体" w:eastAsia="宋体"/>
                <w:b/>
                <w:bCs/>
                <w:color w:val="auto"/>
                <w:szCs w:val="21"/>
              </w:rPr>
            </w:pPr>
          </w:p>
        </w:tc>
        <w:tc>
          <w:tcPr>
            <w:tcW w:w="2383" w:type="dxa"/>
            <w:tcBorders>
              <w:top w:val="single" w:color="auto" w:sz="6" w:space="0"/>
              <w:left w:val="single" w:color="auto" w:sz="6" w:space="0"/>
              <w:bottom w:val="single" w:color="auto" w:sz="6" w:space="0"/>
              <w:right w:val="single" w:color="auto" w:sz="6" w:space="0"/>
            </w:tcBorders>
          </w:tcPr>
          <w:p w14:paraId="2B89D5B9">
            <w:pPr>
              <w:autoSpaceDE w:val="0"/>
              <w:autoSpaceDN w:val="0"/>
              <w:adjustRightInd w:val="0"/>
              <w:spacing w:line="480" w:lineRule="exact"/>
              <w:rPr>
                <w:rFonts w:hint="eastAsia" w:ascii="宋体" w:hAnsi="宋体" w:eastAsia="宋体"/>
                <w:b/>
                <w:bCs/>
                <w:color w:val="auto"/>
                <w:szCs w:val="21"/>
              </w:rPr>
            </w:pPr>
          </w:p>
        </w:tc>
        <w:tc>
          <w:tcPr>
            <w:tcW w:w="1866" w:type="dxa"/>
            <w:tcBorders>
              <w:top w:val="single" w:color="auto" w:sz="6" w:space="0"/>
              <w:left w:val="single" w:color="auto" w:sz="6" w:space="0"/>
              <w:bottom w:val="single" w:color="auto" w:sz="6" w:space="0"/>
              <w:right w:val="single" w:color="auto" w:sz="6" w:space="0"/>
            </w:tcBorders>
          </w:tcPr>
          <w:p w14:paraId="2B89D5BA">
            <w:pPr>
              <w:autoSpaceDE w:val="0"/>
              <w:autoSpaceDN w:val="0"/>
              <w:adjustRightInd w:val="0"/>
              <w:spacing w:line="480" w:lineRule="exact"/>
              <w:rPr>
                <w:rFonts w:hint="eastAsia" w:ascii="宋体" w:hAnsi="宋体" w:eastAsia="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2B89D5BB">
            <w:pPr>
              <w:autoSpaceDE w:val="0"/>
              <w:autoSpaceDN w:val="0"/>
              <w:adjustRightInd w:val="0"/>
              <w:spacing w:line="480" w:lineRule="exact"/>
              <w:rPr>
                <w:rFonts w:hint="eastAsia" w:ascii="宋体" w:hAnsi="宋体" w:eastAsia="宋体"/>
                <w:b/>
                <w:bCs/>
                <w:color w:val="auto"/>
                <w:szCs w:val="21"/>
              </w:rPr>
            </w:pPr>
          </w:p>
        </w:tc>
        <w:tc>
          <w:tcPr>
            <w:tcW w:w="1416" w:type="dxa"/>
            <w:tcBorders>
              <w:top w:val="single" w:color="auto" w:sz="6" w:space="0"/>
              <w:left w:val="single" w:color="auto" w:sz="6" w:space="0"/>
              <w:bottom w:val="single" w:color="auto" w:sz="6" w:space="0"/>
              <w:right w:val="single" w:color="auto" w:sz="6" w:space="0"/>
            </w:tcBorders>
            <w:vAlign w:val="center"/>
          </w:tcPr>
          <w:p w14:paraId="2B89D5BC">
            <w:pPr>
              <w:autoSpaceDE w:val="0"/>
              <w:autoSpaceDN w:val="0"/>
              <w:adjustRightInd w:val="0"/>
              <w:spacing w:line="480" w:lineRule="exact"/>
              <w:jc w:val="center"/>
              <w:rPr>
                <w:rFonts w:hint="eastAsia" w:ascii="宋体" w:hAnsi="宋体" w:eastAsia="宋体"/>
                <w:b/>
                <w:bCs/>
                <w:color w:val="auto"/>
                <w:szCs w:val="21"/>
              </w:rPr>
            </w:pPr>
          </w:p>
        </w:tc>
      </w:tr>
      <w:tr w14:paraId="2B89D5C4">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vAlign w:val="center"/>
          </w:tcPr>
          <w:p w14:paraId="2B89D5BE">
            <w:pPr>
              <w:autoSpaceDE w:val="0"/>
              <w:autoSpaceDN w:val="0"/>
              <w:adjustRightInd w:val="0"/>
              <w:spacing w:line="480" w:lineRule="exact"/>
              <w:jc w:val="center"/>
              <w:rPr>
                <w:rFonts w:hint="eastAsia" w:ascii="宋体" w:hAnsi="宋体" w:eastAsia="宋体"/>
                <w:bCs/>
                <w:color w:val="auto"/>
                <w:szCs w:val="21"/>
              </w:rPr>
            </w:pPr>
            <w:r>
              <w:rPr>
                <w:rFonts w:hint="eastAsia" w:ascii="宋体" w:hAnsi="宋体" w:eastAsia="宋体"/>
                <w:color w:val="auto"/>
                <w:szCs w:val="21"/>
              </w:rPr>
              <w:t>…</w:t>
            </w:r>
          </w:p>
        </w:tc>
        <w:tc>
          <w:tcPr>
            <w:tcW w:w="1417" w:type="dxa"/>
            <w:tcBorders>
              <w:top w:val="single" w:color="auto" w:sz="6" w:space="0"/>
              <w:left w:val="single" w:color="auto" w:sz="6" w:space="0"/>
              <w:bottom w:val="single" w:color="auto" w:sz="6" w:space="0"/>
              <w:right w:val="single" w:color="auto" w:sz="6" w:space="0"/>
            </w:tcBorders>
          </w:tcPr>
          <w:p w14:paraId="2B89D5BF">
            <w:pPr>
              <w:autoSpaceDE w:val="0"/>
              <w:autoSpaceDN w:val="0"/>
              <w:adjustRightInd w:val="0"/>
              <w:spacing w:line="480" w:lineRule="exact"/>
              <w:rPr>
                <w:rFonts w:hint="eastAsia" w:ascii="宋体" w:hAnsi="宋体" w:eastAsia="宋体"/>
                <w:b/>
                <w:bCs/>
                <w:color w:val="auto"/>
                <w:szCs w:val="21"/>
              </w:rPr>
            </w:pPr>
          </w:p>
        </w:tc>
        <w:tc>
          <w:tcPr>
            <w:tcW w:w="2383" w:type="dxa"/>
            <w:tcBorders>
              <w:top w:val="single" w:color="auto" w:sz="6" w:space="0"/>
              <w:left w:val="single" w:color="auto" w:sz="6" w:space="0"/>
              <w:bottom w:val="single" w:color="auto" w:sz="6" w:space="0"/>
              <w:right w:val="single" w:color="auto" w:sz="6" w:space="0"/>
            </w:tcBorders>
          </w:tcPr>
          <w:p w14:paraId="2B89D5C0">
            <w:pPr>
              <w:autoSpaceDE w:val="0"/>
              <w:autoSpaceDN w:val="0"/>
              <w:adjustRightInd w:val="0"/>
              <w:spacing w:line="480" w:lineRule="exact"/>
              <w:rPr>
                <w:rFonts w:hint="eastAsia" w:ascii="宋体" w:hAnsi="宋体" w:eastAsia="宋体"/>
                <w:b/>
                <w:bCs/>
                <w:color w:val="auto"/>
                <w:szCs w:val="21"/>
              </w:rPr>
            </w:pPr>
          </w:p>
        </w:tc>
        <w:tc>
          <w:tcPr>
            <w:tcW w:w="1866" w:type="dxa"/>
            <w:tcBorders>
              <w:top w:val="single" w:color="auto" w:sz="6" w:space="0"/>
              <w:left w:val="single" w:color="auto" w:sz="6" w:space="0"/>
              <w:bottom w:val="single" w:color="auto" w:sz="6" w:space="0"/>
              <w:right w:val="single" w:color="auto" w:sz="6" w:space="0"/>
            </w:tcBorders>
          </w:tcPr>
          <w:p w14:paraId="2B89D5C1">
            <w:pPr>
              <w:autoSpaceDE w:val="0"/>
              <w:autoSpaceDN w:val="0"/>
              <w:adjustRightInd w:val="0"/>
              <w:spacing w:line="480" w:lineRule="exact"/>
              <w:rPr>
                <w:rFonts w:hint="eastAsia" w:ascii="宋体" w:hAnsi="宋体" w:eastAsia="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2B89D5C2">
            <w:pPr>
              <w:autoSpaceDE w:val="0"/>
              <w:autoSpaceDN w:val="0"/>
              <w:adjustRightInd w:val="0"/>
              <w:spacing w:line="480" w:lineRule="exact"/>
              <w:rPr>
                <w:rFonts w:hint="eastAsia" w:ascii="宋体" w:hAnsi="宋体" w:eastAsia="宋体"/>
                <w:b/>
                <w:bCs/>
                <w:color w:val="auto"/>
                <w:szCs w:val="21"/>
              </w:rPr>
            </w:pPr>
          </w:p>
        </w:tc>
        <w:tc>
          <w:tcPr>
            <w:tcW w:w="1416" w:type="dxa"/>
            <w:tcBorders>
              <w:top w:val="single" w:color="auto" w:sz="6" w:space="0"/>
              <w:left w:val="single" w:color="auto" w:sz="6" w:space="0"/>
              <w:bottom w:val="single" w:color="auto" w:sz="6" w:space="0"/>
              <w:right w:val="single" w:color="auto" w:sz="6" w:space="0"/>
            </w:tcBorders>
            <w:vAlign w:val="center"/>
          </w:tcPr>
          <w:p w14:paraId="2B89D5C3">
            <w:pPr>
              <w:autoSpaceDE w:val="0"/>
              <w:autoSpaceDN w:val="0"/>
              <w:adjustRightInd w:val="0"/>
              <w:spacing w:line="480" w:lineRule="exact"/>
              <w:jc w:val="center"/>
              <w:rPr>
                <w:rFonts w:hint="eastAsia" w:ascii="宋体" w:hAnsi="宋体" w:eastAsia="宋体"/>
                <w:b/>
                <w:bCs/>
                <w:color w:val="auto"/>
                <w:szCs w:val="21"/>
              </w:rPr>
            </w:pPr>
          </w:p>
        </w:tc>
      </w:tr>
    </w:tbl>
    <w:p w14:paraId="2B89D5C5">
      <w:pPr>
        <w:autoSpaceDE w:val="0"/>
        <w:autoSpaceDN w:val="0"/>
        <w:adjustRightInd w:val="0"/>
        <w:spacing w:line="480" w:lineRule="auto"/>
        <w:rPr>
          <w:rFonts w:hint="eastAsia" w:ascii="宋体" w:hAnsi="宋体" w:eastAsia="宋体" w:cs="宋体"/>
          <w:color w:val="auto"/>
          <w:szCs w:val="21"/>
          <w:lang w:val="zh-CN"/>
        </w:rPr>
      </w:pPr>
    </w:p>
    <w:p w14:paraId="2B89D5C6">
      <w:pPr>
        <w:autoSpaceDE w:val="0"/>
        <w:autoSpaceDN w:val="0"/>
        <w:adjustRightInd w:val="0"/>
        <w:spacing w:line="480" w:lineRule="auto"/>
        <w:rPr>
          <w:color w:val="auto"/>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14:paraId="2B89D5C7">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4.3 技术方案（实施方案）</w:t>
      </w:r>
    </w:p>
    <w:p w14:paraId="2B89D5C8">
      <w:pPr>
        <w:snapToGrid w:val="0"/>
        <w:spacing w:line="360" w:lineRule="auto"/>
        <w:jc w:val="center"/>
        <w:rPr>
          <w:rFonts w:hint="eastAsia" w:hAnsi="宋体" w:eastAsia="宋体"/>
          <w:b/>
          <w:snapToGrid w:val="0"/>
          <w:color w:val="auto"/>
          <w:kern w:val="0"/>
          <w:sz w:val="36"/>
          <w:szCs w:val="36"/>
        </w:rPr>
      </w:pPr>
    </w:p>
    <w:p w14:paraId="2B89D5C9">
      <w:pPr>
        <w:autoSpaceDE w:val="0"/>
        <w:autoSpaceDN w:val="0"/>
        <w:adjustRightInd w:val="0"/>
        <w:spacing w:line="360" w:lineRule="auto"/>
        <w:jc w:val="center"/>
        <w:rPr>
          <w:rFonts w:hint="eastAsia" w:cs="宋体" w:asciiTheme="minorEastAsia" w:hAnsiTheme="minorEastAsia"/>
          <w:color w:val="auto"/>
          <w:szCs w:val="21"/>
          <w:lang w:val="zh-CN"/>
        </w:rPr>
      </w:pPr>
      <w:r>
        <w:rPr>
          <w:rFonts w:hint="eastAsia" w:cs="宋体" w:asciiTheme="minorEastAsia" w:hAnsiTheme="minorEastAsia"/>
          <w:color w:val="auto"/>
          <w:szCs w:val="21"/>
          <w:lang w:val="zh-CN"/>
        </w:rPr>
        <w:t>（投标人根据招标文件要求自行编制）</w:t>
      </w:r>
    </w:p>
    <w:p w14:paraId="2B89D5CA">
      <w:pPr>
        <w:pStyle w:val="13"/>
        <w:ind w:firstLine="340"/>
        <w:rPr>
          <w:color w:val="auto"/>
        </w:rPr>
      </w:pPr>
    </w:p>
    <w:p w14:paraId="2B89D5CB">
      <w:pPr>
        <w:pStyle w:val="8"/>
        <w:ind w:firstLine="480"/>
        <w:rPr>
          <w:color w:val="auto"/>
        </w:rPr>
      </w:pPr>
    </w:p>
    <w:p w14:paraId="2B89D5CC">
      <w:pPr>
        <w:pStyle w:val="9"/>
        <w:ind w:left="5250"/>
        <w:rPr>
          <w:color w:val="auto"/>
        </w:rPr>
      </w:pPr>
    </w:p>
    <w:p w14:paraId="2B89D5CD">
      <w:pPr>
        <w:rPr>
          <w:color w:val="auto"/>
        </w:rPr>
      </w:pPr>
    </w:p>
    <w:p w14:paraId="2B89D5CE">
      <w:pPr>
        <w:rPr>
          <w:color w:val="auto"/>
        </w:rPr>
      </w:pPr>
    </w:p>
    <w:p w14:paraId="2B89D5CF">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4.4 售后服务方案及服务承诺</w:t>
      </w:r>
    </w:p>
    <w:p w14:paraId="2B89D5D0">
      <w:pPr>
        <w:autoSpaceDE w:val="0"/>
        <w:autoSpaceDN w:val="0"/>
        <w:adjustRightInd w:val="0"/>
        <w:spacing w:line="360" w:lineRule="auto"/>
        <w:jc w:val="center"/>
        <w:rPr>
          <w:rFonts w:hint="eastAsia" w:cs="宋体" w:asciiTheme="minorEastAsia" w:hAnsiTheme="minorEastAsia"/>
          <w:color w:val="auto"/>
          <w:szCs w:val="21"/>
          <w:lang w:val="zh-CN"/>
        </w:rPr>
      </w:pPr>
      <w:r>
        <w:rPr>
          <w:rFonts w:hint="eastAsia" w:cs="宋体" w:asciiTheme="minorEastAsia" w:hAnsiTheme="minorEastAsia"/>
          <w:color w:val="auto"/>
          <w:szCs w:val="21"/>
          <w:lang w:val="zh-CN"/>
        </w:rPr>
        <w:t>（投标人根据招标文件要求自行编制）</w:t>
      </w:r>
    </w:p>
    <w:p w14:paraId="2B89D5D1">
      <w:pPr>
        <w:pStyle w:val="2"/>
        <w:rPr>
          <w:rFonts w:ascii="宋体" w:hAnsi="Times New Roman" w:eastAsia="宋体" w:cs="Times New Roman"/>
          <w:color w:val="auto"/>
          <w:kern w:val="0"/>
          <w:sz w:val="34"/>
          <w:szCs w:val="20"/>
          <w:lang w:val="zh-CN"/>
        </w:rPr>
      </w:pPr>
    </w:p>
    <w:p w14:paraId="2B89D5D2">
      <w:pPr>
        <w:rPr>
          <w:color w:val="auto"/>
          <w:lang w:val="zh-CN"/>
        </w:rPr>
      </w:pPr>
    </w:p>
    <w:p w14:paraId="2B89D5D3">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4.5 业绩情况表</w:t>
      </w:r>
    </w:p>
    <w:p w14:paraId="2B89D5D4">
      <w:pPr>
        <w:autoSpaceDE w:val="0"/>
        <w:autoSpaceDN w:val="0"/>
        <w:adjustRightInd w:val="0"/>
        <w:spacing w:line="360" w:lineRule="auto"/>
        <w:jc w:val="center"/>
        <w:outlineLvl w:val="0"/>
        <w:rPr>
          <w:rFonts w:hint="eastAsia" w:ascii="宋体" w:hAnsi="宋体"/>
          <w:b/>
          <w:bCs/>
          <w:color w:val="auto"/>
          <w:sz w:val="28"/>
          <w:szCs w:val="28"/>
        </w:rPr>
      </w:pPr>
    </w:p>
    <w:p w14:paraId="2B89D5D5">
      <w:pPr>
        <w:spacing w:before="50" w:after="156" w:afterLines="50" w:line="360" w:lineRule="auto"/>
        <w:contextualSpacing/>
        <w:jc w:val="left"/>
        <w:rPr>
          <w:rFonts w:hint="eastAsia" w:asciiTheme="minorEastAsia" w:hAnsiTheme="minorEastAsia"/>
          <w:color w:val="auto"/>
          <w:szCs w:val="21"/>
        </w:rPr>
      </w:pPr>
      <w:r>
        <w:rPr>
          <w:rFonts w:hint="eastAsia" w:asciiTheme="minorEastAsia" w:hAnsiTheme="minorEastAsia"/>
          <w:color w:val="auto"/>
          <w:szCs w:val="21"/>
        </w:rPr>
        <w:t>项目编号：</w:t>
      </w:r>
    </w:p>
    <w:p w14:paraId="2B89D5D6">
      <w:pPr>
        <w:snapToGrid w:val="0"/>
        <w:spacing w:line="360" w:lineRule="auto"/>
        <w:rPr>
          <w:rFonts w:hint="eastAsia" w:hAnsi="宋体" w:eastAsia="宋体"/>
          <w:b/>
          <w:snapToGrid w:val="0"/>
          <w:color w:val="auto"/>
          <w:kern w:val="0"/>
          <w:szCs w:val="21"/>
        </w:rPr>
      </w:pPr>
      <w:r>
        <w:rPr>
          <w:rFonts w:hint="eastAsia" w:asciiTheme="minorEastAsia" w:hAnsiTheme="minorEastAsia"/>
          <w:color w:val="auto"/>
          <w:szCs w:val="21"/>
        </w:rPr>
        <w:t xml:space="preserve">项目名称、标段：   </w:t>
      </w:r>
    </w:p>
    <w:tbl>
      <w:tblPr>
        <w:tblStyle w:val="14"/>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B89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vAlign w:val="center"/>
          </w:tcPr>
          <w:p w14:paraId="2B89D5D7">
            <w:pPr>
              <w:pStyle w:val="5"/>
              <w:jc w:val="center"/>
              <w:rPr>
                <w:rFonts w:hint="eastAsia"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vAlign w:val="center"/>
          </w:tcPr>
          <w:p w14:paraId="2B89D5D8">
            <w:pPr>
              <w:pStyle w:val="5"/>
              <w:jc w:val="center"/>
              <w:rPr>
                <w:rFonts w:hint="eastAsia"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vAlign w:val="center"/>
          </w:tcPr>
          <w:p w14:paraId="2B89D5D9">
            <w:pPr>
              <w:pStyle w:val="5"/>
              <w:jc w:val="center"/>
              <w:rPr>
                <w:rFonts w:hint="eastAsia"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vAlign w:val="center"/>
          </w:tcPr>
          <w:p w14:paraId="2B89D5DA">
            <w:pPr>
              <w:pStyle w:val="5"/>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2B89D5DB">
            <w:pPr>
              <w:pStyle w:val="5"/>
              <w:jc w:val="center"/>
              <w:rPr>
                <w:rFonts w:hint="eastAsia"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vAlign w:val="center"/>
          </w:tcPr>
          <w:p w14:paraId="2B89D5DC">
            <w:pPr>
              <w:pStyle w:val="5"/>
              <w:jc w:val="center"/>
              <w:rPr>
                <w:rFonts w:hint="eastAsia"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14:paraId="2B89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DE">
            <w:pPr>
              <w:pStyle w:val="5"/>
              <w:spacing w:line="360" w:lineRule="auto"/>
              <w:jc w:val="center"/>
              <w:rPr>
                <w:rFonts w:hint="eastAsia" w:ascii="宋体" w:hAnsi="宋体" w:eastAsia="宋体" w:cs="宋体"/>
                <w:color w:val="auto"/>
                <w:sz w:val="21"/>
                <w:szCs w:val="21"/>
              </w:rPr>
            </w:pPr>
            <w:r>
              <w:rPr>
                <w:rFonts w:ascii="宋体" w:hAnsi="宋体" w:eastAsia="宋体" w:cs="宋体"/>
                <w:color w:val="auto"/>
                <w:sz w:val="21"/>
                <w:szCs w:val="21"/>
              </w:rPr>
              <w:t>1</w:t>
            </w:r>
          </w:p>
        </w:tc>
        <w:tc>
          <w:tcPr>
            <w:tcW w:w="1808" w:type="dxa"/>
            <w:vAlign w:val="center"/>
          </w:tcPr>
          <w:p w14:paraId="2B89D5DF">
            <w:pPr>
              <w:pStyle w:val="5"/>
              <w:spacing w:line="360" w:lineRule="auto"/>
              <w:rPr>
                <w:rFonts w:hint="eastAsia" w:ascii="宋体" w:hAnsi="宋体" w:eastAsia="宋体" w:cs="Times New Roman"/>
                <w:color w:val="auto"/>
                <w:sz w:val="21"/>
                <w:szCs w:val="21"/>
              </w:rPr>
            </w:pPr>
          </w:p>
        </w:tc>
        <w:tc>
          <w:tcPr>
            <w:tcW w:w="3579" w:type="dxa"/>
            <w:vAlign w:val="center"/>
          </w:tcPr>
          <w:p w14:paraId="2B89D5E0">
            <w:pPr>
              <w:pStyle w:val="5"/>
              <w:spacing w:line="360" w:lineRule="auto"/>
              <w:rPr>
                <w:rFonts w:hint="eastAsia" w:ascii="宋体" w:hAnsi="宋体" w:eastAsia="宋体" w:cs="Times New Roman"/>
                <w:color w:val="auto"/>
                <w:sz w:val="21"/>
                <w:szCs w:val="21"/>
              </w:rPr>
            </w:pPr>
          </w:p>
        </w:tc>
        <w:tc>
          <w:tcPr>
            <w:tcW w:w="1440" w:type="dxa"/>
            <w:vAlign w:val="center"/>
          </w:tcPr>
          <w:p w14:paraId="2B89D5E1">
            <w:pPr>
              <w:pStyle w:val="5"/>
              <w:spacing w:line="360" w:lineRule="auto"/>
              <w:rPr>
                <w:rFonts w:hint="eastAsia" w:ascii="宋体" w:hAnsi="宋体" w:eastAsia="宋体" w:cs="Times New Roman"/>
                <w:color w:val="auto"/>
                <w:sz w:val="21"/>
                <w:szCs w:val="21"/>
              </w:rPr>
            </w:pPr>
          </w:p>
        </w:tc>
        <w:tc>
          <w:tcPr>
            <w:tcW w:w="1706" w:type="dxa"/>
            <w:vAlign w:val="center"/>
          </w:tcPr>
          <w:p w14:paraId="2B89D5E2">
            <w:pPr>
              <w:pStyle w:val="5"/>
              <w:spacing w:line="360" w:lineRule="auto"/>
              <w:rPr>
                <w:rFonts w:hint="eastAsia" w:ascii="宋体" w:hAnsi="宋体" w:eastAsia="宋体" w:cs="Times New Roman"/>
                <w:color w:val="auto"/>
                <w:sz w:val="21"/>
                <w:szCs w:val="21"/>
              </w:rPr>
            </w:pPr>
          </w:p>
        </w:tc>
      </w:tr>
      <w:tr w14:paraId="2B8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E4">
            <w:pPr>
              <w:pStyle w:val="5"/>
              <w:spacing w:line="360" w:lineRule="auto"/>
              <w:jc w:val="center"/>
              <w:rPr>
                <w:rFonts w:hint="eastAsia" w:ascii="宋体" w:hAnsi="宋体" w:eastAsia="宋体" w:cs="宋体"/>
                <w:color w:val="auto"/>
                <w:sz w:val="21"/>
                <w:szCs w:val="21"/>
              </w:rPr>
            </w:pPr>
            <w:r>
              <w:rPr>
                <w:rFonts w:ascii="宋体" w:hAnsi="宋体" w:eastAsia="宋体" w:cs="宋体"/>
                <w:color w:val="auto"/>
                <w:sz w:val="21"/>
                <w:szCs w:val="21"/>
              </w:rPr>
              <w:t>2</w:t>
            </w:r>
          </w:p>
        </w:tc>
        <w:tc>
          <w:tcPr>
            <w:tcW w:w="1808" w:type="dxa"/>
            <w:vAlign w:val="center"/>
          </w:tcPr>
          <w:p w14:paraId="2B89D5E5">
            <w:pPr>
              <w:pStyle w:val="5"/>
              <w:spacing w:line="360" w:lineRule="auto"/>
              <w:rPr>
                <w:rFonts w:hint="eastAsia" w:ascii="宋体" w:hAnsi="宋体" w:eastAsia="宋体" w:cs="Times New Roman"/>
                <w:color w:val="auto"/>
                <w:sz w:val="21"/>
                <w:szCs w:val="21"/>
              </w:rPr>
            </w:pPr>
          </w:p>
        </w:tc>
        <w:tc>
          <w:tcPr>
            <w:tcW w:w="3579" w:type="dxa"/>
            <w:vAlign w:val="center"/>
          </w:tcPr>
          <w:p w14:paraId="2B89D5E6">
            <w:pPr>
              <w:pStyle w:val="5"/>
              <w:spacing w:line="360" w:lineRule="auto"/>
              <w:rPr>
                <w:rFonts w:hint="eastAsia" w:ascii="宋体" w:hAnsi="宋体" w:eastAsia="宋体" w:cs="Times New Roman"/>
                <w:color w:val="auto"/>
                <w:sz w:val="21"/>
                <w:szCs w:val="21"/>
              </w:rPr>
            </w:pPr>
          </w:p>
        </w:tc>
        <w:tc>
          <w:tcPr>
            <w:tcW w:w="1440" w:type="dxa"/>
            <w:vAlign w:val="center"/>
          </w:tcPr>
          <w:p w14:paraId="2B89D5E7">
            <w:pPr>
              <w:pStyle w:val="5"/>
              <w:spacing w:line="360" w:lineRule="auto"/>
              <w:rPr>
                <w:rFonts w:hint="eastAsia" w:ascii="宋体" w:hAnsi="宋体" w:eastAsia="宋体" w:cs="Times New Roman"/>
                <w:color w:val="auto"/>
                <w:sz w:val="21"/>
                <w:szCs w:val="21"/>
              </w:rPr>
            </w:pPr>
          </w:p>
        </w:tc>
        <w:tc>
          <w:tcPr>
            <w:tcW w:w="1706" w:type="dxa"/>
            <w:vAlign w:val="center"/>
          </w:tcPr>
          <w:p w14:paraId="2B89D5E8">
            <w:pPr>
              <w:pStyle w:val="5"/>
              <w:spacing w:line="360" w:lineRule="auto"/>
              <w:rPr>
                <w:rFonts w:hint="eastAsia" w:ascii="宋体" w:hAnsi="宋体" w:eastAsia="宋体" w:cs="Times New Roman"/>
                <w:color w:val="auto"/>
                <w:sz w:val="21"/>
                <w:szCs w:val="21"/>
              </w:rPr>
            </w:pPr>
          </w:p>
        </w:tc>
      </w:tr>
      <w:tr w14:paraId="2B89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EA">
            <w:pPr>
              <w:pStyle w:val="5"/>
              <w:spacing w:line="360" w:lineRule="auto"/>
              <w:jc w:val="center"/>
              <w:rPr>
                <w:rFonts w:hint="eastAsia" w:ascii="宋体" w:hAnsi="宋体" w:eastAsia="宋体" w:cs="宋体"/>
                <w:color w:val="auto"/>
                <w:sz w:val="21"/>
                <w:szCs w:val="21"/>
              </w:rPr>
            </w:pPr>
            <w:r>
              <w:rPr>
                <w:rFonts w:ascii="宋体" w:hAnsi="宋体" w:eastAsia="宋体" w:cs="宋体"/>
                <w:color w:val="auto"/>
                <w:sz w:val="21"/>
                <w:szCs w:val="21"/>
              </w:rPr>
              <w:t>3</w:t>
            </w:r>
          </w:p>
        </w:tc>
        <w:tc>
          <w:tcPr>
            <w:tcW w:w="1808" w:type="dxa"/>
            <w:vAlign w:val="center"/>
          </w:tcPr>
          <w:p w14:paraId="2B89D5EB">
            <w:pPr>
              <w:pStyle w:val="5"/>
              <w:spacing w:line="360" w:lineRule="auto"/>
              <w:rPr>
                <w:rFonts w:hint="eastAsia" w:ascii="宋体" w:hAnsi="宋体" w:eastAsia="宋体" w:cs="Times New Roman"/>
                <w:color w:val="auto"/>
                <w:sz w:val="21"/>
                <w:szCs w:val="21"/>
              </w:rPr>
            </w:pPr>
          </w:p>
        </w:tc>
        <w:tc>
          <w:tcPr>
            <w:tcW w:w="3579" w:type="dxa"/>
            <w:vAlign w:val="center"/>
          </w:tcPr>
          <w:p w14:paraId="2B89D5EC">
            <w:pPr>
              <w:pStyle w:val="5"/>
              <w:spacing w:line="360" w:lineRule="auto"/>
              <w:rPr>
                <w:rFonts w:hint="eastAsia" w:ascii="宋体" w:hAnsi="宋体" w:eastAsia="宋体" w:cs="Times New Roman"/>
                <w:color w:val="auto"/>
                <w:sz w:val="21"/>
                <w:szCs w:val="21"/>
              </w:rPr>
            </w:pPr>
          </w:p>
        </w:tc>
        <w:tc>
          <w:tcPr>
            <w:tcW w:w="1440" w:type="dxa"/>
            <w:vAlign w:val="center"/>
          </w:tcPr>
          <w:p w14:paraId="2B89D5ED">
            <w:pPr>
              <w:pStyle w:val="5"/>
              <w:spacing w:line="360" w:lineRule="auto"/>
              <w:rPr>
                <w:rFonts w:hint="eastAsia" w:ascii="宋体" w:hAnsi="宋体" w:eastAsia="宋体" w:cs="Times New Roman"/>
                <w:color w:val="auto"/>
                <w:sz w:val="21"/>
                <w:szCs w:val="21"/>
              </w:rPr>
            </w:pPr>
          </w:p>
        </w:tc>
        <w:tc>
          <w:tcPr>
            <w:tcW w:w="1706" w:type="dxa"/>
            <w:vAlign w:val="center"/>
          </w:tcPr>
          <w:p w14:paraId="2B89D5EE">
            <w:pPr>
              <w:pStyle w:val="5"/>
              <w:spacing w:line="360" w:lineRule="auto"/>
              <w:rPr>
                <w:rFonts w:hint="eastAsia" w:ascii="宋体" w:hAnsi="宋体" w:eastAsia="宋体" w:cs="Times New Roman"/>
                <w:color w:val="auto"/>
                <w:sz w:val="21"/>
                <w:szCs w:val="21"/>
              </w:rPr>
            </w:pPr>
          </w:p>
        </w:tc>
      </w:tr>
      <w:tr w14:paraId="2B89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F0">
            <w:pPr>
              <w:pStyle w:val="5"/>
              <w:spacing w:line="360" w:lineRule="auto"/>
              <w:jc w:val="center"/>
              <w:rPr>
                <w:rFonts w:hint="eastAsia" w:ascii="宋体" w:hAnsi="宋体" w:eastAsia="宋体" w:cs="宋体"/>
                <w:color w:val="auto"/>
                <w:sz w:val="21"/>
                <w:szCs w:val="21"/>
              </w:rPr>
            </w:pPr>
            <w:r>
              <w:rPr>
                <w:rFonts w:ascii="宋体" w:hAnsi="宋体" w:eastAsia="宋体" w:cs="宋体"/>
                <w:color w:val="auto"/>
                <w:sz w:val="21"/>
                <w:szCs w:val="21"/>
              </w:rPr>
              <w:t>4</w:t>
            </w:r>
          </w:p>
        </w:tc>
        <w:tc>
          <w:tcPr>
            <w:tcW w:w="1808" w:type="dxa"/>
            <w:vAlign w:val="center"/>
          </w:tcPr>
          <w:p w14:paraId="2B89D5F1">
            <w:pPr>
              <w:rPr>
                <w:rFonts w:ascii="宋体"/>
                <w:color w:val="auto"/>
                <w:szCs w:val="21"/>
              </w:rPr>
            </w:pPr>
          </w:p>
        </w:tc>
        <w:tc>
          <w:tcPr>
            <w:tcW w:w="3579" w:type="dxa"/>
            <w:vAlign w:val="center"/>
          </w:tcPr>
          <w:p w14:paraId="2B89D5F2">
            <w:pPr>
              <w:rPr>
                <w:rFonts w:ascii="宋体"/>
                <w:color w:val="auto"/>
                <w:szCs w:val="21"/>
              </w:rPr>
            </w:pPr>
          </w:p>
        </w:tc>
        <w:tc>
          <w:tcPr>
            <w:tcW w:w="1440" w:type="dxa"/>
            <w:vAlign w:val="center"/>
          </w:tcPr>
          <w:p w14:paraId="2B89D5F3">
            <w:pPr>
              <w:rPr>
                <w:rFonts w:ascii="宋体"/>
                <w:color w:val="auto"/>
                <w:szCs w:val="21"/>
              </w:rPr>
            </w:pPr>
          </w:p>
        </w:tc>
        <w:tc>
          <w:tcPr>
            <w:tcW w:w="1706" w:type="dxa"/>
            <w:vAlign w:val="center"/>
          </w:tcPr>
          <w:p w14:paraId="2B89D5F4">
            <w:pPr>
              <w:rPr>
                <w:rFonts w:ascii="宋体"/>
                <w:color w:val="auto"/>
                <w:szCs w:val="21"/>
              </w:rPr>
            </w:pPr>
          </w:p>
        </w:tc>
      </w:tr>
      <w:tr w14:paraId="2B89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F6">
            <w:pPr>
              <w:pStyle w:val="5"/>
              <w:spacing w:line="360" w:lineRule="auto"/>
              <w:jc w:val="center"/>
              <w:rPr>
                <w:rFonts w:hint="eastAsia"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vAlign w:val="center"/>
          </w:tcPr>
          <w:p w14:paraId="2B89D5F7">
            <w:pPr>
              <w:rPr>
                <w:rFonts w:ascii="宋体"/>
                <w:color w:val="auto"/>
                <w:szCs w:val="21"/>
              </w:rPr>
            </w:pPr>
          </w:p>
        </w:tc>
        <w:tc>
          <w:tcPr>
            <w:tcW w:w="3579" w:type="dxa"/>
            <w:vAlign w:val="center"/>
          </w:tcPr>
          <w:p w14:paraId="2B89D5F8">
            <w:pPr>
              <w:rPr>
                <w:rFonts w:ascii="宋体"/>
                <w:color w:val="auto"/>
                <w:szCs w:val="21"/>
              </w:rPr>
            </w:pPr>
          </w:p>
        </w:tc>
        <w:tc>
          <w:tcPr>
            <w:tcW w:w="1440" w:type="dxa"/>
            <w:vAlign w:val="center"/>
          </w:tcPr>
          <w:p w14:paraId="2B89D5F9">
            <w:pPr>
              <w:rPr>
                <w:rFonts w:ascii="宋体"/>
                <w:color w:val="auto"/>
                <w:szCs w:val="21"/>
              </w:rPr>
            </w:pPr>
          </w:p>
        </w:tc>
        <w:tc>
          <w:tcPr>
            <w:tcW w:w="1706" w:type="dxa"/>
            <w:vAlign w:val="center"/>
          </w:tcPr>
          <w:p w14:paraId="2B89D5FA">
            <w:pPr>
              <w:rPr>
                <w:rFonts w:ascii="宋体"/>
                <w:color w:val="auto"/>
                <w:szCs w:val="21"/>
              </w:rPr>
            </w:pPr>
          </w:p>
        </w:tc>
      </w:tr>
    </w:tbl>
    <w:p w14:paraId="2B89D5FC">
      <w:pPr>
        <w:autoSpaceDE w:val="0"/>
        <w:autoSpaceDN w:val="0"/>
        <w:adjustRightInd w:val="0"/>
        <w:spacing w:line="480" w:lineRule="auto"/>
        <w:rPr>
          <w:rFonts w:hint="eastAsia" w:cs="宋体" w:asciiTheme="minorEastAsia" w:hAnsiTheme="minorEastAsia"/>
          <w:color w:val="auto"/>
          <w:szCs w:val="21"/>
          <w:lang w:val="zh-CN"/>
        </w:rPr>
      </w:pPr>
    </w:p>
    <w:p w14:paraId="2B89D5FD">
      <w:pPr>
        <w:autoSpaceDE w:val="0"/>
        <w:autoSpaceDN w:val="0"/>
        <w:adjustRightInd w:val="0"/>
        <w:spacing w:line="480" w:lineRule="auto"/>
        <w:rPr>
          <w:rFonts w:hint="eastAsia" w:cs="宋体" w:asciiTheme="minorEastAsia" w:hAnsiTheme="minorEastAsia"/>
          <w:color w:val="auto"/>
          <w:szCs w:val="21"/>
          <w:lang w:val="zh-CN"/>
        </w:rPr>
      </w:pPr>
      <w:r>
        <w:rPr>
          <w:rFonts w:hint="eastAsia" w:cs="宋体" w:asciiTheme="minorEastAsia" w:hAnsiTheme="minorEastAsia"/>
          <w:color w:val="auto"/>
          <w:szCs w:val="21"/>
          <w:lang w:val="zh-CN"/>
        </w:rPr>
        <w:t>投标人名称（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p>
    <w:p w14:paraId="2B89D5FE">
      <w:pPr>
        <w:autoSpaceDE w:val="0"/>
        <w:autoSpaceDN w:val="0"/>
        <w:adjustRightInd w:val="0"/>
        <w:spacing w:line="360" w:lineRule="auto"/>
        <w:jc w:val="center"/>
        <w:outlineLvl w:val="0"/>
        <w:rPr>
          <w:rFonts w:hint="eastAsia" w:ascii="宋体" w:hAnsi="宋体"/>
          <w:b/>
          <w:bCs/>
          <w:color w:val="auto"/>
          <w:sz w:val="24"/>
          <w:szCs w:val="24"/>
        </w:rPr>
      </w:pPr>
    </w:p>
    <w:p w14:paraId="0412726E">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lang w:val="en-US" w:eastAsia="zh-CN"/>
        </w:rPr>
        <w:t>4</w:t>
      </w:r>
      <w:r>
        <w:rPr>
          <w:rFonts w:hint="eastAsia" w:ascii="宋体" w:hAnsi="宋体"/>
          <w:b/>
          <w:bCs/>
          <w:color w:val="auto"/>
          <w:sz w:val="24"/>
          <w:szCs w:val="24"/>
        </w:rPr>
        <w:t>.6“节能产品政府采购品目清单 ”强制节能产品情况</w:t>
      </w:r>
    </w:p>
    <w:p w14:paraId="1418F3CB">
      <w:pPr>
        <w:autoSpaceDE w:val="0"/>
        <w:autoSpaceDN w:val="0"/>
        <w:adjustRightInd w:val="0"/>
        <w:spacing w:line="360" w:lineRule="auto"/>
        <w:ind w:firstLine="420" w:firstLineChars="200"/>
        <w:rPr>
          <w:rFonts w:hint="eastAsia" w:cs="宋体" w:asciiTheme="minorEastAsia" w:hAnsiTheme="minorEastAsia"/>
          <w:color w:val="auto"/>
          <w:sz w:val="21"/>
          <w:szCs w:val="21"/>
          <w:lang w:val="zh-CN"/>
        </w:rPr>
      </w:pPr>
      <w:r>
        <w:rPr>
          <w:rFonts w:hint="eastAsia" w:cs="宋体" w:asciiTheme="minorEastAsia" w:hAnsiTheme="minorEastAsia"/>
          <w:color w:val="auto"/>
          <w:sz w:val="21"/>
          <w:szCs w:val="21"/>
          <w:lang w:val="zh-CN"/>
        </w:rPr>
        <w:t>项目编号：</w:t>
      </w:r>
    </w:p>
    <w:p w14:paraId="0C736A94">
      <w:pPr>
        <w:autoSpaceDE w:val="0"/>
        <w:autoSpaceDN w:val="0"/>
        <w:adjustRightInd w:val="0"/>
        <w:spacing w:line="360" w:lineRule="auto"/>
        <w:ind w:firstLine="420" w:firstLineChars="200"/>
        <w:rPr>
          <w:color w:val="auto"/>
          <w:sz w:val="21"/>
          <w:szCs w:val="21"/>
        </w:rPr>
      </w:pPr>
      <w:r>
        <w:rPr>
          <w:rFonts w:hint="eastAsia" w:cs="宋体" w:asciiTheme="minorEastAsia" w:hAnsiTheme="minorEastAsia"/>
          <w:color w:val="auto"/>
          <w:sz w:val="21"/>
          <w:szCs w:val="21"/>
          <w:lang w:val="zh-CN"/>
        </w:rPr>
        <w:t>项目名称、</w:t>
      </w:r>
      <w:r>
        <w:rPr>
          <w:rFonts w:hint="eastAsia" w:cs="宋体" w:asciiTheme="minorEastAsia" w:hAnsiTheme="minorEastAsia"/>
          <w:color w:val="auto"/>
          <w:sz w:val="21"/>
          <w:szCs w:val="21"/>
          <w:lang w:val="en-US" w:eastAsia="zh-CN"/>
        </w:rPr>
        <w:t>标段</w:t>
      </w:r>
      <w:r>
        <w:rPr>
          <w:rFonts w:hint="eastAsia" w:cs="宋体" w:asciiTheme="minorEastAsia" w:hAnsiTheme="minorEastAsia"/>
          <w:color w:val="auto"/>
          <w:sz w:val="21"/>
          <w:szCs w:val="21"/>
          <w:lang w:val="zh-CN"/>
        </w:rPr>
        <w:t>：</w:t>
      </w:r>
    </w:p>
    <w:tbl>
      <w:tblPr>
        <w:tblStyle w:val="32"/>
        <w:tblW w:w="9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408"/>
        <w:gridCol w:w="1555"/>
        <w:gridCol w:w="1270"/>
        <w:gridCol w:w="1689"/>
        <w:gridCol w:w="1639"/>
        <w:gridCol w:w="1457"/>
      </w:tblGrid>
      <w:tr w14:paraId="74439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43" w:type="dxa"/>
            <w:shd w:val="clear" w:color="auto" w:fill="F2F2F2"/>
            <w:textDirection w:val="tbRlV"/>
            <w:vAlign w:val="top"/>
          </w:tcPr>
          <w:p w14:paraId="4657FC73">
            <w:pPr>
              <w:pStyle w:val="31"/>
              <w:spacing w:before="166" w:line="218" w:lineRule="auto"/>
              <w:ind w:left="55"/>
              <w:rPr>
                <w:color w:val="auto"/>
                <w:sz w:val="21"/>
                <w:szCs w:val="21"/>
              </w:rPr>
            </w:pPr>
            <w:r>
              <w:rPr>
                <w:b/>
                <w:bCs/>
                <w:color w:val="auto"/>
                <w:spacing w:val="5"/>
                <w:sz w:val="21"/>
                <w:szCs w:val="21"/>
              </w:rPr>
              <w:t>序</w:t>
            </w:r>
            <w:r>
              <w:rPr>
                <w:color w:val="auto"/>
                <w:spacing w:val="5"/>
                <w:sz w:val="21"/>
                <w:szCs w:val="21"/>
              </w:rPr>
              <w:t xml:space="preserve"> </w:t>
            </w:r>
            <w:r>
              <w:rPr>
                <w:b/>
                <w:bCs/>
                <w:color w:val="auto"/>
                <w:spacing w:val="5"/>
                <w:sz w:val="21"/>
                <w:szCs w:val="21"/>
              </w:rPr>
              <w:t>号</w:t>
            </w:r>
          </w:p>
        </w:tc>
        <w:tc>
          <w:tcPr>
            <w:tcW w:w="1408" w:type="dxa"/>
            <w:shd w:val="clear" w:color="auto" w:fill="F2F2F2"/>
            <w:vAlign w:val="top"/>
          </w:tcPr>
          <w:p w14:paraId="18133A37">
            <w:pPr>
              <w:pStyle w:val="31"/>
              <w:spacing w:before="211" w:line="228" w:lineRule="auto"/>
              <w:ind w:left="284"/>
              <w:rPr>
                <w:color w:val="auto"/>
                <w:sz w:val="21"/>
                <w:szCs w:val="21"/>
              </w:rPr>
            </w:pPr>
            <w:r>
              <w:rPr>
                <w:b/>
                <w:bCs/>
                <w:color w:val="auto"/>
                <w:spacing w:val="6"/>
                <w:sz w:val="21"/>
                <w:szCs w:val="21"/>
              </w:rPr>
              <w:t>产品名称</w:t>
            </w:r>
          </w:p>
        </w:tc>
        <w:tc>
          <w:tcPr>
            <w:tcW w:w="1555" w:type="dxa"/>
            <w:shd w:val="clear" w:color="auto" w:fill="F2F2F2"/>
            <w:vAlign w:val="top"/>
          </w:tcPr>
          <w:p w14:paraId="2065899E">
            <w:pPr>
              <w:pStyle w:val="31"/>
              <w:spacing w:before="211" w:line="228" w:lineRule="auto"/>
              <w:ind w:left="588"/>
              <w:rPr>
                <w:color w:val="auto"/>
                <w:sz w:val="21"/>
                <w:szCs w:val="21"/>
              </w:rPr>
            </w:pPr>
            <w:r>
              <w:rPr>
                <w:b/>
                <w:bCs/>
                <w:color w:val="auto"/>
                <w:spacing w:val="-5"/>
                <w:sz w:val="21"/>
                <w:szCs w:val="21"/>
              </w:rPr>
              <w:t>品牌</w:t>
            </w:r>
          </w:p>
        </w:tc>
        <w:tc>
          <w:tcPr>
            <w:tcW w:w="1270" w:type="dxa"/>
            <w:shd w:val="clear" w:color="auto" w:fill="F2F2F2"/>
            <w:vAlign w:val="top"/>
          </w:tcPr>
          <w:p w14:paraId="7401018E">
            <w:pPr>
              <w:pStyle w:val="31"/>
              <w:spacing w:before="211" w:line="228" w:lineRule="auto"/>
              <w:ind w:left="218"/>
              <w:rPr>
                <w:color w:val="auto"/>
                <w:sz w:val="21"/>
                <w:szCs w:val="21"/>
              </w:rPr>
            </w:pPr>
            <w:r>
              <w:rPr>
                <w:b/>
                <w:bCs/>
                <w:color w:val="auto"/>
                <w:spacing w:val="6"/>
                <w:sz w:val="21"/>
                <w:szCs w:val="21"/>
              </w:rPr>
              <w:t>产品型号</w:t>
            </w:r>
          </w:p>
        </w:tc>
        <w:tc>
          <w:tcPr>
            <w:tcW w:w="1689" w:type="dxa"/>
            <w:shd w:val="clear" w:color="auto" w:fill="F2F2F2"/>
            <w:vAlign w:val="top"/>
          </w:tcPr>
          <w:p w14:paraId="268E9BBB">
            <w:pPr>
              <w:pStyle w:val="31"/>
              <w:spacing w:before="211" w:line="228" w:lineRule="auto"/>
              <w:ind w:left="218"/>
              <w:rPr>
                <w:color w:val="auto"/>
                <w:sz w:val="21"/>
                <w:szCs w:val="21"/>
              </w:rPr>
            </w:pPr>
            <w:r>
              <w:rPr>
                <w:b/>
                <w:bCs/>
                <w:color w:val="auto"/>
                <w:spacing w:val="6"/>
                <w:sz w:val="21"/>
                <w:szCs w:val="21"/>
              </w:rPr>
              <w:t>认证证书编号</w:t>
            </w:r>
          </w:p>
        </w:tc>
        <w:tc>
          <w:tcPr>
            <w:tcW w:w="1639" w:type="dxa"/>
            <w:shd w:val="clear" w:color="auto" w:fill="F2F2F2"/>
            <w:vAlign w:val="top"/>
          </w:tcPr>
          <w:p w14:paraId="7C2722A7">
            <w:pPr>
              <w:pStyle w:val="31"/>
              <w:spacing w:before="211" w:line="228" w:lineRule="auto"/>
              <w:ind w:left="300"/>
              <w:rPr>
                <w:color w:val="auto"/>
                <w:sz w:val="21"/>
                <w:szCs w:val="21"/>
              </w:rPr>
            </w:pPr>
            <w:r>
              <w:rPr>
                <w:b/>
                <w:bCs/>
                <w:color w:val="auto"/>
                <w:spacing w:val="6"/>
                <w:sz w:val="21"/>
                <w:szCs w:val="21"/>
              </w:rPr>
              <w:t>证书有效期</w:t>
            </w:r>
          </w:p>
        </w:tc>
        <w:tc>
          <w:tcPr>
            <w:tcW w:w="1457" w:type="dxa"/>
            <w:shd w:val="clear" w:color="auto" w:fill="F2F2F2"/>
            <w:vAlign w:val="top"/>
          </w:tcPr>
          <w:p w14:paraId="36AA5B84">
            <w:pPr>
              <w:pStyle w:val="31"/>
              <w:spacing w:before="211" w:line="228" w:lineRule="auto"/>
              <w:ind w:left="312"/>
              <w:rPr>
                <w:color w:val="auto"/>
                <w:sz w:val="21"/>
                <w:szCs w:val="21"/>
              </w:rPr>
            </w:pPr>
            <w:r>
              <w:rPr>
                <w:b/>
                <w:bCs/>
                <w:color w:val="auto"/>
                <w:spacing w:val="6"/>
                <w:sz w:val="21"/>
                <w:szCs w:val="21"/>
              </w:rPr>
              <w:t>认证机构</w:t>
            </w:r>
          </w:p>
        </w:tc>
      </w:tr>
      <w:tr w14:paraId="0524E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543" w:type="dxa"/>
            <w:vAlign w:val="top"/>
          </w:tcPr>
          <w:p w14:paraId="28B1E644">
            <w:pPr>
              <w:spacing w:line="288" w:lineRule="auto"/>
              <w:rPr>
                <w:rFonts w:ascii="Arial"/>
                <w:color w:val="auto"/>
                <w:sz w:val="21"/>
                <w:szCs w:val="21"/>
              </w:rPr>
            </w:pPr>
          </w:p>
          <w:p w14:paraId="021BCFC2">
            <w:pPr>
              <w:pStyle w:val="31"/>
              <w:spacing w:before="65" w:line="189" w:lineRule="auto"/>
              <w:ind w:left="238"/>
              <w:rPr>
                <w:color w:val="auto"/>
                <w:sz w:val="21"/>
                <w:szCs w:val="21"/>
              </w:rPr>
            </w:pPr>
            <w:r>
              <w:rPr>
                <w:color w:val="auto"/>
                <w:sz w:val="21"/>
                <w:szCs w:val="21"/>
              </w:rPr>
              <w:t>1</w:t>
            </w:r>
          </w:p>
        </w:tc>
        <w:tc>
          <w:tcPr>
            <w:tcW w:w="1408" w:type="dxa"/>
            <w:vAlign w:val="top"/>
          </w:tcPr>
          <w:p w14:paraId="50A30F16">
            <w:pPr>
              <w:rPr>
                <w:rFonts w:ascii="Arial"/>
                <w:color w:val="auto"/>
                <w:sz w:val="21"/>
                <w:szCs w:val="21"/>
              </w:rPr>
            </w:pPr>
          </w:p>
        </w:tc>
        <w:tc>
          <w:tcPr>
            <w:tcW w:w="1555" w:type="dxa"/>
            <w:vAlign w:val="top"/>
          </w:tcPr>
          <w:p w14:paraId="6D2A02CA">
            <w:pPr>
              <w:rPr>
                <w:rFonts w:ascii="Arial"/>
                <w:color w:val="auto"/>
                <w:sz w:val="21"/>
                <w:szCs w:val="21"/>
              </w:rPr>
            </w:pPr>
          </w:p>
        </w:tc>
        <w:tc>
          <w:tcPr>
            <w:tcW w:w="1270" w:type="dxa"/>
            <w:vAlign w:val="top"/>
          </w:tcPr>
          <w:p w14:paraId="576FDD97">
            <w:pPr>
              <w:rPr>
                <w:rFonts w:ascii="Arial"/>
                <w:color w:val="auto"/>
                <w:sz w:val="21"/>
                <w:szCs w:val="21"/>
              </w:rPr>
            </w:pPr>
          </w:p>
        </w:tc>
        <w:tc>
          <w:tcPr>
            <w:tcW w:w="1689" w:type="dxa"/>
            <w:vAlign w:val="top"/>
          </w:tcPr>
          <w:p w14:paraId="207C9BED">
            <w:pPr>
              <w:rPr>
                <w:rFonts w:ascii="Arial"/>
                <w:color w:val="auto"/>
                <w:sz w:val="21"/>
                <w:szCs w:val="21"/>
              </w:rPr>
            </w:pPr>
          </w:p>
        </w:tc>
        <w:tc>
          <w:tcPr>
            <w:tcW w:w="1639" w:type="dxa"/>
            <w:vAlign w:val="top"/>
          </w:tcPr>
          <w:p w14:paraId="532C92B2">
            <w:pPr>
              <w:rPr>
                <w:rFonts w:ascii="Arial"/>
                <w:color w:val="auto"/>
                <w:sz w:val="21"/>
                <w:szCs w:val="21"/>
              </w:rPr>
            </w:pPr>
          </w:p>
        </w:tc>
        <w:tc>
          <w:tcPr>
            <w:tcW w:w="1457" w:type="dxa"/>
            <w:vAlign w:val="top"/>
          </w:tcPr>
          <w:p w14:paraId="4458CFE5">
            <w:pPr>
              <w:rPr>
                <w:rFonts w:ascii="Arial"/>
                <w:color w:val="auto"/>
                <w:sz w:val="21"/>
                <w:szCs w:val="21"/>
              </w:rPr>
            </w:pPr>
          </w:p>
        </w:tc>
      </w:tr>
      <w:tr w14:paraId="66248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43" w:type="dxa"/>
            <w:vAlign w:val="top"/>
          </w:tcPr>
          <w:p w14:paraId="66242746">
            <w:pPr>
              <w:spacing w:line="288" w:lineRule="auto"/>
              <w:rPr>
                <w:rFonts w:ascii="Arial"/>
                <w:color w:val="auto"/>
                <w:sz w:val="21"/>
                <w:szCs w:val="21"/>
              </w:rPr>
            </w:pPr>
          </w:p>
          <w:p w14:paraId="4FBAF72F">
            <w:pPr>
              <w:pStyle w:val="31"/>
              <w:spacing w:before="65" w:line="189" w:lineRule="auto"/>
              <w:ind w:left="225"/>
              <w:rPr>
                <w:color w:val="auto"/>
                <w:sz w:val="21"/>
                <w:szCs w:val="21"/>
              </w:rPr>
            </w:pPr>
            <w:r>
              <w:rPr>
                <w:color w:val="auto"/>
                <w:sz w:val="21"/>
                <w:szCs w:val="21"/>
              </w:rPr>
              <w:t>2</w:t>
            </w:r>
          </w:p>
        </w:tc>
        <w:tc>
          <w:tcPr>
            <w:tcW w:w="1408" w:type="dxa"/>
            <w:vAlign w:val="top"/>
          </w:tcPr>
          <w:p w14:paraId="53EF1A38">
            <w:pPr>
              <w:rPr>
                <w:rFonts w:ascii="Arial"/>
                <w:color w:val="auto"/>
                <w:sz w:val="21"/>
                <w:szCs w:val="21"/>
              </w:rPr>
            </w:pPr>
          </w:p>
        </w:tc>
        <w:tc>
          <w:tcPr>
            <w:tcW w:w="1555" w:type="dxa"/>
            <w:vAlign w:val="top"/>
          </w:tcPr>
          <w:p w14:paraId="0A69C0FB">
            <w:pPr>
              <w:rPr>
                <w:rFonts w:ascii="Arial"/>
                <w:color w:val="auto"/>
                <w:sz w:val="21"/>
                <w:szCs w:val="21"/>
              </w:rPr>
            </w:pPr>
          </w:p>
        </w:tc>
        <w:tc>
          <w:tcPr>
            <w:tcW w:w="1270" w:type="dxa"/>
            <w:vAlign w:val="top"/>
          </w:tcPr>
          <w:p w14:paraId="5E4186BC">
            <w:pPr>
              <w:rPr>
                <w:rFonts w:ascii="Arial"/>
                <w:color w:val="auto"/>
                <w:sz w:val="21"/>
                <w:szCs w:val="21"/>
              </w:rPr>
            </w:pPr>
          </w:p>
        </w:tc>
        <w:tc>
          <w:tcPr>
            <w:tcW w:w="1689" w:type="dxa"/>
            <w:vAlign w:val="top"/>
          </w:tcPr>
          <w:p w14:paraId="4D6A66F8">
            <w:pPr>
              <w:rPr>
                <w:rFonts w:ascii="Arial"/>
                <w:color w:val="auto"/>
                <w:sz w:val="21"/>
                <w:szCs w:val="21"/>
              </w:rPr>
            </w:pPr>
          </w:p>
        </w:tc>
        <w:tc>
          <w:tcPr>
            <w:tcW w:w="1639" w:type="dxa"/>
            <w:vAlign w:val="top"/>
          </w:tcPr>
          <w:p w14:paraId="605E9474">
            <w:pPr>
              <w:rPr>
                <w:rFonts w:ascii="Arial"/>
                <w:color w:val="auto"/>
                <w:sz w:val="21"/>
                <w:szCs w:val="21"/>
              </w:rPr>
            </w:pPr>
          </w:p>
        </w:tc>
        <w:tc>
          <w:tcPr>
            <w:tcW w:w="1457" w:type="dxa"/>
            <w:vAlign w:val="top"/>
          </w:tcPr>
          <w:p w14:paraId="6F328CD4">
            <w:pPr>
              <w:rPr>
                <w:rFonts w:ascii="Arial"/>
                <w:color w:val="auto"/>
                <w:sz w:val="21"/>
                <w:szCs w:val="21"/>
              </w:rPr>
            </w:pPr>
          </w:p>
        </w:tc>
      </w:tr>
      <w:tr w14:paraId="2D96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43" w:type="dxa"/>
            <w:vAlign w:val="top"/>
          </w:tcPr>
          <w:p w14:paraId="45957A38">
            <w:pPr>
              <w:spacing w:line="257" w:lineRule="auto"/>
              <w:rPr>
                <w:rFonts w:ascii="Arial"/>
                <w:color w:val="auto"/>
                <w:sz w:val="21"/>
                <w:szCs w:val="21"/>
              </w:rPr>
            </w:pPr>
          </w:p>
          <w:p w14:paraId="1E263CDA">
            <w:pPr>
              <w:pStyle w:val="31"/>
              <w:spacing w:before="65" w:line="325" w:lineRule="exact"/>
              <w:ind w:left="185"/>
              <w:rPr>
                <w:color w:val="auto"/>
                <w:sz w:val="21"/>
                <w:szCs w:val="21"/>
              </w:rPr>
            </w:pPr>
            <w:r>
              <w:rPr>
                <w:color w:val="auto"/>
                <w:position w:val="3"/>
                <w:sz w:val="21"/>
                <w:szCs w:val="21"/>
              </w:rPr>
              <w:t>…</w:t>
            </w:r>
          </w:p>
        </w:tc>
        <w:tc>
          <w:tcPr>
            <w:tcW w:w="1408" w:type="dxa"/>
            <w:vAlign w:val="top"/>
          </w:tcPr>
          <w:p w14:paraId="758F1628">
            <w:pPr>
              <w:rPr>
                <w:rFonts w:ascii="Arial"/>
                <w:color w:val="auto"/>
                <w:sz w:val="21"/>
                <w:szCs w:val="21"/>
              </w:rPr>
            </w:pPr>
          </w:p>
        </w:tc>
        <w:tc>
          <w:tcPr>
            <w:tcW w:w="1555" w:type="dxa"/>
            <w:vAlign w:val="top"/>
          </w:tcPr>
          <w:p w14:paraId="618509CE">
            <w:pPr>
              <w:rPr>
                <w:rFonts w:ascii="Arial"/>
                <w:color w:val="auto"/>
                <w:sz w:val="21"/>
                <w:szCs w:val="21"/>
              </w:rPr>
            </w:pPr>
          </w:p>
        </w:tc>
        <w:tc>
          <w:tcPr>
            <w:tcW w:w="1270" w:type="dxa"/>
            <w:vAlign w:val="top"/>
          </w:tcPr>
          <w:p w14:paraId="19C6CD2A">
            <w:pPr>
              <w:rPr>
                <w:rFonts w:ascii="Arial"/>
                <w:color w:val="auto"/>
                <w:sz w:val="21"/>
                <w:szCs w:val="21"/>
              </w:rPr>
            </w:pPr>
          </w:p>
        </w:tc>
        <w:tc>
          <w:tcPr>
            <w:tcW w:w="1689" w:type="dxa"/>
            <w:vAlign w:val="top"/>
          </w:tcPr>
          <w:p w14:paraId="16B6ED1C">
            <w:pPr>
              <w:rPr>
                <w:rFonts w:ascii="Arial"/>
                <w:color w:val="auto"/>
                <w:sz w:val="21"/>
                <w:szCs w:val="21"/>
              </w:rPr>
            </w:pPr>
          </w:p>
        </w:tc>
        <w:tc>
          <w:tcPr>
            <w:tcW w:w="1639" w:type="dxa"/>
            <w:vAlign w:val="top"/>
          </w:tcPr>
          <w:p w14:paraId="7BF0EEA6">
            <w:pPr>
              <w:rPr>
                <w:rFonts w:ascii="Arial"/>
                <w:color w:val="auto"/>
                <w:sz w:val="21"/>
                <w:szCs w:val="21"/>
              </w:rPr>
            </w:pPr>
          </w:p>
        </w:tc>
        <w:tc>
          <w:tcPr>
            <w:tcW w:w="1457" w:type="dxa"/>
            <w:vAlign w:val="top"/>
          </w:tcPr>
          <w:p w14:paraId="69D2A137">
            <w:pPr>
              <w:rPr>
                <w:rFonts w:ascii="Arial"/>
                <w:color w:val="auto"/>
                <w:sz w:val="21"/>
                <w:szCs w:val="21"/>
              </w:rPr>
            </w:pPr>
          </w:p>
        </w:tc>
      </w:tr>
    </w:tbl>
    <w:p w14:paraId="16C800FF">
      <w:pPr>
        <w:autoSpaceDE w:val="0"/>
        <w:autoSpaceDN w:val="0"/>
        <w:adjustRightInd w:val="0"/>
        <w:spacing w:line="360" w:lineRule="auto"/>
        <w:ind w:firstLine="420" w:firstLineChars="200"/>
        <w:rPr>
          <w:rFonts w:cs="宋体" w:asciiTheme="minorEastAsia" w:hAnsiTheme="minorEastAsia"/>
          <w:color w:val="auto"/>
          <w:sz w:val="21"/>
          <w:szCs w:val="21"/>
          <w:lang w:val="zh-CN"/>
        </w:rPr>
      </w:pPr>
      <w:r>
        <w:rPr>
          <w:rFonts w:hint="eastAsia" w:cs="宋体" w:asciiTheme="minorEastAsia" w:hAnsiTheme="minorEastAsia"/>
          <w:color w:val="auto"/>
          <w:sz w:val="21"/>
          <w:szCs w:val="21"/>
          <w:lang w:val="zh-CN"/>
        </w:rPr>
        <w:t>供应商（盖章）：</w:t>
      </w:r>
    </w:p>
    <w:p w14:paraId="40DBE63A">
      <w:pPr>
        <w:autoSpaceDE w:val="0"/>
        <w:autoSpaceDN w:val="0"/>
        <w:adjustRightInd w:val="0"/>
        <w:spacing w:line="360" w:lineRule="auto"/>
        <w:ind w:firstLine="420" w:firstLineChars="200"/>
        <w:rPr>
          <w:rFonts w:cs="宋体" w:asciiTheme="minorEastAsia" w:hAnsiTheme="minorEastAsia"/>
          <w:color w:val="auto"/>
          <w:sz w:val="21"/>
          <w:szCs w:val="21"/>
          <w:lang w:val="zh-CN"/>
        </w:rPr>
      </w:pPr>
      <w:r>
        <w:rPr>
          <w:rFonts w:hint="eastAsia" w:cs="宋体" w:asciiTheme="minorEastAsia" w:hAnsiTheme="minorEastAsia"/>
          <w:color w:val="auto"/>
          <w:sz w:val="21"/>
          <w:szCs w:val="21"/>
          <w:lang w:val="zh-CN"/>
        </w:rPr>
        <w:t>法定代表人、负责人、本人、或授权代表（签字或盖章）：</w:t>
      </w:r>
    </w:p>
    <w:p w14:paraId="26C2C6EC">
      <w:pPr>
        <w:autoSpaceDE w:val="0"/>
        <w:autoSpaceDN w:val="0"/>
        <w:adjustRightInd w:val="0"/>
        <w:spacing w:line="360" w:lineRule="auto"/>
        <w:ind w:firstLine="420" w:firstLineChars="200"/>
        <w:rPr>
          <w:rFonts w:hint="eastAsia" w:cs="宋体" w:asciiTheme="minorEastAsia" w:hAnsiTheme="minorEastAsia"/>
          <w:color w:val="auto"/>
          <w:sz w:val="21"/>
          <w:szCs w:val="21"/>
          <w:lang w:val="zh-CN"/>
        </w:rPr>
      </w:pPr>
      <w:r>
        <w:rPr>
          <w:rFonts w:hint="eastAsia" w:cs="宋体" w:asciiTheme="minorEastAsia" w:hAnsiTheme="minorEastAsia"/>
          <w:color w:val="auto"/>
          <w:sz w:val="21"/>
          <w:szCs w:val="21"/>
          <w:lang w:val="zh-CN"/>
        </w:rPr>
        <w:t>日期：   年   月   日</w:t>
      </w:r>
    </w:p>
    <w:p w14:paraId="33FABE47">
      <w:pPr>
        <w:autoSpaceDE w:val="0"/>
        <w:autoSpaceDN w:val="0"/>
        <w:adjustRightInd w:val="0"/>
        <w:spacing w:line="360" w:lineRule="auto"/>
        <w:ind w:firstLine="420" w:firstLineChars="200"/>
        <w:rPr>
          <w:rFonts w:hint="eastAsia" w:cs="宋体" w:asciiTheme="minorEastAsia" w:hAnsiTheme="minorEastAsia"/>
          <w:color w:val="auto"/>
          <w:sz w:val="21"/>
          <w:szCs w:val="21"/>
          <w:lang w:val="zh-CN"/>
        </w:rPr>
      </w:pPr>
    </w:p>
    <w:p w14:paraId="1C48B1E7">
      <w:pPr>
        <w:autoSpaceDE w:val="0"/>
        <w:autoSpaceDN w:val="0"/>
        <w:adjustRightInd w:val="0"/>
        <w:spacing w:line="360" w:lineRule="auto"/>
        <w:ind w:firstLine="420" w:firstLineChars="200"/>
        <w:rPr>
          <w:rFonts w:hint="eastAsia" w:cs="宋体" w:asciiTheme="minorEastAsia" w:hAnsiTheme="minorEastAsia"/>
          <w:color w:val="auto"/>
          <w:sz w:val="21"/>
          <w:szCs w:val="21"/>
          <w:lang w:val="zh-CN"/>
        </w:rPr>
      </w:pPr>
    </w:p>
    <w:p w14:paraId="6E12D779">
      <w:pPr>
        <w:spacing w:before="65" w:line="228" w:lineRule="auto"/>
        <w:ind w:left="122"/>
        <w:rPr>
          <w:rFonts w:ascii="宋体" w:hAnsi="宋体" w:eastAsia="宋体" w:cs="宋体"/>
          <w:color w:val="auto"/>
          <w:sz w:val="21"/>
          <w:szCs w:val="21"/>
        </w:rPr>
      </w:pPr>
      <w:r>
        <w:rPr>
          <w:rFonts w:ascii="宋体" w:hAnsi="宋体" w:eastAsia="宋体" w:cs="宋体"/>
          <w:color w:val="auto"/>
          <w:spacing w:val="8"/>
          <w:sz w:val="21"/>
          <w:szCs w:val="21"/>
        </w:rPr>
        <w:t>说明：所投产品节能认证证书须附后。</w:t>
      </w:r>
    </w:p>
    <w:p w14:paraId="764F3A84">
      <w:pPr>
        <w:autoSpaceDE w:val="0"/>
        <w:autoSpaceDN w:val="0"/>
        <w:adjustRightInd w:val="0"/>
        <w:spacing w:line="360" w:lineRule="auto"/>
        <w:jc w:val="both"/>
        <w:rPr>
          <w:rFonts w:hint="eastAsia" w:ascii="宋体" w:hAnsi="宋体" w:eastAsia="宋体" w:cs="宋体"/>
          <w:b/>
          <w:bCs/>
          <w:color w:val="auto"/>
          <w:sz w:val="21"/>
          <w:szCs w:val="21"/>
          <w:lang w:val="zh-CN"/>
        </w:rPr>
      </w:pPr>
    </w:p>
    <w:p w14:paraId="7815E8B8">
      <w:pPr>
        <w:autoSpaceDE w:val="0"/>
        <w:autoSpaceDN w:val="0"/>
        <w:adjustRightInd w:val="0"/>
        <w:spacing w:line="360" w:lineRule="auto"/>
        <w:jc w:val="both"/>
        <w:rPr>
          <w:rFonts w:hint="eastAsia" w:ascii="宋体" w:hAnsi="宋体" w:eastAsia="宋体" w:cs="宋体"/>
          <w:b/>
          <w:bCs/>
          <w:color w:val="auto"/>
          <w:sz w:val="21"/>
          <w:szCs w:val="21"/>
          <w:lang w:val="zh-CN"/>
        </w:rPr>
      </w:pPr>
    </w:p>
    <w:p w14:paraId="24F3EC82">
      <w:pPr>
        <w:autoSpaceDE w:val="0"/>
        <w:autoSpaceDN w:val="0"/>
        <w:adjustRightInd w:val="0"/>
        <w:spacing w:line="360" w:lineRule="auto"/>
        <w:jc w:val="both"/>
        <w:rPr>
          <w:rFonts w:hint="eastAsia" w:ascii="宋体" w:hAnsi="宋体" w:eastAsia="宋体" w:cs="宋体"/>
          <w:b/>
          <w:bCs/>
          <w:color w:val="auto"/>
          <w:sz w:val="21"/>
          <w:szCs w:val="21"/>
          <w:lang w:val="zh-CN"/>
        </w:rPr>
      </w:pPr>
    </w:p>
    <w:p w14:paraId="5F9E3A3B">
      <w:pPr>
        <w:autoSpaceDE w:val="0"/>
        <w:autoSpaceDN w:val="0"/>
        <w:adjustRightInd w:val="0"/>
        <w:spacing w:line="360" w:lineRule="auto"/>
        <w:jc w:val="both"/>
        <w:rPr>
          <w:rFonts w:hint="eastAsia" w:ascii="宋体" w:hAnsi="宋体" w:eastAsia="宋体" w:cs="宋体"/>
          <w:b/>
          <w:bCs/>
          <w:color w:val="auto"/>
          <w:sz w:val="21"/>
          <w:szCs w:val="21"/>
          <w:lang w:val="zh-CN"/>
        </w:rPr>
      </w:pPr>
    </w:p>
    <w:p w14:paraId="6A40015C">
      <w:pPr>
        <w:autoSpaceDE w:val="0"/>
        <w:autoSpaceDN w:val="0"/>
        <w:adjustRightInd w:val="0"/>
        <w:spacing w:line="360" w:lineRule="auto"/>
        <w:jc w:val="both"/>
        <w:rPr>
          <w:rFonts w:hint="eastAsia" w:ascii="宋体" w:hAnsi="宋体" w:eastAsia="宋体" w:cs="宋体"/>
          <w:b/>
          <w:bCs/>
          <w:color w:val="auto"/>
          <w:sz w:val="21"/>
          <w:szCs w:val="21"/>
          <w:lang w:val="zh-CN"/>
        </w:rPr>
      </w:pPr>
    </w:p>
    <w:p w14:paraId="7C959F85">
      <w:pPr>
        <w:autoSpaceDE w:val="0"/>
        <w:autoSpaceDN w:val="0"/>
        <w:adjustRightInd w:val="0"/>
        <w:spacing w:line="360" w:lineRule="auto"/>
        <w:jc w:val="both"/>
        <w:rPr>
          <w:rFonts w:hint="eastAsia" w:ascii="宋体" w:hAnsi="宋体" w:eastAsia="宋体" w:cs="宋体"/>
          <w:b/>
          <w:bCs/>
          <w:color w:val="auto"/>
          <w:sz w:val="21"/>
          <w:szCs w:val="21"/>
          <w:lang w:val="zh-CN"/>
        </w:rPr>
      </w:pPr>
    </w:p>
    <w:p w14:paraId="55032FCE">
      <w:pPr>
        <w:autoSpaceDE w:val="0"/>
        <w:autoSpaceDN w:val="0"/>
        <w:adjustRightInd w:val="0"/>
        <w:spacing w:line="360" w:lineRule="auto"/>
        <w:jc w:val="both"/>
        <w:rPr>
          <w:rFonts w:hint="eastAsia" w:ascii="宋体" w:hAnsi="宋体" w:eastAsia="宋体" w:cs="宋体"/>
          <w:b/>
          <w:bCs/>
          <w:color w:val="auto"/>
          <w:sz w:val="21"/>
          <w:szCs w:val="21"/>
          <w:lang w:val="zh-CN"/>
        </w:rPr>
      </w:pPr>
    </w:p>
    <w:p w14:paraId="6DE68F00">
      <w:pPr>
        <w:autoSpaceDE w:val="0"/>
        <w:autoSpaceDN w:val="0"/>
        <w:adjustRightInd w:val="0"/>
        <w:spacing w:line="360" w:lineRule="auto"/>
        <w:jc w:val="both"/>
        <w:rPr>
          <w:rFonts w:hint="eastAsia" w:ascii="宋体" w:hAnsi="宋体" w:eastAsia="宋体" w:cs="宋体"/>
          <w:b/>
          <w:bCs/>
          <w:color w:val="auto"/>
          <w:sz w:val="21"/>
          <w:szCs w:val="21"/>
          <w:lang w:val="zh-CN"/>
        </w:rPr>
      </w:pPr>
    </w:p>
    <w:p w14:paraId="6C1CAB39">
      <w:pPr>
        <w:autoSpaceDE w:val="0"/>
        <w:autoSpaceDN w:val="0"/>
        <w:adjustRightInd w:val="0"/>
        <w:spacing w:line="360" w:lineRule="auto"/>
        <w:jc w:val="both"/>
        <w:rPr>
          <w:rFonts w:hint="eastAsia" w:ascii="宋体" w:hAnsi="宋体" w:eastAsia="宋体" w:cs="宋体"/>
          <w:b/>
          <w:bCs/>
          <w:color w:val="auto"/>
          <w:sz w:val="21"/>
          <w:szCs w:val="21"/>
          <w:lang w:val="zh-CN"/>
        </w:rPr>
      </w:pPr>
    </w:p>
    <w:p w14:paraId="5591C59A">
      <w:pPr>
        <w:autoSpaceDE w:val="0"/>
        <w:autoSpaceDN w:val="0"/>
        <w:adjustRightInd w:val="0"/>
        <w:spacing w:line="360" w:lineRule="auto"/>
        <w:jc w:val="both"/>
        <w:rPr>
          <w:rFonts w:hint="eastAsia" w:ascii="宋体" w:hAnsi="宋体" w:eastAsia="宋体" w:cs="宋体"/>
          <w:b/>
          <w:bCs/>
          <w:color w:val="auto"/>
          <w:sz w:val="21"/>
          <w:szCs w:val="21"/>
          <w:lang w:val="zh-CN"/>
        </w:rPr>
      </w:pPr>
    </w:p>
    <w:p w14:paraId="4CA14F95">
      <w:pPr>
        <w:autoSpaceDE w:val="0"/>
        <w:autoSpaceDN w:val="0"/>
        <w:adjustRightInd w:val="0"/>
        <w:spacing w:line="360" w:lineRule="auto"/>
        <w:jc w:val="both"/>
        <w:rPr>
          <w:rFonts w:hint="eastAsia" w:ascii="宋体" w:hAnsi="宋体" w:eastAsia="宋体" w:cs="宋体"/>
          <w:b/>
          <w:bCs/>
          <w:color w:val="auto"/>
          <w:sz w:val="21"/>
          <w:szCs w:val="21"/>
          <w:lang w:val="zh-CN"/>
        </w:rPr>
      </w:pPr>
    </w:p>
    <w:p w14:paraId="022E7C5D">
      <w:pPr>
        <w:autoSpaceDE w:val="0"/>
        <w:autoSpaceDN w:val="0"/>
        <w:adjustRightInd w:val="0"/>
        <w:spacing w:line="360" w:lineRule="auto"/>
        <w:jc w:val="both"/>
        <w:rPr>
          <w:rFonts w:hint="eastAsia" w:ascii="宋体" w:hAnsi="宋体" w:eastAsia="宋体" w:cs="宋体"/>
          <w:b/>
          <w:bCs/>
          <w:color w:val="auto"/>
          <w:sz w:val="21"/>
          <w:szCs w:val="21"/>
          <w:lang w:val="zh-CN"/>
        </w:rPr>
      </w:pPr>
    </w:p>
    <w:p w14:paraId="669D9149">
      <w:pPr>
        <w:autoSpaceDE w:val="0"/>
        <w:autoSpaceDN w:val="0"/>
        <w:adjustRightInd w:val="0"/>
        <w:spacing w:line="360" w:lineRule="auto"/>
        <w:jc w:val="both"/>
        <w:rPr>
          <w:rFonts w:hint="eastAsia" w:ascii="宋体" w:hAnsi="宋体" w:eastAsia="宋体" w:cs="宋体"/>
          <w:b/>
          <w:bCs/>
          <w:color w:val="auto"/>
          <w:sz w:val="21"/>
          <w:szCs w:val="21"/>
          <w:lang w:val="zh-CN"/>
        </w:rPr>
      </w:pPr>
    </w:p>
    <w:p w14:paraId="1155CD86">
      <w:pPr>
        <w:autoSpaceDE w:val="0"/>
        <w:autoSpaceDN w:val="0"/>
        <w:adjustRightInd w:val="0"/>
        <w:spacing w:line="360" w:lineRule="auto"/>
        <w:jc w:val="both"/>
        <w:rPr>
          <w:rFonts w:hint="eastAsia" w:ascii="宋体" w:hAnsi="宋体" w:eastAsia="宋体" w:cs="宋体"/>
          <w:b/>
          <w:bCs/>
          <w:color w:val="auto"/>
          <w:sz w:val="21"/>
          <w:szCs w:val="21"/>
          <w:lang w:val="zh-CN"/>
        </w:rPr>
      </w:pPr>
    </w:p>
    <w:p w14:paraId="37E3E304">
      <w:pPr>
        <w:autoSpaceDE w:val="0"/>
        <w:autoSpaceDN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.7“节能产品政府采购品目清单 ”优先采购节能产品情况</w:t>
      </w:r>
    </w:p>
    <w:p w14:paraId="245D55C1">
      <w:pPr>
        <w:autoSpaceDE w:val="0"/>
        <w:autoSpaceDN w:val="0"/>
        <w:adjustRightInd w:val="0"/>
        <w:spacing w:line="360" w:lineRule="auto"/>
        <w:ind w:firstLine="420" w:firstLineChars="200"/>
        <w:rPr>
          <w:rFonts w:hint="eastAsia" w:cs="宋体" w:asciiTheme="minorEastAsia" w:hAnsiTheme="minorEastAsia"/>
          <w:color w:val="auto"/>
          <w:sz w:val="21"/>
          <w:szCs w:val="21"/>
          <w:lang w:val="zh-CN"/>
        </w:rPr>
      </w:pPr>
      <w:r>
        <w:rPr>
          <w:rFonts w:hint="eastAsia" w:cs="宋体" w:asciiTheme="minorEastAsia" w:hAnsiTheme="minorEastAsia"/>
          <w:color w:val="auto"/>
          <w:sz w:val="21"/>
          <w:szCs w:val="21"/>
          <w:lang w:val="zh-CN"/>
        </w:rPr>
        <w:t>项目编号：</w:t>
      </w:r>
    </w:p>
    <w:p w14:paraId="18D69D00">
      <w:pPr>
        <w:autoSpaceDE w:val="0"/>
        <w:autoSpaceDN w:val="0"/>
        <w:adjustRightInd w:val="0"/>
        <w:spacing w:line="360" w:lineRule="auto"/>
        <w:ind w:firstLine="420" w:firstLineChars="200"/>
        <w:rPr>
          <w:color w:val="auto"/>
          <w:sz w:val="21"/>
          <w:szCs w:val="21"/>
        </w:rPr>
      </w:pPr>
      <w:r>
        <w:rPr>
          <w:rFonts w:hint="eastAsia" w:cs="宋体" w:asciiTheme="minorEastAsia" w:hAnsiTheme="minorEastAsia"/>
          <w:color w:val="auto"/>
          <w:sz w:val="21"/>
          <w:szCs w:val="21"/>
          <w:lang w:val="zh-CN"/>
        </w:rPr>
        <w:t>项目名称、</w:t>
      </w:r>
      <w:r>
        <w:rPr>
          <w:rFonts w:hint="eastAsia" w:cs="宋体" w:asciiTheme="minorEastAsia" w:hAnsiTheme="minorEastAsia"/>
          <w:color w:val="auto"/>
          <w:sz w:val="21"/>
          <w:szCs w:val="21"/>
          <w:lang w:val="en-US" w:eastAsia="zh-CN"/>
        </w:rPr>
        <w:t>标段</w:t>
      </w:r>
      <w:r>
        <w:rPr>
          <w:rFonts w:hint="eastAsia" w:cs="宋体" w:asciiTheme="minorEastAsia" w:hAnsiTheme="minorEastAsia"/>
          <w:color w:val="auto"/>
          <w:sz w:val="21"/>
          <w:szCs w:val="21"/>
          <w:lang w:val="zh-CN"/>
        </w:rPr>
        <w:t>：</w:t>
      </w:r>
    </w:p>
    <w:tbl>
      <w:tblPr>
        <w:tblStyle w:val="32"/>
        <w:tblW w:w="9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408"/>
        <w:gridCol w:w="1555"/>
        <w:gridCol w:w="1270"/>
        <w:gridCol w:w="1689"/>
        <w:gridCol w:w="1639"/>
        <w:gridCol w:w="1457"/>
      </w:tblGrid>
      <w:tr w14:paraId="6DAE8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43" w:type="dxa"/>
            <w:shd w:val="clear" w:color="auto" w:fill="F2F2F2"/>
            <w:textDirection w:val="tbRlV"/>
            <w:vAlign w:val="top"/>
          </w:tcPr>
          <w:p w14:paraId="1CA26636">
            <w:pPr>
              <w:pStyle w:val="31"/>
              <w:spacing w:before="166" w:line="218" w:lineRule="auto"/>
              <w:ind w:left="55"/>
              <w:rPr>
                <w:color w:val="auto"/>
                <w:sz w:val="21"/>
                <w:szCs w:val="21"/>
              </w:rPr>
            </w:pPr>
            <w:r>
              <w:rPr>
                <w:b/>
                <w:bCs/>
                <w:color w:val="auto"/>
                <w:spacing w:val="5"/>
                <w:sz w:val="21"/>
                <w:szCs w:val="21"/>
              </w:rPr>
              <w:t>序</w:t>
            </w:r>
            <w:r>
              <w:rPr>
                <w:color w:val="auto"/>
                <w:spacing w:val="5"/>
                <w:sz w:val="21"/>
                <w:szCs w:val="21"/>
              </w:rPr>
              <w:t xml:space="preserve"> </w:t>
            </w:r>
            <w:r>
              <w:rPr>
                <w:b/>
                <w:bCs/>
                <w:color w:val="auto"/>
                <w:spacing w:val="5"/>
                <w:sz w:val="21"/>
                <w:szCs w:val="21"/>
              </w:rPr>
              <w:t>号</w:t>
            </w:r>
          </w:p>
        </w:tc>
        <w:tc>
          <w:tcPr>
            <w:tcW w:w="1408" w:type="dxa"/>
            <w:shd w:val="clear" w:color="auto" w:fill="F2F2F2"/>
            <w:vAlign w:val="top"/>
          </w:tcPr>
          <w:p w14:paraId="28F05600">
            <w:pPr>
              <w:pStyle w:val="31"/>
              <w:spacing w:before="211" w:line="228" w:lineRule="auto"/>
              <w:ind w:left="284"/>
              <w:rPr>
                <w:color w:val="auto"/>
                <w:sz w:val="21"/>
                <w:szCs w:val="21"/>
              </w:rPr>
            </w:pPr>
            <w:r>
              <w:rPr>
                <w:b/>
                <w:bCs/>
                <w:color w:val="auto"/>
                <w:spacing w:val="6"/>
                <w:sz w:val="21"/>
                <w:szCs w:val="21"/>
              </w:rPr>
              <w:t>产品名称</w:t>
            </w:r>
          </w:p>
        </w:tc>
        <w:tc>
          <w:tcPr>
            <w:tcW w:w="1555" w:type="dxa"/>
            <w:shd w:val="clear" w:color="auto" w:fill="F2F2F2"/>
            <w:vAlign w:val="top"/>
          </w:tcPr>
          <w:p w14:paraId="41B19A4F">
            <w:pPr>
              <w:pStyle w:val="31"/>
              <w:spacing w:before="211" w:line="228" w:lineRule="auto"/>
              <w:ind w:left="588"/>
              <w:rPr>
                <w:color w:val="auto"/>
                <w:sz w:val="21"/>
                <w:szCs w:val="21"/>
              </w:rPr>
            </w:pPr>
            <w:r>
              <w:rPr>
                <w:b/>
                <w:bCs/>
                <w:color w:val="auto"/>
                <w:spacing w:val="-5"/>
                <w:sz w:val="21"/>
                <w:szCs w:val="21"/>
              </w:rPr>
              <w:t>品牌</w:t>
            </w:r>
          </w:p>
        </w:tc>
        <w:tc>
          <w:tcPr>
            <w:tcW w:w="1270" w:type="dxa"/>
            <w:shd w:val="clear" w:color="auto" w:fill="F2F2F2"/>
            <w:vAlign w:val="top"/>
          </w:tcPr>
          <w:p w14:paraId="6F648481">
            <w:pPr>
              <w:pStyle w:val="31"/>
              <w:spacing w:before="211" w:line="228" w:lineRule="auto"/>
              <w:ind w:left="218"/>
              <w:rPr>
                <w:color w:val="auto"/>
                <w:sz w:val="21"/>
                <w:szCs w:val="21"/>
              </w:rPr>
            </w:pPr>
            <w:r>
              <w:rPr>
                <w:b/>
                <w:bCs/>
                <w:color w:val="auto"/>
                <w:spacing w:val="6"/>
                <w:sz w:val="21"/>
                <w:szCs w:val="21"/>
              </w:rPr>
              <w:t>产品型号</w:t>
            </w:r>
          </w:p>
        </w:tc>
        <w:tc>
          <w:tcPr>
            <w:tcW w:w="1689" w:type="dxa"/>
            <w:shd w:val="clear" w:color="auto" w:fill="F2F2F2"/>
            <w:vAlign w:val="top"/>
          </w:tcPr>
          <w:p w14:paraId="4B20079D">
            <w:pPr>
              <w:pStyle w:val="31"/>
              <w:spacing w:before="211" w:line="228" w:lineRule="auto"/>
              <w:ind w:left="218"/>
              <w:rPr>
                <w:color w:val="auto"/>
                <w:sz w:val="21"/>
                <w:szCs w:val="21"/>
              </w:rPr>
            </w:pPr>
            <w:r>
              <w:rPr>
                <w:b/>
                <w:bCs/>
                <w:color w:val="auto"/>
                <w:spacing w:val="6"/>
                <w:sz w:val="21"/>
                <w:szCs w:val="21"/>
              </w:rPr>
              <w:t>认证证书编号</w:t>
            </w:r>
          </w:p>
        </w:tc>
        <w:tc>
          <w:tcPr>
            <w:tcW w:w="1639" w:type="dxa"/>
            <w:shd w:val="clear" w:color="auto" w:fill="F2F2F2"/>
            <w:vAlign w:val="top"/>
          </w:tcPr>
          <w:p w14:paraId="0677690B">
            <w:pPr>
              <w:pStyle w:val="31"/>
              <w:spacing w:before="211" w:line="228" w:lineRule="auto"/>
              <w:ind w:left="300"/>
              <w:rPr>
                <w:color w:val="auto"/>
                <w:sz w:val="21"/>
                <w:szCs w:val="21"/>
              </w:rPr>
            </w:pPr>
            <w:r>
              <w:rPr>
                <w:b/>
                <w:bCs/>
                <w:color w:val="auto"/>
                <w:spacing w:val="6"/>
                <w:sz w:val="21"/>
                <w:szCs w:val="21"/>
              </w:rPr>
              <w:t>证书有效期</w:t>
            </w:r>
          </w:p>
        </w:tc>
        <w:tc>
          <w:tcPr>
            <w:tcW w:w="1457" w:type="dxa"/>
            <w:shd w:val="clear" w:color="auto" w:fill="F2F2F2"/>
            <w:vAlign w:val="top"/>
          </w:tcPr>
          <w:p w14:paraId="4C554A51">
            <w:pPr>
              <w:pStyle w:val="31"/>
              <w:spacing w:before="211" w:line="228" w:lineRule="auto"/>
              <w:ind w:left="312"/>
              <w:rPr>
                <w:color w:val="auto"/>
                <w:sz w:val="21"/>
                <w:szCs w:val="21"/>
              </w:rPr>
            </w:pPr>
            <w:r>
              <w:rPr>
                <w:b/>
                <w:bCs/>
                <w:color w:val="auto"/>
                <w:spacing w:val="6"/>
                <w:sz w:val="21"/>
                <w:szCs w:val="21"/>
              </w:rPr>
              <w:t>认证机构</w:t>
            </w:r>
          </w:p>
        </w:tc>
      </w:tr>
      <w:tr w14:paraId="0A72B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543" w:type="dxa"/>
            <w:vAlign w:val="top"/>
          </w:tcPr>
          <w:p w14:paraId="14744085">
            <w:pPr>
              <w:spacing w:line="288" w:lineRule="auto"/>
              <w:rPr>
                <w:rFonts w:ascii="Arial"/>
                <w:color w:val="auto"/>
                <w:sz w:val="21"/>
                <w:szCs w:val="21"/>
              </w:rPr>
            </w:pPr>
          </w:p>
          <w:p w14:paraId="78C39725">
            <w:pPr>
              <w:pStyle w:val="31"/>
              <w:spacing w:before="65" w:line="189" w:lineRule="auto"/>
              <w:ind w:left="238"/>
              <w:rPr>
                <w:color w:val="auto"/>
                <w:sz w:val="21"/>
                <w:szCs w:val="21"/>
              </w:rPr>
            </w:pPr>
            <w:r>
              <w:rPr>
                <w:color w:val="auto"/>
                <w:sz w:val="21"/>
                <w:szCs w:val="21"/>
              </w:rPr>
              <w:t>1</w:t>
            </w:r>
          </w:p>
        </w:tc>
        <w:tc>
          <w:tcPr>
            <w:tcW w:w="1408" w:type="dxa"/>
            <w:vAlign w:val="top"/>
          </w:tcPr>
          <w:p w14:paraId="0D704C68">
            <w:pPr>
              <w:rPr>
                <w:rFonts w:ascii="Arial"/>
                <w:color w:val="auto"/>
                <w:sz w:val="21"/>
                <w:szCs w:val="21"/>
              </w:rPr>
            </w:pPr>
          </w:p>
        </w:tc>
        <w:tc>
          <w:tcPr>
            <w:tcW w:w="1555" w:type="dxa"/>
            <w:vAlign w:val="top"/>
          </w:tcPr>
          <w:p w14:paraId="43FB6454">
            <w:pPr>
              <w:rPr>
                <w:rFonts w:ascii="Arial"/>
                <w:color w:val="auto"/>
                <w:sz w:val="21"/>
                <w:szCs w:val="21"/>
              </w:rPr>
            </w:pPr>
          </w:p>
        </w:tc>
        <w:tc>
          <w:tcPr>
            <w:tcW w:w="1270" w:type="dxa"/>
            <w:vAlign w:val="top"/>
          </w:tcPr>
          <w:p w14:paraId="7A2C6AD9">
            <w:pPr>
              <w:rPr>
                <w:rFonts w:ascii="Arial"/>
                <w:color w:val="auto"/>
                <w:sz w:val="21"/>
                <w:szCs w:val="21"/>
              </w:rPr>
            </w:pPr>
          </w:p>
        </w:tc>
        <w:tc>
          <w:tcPr>
            <w:tcW w:w="1689" w:type="dxa"/>
            <w:vAlign w:val="top"/>
          </w:tcPr>
          <w:p w14:paraId="7A1AF3B2">
            <w:pPr>
              <w:rPr>
                <w:rFonts w:ascii="Arial"/>
                <w:color w:val="auto"/>
                <w:sz w:val="21"/>
                <w:szCs w:val="21"/>
              </w:rPr>
            </w:pPr>
          </w:p>
        </w:tc>
        <w:tc>
          <w:tcPr>
            <w:tcW w:w="1639" w:type="dxa"/>
            <w:vAlign w:val="top"/>
          </w:tcPr>
          <w:p w14:paraId="546CBF45">
            <w:pPr>
              <w:rPr>
                <w:rFonts w:ascii="Arial"/>
                <w:color w:val="auto"/>
                <w:sz w:val="21"/>
                <w:szCs w:val="21"/>
              </w:rPr>
            </w:pPr>
          </w:p>
        </w:tc>
        <w:tc>
          <w:tcPr>
            <w:tcW w:w="1457" w:type="dxa"/>
            <w:vAlign w:val="top"/>
          </w:tcPr>
          <w:p w14:paraId="36CC414C">
            <w:pPr>
              <w:rPr>
                <w:rFonts w:ascii="Arial"/>
                <w:color w:val="auto"/>
                <w:sz w:val="21"/>
                <w:szCs w:val="21"/>
              </w:rPr>
            </w:pPr>
          </w:p>
        </w:tc>
      </w:tr>
      <w:tr w14:paraId="37A43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43" w:type="dxa"/>
            <w:vAlign w:val="top"/>
          </w:tcPr>
          <w:p w14:paraId="752BC30C">
            <w:pPr>
              <w:spacing w:line="288" w:lineRule="auto"/>
              <w:rPr>
                <w:rFonts w:ascii="Arial"/>
                <w:color w:val="auto"/>
                <w:sz w:val="21"/>
                <w:szCs w:val="21"/>
              </w:rPr>
            </w:pPr>
          </w:p>
          <w:p w14:paraId="0EE9293F">
            <w:pPr>
              <w:pStyle w:val="31"/>
              <w:spacing w:before="65" w:line="189" w:lineRule="auto"/>
              <w:ind w:left="225"/>
              <w:rPr>
                <w:color w:val="auto"/>
                <w:sz w:val="21"/>
                <w:szCs w:val="21"/>
              </w:rPr>
            </w:pPr>
            <w:r>
              <w:rPr>
                <w:color w:val="auto"/>
                <w:sz w:val="21"/>
                <w:szCs w:val="21"/>
              </w:rPr>
              <w:t>2</w:t>
            </w:r>
          </w:p>
        </w:tc>
        <w:tc>
          <w:tcPr>
            <w:tcW w:w="1408" w:type="dxa"/>
            <w:vAlign w:val="top"/>
          </w:tcPr>
          <w:p w14:paraId="14FE750B">
            <w:pPr>
              <w:rPr>
                <w:rFonts w:ascii="Arial"/>
                <w:color w:val="auto"/>
                <w:sz w:val="21"/>
                <w:szCs w:val="21"/>
              </w:rPr>
            </w:pPr>
          </w:p>
        </w:tc>
        <w:tc>
          <w:tcPr>
            <w:tcW w:w="1555" w:type="dxa"/>
            <w:vAlign w:val="top"/>
          </w:tcPr>
          <w:p w14:paraId="55800356">
            <w:pPr>
              <w:rPr>
                <w:rFonts w:ascii="Arial"/>
                <w:color w:val="auto"/>
                <w:sz w:val="21"/>
                <w:szCs w:val="21"/>
              </w:rPr>
            </w:pPr>
          </w:p>
        </w:tc>
        <w:tc>
          <w:tcPr>
            <w:tcW w:w="1270" w:type="dxa"/>
            <w:vAlign w:val="top"/>
          </w:tcPr>
          <w:p w14:paraId="3D9BF939">
            <w:pPr>
              <w:rPr>
                <w:rFonts w:ascii="Arial"/>
                <w:color w:val="auto"/>
                <w:sz w:val="21"/>
                <w:szCs w:val="21"/>
              </w:rPr>
            </w:pPr>
          </w:p>
        </w:tc>
        <w:tc>
          <w:tcPr>
            <w:tcW w:w="1689" w:type="dxa"/>
            <w:vAlign w:val="top"/>
          </w:tcPr>
          <w:p w14:paraId="27E46905">
            <w:pPr>
              <w:rPr>
                <w:rFonts w:ascii="Arial"/>
                <w:color w:val="auto"/>
                <w:sz w:val="21"/>
                <w:szCs w:val="21"/>
              </w:rPr>
            </w:pPr>
          </w:p>
        </w:tc>
        <w:tc>
          <w:tcPr>
            <w:tcW w:w="1639" w:type="dxa"/>
            <w:vAlign w:val="top"/>
          </w:tcPr>
          <w:p w14:paraId="69C5473A">
            <w:pPr>
              <w:rPr>
                <w:rFonts w:ascii="Arial"/>
                <w:color w:val="auto"/>
                <w:sz w:val="21"/>
                <w:szCs w:val="21"/>
              </w:rPr>
            </w:pPr>
          </w:p>
        </w:tc>
        <w:tc>
          <w:tcPr>
            <w:tcW w:w="1457" w:type="dxa"/>
            <w:vAlign w:val="top"/>
          </w:tcPr>
          <w:p w14:paraId="3F3B0F2D">
            <w:pPr>
              <w:rPr>
                <w:rFonts w:ascii="Arial"/>
                <w:color w:val="auto"/>
                <w:sz w:val="21"/>
                <w:szCs w:val="21"/>
              </w:rPr>
            </w:pPr>
          </w:p>
        </w:tc>
      </w:tr>
      <w:tr w14:paraId="4CDE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43" w:type="dxa"/>
            <w:vAlign w:val="top"/>
          </w:tcPr>
          <w:p w14:paraId="55B82427">
            <w:pPr>
              <w:spacing w:line="257" w:lineRule="auto"/>
              <w:rPr>
                <w:rFonts w:ascii="Arial"/>
                <w:color w:val="auto"/>
                <w:sz w:val="21"/>
                <w:szCs w:val="21"/>
              </w:rPr>
            </w:pPr>
          </w:p>
          <w:p w14:paraId="2B532CD1">
            <w:pPr>
              <w:pStyle w:val="31"/>
              <w:spacing w:before="65" w:line="325" w:lineRule="exact"/>
              <w:ind w:left="185"/>
              <w:rPr>
                <w:color w:val="auto"/>
                <w:sz w:val="21"/>
                <w:szCs w:val="21"/>
              </w:rPr>
            </w:pPr>
            <w:r>
              <w:rPr>
                <w:color w:val="auto"/>
                <w:position w:val="3"/>
                <w:sz w:val="21"/>
                <w:szCs w:val="21"/>
              </w:rPr>
              <w:t>…</w:t>
            </w:r>
          </w:p>
        </w:tc>
        <w:tc>
          <w:tcPr>
            <w:tcW w:w="1408" w:type="dxa"/>
            <w:vAlign w:val="top"/>
          </w:tcPr>
          <w:p w14:paraId="5DEDE620">
            <w:pPr>
              <w:rPr>
                <w:rFonts w:ascii="Arial"/>
                <w:color w:val="auto"/>
                <w:sz w:val="21"/>
                <w:szCs w:val="21"/>
              </w:rPr>
            </w:pPr>
          </w:p>
        </w:tc>
        <w:tc>
          <w:tcPr>
            <w:tcW w:w="1555" w:type="dxa"/>
            <w:vAlign w:val="top"/>
          </w:tcPr>
          <w:p w14:paraId="724A3781">
            <w:pPr>
              <w:rPr>
                <w:rFonts w:ascii="Arial"/>
                <w:color w:val="auto"/>
                <w:sz w:val="21"/>
                <w:szCs w:val="21"/>
              </w:rPr>
            </w:pPr>
          </w:p>
        </w:tc>
        <w:tc>
          <w:tcPr>
            <w:tcW w:w="1270" w:type="dxa"/>
            <w:vAlign w:val="top"/>
          </w:tcPr>
          <w:p w14:paraId="58C3B6FF">
            <w:pPr>
              <w:rPr>
                <w:rFonts w:ascii="Arial"/>
                <w:color w:val="auto"/>
                <w:sz w:val="21"/>
                <w:szCs w:val="21"/>
              </w:rPr>
            </w:pPr>
          </w:p>
        </w:tc>
        <w:tc>
          <w:tcPr>
            <w:tcW w:w="1689" w:type="dxa"/>
            <w:vAlign w:val="top"/>
          </w:tcPr>
          <w:p w14:paraId="04DC16F7">
            <w:pPr>
              <w:rPr>
                <w:rFonts w:ascii="Arial"/>
                <w:color w:val="auto"/>
                <w:sz w:val="21"/>
                <w:szCs w:val="21"/>
              </w:rPr>
            </w:pPr>
          </w:p>
        </w:tc>
        <w:tc>
          <w:tcPr>
            <w:tcW w:w="1639" w:type="dxa"/>
            <w:vAlign w:val="top"/>
          </w:tcPr>
          <w:p w14:paraId="1ED4587D">
            <w:pPr>
              <w:rPr>
                <w:rFonts w:ascii="Arial"/>
                <w:color w:val="auto"/>
                <w:sz w:val="21"/>
                <w:szCs w:val="21"/>
              </w:rPr>
            </w:pPr>
          </w:p>
        </w:tc>
        <w:tc>
          <w:tcPr>
            <w:tcW w:w="1457" w:type="dxa"/>
            <w:vAlign w:val="top"/>
          </w:tcPr>
          <w:p w14:paraId="16426EFC">
            <w:pPr>
              <w:rPr>
                <w:rFonts w:ascii="Arial"/>
                <w:color w:val="auto"/>
                <w:sz w:val="21"/>
                <w:szCs w:val="21"/>
              </w:rPr>
            </w:pPr>
          </w:p>
        </w:tc>
      </w:tr>
    </w:tbl>
    <w:p w14:paraId="01DBF2DF">
      <w:pPr>
        <w:autoSpaceDE w:val="0"/>
        <w:autoSpaceDN w:val="0"/>
        <w:adjustRightInd w:val="0"/>
        <w:spacing w:line="360" w:lineRule="auto"/>
        <w:ind w:firstLine="420" w:firstLineChars="200"/>
        <w:rPr>
          <w:rFonts w:cs="宋体" w:asciiTheme="minorEastAsia" w:hAnsiTheme="minorEastAsia"/>
          <w:color w:val="auto"/>
          <w:sz w:val="21"/>
          <w:szCs w:val="21"/>
          <w:lang w:val="zh-CN"/>
        </w:rPr>
      </w:pPr>
      <w:r>
        <w:rPr>
          <w:rFonts w:hint="eastAsia" w:cs="宋体" w:asciiTheme="minorEastAsia" w:hAnsiTheme="minorEastAsia"/>
          <w:color w:val="auto"/>
          <w:sz w:val="21"/>
          <w:szCs w:val="21"/>
          <w:lang w:val="zh-CN"/>
        </w:rPr>
        <w:t>供应商（盖章）：</w:t>
      </w:r>
    </w:p>
    <w:p w14:paraId="3F17DAB2">
      <w:pPr>
        <w:autoSpaceDE w:val="0"/>
        <w:autoSpaceDN w:val="0"/>
        <w:adjustRightInd w:val="0"/>
        <w:spacing w:line="360" w:lineRule="auto"/>
        <w:ind w:firstLine="420" w:firstLineChars="200"/>
        <w:rPr>
          <w:rFonts w:cs="宋体" w:asciiTheme="minorEastAsia" w:hAnsiTheme="minorEastAsia"/>
          <w:color w:val="auto"/>
          <w:sz w:val="21"/>
          <w:szCs w:val="21"/>
          <w:lang w:val="zh-CN"/>
        </w:rPr>
      </w:pPr>
      <w:r>
        <w:rPr>
          <w:rFonts w:hint="eastAsia" w:cs="宋体" w:asciiTheme="minorEastAsia" w:hAnsiTheme="minorEastAsia"/>
          <w:color w:val="auto"/>
          <w:sz w:val="21"/>
          <w:szCs w:val="21"/>
          <w:lang w:val="zh-CN"/>
        </w:rPr>
        <w:t>法定代表人、负责人、本人，或授权代表（签字或盖章）：</w:t>
      </w:r>
    </w:p>
    <w:p w14:paraId="66324D20">
      <w:pPr>
        <w:autoSpaceDE w:val="0"/>
        <w:autoSpaceDN w:val="0"/>
        <w:adjustRightInd w:val="0"/>
        <w:spacing w:line="360" w:lineRule="auto"/>
        <w:ind w:firstLine="420" w:firstLineChars="200"/>
        <w:rPr>
          <w:rFonts w:hint="eastAsia" w:cs="宋体" w:asciiTheme="minorEastAsia" w:hAnsiTheme="minorEastAsia"/>
          <w:color w:val="auto"/>
          <w:sz w:val="21"/>
          <w:szCs w:val="21"/>
          <w:lang w:val="zh-CN"/>
        </w:rPr>
      </w:pPr>
      <w:r>
        <w:rPr>
          <w:rFonts w:hint="eastAsia" w:cs="宋体" w:asciiTheme="minorEastAsia" w:hAnsiTheme="minorEastAsia"/>
          <w:color w:val="auto"/>
          <w:sz w:val="21"/>
          <w:szCs w:val="21"/>
          <w:lang w:val="zh-CN"/>
        </w:rPr>
        <w:t>日期：   年   月   日</w:t>
      </w:r>
    </w:p>
    <w:p w14:paraId="32AA9184">
      <w:pPr>
        <w:autoSpaceDE w:val="0"/>
        <w:autoSpaceDN w:val="0"/>
        <w:adjustRightInd w:val="0"/>
        <w:spacing w:line="360" w:lineRule="auto"/>
        <w:ind w:firstLine="420" w:firstLineChars="200"/>
        <w:rPr>
          <w:rFonts w:hint="eastAsia" w:cs="宋体" w:asciiTheme="minorEastAsia" w:hAnsiTheme="minorEastAsia"/>
          <w:color w:val="auto"/>
          <w:sz w:val="21"/>
          <w:szCs w:val="21"/>
          <w:lang w:val="zh-CN"/>
        </w:rPr>
      </w:pPr>
    </w:p>
    <w:p w14:paraId="18B68268">
      <w:pPr>
        <w:autoSpaceDE w:val="0"/>
        <w:autoSpaceDN w:val="0"/>
        <w:adjustRightInd w:val="0"/>
        <w:spacing w:line="360" w:lineRule="auto"/>
        <w:ind w:firstLine="420" w:firstLineChars="200"/>
        <w:rPr>
          <w:rFonts w:hint="eastAsia" w:cs="宋体" w:asciiTheme="minorEastAsia" w:hAnsiTheme="minorEastAsia"/>
          <w:color w:val="auto"/>
          <w:sz w:val="21"/>
          <w:szCs w:val="21"/>
          <w:lang w:val="zh-CN"/>
        </w:rPr>
      </w:pPr>
    </w:p>
    <w:p w14:paraId="07362DC1">
      <w:pPr>
        <w:spacing w:before="65" w:line="228" w:lineRule="auto"/>
        <w:ind w:left="122"/>
        <w:rPr>
          <w:rFonts w:ascii="宋体" w:hAnsi="宋体" w:eastAsia="宋体" w:cs="宋体"/>
          <w:color w:val="auto"/>
          <w:sz w:val="21"/>
          <w:szCs w:val="21"/>
        </w:rPr>
      </w:pPr>
      <w:r>
        <w:rPr>
          <w:rFonts w:ascii="宋体" w:hAnsi="宋体" w:eastAsia="宋体" w:cs="宋体"/>
          <w:color w:val="auto"/>
          <w:spacing w:val="8"/>
          <w:sz w:val="21"/>
          <w:szCs w:val="21"/>
        </w:rPr>
        <w:t>说明：所投产品节能认证证书须附后。</w:t>
      </w:r>
    </w:p>
    <w:p w14:paraId="1C80E6C9">
      <w:pPr>
        <w:autoSpaceDE w:val="0"/>
        <w:autoSpaceDN w:val="0"/>
        <w:adjustRightInd w:val="0"/>
        <w:spacing w:line="360" w:lineRule="auto"/>
        <w:jc w:val="both"/>
        <w:rPr>
          <w:rFonts w:hint="eastAsia" w:ascii="宋体" w:hAnsi="宋体" w:eastAsia="宋体" w:cs="宋体"/>
          <w:b/>
          <w:bCs/>
          <w:color w:val="auto"/>
          <w:sz w:val="21"/>
          <w:szCs w:val="21"/>
          <w:lang w:val="zh-CN"/>
        </w:rPr>
      </w:pPr>
    </w:p>
    <w:p w14:paraId="1ECBF5E6">
      <w:pPr>
        <w:autoSpaceDE w:val="0"/>
        <w:autoSpaceDN w:val="0"/>
        <w:adjustRightInd w:val="0"/>
        <w:spacing w:line="360" w:lineRule="auto"/>
        <w:jc w:val="both"/>
        <w:rPr>
          <w:rFonts w:hint="eastAsia" w:ascii="宋体" w:hAnsi="宋体" w:eastAsia="宋体" w:cs="宋体"/>
          <w:b/>
          <w:bCs/>
          <w:color w:val="auto"/>
          <w:sz w:val="21"/>
          <w:szCs w:val="21"/>
          <w:lang w:val="zh-CN"/>
        </w:rPr>
      </w:pPr>
    </w:p>
    <w:p w14:paraId="42ECA6DE">
      <w:pPr>
        <w:autoSpaceDE w:val="0"/>
        <w:autoSpaceDN w:val="0"/>
        <w:adjustRightInd w:val="0"/>
        <w:spacing w:line="360" w:lineRule="auto"/>
        <w:jc w:val="both"/>
        <w:rPr>
          <w:rFonts w:hint="eastAsia" w:ascii="宋体" w:hAnsi="宋体" w:eastAsia="宋体" w:cs="宋体"/>
          <w:b/>
          <w:bCs/>
          <w:color w:val="auto"/>
          <w:sz w:val="21"/>
          <w:szCs w:val="21"/>
          <w:lang w:val="zh-CN"/>
        </w:rPr>
      </w:pPr>
    </w:p>
    <w:p w14:paraId="42A0E78D">
      <w:pPr>
        <w:autoSpaceDE w:val="0"/>
        <w:autoSpaceDN w:val="0"/>
        <w:adjustRightInd w:val="0"/>
        <w:spacing w:line="360" w:lineRule="auto"/>
        <w:jc w:val="both"/>
        <w:rPr>
          <w:rFonts w:hint="eastAsia" w:ascii="宋体" w:hAnsi="宋体" w:eastAsia="宋体" w:cs="宋体"/>
          <w:b/>
          <w:bCs/>
          <w:color w:val="auto"/>
          <w:sz w:val="21"/>
          <w:szCs w:val="21"/>
          <w:lang w:val="zh-CN"/>
        </w:rPr>
      </w:pPr>
    </w:p>
    <w:p w14:paraId="02E3D8C7">
      <w:pPr>
        <w:autoSpaceDE w:val="0"/>
        <w:autoSpaceDN w:val="0"/>
        <w:adjustRightInd w:val="0"/>
        <w:spacing w:line="360" w:lineRule="auto"/>
        <w:jc w:val="both"/>
        <w:rPr>
          <w:rFonts w:hint="eastAsia" w:ascii="宋体" w:hAnsi="宋体" w:eastAsia="宋体" w:cs="宋体"/>
          <w:b/>
          <w:bCs/>
          <w:color w:val="auto"/>
          <w:sz w:val="21"/>
          <w:szCs w:val="21"/>
          <w:lang w:val="zh-CN"/>
        </w:rPr>
      </w:pPr>
    </w:p>
    <w:p w14:paraId="43E028CA">
      <w:pPr>
        <w:autoSpaceDE w:val="0"/>
        <w:autoSpaceDN w:val="0"/>
        <w:adjustRightInd w:val="0"/>
        <w:spacing w:line="360" w:lineRule="auto"/>
        <w:jc w:val="both"/>
        <w:rPr>
          <w:rFonts w:hint="eastAsia" w:ascii="宋体" w:hAnsi="宋体" w:eastAsia="宋体" w:cs="宋体"/>
          <w:b/>
          <w:bCs/>
          <w:color w:val="auto"/>
          <w:sz w:val="21"/>
          <w:szCs w:val="21"/>
          <w:lang w:val="zh-CN"/>
        </w:rPr>
      </w:pPr>
    </w:p>
    <w:p w14:paraId="4090FDF5">
      <w:pPr>
        <w:autoSpaceDE w:val="0"/>
        <w:autoSpaceDN w:val="0"/>
        <w:adjustRightInd w:val="0"/>
        <w:spacing w:line="360" w:lineRule="auto"/>
        <w:jc w:val="both"/>
        <w:rPr>
          <w:rFonts w:hint="eastAsia" w:ascii="宋体" w:hAnsi="宋体" w:eastAsia="宋体" w:cs="宋体"/>
          <w:b/>
          <w:bCs/>
          <w:color w:val="auto"/>
          <w:sz w:val="21"/>
          <w:szCs w:val="21"/>
          <w:lang w:val="zh-CN"/>
        </w:rPr>
      </w:pPr>
    </w:p>
    <w:p w14:paraId="0047CC6B">
      <w:pPr>
        <w:autoSpaceDE w:val="0"/>
        <w:autoSpaceDN w:val="0"/>
        <w:adjustRightInd w:val="0"/>
        <w:spacing w:line="360" w:lineRule="auto"/>
        <w:jc w:val="both"/>
        <w:rPr>
          <w:rFonts w:hint="eastAsia" w:ascii="宋体" w:hAnsi="宋体" w:eastAsia="宋体" w:cs="宋体"/>
          <w:b/>
          <w:bCs/>
          <w:color w:val="auto"/>
          <w:sz w:val="21"/>
          <w:szCs w:val="21"/>
          <w:lang w:val="zh-CN"/>
        </w:rPr>
      </w:pPr>
    </w:p>
    <w:p w14:paraId="169B982A">
      <w:pPr>
        <w:autoSpaceDE w:val="0"/>
        <w:autoSpaceDN w:val="0"/>
        <w:adjustRightInd w:val="0"/>
        <w:spacing w:line="360" w:lineRule="auto"/>
        <w:jc w:val="both"/>
        <w:rPr>
          <w:rFonts w:hint="eastAsia" w:ascii="宋体" w:hAnsi="宋体" w:eastAsia="宋体" w:cs="宋体"/>
          <w:b/>
          <w:bCs/>
          <w:color w:val="auto"/>
          <w:sz w:val="21"/>
          <w:szCs w:val="21"/>
          <w:lang w:val="zh-CN"/>
        </w:rPr>
      </w:pPr>
    </w:p>
    <w:p w14:paraId="60668DD4">
      <w:pPr>
        <w:autoSpaceDE w:val="0"/>
        <w:autoSpaceDN w:val="0"/>
        <w:adjustRightInd w:val="0"/>
        <w:spacing w:line="360" w:lineRule="auto"/>
        <w:jc w:val="both"/>
        <w:rPr>
          <w:rFonts w:hint="eastAsia" w:ascii="宋体" w:hAnsi="宋体" w:eastAsia="宋体" w:cs="宋体"/>
          <w:b/>
          <w:bCs/>
          <w:color w:val="auto"/>
          <w:sz w:val="21"/>
          <w:szCs w:val="21"/>
          <w:lang w:val="zh-CN"/>
        </w:rPr>
      </w:pPr>
    </w:p>
    <w:p w14:paraId="4456D91A">
      <w:pPr>
        <w:autoSpaceDE w:val="0"/>
        <w:autoSpaceDN w:val="0"/>
        <w:adjustRightInd w:val="0"/>
        <w:spacing w:line="360" w:lineRule="auto"/>
        <w:jc w:val="both"/>
        <w:rPr>
          <w:rFonts w:hint="eastAsia" w:ascii="宋体" w:hAnsi="宋体" w:eastAsia="宋体" w:cs="宋体"/>
          <w:b/>
          <w:bCs/>
          <w:color w:val="auto"/>
          <w:sz w:val="21"/>
          <w:szCs w:val="21"/>
          <w:lang w:val="zh-CN"/>
        </w:rPr>
      </w:pPr>
    </w:p>
    <w:p w14:paraId="7C85E3DD">
      <w:pPr>
        <w:autoSpaceDE w:val="0"/>
        <w:autoSpaceDN w:val="0"/>
        <w:adjustRightInd w:val="0"/>
        <w:spacing w:line="360" w:lineRule="auto"/>
        <w:jc w:val="both"/>
        <w:rPr>
          <w:rFonts w:hint="eastAsia" w:ascii="宋体" w:hAnsi="宋体" w:eastAsia="宋体" w:cs="宋体"/>
          <w:b/>
          <w:bCs/>
          <w:color w:val="auto"/>
          <w:sz w:val="21"/>
          <w:szCs w:val="21"/>
          <w:lang w:val="zh-CN"/>
        </w:rPr>
      </w:pPr>
    </w:p>
    <w:p w14:paraId="2C329C0F">
      <w:pPr>
        <w:autoSpaceDE w:val="0"/>
        <w:autoSpaceDN w:val="0"/>
        <w:adjustRightInd w:val="0"/>
        <w:spacing w:line="360" w:lineRule="auto"/>
        <w:jc w:val="both"/>
        <w:rPr>
          <w:rFonts w:hint="eastAsia" w:ascii="宋体" w:hAnsi="宋体" w:eastAsia="宋体" w:cs="宋体"/>
          <w:b/>
          <w:bCs/>
          <w:color w:val="auto"/>
          <w:sz w:val="21"/>
          <w:szCs w:val="21"/>
          <w:lang w:val="zh-CN"/>
        </w:rPr>
      </w:pPr>
    </w:p>
    <w:p w14:paraId="0FE78F04">
      <w:pPr>
        <w:autoSpaceDE w:val="0"/>
        <w:autoSpaceDN w:val="0"/>
        <w:adjustRightInd w:val="0"/>
        <w:spacing w:line="360" w:lineRule="auto"/>
        <w:jc w:val="both"/>
        <w:rPr>
          <w:rFonts w:hint="eastAsia" w:ascii="宋体" w:hAnsi="宋体" w:eastAsia="宋体" w:cs="宋体"/>
          <w:b/>
          <w:bCs/>
          <w:color w:val="auto"/>
          <w:sz w:val="21"/>
          <w:szCs w:val="21"/>
          <w:lang w:val="zh-CN"/>
        </w:rPr>
      </w:pPr>
    </w:p>
    <w:p w14:paraId="33CA514E">
      <w:pPr>
        <w:autoSpaceDE w:val="0"/>
        <w:autoSpaceDN w:val="0"/>
        <w:spacing w:line="360" w:lineRule="auto"/>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4.8 “环境标志产品政府采购品目清单 ”优先采购产品情况</w:t>
      </w:r>
    </w:p>
    <w:p w14:paraId="3EE2BFDC">
      <w:pPr>
        <w:autoSpaceDE w:val="0"/>
        <w:autoSpaceDN w:val="0"/>
        <w:adjustRightInd w:val="0"/>
        <w:spacing w:line="360" w:lineRule="auto"/>
        <w:ind w:firstLine="420" w:firstLineChars="200"/>
        <w:rPr>
          <w:rFonts w:hint="eastAsia" w:cs="宋体" w:asciiTheme="minorEastAsia" w:hAnsiTheme="minorEastAsia"/>
          <w:color w:val="auto"/>
          <w:sz w:val="21"/>
          <w:szCs w:val="21"/>
          <w:lang w:val="zh-CN"/>
        </w:rPr>
      </w:pPr>
      <w:r>
        <w:rPr>
          <w:rFonts w:hint="eastAsia" w:cs="宋体" w:asciiTheme="minorEastAsia" w:hAnsiTheme="minorEastAsia"/>
          <w:color w:val="auto"/>
          <w:sz w:val="21"/>
          <w:szCs w:val="21"/>
          <w:lang w:val="zh-CN"/>
        </w:rPr>
        <w:t>项目编号：</w:t>
      </w:r>
    </w:p>
    <w:p w14:paraId="5DFB5F90">
      <w:pPr>
        <w:autoSpaceDE w:val="0"/>
        <w:autoSpaceDN w:val="0"/>
        <w:adjustRightInd w:val="0"/>
        <w:spacing w:line="360" w:lineRule="auto"/>
        <w:ind w:firstLine="420" w:firstLineChars="200"/>
        <w:rPr>
          <w:color w:val="auto"/>
          <w:sz w:val="21"/>
          <w:szCs w:val="21"/>
        </w:rPr>
      </w:pPr>
      <w:r>
        <w:rPr>
          <w:rFonts w:hint="eastAsia" w:cs="宋体" w:asciiTheme="minorEastAsia" w:hAnsiTheme="minorEastAsia"/>
          <w:color w:val="auto"/>
          <w:sz w:val="21"/>
          <w:szCs w:val="21"/>
          <w:lang w:val="zh-CN"/>
        </w:rPr>
        <w:t>项目名称、</w:t>
      </w:r>
      <w:r>
        <w:rPr>
          <w:rFonts w:hint="eastAsia" w:cs="宋体" w:asciiTheme="minorEastAsia" w:hAnsiTheme="minorEastAsia"/>
          <w:color w:val="auto"/>
          <w:sz w:val="21"/>
          <w:szCs w:val="21"/>
          <w:lang w:val="en-US" w:eastAsia="zh-CN"/>
        </w:rPr>
        <w:t>标段</w:t>
      </w:r>
      <w:r>
        <w:rPr>
          <w:rFonts w:hint="eastAsia" w:cs="宋体" w:asciiTheme="minorEastAsia" w:hAnsiTheme="minorEastAsia"/>
          <w:color w:val="auto"/>
          <w:sz w:val="21"/>
          <w:szCs w:val="21"/>
          <w:lang w:val="zh-CN"/>
        </w:rPr>
        <w:t>：</w:t>
      </w:r>
    </w:p>
    <w:tbl>
      <w:tblPr>
        <w:tblStyle w:val="32"/>
        <w:tblW w:w="9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408"/>
        <w:gridCol w:w="1555"/>
        <w:gridCol w:w="1270"/>
        <w:gridCol w:w="1689"/>
        <w:gridCol w:w="1639"/>
        <w:gridCol w:w="1457"/>
      </w:tblGrid>
      <w:tr w14:paraId="71B97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43" w:type="dxa"/>
            <w:shd w:val="clear" w:color="auto" w:fill="F2F2F2"/>
            <w:textDirection w:val="tbRlV"/>
            <w:vAlign w:val="top"/>
          </w:tcPr>
          <w:p w14:paraId="458825A2">
            <w:pPr>
              <w:pStyle w:val="31"/>
              <w:spacing w:before="166" w:line="218" w:lineRule="auto"/>
              <w:ind w:left="55"/>
              <w:rPr>
                <w:color w:val="auto"/>
                <w:sz w:val="21"/>
                <w:szCs w:val="21"/>
              </w:rPr>
            </w:pPr>
            <w:r>
              <w:rPr>
                <w:b/>
                <w:bCs/>
                <w:color w:val="auto"/>
                <w:spacing w:val="5"/>
                <w:sz w:val="21"/>
                <w:szCs w:val="21"/>
              </w:rPr>
              <w:t>序</w:t>
            </w:r>
            <w:r>
              <w:rPr>
                <w:color w:val="auto"/>
                <w:spacing w:val="5"/>
                <w:sz w:val="21"/>
                <w:szCs w:val="21"/>
              </w:rPr>
              <w:t xml:space="preserve"> </w:t>
            </w:r>
            <w:r>
              <w:rPr>
                <w:b/>
                <w:bCs/>
                <w:color w:val="auto"/>
                <w:spacing w:val="5"/>
                <w:sz w:val="21"/>
                <w:szCs w:val="21"/>
              </w:rPr>
              <w:t>号</w:t>
            </w:r>
          </w:p>
        </w:tc>
        <w:tc>
          <w:tcPr>
            <w:tcW w:w="1408" w:type="dxa"/>
            <w:shd w:val="clear" w:color="auto" w:fill="F2F2F2"/>
            <w:vAlign w:val="top"/>
          </w:tcPr>
          <w:p w14:paraId="22FF2910">
            <w:pPr>
              <w:pStyle w:val="31"/>
              <w:spacing w:before="211" w:line="228" w:lineRule="auto"/>
              <w:ind w:left="284"/>
              <w:rPr>
                <w:color w:val="auto"/>
                <w:sz w:val="21"/>
                <w:szCs w:val="21"/>
              </w:rPr>
            </w:pPr>
            <w:r>
              <w:rPr>
                <w:b/>
                <w:bCs/>
                <w:color w:val="auto"/>
                <w:spacing w:val="6"/>
                <w:sz w:val="21"/>
                <w:szCs w:val="21"/>
              </w:rPr>
              <w:t>产品名称</w:t>
            </w:r>
          </w:p>
        </w:tc>
        <w:tc>
          <w:tcPr>
            <w:tcW w:w="1555" w:type="dxa"/>
            <w:shd w:val="clear" w:color="auto" w:fill="F2F2F2"/>
            <w:vAlign w:val="top"/>
          </w:tcPr>
          <w:p w14:paraId="5D4865E6">
            <w:pPr>
              <w:pStyle w:val="31"/>
              <w:spacing w:before="211" w:line="228" w:lineRule="auto"/>
              <w:ind w:left="588"/>
              <w:rPr>
                <w:color w:val="auto"/>
                <w:sz w:val="21"/>
                <w:szCs w:val="21"/>
              </w:rPr>
            </w:pPr>
            <w:r>
              <w:rPr>
                <w:b/>
                <w:bCs/>
                <w:color w:val="auto"/>
                <w:spacing w:val="-5"/>
                <w:sz w:val="21"/>
                <w:szCs w:val="21"/>
              </w:rPr>
              <w:t>品牌</w:t>
            </w:r>
          </w:p>
        </w:tc>
        <w:tc>
          <w:tcPr>
            <w:tcW w:w="1270" w:type="dxa"/>
            <w:shd w:val="clear" w:color="auto" w:fill="F2F2F2"/>
            <w:vAlign w:val="top"/>
          </w:tcPr>
          <w:p w14:paraId="3FEEBDB6">
            <w:pPr>
              <w:pStyle w:val="31"/>
              <w:spacing w:before="211" w:line="228" w:lineRule="auto"/>
              <w:ind w:left="218"/>
              <w:rPr>
                <w:color w:val="auto"/>
                <w:sz w:val="21"/>
                <w:szCs w:val="21"/>
              </w:rPr>
            </w:pPr>
            <w:r>
              <w:rPr>
                <w:b/>
                <w:bCs/>
                <w:color w:val="auto"/>
                <w:spacing w:val="6"/>
                <w:sz w:val="21"/>
                <w:szCs w:val="21"/>
              </w:rPr>
              <w:t>产品型号</w:t>
            </w:r>
          </w:p>
        </w:tc>
        <w:tc>
          <w:tcPr>
            <w:tcW w:w="1689" w:type="dxa"/>
            <w:shd w:val="clear" w:color="auto" w:fill="F2F2F2"/>
            <w:vAlign w:val="top"/>
          </w:tcPr>
          <w:p w14:paraId="7D59FD38">
            <w:pPr>
              <w:pStyle w:val="31"/>
              <w:spacing w:before="211" w:line="228" w:lineRule="auto"/>
              <w:ind w:left="218"/>
              <w:rPr>
                <w:color w:val="auto"/>
                <w:sz w:val="21"/>
                <w:szCs w:val="21"/>
              </w:rPr>
            </w:pPr>
            <w:r>
              <w:rPr>
                <w:b/>
                <w:bCs/>
                <w:color w:val="auto"/>
                <w:spacing w:val="6"/>
                <w:sz w:val="21"/>
                <w:szCs w:val="21"/>
              </w:rPr>
              <w:t>认证证书编号</w:t>
            </w:r>
          </w:p>
        </w:tc>
        <w:tc>
          <w:tcPr>
            <w:tcW w:w="1639" w:type="dxa"/>
            <w:shd w:val="clear" w:color="auto" w:fill="F2F2F2"/>
            <w:vAlign w:val="top"/>
          </w:tcPr>
          <w:p w14:paraId="4E4F9936">
            <w:pPr>
              <w:pStyle w:val="31"/>
              <w:spacing w:before="211" w:line="228" w:lineRule="auto"/>
              <w:ind w:left="300"/>
              <w:rPr>
                <w:color w:val="auto"/>
                <w:sz w:val="21"/>
                <w:szCs w:val="21"/>
              </w:rPr>
            </w:pPr>
            <w:r>
              <w:rPr>
                <w:b/>
                <w:bCs/>
                <w:color w:val="auto"/>
                <w:spacing w:val="6"/>
                <w:sz w:val="21"/>
                <w:szCs w:val="21"/>
              </w:rPr>
              <w:t>证书有效期</w:t>
            </w:r>
          </w:p>
        </w:tc>
        <w:tc>
          <w:tcPr>
            <w:tcW w:w="1457" w:type="dxa"/>
            <w:shd w:val="clear" w:color="auto" w:fill="F2F2F2"/>
            <w:vAlign w:val="top"/>
          </w:tcPr>
          <w:p w14:paraId="08149ADB">
            <w:pPr>
              <w:pStyle w:val="31"/>
              <w:spacing w:before="211" w:line="228" w:lineRule="auto"/>
              <w:ind w:left="312"/>
              <w:rPr>
                <w:color w:val="auto"/>
                <w:sz w:val="21"/>
                <w:szCs w:val="21"/>
              </w:rPr>
            </w:pPr>
            <w:r>
              <w:rPr>
                <w:b/>
                <w:bCs/>
                <w:color w:val="auto"/>
                <w:spacing w:val="6"/>
                <w:sz w:val="21"/>
                <w:szCs w:val="21"/>
              </w:rPr>
              <w:t>认证机构</w:t>
            </w:r>
          </w:p>
        </w:tc>
      </w:tr>
      <w:tr w14:paraId="60D47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543" w:type="dxa"/>
            <w:vAlign w:val="top"/>
          </w:tcPr>
          <w:p w14:paraId="1BE2C98F">
            <w:pPr>
              <w:spacing w:line="288" w:lineRule="auto"/>
              <w:rPr>
                <w:rFonts w:ascii="Arial"/>
                <w:color w:val="auto"/>
                <w:sz w:val="21"/>
                <w:szCs w:val="21"/>
              </w:rPr>
            </w:pPr>
          </w:p>
          <w:p w14:paraId="05A1C414">
            <w:pPr>
              <w:pStyle w:val="31"/>
              <w:spacing w:before="65" w:line="189" w:lineRule="auto"/>
              <w:ind w:left="238"/>
              <w:rPr>
                <w:color w:val="auto"/>
                <w:sz w:val="21"/>
                <w:szCs w:val="21"/>
              </w:rPr>
            </w:pPr>
            <w:r>
              <w:rPr>
                <w:color w:val="auto"/>
                <w:sz w:val="21"/>
                <w:szCs w:val="21"/>
              </w:rPr>
              <w:t>1</w:t>
            </w:r>
          </w:p>
        </w:tc>
        <w:tc>
          <w:tcPr>
            <w:tcW w:w="1408" w:type="dxa"/>
            <w:vAlign w:val="top"/>
          </w:tcPr>
          <w:p w14:paraId="5E5D87D1">
            <w:pPr>
              <w:rPr>
                <w:rFonts w:ascii="Arial"/>
                <w:color w:val="auto"/>
                <w:sz w:val="21"/>
                <w:szCs w:val="21"/>
              </w:rPr>
            </w:pPr>
          </w:p>
        </w:tc>
        <w:tc>
          <w:tcPr>
            <w:tcW w:w="1555" w:type="dxa"/>
            <w:vAlign w:val="top"/>
          </w:tcPr>
          <w:p w14:paraId="77F8C2A7">
            <w:pPr>
              <w:rPr>
                <w:rFonts w:ascii="Arial"/>
                <w:color w:val="auto"/>
                <w:sz w:val="21"/>
                <w:szCs w:val="21"/>
              </w:rPr>
            </w:pPr>
          </w:p>
        </w:tc>
        <w:tc>
          <w:tcPr>
            <w:tcW w:w="1270" w:type="dxa"/>
            <w:vAlign w:val="top"/>
          </w:tcPr>
          <w:p w14:paraId="3CF06964">
            <w:pPr>
              <w:rPr>
                <w:rFonts w:ascii="Arial"/>
                <w:color w:val="auto"/>
                <w:sz w:val="21"/>
                <w:szCs w:val="21"/>
              </w:rPr>
            </w:pPr>
          </w:p>
        </w:tc>
        <w:tc>
          <w:tcPr>
            <w:tcW w:w="1689" w:type="dxa"/>
            <w:vAlign w:val="top"/>
          </w:tcPr>
          <w:p w14:paraId="3A9E09BD">
            <w:pPr>
              <w:rPr>
                <w:rFonts w:ascii="Arial"/>
                <w:color w:val="auto"/>
                <w:sz w:val="21"/>
                <w:szCs w:val="21"/>
              </w:rPr>
            </w:pPr>
          </w:p>
        </w:tc>
        <w:tc>
          <w:tcPr>
            <w:tcW w:w="1639" w:type="dxa"/>
            <w:vAlign w:val="top"/>
          </w:tcPr>
          <w:p w14:paraId="1F1B6BAB">
            <w:pPr>
              <w:rPr>
                <w:rFonts w:ascii="Arial"/>
                <w:color w:val="auto"/>
                <w:sz w:val="21"/>
                <w:szCs w:val="21"/>
              </w:rPr>
            </w:pPr>
          </w:p>
        </w:tc>
        <w:tc>
          <w:tcPr>
            <w:tcW w:w="1457" w:type="dxa"/>
            <w:vAlign w:val="top"/>
          </w:tcPr>
          <w:p w14:paraId="7EF77693">
            <w:pPr>
              <w:rPr>
                <w:rFonts w:ascii="Arial"/>
                <w:color w:val="auto"/>
                <w:sz w:val="21"/>
                <w:szCs w:val="21"/>
              </w:rPr>
            </w:pPr>
          </w:p>
        </w:tc>
      </w:tr>
      <w:tr w14:paraId="1C6B1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43" w:type="dxa"/>
            <w:vAlign w:val="top"/>
          </w:tcPr>
          <w:p w14:paraId="75890FD3">
            <w:pPr>
              <w:spacing w:line="288" w:lineRule="auto"/>
              <w:rPr>
                <w:rFonts w:ascii="Arial"/>
                <w:color w:val="auto"/>
                <w:sz w:val="21"/>
                <w:szCs w:val="21"/>
              </w:rPr>
            </w:pPr>
          </w:p>
          <w:p w14:paraId="6B4D164B">
            <w:pPr>
              <w:pStyle w:val="31"/>
              <w:spacing w:before="65" w:line="189" w:lineRule="auto"/>
              <w:ind w:left="225"/>
              <w:rPr>
                <w:color w:val="auto"/>
                <w:sz w:val="21"/>
                <w:szCs w:val="21"/>
              </w:rPr>
            </w:pPr>
            <w:r>
              <w:rPr>
                <w:color w:val="auto"/>
                <w:sz w:val="21"/>
                <w:szCs w:val="21"/>
              </w:rPr>
              <w:t>2</w:t>
            </w:r>
          </w:p>
        </w:tc>
        <w:tc>
          <w:tcPr>
            <w:tcW w:w="1408" w:type="dxa"/>
            <w:vAlign w:val="top"/>
          </w:tcPr>
          <w:p w14:paraId="7B18992E">
            <w:pPr>
              <w:rPr>
                <w:rFonts w:ascii="Arial"/>
                <w:color w:val="auto"/>
                <w:sz w:val="21"/>
                <w:szCs w:val="21"/>
              </w:rPr>
            </w:pPr>
          </w:p>
        </w:tc>
        <w:tc>
          <w:tcPr>
            <w:tcW w:w="1555" w:type="dxa"/>
            <w:vAlign w:val="top"/>
          </w:tcPr>
          <w:p w14:paraId="07CADC2C">
            <w:pPr>
              <w:rPr>
                <w:rFonts w:ascii="Arial"/>
                <w:color w:val="auto"/>
                <w:sz w:val="21"/>
                <w:szCs w:val="21"/>
              </w:rPr>
            </w:pPr>
          </w:p>
        </w:tc>
        <w:tc>
          <w:tcPr>
            <w:tcW w:w="1270" w:type="dxa"/>
            <w:vAlign w:val="top"/>
          </w:tcPr>
          <w:p w14:paraId="0978359B">
            <w:pPr>
              <w:rPr>
                <w:rFonts w:ascii="Arial"/>
                <w:color w:val="auto"/>
                <w:sz w:val="21"/>
                <w:szCs w:val="21"/>
              </w:rPr>
            </w:pPr>
          </w:p>
        </w:tc>
        <w:tc>
          <w:tcPr>
            <w:tcW w:w="1689" w:type="dxa"/>
            <w:vAlign w:val="top"/>
          </w:tcPr>
          <w:p w14:paraId="7DBBCDF0">
            <w:pPr>
              <w:rPr>
                <w:rFonts w:ascii="Arial"/>
                <w:color w:val="auto"/>
                <w:sz w:val="21"/>
                <w:szCs w:val="21"/>
              </w:rPr>
            </w:pPr>
          </w:p>
        </w:tc>
        <w:tc>
          <w:tcPr>
            <w:tcW w:w="1639" w:type="dxa"/>
            <w:vAlign w:val="top"/>
          </w:tcPr>
          <w:p w14:paraId="6FC589D9">
            <w:pPr>
              <w:rPr>
                <w:rFonts w:ascii="Arial"/>
                <w:color w:val="auto"/>
                <w:sz w:val="21"/>
                <w:szCs w:val="21"/>
              </w:rPr>
            </w:pPr>
          </w:p>
        </w:tc>
        <w:tc>
          <w:tcPr>
            <w:tcW w:w="1457" w:type="dxa"/>
            <w:vAlign w:val="top"/>
          </w:tcPr>
          <w:p w14:paraId="2865EE5C">
            <w:pPr>
              <w:rPr>
                <w:rFonts w:ascii="Arial"/>
                <w:color w:val="auto"/>
                <w:sz w:val="21"/>
                <w:szCs w:val="21"/>
              </w:rPr>
            </w:pPr>
          </w:p>
        </w:tc>
      </w:tr>
      <w:tr w14:paraId="6DD47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43" w:type="dxa"/>
            <w:vAlign w:val="top"/>
          </w:tcPr>
          <w:p w14:paraId="371150F2">
            <w:pPr>
              <w:spacing w:line="257" w:lineRule="auto"/>
              <w:rPr>
                <w:rFonts w:ascii="Arial"/>
                <w:color w:val="auto"/>
                <w:sz w:val="21"/>
                <w:szCs w:val="21"/>
              </w:rPr>
            </w:pPr>
          </w:p>
          <w:p w14:paraId="7D711D66">
            <w:pPr>
              <w:pStyle w:val="31"/>
              <w:spacing w:before="65" w:line="325" w:lineRule="exact"/>
              <w:ind w:left="185"/>
              <w:rPr>
                <w:color w:val="auto"/>
                <w:sz w:val="21"/>
                <w:szCs w:val="21"/>
              </w:rPr>
            </w:pPr>
            <w:r>
              <w:rPr>
                <w:color w:val="auto"/>
                <w:position w:val="3"/>
                <w:sz w:val="21"/>
                <w:szCs w:val="21"/>
              </w:rPr>
              <w:t>…</w:t>
            </w:r>
          </w:p>
        </w:tc>
        <w:tc>
          <w:tcPr>
            <w:tcW w:w="1408" w:type="dxa"/>
            <w:vAlign w:val="top"/>
          </w:tcPr>
          <w:p w14:paraId="754B9D46">
            <w:pPr>
              <w:rPr>
                <w:rFonts w:ascii="Arial"/>
                <w:color w:val="auto"/>
                <w:sz w:val="21"/>
                <w:szCs w:val="21"/>
              </w:rPr>
            </w:pPr>
          </w:p>
        </w:tc>
        <w:tc>
          <w:tcPr>
            <w:tcW w:w="1555" w:type="dxa"/>
            <w:vAlign w:val="top"/>
          </w:tcPr>
          <w:p w14:paraId="0CE05115">
            <w:pPr>
              <w:rPr>
                <w:rFonts w:ascii="Arial"/>
                <w:color w:val="auto"/>
                <w:sz w:val="21"/>
                <w:szCs w:val="21"/>
              </w:rPr>
            </w:pPr>
          </w:p>
        </w:tc>
        <w:tc>
          <w:tcPr>
            <w:tcW w:w="1270" w:type="dxa"/>
            <w:vAlign w:val="top"/>
          </w:tcPr>
          <w:p w14:paraId="79E4D680">
            <w:pPr>
              <w:rPr>
                <w:rFonts w:ascii="Arial"/>
                <w:color w:val="auto"/>
                <w:sz w:val="21"/>
                <w:szCs w:val="21"/>
              </w:rPr>
            </w:pPr>
          </w:p>
        </w:tc>
        <w:tc>
          <w:tcPr>
            <w:tcW w:w="1689" w:type="dxa"/>
            <w:vAlign w:val="top"/>
          </w:tcPr>
          <w:p w14:paraId="022683B9">
            <w:pPr>
              <w:rPr>
                <w:rFonts w:ascii="Arial"/>
                <w:color w:val="auto"/>
                <w:sz w:val="21"/>
                <w:szCs w:val="21"/>
              </w:rPr>
            </w:pPr>
          </w:p>
        </w:tc>
        <w:tc>
          <w:tcPr>
            <w:tcW w:w="1639" w:type="dxa"/>
            <w:vAlign w:val="top"/>
          </w:tcPr>
          <w:p w14:paraId="3549E89A">
            <w:pPr>
              <w:rPr>
                <w:rFonts w:ascii="Arial"/>
                <w:color w:val="auto"/>
                <w:sz w:val="21"/>
                <w:szCs w:val="21"/>
              </w:rPr>
            </w:pPr>
          </w:p>
        </w:tc>
        <w:tc>
          <w:tcPr>
            <w:tcW w:w="1457" w:type="dxa"/>
            <w:vAlign w:val="top"/>
          </w:tcPr>
          <w:p w14:paraId="3FFFE544">
            <w:pPr>
              <w:rPr>
                <w:rFonts w:ascii="Arial"/>
                <w:color w:val="auto"/>
                <w:sz w:val="21"/>
                <w:szCs w:val="21"/>
              </w:rPr>
            </w:pPr>
          </w:p>
        </w:tc>
      </w:tr>
    </w:tbl>
    <w:p w14:paraId="5A1D1761">
      <w:pPr>
        <w:autoSpaceDE w:val="0"/>
        <w:autoSpaceDN w:val="0"/>
        <w:adjustRightInd w:val="0"/>
        <w:spacing w:line="360" w:lineRule="auto"/>
        <w:ind w:firstLine="420" w:firstLineChars="200"/>
        <w:rPr>
          <w:rFonts w:cs="宋体" w:asciiTheme="minorEastAsia" w:hAnsiTheme="minorEastAsia"/>
          <w:color w:val="auto"/>
          <w:sz w:val="21"/>
          <w:szCs w:val="21"/>
          <w:lang w:val="zh-CN"/>
        </w:rPr>
      </w:pPr>
      <w:r>
        <w:rPr>
          <w:rFonts w:hint="eastAsia" w:cs="宋体" w:asciiTheme="minorEastAsia" w:hAnsiTheme="minorEastAsia"/>
          <w:color w:val="auto"/>
          <w:sz w:val="21"/>
          <w:szCs w:val="21"/>
          <w:lang w:val="zh-CN"/>
        </w:rPr>
        <w:t>供应商（盖章）：</w:t>
      </w:r>
    </w:p>
    <w:p w14:paraId="0DAF5017">
      <w:pPr>
        <w:autoSpaceDE w:val="0"/>
        <w:autoSpaceDN w:val="0"/>
        <w:adjustRightInd w:val="0"/>
        <w:spacing w:line="360" w:lineRule="auto"/>
        <w:ind w:firstLine="420" w:firstLineChars="200"/>
        <w:rPr>
          <w:rFonts w:cs="宋体" w:asciiTheme="minorEastAsia" w:hAnsiTheme="minorEastAsia"/>
          <w:color w:val="auto"/>
          <w:sz w:val="21"/>
          <w:szCs w:val="21"/>
          <w:lang w:val="zh-CN"/>
        </w:rPr>
      </w:pPr>
      <w:r>
        <w:rPr>
          <w:rFonts w:hint="eastAsia" w:cs="宋体" w:asciiTheme="minorEastAsia" w:hAnsiTheme="minorEastAsia"/>
          <w:color w:val="auto"/>
          <w:sz w:val="21"/>
          <w:szCs w:val="21"/>
          <w:lang w:val="zh-CN"/>
        </w:rPr>
        <w:t>法定代表人、负责人、本人，或授权代表（签字或盖章）：</w:t>
      </w:r>
    </w:p>
    <w:p w14:paraId="02E294E4">
      <w:pPr>
        <w:autoSpaceDE w:val="0"/>
        <w:autoSpaceDN w:val="0"/>
        <w:adjustRightInd w:val="0"/>
        <w:spacing w:line="360" w:lineRule="auto"/>
        <w:ind w:firstLine="420" w:firstLineChars="200"/>
        <w:rPr>
          <w:rFonts w:hint="eastAsia" w:cs="宋体" w:asciiTheme="minorEastAsia" w:hAnsiTheme="minorEastAsia"/>
          <w:color w:val="auto"/>
          <w:sz w:val="21"/>
          <w:szCs w:val="21"/>
          <w:lang w:val="zh-CN"/>
        </w:rPr>
      </w:pPr>
      <w:r>
        <w:rPr>
          <w:rFonts w:hint="eastAsia" w:cs="宋体" w:asciiTheme="minorEastAsia" w:hAnsiTheme="minorEastAsia"/>
          <w:color w:val="auto"/>
          <w:sz w:val="21"/>
          <w:szCs w:val="21"/>
          <w:lang w:val="zh-CN"/>
        </w:rPr>
        <w:t>日期：   年   月   日</w:t>
      </w:r>
    </w:p>
    <w:p w14:paraId="0621C10F">
      <w:pPr>
        <w:autoSpaceDE w:val="0"/>
        <w:autoSpaceDN w:val="0"/>
        <w:adjustRightInd w:val="0"/>
        <w:spacing w:line="360" w:lineRule="auto"/>
        <w:jc w:val="both"/>
        <w:rPr>
          <w:rFonts w:hint="eastAsia" w:ascii="宋体" w:hAnsi="宋体" w:eastAsia="宋体" w:cs="宋体"/>
          <w:b/>
          <w:bCs/>
          <w:color w:val="auto"/>
          <w:sz w:val="21"/>
          <w:szCs w:val="21"/>
          <w:lang w:val="zh-CN"/>
        </w:rPr>
      </w:pPr>
    </w:p>
    <w:p w14:paraId="460FB6DC">
      <w:pPr>
        <w:autoSpaceDE w:val="0"/>
        <w:autoSpaceDN w:val="0"/>
        <w:spacing w:line="360" w:lineRule="auto"/>
        <w:jc w:val="center"/>
        <w:rPr>
          <w:rFonts w:hint="eastAsia" w:ascii="宋体" w:hAnsi="宋体" w:eastAsia="宋体" w:cs="宋体"/>
          <w:b/>
          <w:color w:val="auto"/>
          <w:sz w:val="21"/>
          <w:szCs w:val="21"/>
          <w:lang w:val="en-US" w:eastAsia="zh-CN"/>
        </w:rPr>
      </w:pPr>
    </w:p>
    <w:p w14:paraId="3EB449C9">
      <w:pPr>
        <w:autoSpaceDE w:val="0"/>
        <w:autoSpaceDN w:val="0"/>
        <w:spacing w:line="360" w:lineRule="auto"/>
        <w:jc w:val="center"/>
        <w:rPr>
          <w:rFonts w:hint="eastAsia" w:ascii="宋体" w:hAnsi="宋体" w:eastAsia="宋体" w:cs="宋体"/>
          <w:b/>
          <w:color w:val="auto"/>
          <w:sz w:val="21"/>
          <w:szCs w:val="21"/>
          <w:lang w:val="en-US" w:eastAsia="zh-CN"/>
        </w:rPr>
      </w:pPr>
    </w:p>
    <w:p w14:paraId="19207435">
      <w:pPr>
        <w:spacing w:before="65" w:line="228" w:lineRule="auto"/>
        <w:ind w:left="122"/>
        <w:rPr>
          <w:rFonts w:ascii="宋体" w:hAnsi="宋体" w:eastAsia="宋体" w:cs="宋体"/>
          <w:color w:val="auto"/>
          <w:sz w:val="21"/>
          <w:szCs w:val="21"/>
        </w:rPr>
      </w:pPr>
      <w:r>
        <w:rPr>
          <w:rFonts w:ascii="宋体" w:hAnsi="宋体" w:eastAsia="宋体" w:cs="宋体"/>
          <w:color w:val="auto"/>
          <w:spacing w:val="8"/>
          <w:sz w:val="21"/>
          <w:szCs w:val="21"/>
        </w:rPr>
        <w:t>说明：所投产品环境标志产品认证证书须附后。</w:t>
      </w:r>
    </w:p>
    <w:p w14:paraId="3A5D7AFA">
      <w:pPr>
        <w:autoSpaceDE w:val="0"/>
        <w:autoSpaceDN w:val="0"/>
        <w:spacing w:line="360" w:lineRule="auto"/>
        <w:jc w:val="both"/>
        <w:rPr>
          <w:rFonts w:hint="eastAsia" w:ascii="宋体" w:hAnsi="宋体" w:eastAsia="宋体" w:cs="宋体"/>
          <w:b/>
          <w:color w:val="auto"/>
          <w:sz w:val="21"/>
          <w:szCs w:val="21"/>
          <w:lang w:val="en-US" w:eastAsia="zh-CN"/>
        </w:rPr>
      </w:pPr>
    </w:p>
    <w:p w14:paraId="4D426B9D">
      <w:pPr>
        <w:autoSpaceDE w:val="0"/>
        <w:autoSpaceDN w:val="0"/>
        <w:adjustRightInd w:val="0"/>
        <w:spacing w:line="360" w:lineRule="auto"/>
        <w:rPr>
          <w:rFonts w:hint="eastAsia" w:cs="黑体" w:asciiTheme="minorEastAsia" w:hAnsiTheme="minorEastAsia"/>
          <w:b/>
          <w:bCs/>
          <w:color w:val="auto"/>
          <w:sz w:val="28"/>
          <w:szCs w:val="28"/>
        </w:rPr>
      </w:pPr>
    </w:p>
    <w:p w14:paraId="2B89D600">
      <w:pPr>
        <w:autoSpaceDE w:val="0"/>
        <w:autoSpaceDN w:val="0"/>
        <w:adjustRightInd w:val="0"/>
        <w:spacing w:line="360" w:lineRule="auto"/>
        <w:jc w:val="center"/>
        <w:rPr>
          <w:rFonts w:hint="eastAsia"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14:paraId="2B89D601">
      <w:pPr>
        <w:rPr>
          <w:color w:val="auto"/>
        </w:rPr>
      </w:pPr>
    </w:p>
    <w:p w14:paraId="2B89D602">
      <w:pPr>
        <w:rPr>
          <w:color w:val="auto"/>
        </w:rPr>
      </w:pPr>
    </w:p>
    <w:p w14:paraId="2B89D603">
      <w:pPr>
        <w:rPr>
          <w:color w:val="auto"/>
        </w:rPr>
      </w:pPr>
    </w:p>
    <w:p w14:paraId="2B89D604">
      <w:pPr>
        <w:spacing w:line="360" w:lineRule="auto"/>
        <w:jc w:val="center"/>
        <w:rPr>
          <w:rFonts w:hint="eastAsia" w:ascii="宋体" w:hAnsi="宋体"/>
          <w:b/>
          <w:bCs/>
          <w:color w:val="auto"/>
          <w:szCs w:val="21"/>
        </w:rPr>
      </w:pPr>
      <w:r>
        <w:rPr>
          <w:rFonts w:ascii="宋体" w:hAnsi="宋体"/>
          <w:b/>
          <w:bCs/>
          <w:color w:val="auto"/>
          <w:szCs w:val="21"/>
        </w:rPr>
        <w:t>除</w:t>
      </w:r>
      <w:r>
        <w:rPr>
          <w:rFonts w:hint="eastAsia" w:ascii="宋体" w:hAnsi="宋体"/>
          <w:b/>
          <w:bCs/>
          <w:color w:val="auto"/>
          <w:szCs w:val="21"/>
        </w:rPr>
        <w:t>招标</w:t>
      </w:r>
      <w:r>
        <w:rPr>
          <w:rFonts w:ascii="宋体" w:hAnsi="宋体"/>
          <w:b/>
          <w:bCs/>
          <w:color w:val="auto"/>
          <w:szCs w:val="21"/>
        </w:rPr>
        <w:t>文件另有规定外，</w:t>
      </w:r>
      <w:r>
        <w:rPr>
          <w:rFonts w:hint="eastAsia" w:ascii="宋体" w:hAnsi="宋体"/>
          <w:b/>
          <w:bCs/>
          <w:color w:val="auto"/>
          <w:szCs w:val="21"/>
        </w:rPr>
        <w:t>投标人</w:t>
      </w:r>
      <w:r>
        <w:rPr>
          <w:rFonts w:ascii="宋体" w:hAnsi="宋体"/>
          <w:b/>
          <w:bCs/>
          <w:color w:val="auto"/>
          <w:szCs w:val="21"/>
        </w:rPr>
        <w:t>认为需要提交的其他证明材料或资料加盖</w:t>
      </w:r>
      <w:r>
        <w:rPr>
          <w:rFonts w:hint="eastAsia" w:ascii="宋体" w:hAnsi="宋体"/>
          <w:b/>
          <w:bCs/>
          <w:color w:val="auto"/>
          <w:szCs w:val="21"/>
        </w:rPr>
        <w:t>投标人</w:t>
      </w:r>
      <w:r>
        <w:rPr>
          <w:rFonts w:ascii="宋体" w:hAnsi="宋体"/>
          <w:b/>
          <w:bCs/>
          <w:color w:val="auto"/>
          <w:szCs w:val="21"/>
        </w:rPr>
        <w:t>公章后应在此项下提交。</w:t>
      </w:r>
    </w:p>
    <w:p w14:paraId="2B89D60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Helvetica">
    <w:panose1 w:val="020B0504020202030204"/>
    <w:charset w:val="00"/>
    <w:family w:val="swiss"/>
    <w:pitch w:val="default"/>
    <w:sig w:usb0="00000007" w:usb1="00000000" w:usb2="00000000" w:usb3="00000000" w:csb0="00000093"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9AFA1BE3"/>
    <w:multiLevelType w:val="singleLevel"/>
    <w:tmpl w:val="9AFA1BE3"/>
    <w:lvl w:ilvl="0" w:tentative="0">
      <w:start w:val="1"/>
      <w:numFmt w:val="decimal"/>
      <w:lvlText w:val="%1."/>
      <w:lvlJc w:val="left"/>
      <w:pPr>
        <w:tabs>
          <w:tab w:val="left" w:pos="312"/>
        </w:tabs>
      </w:pPr>
    </w:lvl>
  </w:abstractNum>
  <w:abstractNum w:abstractNumId="3">
    <w:nsid w:val="A6886026"/>
    <w:multiLevelType w:val="singleLevel"/>
    <w:tmpl w:val="A6886026"/>
    <w:lvl w:ilvl="0" w:tentative="0">
      <w:start w:val="1"/>
      <w:numFmt w:val="decimal"/>
      <w:suff w:val="nothing"/>
      <w:lvlText w:val="%1、"/>
      <w:lvlJc w:val="left"/>
    </w:lvl>
  </w:abstractNum>
  <w:abstractNum w:abstractNumId="4">
    <w:nsid w:val="BED19D17"/>
    <w:multiLevelType w:val="singleLevel"/>
    <w:tmpl w:val="BED19D17"/>
    <w:lvl w:ilvl="0" w:tentative="0">
      <w:start w:val="1"/>
      <w:numFmt w:val="decimal"/>
      <w:lvlText w:val="%1."/>
      <w:lvlJc w:val="left"/>
      <w:pPr>
        <w:tabs>
          <w:tab w:val="left" w:pos="312"/>
        </w:tabs>
      </w:pPr>
    </w:lvl>
  </w:abstractNum>
  <w:abstractNum w:abstractNumId="5">
    <w:nsid w:val="BF0A1E1E"/>
    <w:multiLevelType w:val="singleLevel"/>
    <w:tmpl w:val="BF0A1E1E"/>
    <w:lvl w:ilvl="0" w:tentative="0">
      <w:start w:val="2"/>
      <w:numFmt w:val="chineseCounting"/>
      <w:suff w:val="nothing"/>
      <w:lvlText w:val="%1、"/>
      <w:lvlJc w:val="left"/>
      <w:rPr>
        <w:rFonts w:hint="eastAsia"/>
      </w:rPr>
    </w:lvl>
  </w:abstractNum>
  <w:abstractNum w:abstractNumId="6">
    <w:nsid w:val="C03510FD"/>
    <w:multiLevelType w:val="singleLevel"/>
    <w:tmpl w:val="C03510FD"/>
    <w:lvl w:ilvl="0" w:tentative="0">
      <w:start w:val="6"/>
      <w:numFmt w:val="decimal"/>
      <w:suff w:val="nothing"/>
      <w:lvlText w:val="（%1）"/>
      <w:lvlJc w:val="left"/>
    </w:lvl>
  </w:abstractNum>
  <w:abstractNum w:abstractNumId="7">
    <w:nsid w:val="C7E60A71"/>
    <w:multiLevelType w:val="singleLevel"/>
    <w:tmpl w:val="C7E60A71"/>
    <w:lvl w:ilvl="0" w:tentative="0">
      <w:start w:val="1"/>
      <w:numFmt w:val="chineseCounting"/>
      <w:suff w:val="nothing"/>
      <w:lvlText w:val="%1、"/>
      <w:lvlJc w:val="left"/>
      <w:rPr>
        <w:rFonts w:hint="eastAsia"/>
      </w:rPr>
    </w:lvl>
  </w:abstractNum>
  <w:abstractNum w:abstractNumId="8">
    <w:nsid w:val="C80AD064"/>
    <w:multiLevelType w:val="singleLevel"/>
    <w:tmpl w:val="C80AD064"/>
    <w:lvl w:ilvl="0" w:tentative="0">
      <w:start w:val="2"/>
      <w:numFmt w:val="chineseCounting"/>
      <w:suff w:val="space"/>
      <w:lvlText w:val="第%1章"/>
      <w:lvlJc w:val="left"/>
      <w:rPr>
        <w:rFonts w:hint="eastAsia"/>
      </w:rPr>
    </w:lvl>
  </w:abstractNum>
  <w:abstractNum w:abstractNumId="9">
    <w:nsid w:val="00000014"/>
    <w:multiLevelType w:val="multilevel"/>
    <w:tmpl w:val="00000014"/>
    <w:lvl w:ilvl="0" w:tentative="0">
      <w:start w:val="1"/>
      <w:numFmt w:val="decimal"/>
      <w:pStyle w:val="2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3D55D76B"/>
    <w:multiLevelType w:val="singleLevel"/>
    <w:tmpl w:val="3D55D76B"/>
    <w:lvl w:ilvl="0" w:tentative="0">
      <w:start w:val="1"/>
      <w:numFmt w:val="decimal"/>
      <w:suff w:val="space"/>
      <w:lvlText w:val="(%1)"/>
      <w:lvlJc w:val="left"/>
    </w:lvl>
  </w:abstractNum>
  <w:abstractNum w:abstractNumId="13">
    <w:nsid w:val="56729B3E"/>
    <w:multiLevelType w:val="singleLevel"/>
    <w:tmpl w:val="56729B3E"/>
    <w:lvl w:ilvl="0" w:tentative="0">
      <w:start w:val="7"/>
      <w:numFmt w:val="chineseCounting"/>
      <w:suff w:val="space"/>
      <w:lvlText w:val="第%1章"/>
      <w:lvlJc w:val="left"/>
      <w:rPr>
        <w:rFonts w:hint="eastAsia"/>
      </w:rPr>
    </w:lvl>
  </w:abstractNum>
  <w:abstractNum w:abstractNumId="14">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59F817E8"/>
    <w:multiLevelType w:val="singleLevel"/>
    <w:tmpl w:val="59F817E8"/>
    <w:lvl w:ilvl="0" w:tentative="0">
      <w:start w:val="1"/>
      <w:numFmt w:val="chineseCounting"/>
      <w:pStyle w:val="27"/>
      <w:suff w:val="nothing"/>
      <w:lvlText w:val="%1、"/>
      <w:lvlJc w:val="left"/>
    </w:lvl>
  </w:abstractNum>
  <w:abstractNum w:abstractNumId="16">
    <w:nsid w:val="66BC0062"/>
    <w:multiLevelType w:val="multilevel"/>
    <w:tmpl w:val="66BC006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7">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9"/>
  </w:num>
  <w:num w:numId="2">
    <w:abstractNumId w:val="15"/>
  </w:num>
  <w:num w:numId="3">
    <w:abstractNumId w:val="8"/>
  </w:num>
  <w:num w:numId="4">
    <w:abstractNumId w:val="7"/>
  </w:num>
  <w:num w:numId="5">
    <w:abstractNumId w:val="5"/>
  </w:num>
  <w:num w:numId="6">
    <w:abstractNumId w:val="16"/>
  </w:num>
  <w:num w:numId="7">
    <w:abstractNumId w:val="2"/>
  </w:num>
  <w:num w:numId="8">
    <w:abstractNumId w:val="3"/>
  </w:num>
  <w:num w:numId="9">
    <w:abstractNumId w:val="11"/>
  </w:num>
  <w:num w:numId="10">
    <w:abstractNumId w:val="17"/>
  </w:num>
  <w:num w:numId="11">
    <w:abstractNumId w:val="1"/>
  </w:num>
  <w:num w:numId="12">
    <w:abstractNumId w:val="0"/>
  </w:num>
  <w:num w:numId="13">
    <w:abstractNumId w:val="12"/>
  </w:num>
  <w:num w:numId="14">
    <w:abstractNumId w:val="6"/>
  </w:num>
  <w:num w:numId="15">
    <w:abstractNumId w:val="4"/>
  </w:num>
  <w:num w:numId="16">
    <w:abstractNumId w:val="13"/>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581320"/>
    <w:rsid w:val="000C51EB"/>
    <w:rsid w:val="0019234F"/>
    <w:rsid w:val="001C21A3"/>
    <w:rsid w:val="0032026C"/>
    <w:rsid w:val="004A355A"/>
    <w:rsid w:val="005F3245"/>
    <w:rsid w:val="00745F0B"/>
    <w:rsid w:val="00825002"/>
    <w:rsid w:val="008F2B6E"/>
    <w:rsid w:val="009107CC"/>
    <w:rsid w:val="00C25AA7"/>
    <w:rsid w:val="00EA6C67"/>
    <w:rsid w:val="00F315C8"/>
    <w:rsid w:val="00FF7F1A"/>
    <w:rsid w:val="01086C64"/>
    <w:rsid w:val="013E4434"/>
    <w:rsid w:val="01B63B53"/>
    <w:rsid w:val="037D56E7"/>
    <w:rsid w:val="03D472D2"/>
    <w:rsid w:val="055E32F7"/>
    <w:rsid w:val="05E7509A"/>
    <w:rsid w:val="060E6ACB"/>
    <w:rsid w:val="060F45F1"/>
    <w:rsid w:val="061C410F"/>
    <w:rsid w:val="07D433FC"/>
    <w:rsid w:val="08CE42EF"/>
    <w:rsid w:val="0A4F320E"/>
    <w:rsid w:val="0A5D3B7D"/>
    <w:rsid w:val="0B185CF6"/>
    <w:rsid w:val="0B7E3D66"/>
    <w:rsid w:val="0BF16C73"/>
    <w:rsid w:val="0CF46990"/>
    <w:rsid w:val="0CFA3905"/>
    <w:rsid w:val="0DFC36AD"/>
    <w:rsid w:val="0E140A6B"/>
    <w:rsid w:val="0ECA37AB"/>
    <w:rsid w:val="0F8A6A96"/>
    <w:rsid w:val="10702130"/>
    <w:rsid w:val="10797237"/>
    <w:rsid w:val="110F36F7"/>
    <w:rsid w:val="13D6674E"/>
    <w:rsid w:val="14AD5701"/>
    <w:rsid w:val="14C32369"/>
    <w:rsid w:val="153943AF"/>
    <w:rsid w:val="15477903"/>
    <w:rsid w:val="156F29B6"/>
    <w:rsid w:val="15DC65E3"/>
    <w:rsid w:val="190B19F9"/>
    <w:rsid w:val="196C5B8A"/>
    <w:rsid w:val="19A5109C"/>
    <w:rsid w:val="1A0C2EC9"/>
    <w:rsid w:val="1A6D6F89"/>
    <w:rsid w:val="1B3C7454"/>
    <w:rsid w:val="1B886580"/>
    <w:rsid w:val="1B943177"/>
    <w:rsid w:val="1BAC6712"/>
    <w:rsid w:val="1BB11F7A"/>
    <w:rsid w:val="1BC03F6C"/>
    <w:rsid w:val="1C0C71B1"/>
    <w:rsid w:val="1CA850A2"/>
    <w:rsid w:val="1CD06430"/>
    <w:rsid w:val="1DCA2E80"/>
    <w:rsid w:val="1EAB0F03"/>
    <w:rsid w:val="1ED146E2"/>
    <w:rsid w:val="1F122D30"/>
    <w:rsid w:val="2027280B"/>
    <w:rsid w:val="20F562C0"/>
    <w:rsid w:val="20FC3C98"/>
    <w:rsid w:val="21051C71"/>
    <w:rsid w:val="212E7BC9"/>
    <w:rsid w:val="21590ACC"/>
    <w:rsid w:val="22AC524A"/>
    <w:rsid w:val="23130E25"/>
    <w:rsid w:val="23152DEF"/>
    <w:rsid w:val="23627FFE"/>
    <w:rsid w:val="238241FC"/>
    <w:rsid w:val="23927375"/>
    <w:rsid w:val="25493224"/>
    <w:rsid w:val="269E7C09"/>
    <w:rsid w:val="287E4F92"/>
    <w:rsid w:val="28B210E0"/>
    <w:rsid w:val="295D54F0"/>
    <w:rsid w:val="298365D8"/>
    <w:rsid w:val="2A422128"/>
    <w:rsid w:val="2A5E151F"/>
    <w:rsid w:val="2B391645"/>
    <w:rsid w:val="2BC03B14"/>
    <w:rsid w:val="2BF10209"/>
    <w:rsid w:val="2C2322E7"/>
    <w:rsid w:val="2C2C11A9"/>
    <w:rsid w:val="2C6B7F24"/>
    <w:rsid w:val="2C7D37B3"/>
    <w:rsid w:val="2CA1772C"/>
    <w:rsid w:val="2CA84CD4"/>
    <w:rsid w:val="2CBA0563"/>
    <w:rsid w:val="2D6A3D37"/>
    <w:rsid w:val="2F1D42E7"/>
    <w:rsid w:val="2F5E5A76"/>
    <w:rsid w:val="2FBE0EB7"/>
    <w:rsid w:val="2FCC0CD9"/>
    <w:rsid w:val="2FDE0A0C"/>
    <w:rsid w:val="30313232"/>
    <w:rsid w:val="306F78B6"/>
    <w:rsid w:val="31140B8A"/>
    <w:rsid w:val="31300370"/>
    <w:rsid w:val="31466CA2"/>
    <w:rsid w:val="31886E82"/>
    <w:rsid w:val="31B639EF"/>
    <w:rsid w:val="32A877CC"/>
    <w:rsid w:val="32C81234"/>
    <w:rsid w:val="33835B53"/>
    <w:rsid w:val="33CB74FA"/>
    <w:rsid w:val="34270BD4"/>
    <w:rsid w:val="346911EC"/>
    <w:rsid w:val="35573916"/>
    <w:rsid w:val="35E7171B"/>
    <w:rsid w:val="3630291D"/>
    <w:rsid w:val="36751779"/>
    <w:rsid w:val="367E6AA5"/>
    <w:rsid w:val="36C413B9"/>
    <w:rsid w:val="380011F0"/>
    <w:rsid w:val="386D0B7F"/>
    <w:rsid w:val="38AD16A4"/>
    <w:rsid w:val="38E52E0C"/>
    <w:rsid w:val="39123A15"/>
    <w:rsid w:val="3AB72586"/>
    <w:rsid w:val="3C3A521C"/>
    <w:rsid w:val="3CE77152"/>
    <w:rsid w:val="3D0268A8"/>
    <w:rsid w:val="3D4A148F"/>
    <w:rsid w:val="3EC6723B"/>
    <w:rsid w:val="3FDD2F01"/>
    <w:rsid w:val="40866C82"/>
    <w:rsid w:val="40B97948"/>
    <w:rsid w:val="418D2A97"/>
    <w:rsid w:val="445B21D4"/>
    <w:rsid w:val="44B409FB"/>
    <w:rsid w:val="44CD5094"/>
    <w:rsid w:val="4550160D"/>
    <w:rsid w:val="45667082"/>
    <w:rsid w:val="46357180"/>
    <w:rsid w:val="4645313C"/>
    <w:rsid w:val="46827EEC"/>
    <w:rsid w:val="46CC3DB2"/>
    <w:rsid w:val="46D21877"/>
    <w:rsid w:val="47581320"/>
    <w:rsid w:val="47BC5C53"/>
    <w:rsid w:val="48806EA9"/>
    <w:rsid w:val="48E46C3C"/>
    <w:rsid w:val="49AE2DA6"/>
    <w:rsid w:val="4A413C1A"/>
    <w:rsid w:val="4C0B44E0"/>
    <w:rsid w:val="4C285091"/>
    <w:rsid w:val="4CB10C20"/>
    <w:rsid w:val="4D437238"/>
    <w:rsid w:val="4D4C3002"/>
    <w:rsid w:val="4EAE1256"/>
    <w:rsid w:val="50083210"/>
    <w:rsid w:val="50BF1FC8"/>
    <w:rsid w:val="50C7131D"/>
    <w:rsid w:val="532C190B"/>
    <w:rsid w:val="54994D7E"/>
    <w:rsid w:val="559B1E1A"/>
    <w:rsid w:val="55A90FF1"/>
    <w:rsid w:val="55DB3175"/>
    <w:rsid w:val="57016C0B"/>
    <w:rsid w:val="588B44F8"/>
    <w:rsid w:val="58BF5411"/>
    <w:rsid w:val="596A6CE9"/>
    <w:rsid w:val="59F82547"/>
    <w:rsid w:val="5B417F1E"/>
    <w:rsid w:val="5C0C4088"/>
    <w:rsid w:val="5C27795C"/>
    <w:rsid w:val="5C9A5B38"/>
    <w:rsid w:val="5CF05758"/>
    <w:rsid w:val="5D3B7BF9"/>
    <w:rsid w:val="5D812854"/>
    <w:rsid w:val="5E2A6A47"/>
    <w:rsid w:val="5E512226"/>
    <w:rsid w:val="5F1F0576"/>
    <w:rsid w:val="60477D84"/>
    <w:rsid w:val="60996106"/>
    <w:rsid w:val="60BA121F"/>
    <w:rsid w:val="60E70C20"/>
    <w:rsid w:val="61263C84"/>
    <w:rsid w:val="61A426DB"/>
    <w:rsid w:val="61D03DA9"/>
    <w:rsid w:val="62816AEB"/>
    <w:rsid w:val="630809D1"/>
    <w:rsid w:val="632D58C6"/>
    <w:rsid w:val="63550E6F"/>
    <w:rsid w:val="63554566"/>
    <w:rsid w:val="63EE6769"/>
    <w:rsid w:val="642342DE"/>
    <w:rsid w:val="642E1F2E"/>
    <w:rsid w:val="65911CB5"/>
    <w:rsid w:val="65F77B57"/>
    <w:rsid w:val="660B715E"/>
    <w:rsid w:val="6614668C"/>
    <w:rsid w:val="662121FF"/>
    <w:rsid w:val="66A7157D"/>
    <w:rsid w:val="68131439"/>
    <w:rsid w:val="6830229F"/>
    <w:rsid w:val="68FB5BB0"/>
    <w:rsid w:val="68FC61BF"/>
    <w:rsid w:val="69A41DA4"/>
    <w:rsid w:val="6A6032F2"/>
    <w:rsid w:val="6AF705F9"/>
    <w:rsid w:val="6B8E4AB9"/>
    <w:rsid w:val="6C5E4739"/>
    <w:rsid w:val="6C6B6BA9"/>
    <w:rsid w:val="6CC51F64"/>
    <w:rsid w:val="6DB37557"/>
    <w:rsid w:val="6E25722B"/>
    <w:rsid w:val="6F321C00"/>
    <w:rsid w:val="6F83245B"/>
    <w:rsid w:val="6F863CF9"/>
    <w:rsid w:val="6F896044"/>
    <w:rsid w:val="6FBE6451"/>
    <w:rsid w:val="6FD131C7"/>
    <w:rsid w:val="70074E3A"/>
    <w:rsid w:val="70E21403"/>
    <w:rsid w:val="70F96386"/>
    <w:rsid w:val="71C733BC"/>
    <w:rsid w:val="71F80EDE"/>
    <w:rsid w:val="731F693F"/>
    <w:rsid w:val="736D3E45"/>
    <w:rsid w:val="73A051F4"/>
    <w:rsid w:val="7582310C"/>
    <w:rsid w:val="75C86E1A"/>
    <w:rsid w:val="769E5DCD"/>
    <w:rsid w:val="76EA1012"/>
    <w:rsid w:val="77A66FA4"/>
    <w:rsid w:val="77DA4BE2"/>
    <w:rsid w:val="78474627"/>
    <w:rsid w:val="785C7CED"/>
    <w:rsid w:val="78A771BA"/>
    <w:rsid w:val="78FF0DA4"/>
    <w:rsid w:val="792F71B0"/>
    <w:rsid w:val="796400CB"/>
    <w:rsid w:val="7A804167"/>
    <w:rsid w:val="7A951A42"/>
    <w:rsid w:val="7AD640E6"/>
    <w:rsid w:val="7D5316BF"/>
    <w:rsid w:val="7D8F2650"/>
    <w:rsid w:val="7D9C12B8"/>
    <w:rsid w:val="7E431733"/>
    <w:rsid w:val="7E486D4A"/>
    <w:rsid w:val="7E8813E9"/>
    <w:rsid w:val="7E885398"/>
    <w:rsid w:val="7E8B66C5"/>
    <w:rsid w:val="7F5259A6"/>
    <w:rsid w:val="7F6C60FE"/>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Normal Indent"/>
    <w:basedOn w:val="1"/>
    <w:next w:val="4"/>
    <w:qFormat/>
    <w:uiPriority w:val="0"/>
    <w:pPr>
      <w:ind w:firstLine="425"/>
    </w:pPr>
    <w:rPr>
      <w:rFonts w:ascii="Times New Roman" w:hAnsi="Times New Roman" w:eastAsia="宋体" w:cs="Times New Roman"/>
      <w:szCs w:val="20"/>
    </w:rPr>
  </w:style>
  <w:style w:type="paragraph" w:customStyle="1" w:styleId="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5">
    <w:name w:val="caption"/>
    <w:basedOn w:val="1"/>
    <w:next w:val="1"/>
    <w:qFormat/>
    <w:uiPriority w:val="99"/>
    <w:rPr>
      <w:rFonts w:ascii="Arial" w:hAnsi="Arial" w:eastAsia="黑体" w:cs="Arial"/>
      <w:sz w:val="20"/>
      <w:szCs w:val="20"/>
    </w:rPr>
  </w:style>
  <w:style w:type="paragraph" w:styleId="6">
    <w:name w:val="annotation text"/>
    <w:basedOn w:val="1"/>
    <w:qFormat/>
    <w:uiPriority w:val="0"/>
    <w:pPr>
      <w:jc w:val="left"/>
    </w:p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Body Text First Indent 2"/>
    <w:basedOn w:val="7"/>
    <w:next w:val="9"/>
    <w:qFormat/>
    <w:uiPriority w:val="99"/>
    <w:pPr>
      <w:tabs>
        <w:tab w:val="left" w:pos="945"/>
        <w:tab w:val="left" w:pos="1155"/>
      </w:tabs>
      <w:ind w:firstLine="420" w:firstLineChars="200"/>
    </w:pPr>
  </w:style>
  <w:style w:type="paragraph" w:styleId="9">
    <w:name w:val="Date"/>
    <w:basedOn w:val="1"/>
    <w:next w:val="1"/>
    <w:unhideWhenUsed/>
    <w:qFormat/>
    <w:uiPriority w:val="99"/>
    <w:pPr>
      <w:ind w:left="100" w:leftChars="2500"/>
    </w:pPr>
  </w:style>
  <w:style w:type="paragraph" w:styleId="10">
    <w:name w:val="Plain Text"/>
    <w:basedOn w:val="1"/>
    <w:qFormat/>
    <w:uiPriority w:val="99"/>
    <w:rPr>
      <w:rFonts w:eastAsia="宋体"/>
      <w:sz w:val="24"/>
    </w:rPr>
  </w:style>
  <w:style w:type="paragraph" w:styleId="11">
    <w:name w:val="Body Text 2"/>
    <w:basedOn w:val="1"/>
    <w:qFormat/>
    <w:uiPriority w:val="0"/>
    <w:pPr>
      <w:spacing w:after="120" w:line="480" w:lineRule="auto"/>
    </w:pPr>
  </w:style>
  <w:style w:type="paragraph" w:styleId="12">
    <w:name w:val="Normal (Web)"/>
    <w:basedOn w:val="1"/>
    <w:qFormat/>
    <w:uiPriority w:val="99"/>
    <w:rPr>
      <w:rFonts w:ascii="Calibri" w:hAnsi="Calibri" w:eastAsia="宋体" w:cs="Times New Roman"/>
      <w:sz w:val="24"/>
      <w:szCs w:val="24"/>
    </w:rPr>
  </w:style>
  <w:style w:type="paragraph" w:styleId="13">
    <w:name w:val="Body Text First Indent"/>
    <w:basedOn w:val="2"/>
    <w:next w:val="8"/>
    <w:qFormat/>
    <w:uiPriority w:val="0"/>
    <w:pPr>
      <w:ind w:firstLine="420" w:firstLineChars="100"/>
    </w:pPr>
    <w:rPr>
      <w:rFonts w:ascii="宋体" w:hAnsi="Times New Roman" w:eastAsia="宋体" w:cs="Times New Roman"/>
      <w:kern w:val="0"/>
      <w:sz w:val="34"/>
      <w:szCs w:val="20"/>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0"/>
    <w:rPr>
      <w:color w:val="000000"/>
      <w:u w:val="none"/>
    </w:rPr>
  </w:style>
  <w:style w:type="paragraph" w:customStyle="1" w:styleId="18">
    <w:name w:val="style4"/>
    <w:basedOn w:val="1"/>
    <w:next w:val="19"/>
    <w:qFormat/>
    <w:uiPriority w:val="0"/>
    <w:pPr>
      <w:widowControl/>
      <w:spacing w:before="280" w:after="280"/>
    </w:pPr>
    <w:rPr>
      <w:rFonts w:ascii="宋体" w:hAnsi="Times New Roman" w:eastAsia="宋体" w:cs="Times New Roman"/>
      <w:sz w:val="18"/>
    </w:rPr>
  </w:style>
  <w:style w:type="paragraph" w:customStyle="1" w:styleId="1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0">
    <w:name w:val="列出段落1"/>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列表段落3"/>
    <w:basedOn w:val="1"/>
    <w:qFormat/>
    <w:uiPriority w:val="99"/>
    <w:pPr>
      <w:ind w:firstLine="420" w:firstLineChars="200"/>
    </w:pPr>
  </w:style>
  <w:style w:type="paragraph" w:styleId="23">
    <w:name w:val="List Paragraph"/>
    <w:basedOn w:val="1"/>
    <w:unhideWhenUsed/>
    <w:qFormat/>
    <w:uiPriority w:val="34"/>
    <w:pPr>
      <w:ind w:firstLine="420" w:firstLineChars="200"/>
    </w:pPr>
  </w:style>
  <w:style w:type="paragraph" w:customStyle="1" w:styleId="24">
    <w:name w:val="样式1"/>
    <w:basedOn w:val="1"/>
    <w:qFormat/>
    <w:uiPriority w:val="0"/>
    <w:pPr>
      <w:numPr>
        <w:ilvl w:val="0"/>
        <w:numId w:val="1"/>
      </w:numPr>
      <w:adjustRightInd w:val="0"/>
      <w:textAlignment w:val="baseline"/>
    </w:pPr>
    <w:rPr>
      <w:rFonts w:ascii="宋体" w:hAnsi="宋体" w:eastAsia="宋体" w:cs="Times New Roman"/>
      <w:kern w:val="0"/>
      <w:szCs w:val="21"/>
    </w:rPr>
  </w:style>
  <w:style w:type="character" w:customStyle="1" w:styleId="25">
    <w:name w:val="NormalCharacter"/>
    <w:qFormat/>
    <w:uiPriority w:val="0"/>
  </w:style>
  <w:style w:type="paragraph" w:styleId="26">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27">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8">
    <w:name w:val="正文文本缩进1"/>
    <w:basedOn w:val="1"/>
    <w:qFormat/>
    <w:uiPriority w:val="0"/>
    <w:pPr>
      <w:spacing w:line="360" w:lineRule="auto"/>
      <w:ind w:firstLine="480" w:firstLineChars="200"/>
    </w:pPr>
    <w:rPr>
      <w:rFonts w:ascii="宋体"/>
      <w:sz w:val="24"/>
    </w:rPr>
  </w:style>
  <w:style w:type="paragraph" w:customStyle="1" w:styleId="2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0">
    <w:name w:val="日期1"/>
    <w:basedOn w:val="1"/>
    <w:next w:val="1"/>
    <w:qFormat/>
    <w:uiPriority w:val="0"/>
    <w:rPr>
      <w:sz w:val="24"/>
    </w:rPr>
  </w:style>
  <w:style w:type="paragraph" w:customStyle="1" w:styleId="31">
    <w:name w:val="Table Text"/>
    <w:basedOn w:val="1"/>
    <w:semiHidden/>
    <w:qFormat/>
    <w:uiPriority w:val="0"/>
    <w:rPr>
      <w:rFonts w:ascii="宋体" w:hAnsi="宋体" w:eastAsia="宋体" w:cs="宋体"/>
      <w:sz w:val="22"/>
      <w:szCs w:val="22"/>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7058</Words>
  <Characters>7997</Characters>
  <Lines>342</Lines>
  <Paragraphs>96</Paragraphs>
  <TotalTime>6</TotalTime>
  <ScaleCrop>false</ScaleCrop>
  <LinksUpToDate>false</LinksUpToDate>
  <CharactersWithSpaces>8170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2025-09-05T14:08:00Z</dcterms:created>
  <dc:creator>孙钟</dc:creator>
  <cp:lastModifiedBy>河南天欧工程管理有限公司:王中刚</cp:lastModifiedBy>
  <cp:lastPrinted>2025-09-22T01:14:00Z</cp:lastPrinted>
  <dcterms:modified xsi:type="dcterms:W3CDTF">2025-09-30T06:46:03Z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280B604624C14F1B9EA4071A0C62FC0F_13</vt:lpwstr>
  </property>
  <property fmtid="{D5CDD505-2E9C-101B-9397-08002B2CF9AE}" pid="4" name="KSOTemplateDocerSaveRecord">
    <vt:lpwstr>eyJoZGlkIjoiZTIzN2VjMWNkOWE1YzRhYjVhMGNlMzhjNWQwMjdkMWEiLCJ1c2VySWQiOiIzNDcxMTE1NTMifQ==</vt:lpwstr>
  </property>
</Properties>
</file>