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48BE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YZCG-DLT2025080禹州市人民医院液态氧等医用气体采购项目</w:t>
      </w:r>
    </w:p>
    <w:p w14:paraId="5C22EA82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评标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公示</w:t>
      </w:r>
    </w:p>
    <w:p w14:paraId="5034A1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一、项目概况</w:t>
      </w:r>
    </w:p>
    <w:p w14:paraId="7B96D86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禹州市人民医院液态氧等医用气体采购项目</w:t>
      </w:r>
    </w:p>
    <w:p w14:paraId="7A82A2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YZCG-DLT2025080</w:t>
      </w:r>
    </w:p>
    <w:p w14:paraId="1AD368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招标公告发布日期：202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8F348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4.变更公告发布日期：2025年12月1日</w:t>
      </w:r>
    </w:p>
    <w:p w14:paraId="76B28D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开标日期：202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时30分</w:t>
      </w:r>
    </w:p>
    <w:p w14:paraId="4CA50D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采购方式：竞争性谈判</w:t>
      </w:r>
    </w:p>
    <w:p w14:paraId="48E1BB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最高限价：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1000000.00元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6EC7D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评标办法：最低价</w:t>
      </w:r>
    </w:p>
    <w:p w14:paraId="7ED2C4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资格审查方式：资格后审</w:t>
      </w:r>
    </w:p>
    <w:p w14:paraId="74D5C98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招标公告刊登的媒体：《河南省政府采购网</w:t>
      </w:r>
      <w:r>
        <w:rPr>
          <w:rFonts w:hint="eastAsia" w:ascii="宋体" w:hAnsi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许昌市政府采购网</w:t>
      </w:r>
      <w:r>
        <w:rPr>
          <w:rFonts w:hint="eastAsia" w:ascii="宋体" w:hAnsi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</w:rPr>
        <w:t xml:space="preserve">全国公共资源交易平台（河南省·许昌市）》。 </w:t>
      </w:r>
    </w:p>
    <w:p w14:paraId="3AB2F226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二、资格审查</w:t>
      </w:r>
    </w:p>
    <w:tbl>
      <w:tblPr>
        <w:tblStyle w:val="15"/>
        <w:tblW w:w="4638" w:type="pct"/>
        <w:tblCellSpacing w:w="0" w:type="dxa"/>
        <w:tblInd w:w="678" w:type="dxa"/>
        <w:tblBorders>
          <w:top w:val="outset" w:color="000000" w:sz="2" w:space="0"/>
          <w:left w:val="outset" w:color="000000" w:sz="2" w:space="0"/>
          <w:bottom w:val="outset" w:color="000000" w:sz="2" w:space="0"/>
          <w:right w:val="outset" w:color="000000" w:sz="2" w:space="0"/>
          <w:insideH w:val="outset" w:color="000000" w:sz="2" w:space="0"/>
          <w:insideV w:val="outset" w:color="000000" w:sz="2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12"/>
        <w:gridCol w:w="2143"/>
        <w:gridCol w:w="3556"/>
        <w:gridCol w:w="2578"/>
      </w:tblGrid>
      <w:tr w14:paraId="434AEC2B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</w:tblPrEx>
        <w:trPr>
          <w:trHeight w:val="330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1A6A754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4552" w:type="pct"/>
            <w:gridSpan w:val="3"/>
            <w:tcBorders>
              <w:tl2br w:val="nil"/>
              <w:tr2bl w:val="nil"/>
            </w:tcBorders>
            <w:vAlign w:val="center"/>
          </w:tcPr>
          <w:p w14:paraId="77DEA63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审查的投标人</w:t>
            </w:r>
          </w:p>
        </w:tc>
      </w:tr>
      <w:tr w14:paraId="39220A2D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46152F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8277" w:type="dxa"/>
            <w:gridSpan w:val="3"/>
            <w:tcBorders>
              <w:tl2br w:val="nil"/>
              <w:tr2bl w:val="nil"/>
            </w:tcBorders>
            <w:vAlign w:val="center"/>
          </w:tcPr>
          <w:p w14:paraId="31E365F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t>南阳市医用气体有限公司</w:t>
            </w:r>
          </w:p>
        </w:tc>
      </w:tr>
      <w:tr w14:paraId="3C91749B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88812A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8277" w:type="dxa"/>
            <w:gridSpan w:val="3"/>
            <w:tcBorders>
              <w:tl2br w:val="nil"/>
              <w:tr2bl w:val="nil"/>
            </w:tcBorders>
            <w:vAlign w:val="center"/>
          </w:tcPr>
          <w:p w14:paraId="1C72562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t>南阳市瑞源气体有限公司</w:t>
            </w:r>
          </w:p>
        </w:tc>
      </w:tr>
      <w:tr w14:paraId="7A98311F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E8286B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3</w:t>
            </w:r>
          </w:p>
        </w:tc>
        <w:tc>
          <w:tcPr>
            <w:tcW w:w="8277" w:type="dxa"/>
            <w:gridSpan w:val="3"/>
            <w:tcBorders>
              <w:tl2br w:val="nil"/>
              <w:tr2bl w:val="nil"/>
            </w:tcBorders>
            <w:vAlign w:val="center"/>
          </w:tcPr>
          <w:p w14:paraId="2CA2BCB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t>巩义市瑞达福气体有限责任公司</w:t>
            </w:r>
          </w:p>
        </w:tc>
      </w:tr>
      <w:tr w14:paraId="3121B3C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77E4BE2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77" w:type="dxa"/>
            <w:gridSpan w:val="3"/>
            <w:tcBorders>
              <w:tl2br w:val="nil"/>
              <w:tr2bl w:val="nil"/>
            </w:tcBorders>
            <w:vAlign w:val="center"/>
          </w:tcPr>
          <w:p w14:paraId="0B2C12A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t>伊川宏源气体科技有限公司</w:t>
            </w:r>
          </w:p>
        </w:tc>
      </w:tr>
      <w:tr w14:paraId="3CA3EAD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7F7012F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未通过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审查的投标人</w:t>
            </w:r>
          </w:p>
        </w:tc>
      </w:tr>
      <w:tr w14:paraId="5CA7CBDB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54B5F16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1179" w:type="pct"/>
            <w:tcBorders>
              <w:tl2br w:val="nil"/>
              <w:tr2bl w:val="nil"/>
            </w:tcBorders>
            <w:vAlign w:val="center"/>
          </w:tcPr>
          <w:p w14:paraId="11BF0D1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投标人名称</w:t>
            </w:r>
          </w:p>
        </w:tc>
        <w:tc>
          <w:tcPr>
            <w:tcW w:w="1956" w:type="pct"/>
            <w:tcBorders>
              <w:tl2br w:val="nil"/>
              <w:tr2bl w:val="nil"/>
            </w:tcBorders>
            <w:vAlign w:val="center"/>
          </w:tcPr>
          <w:p w14:paraId="4093E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未通过原因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14:paraId="7B7BA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招标文件相应条款</w:t>
            </w:r>
          </w:p>
        </w:tc>
      </w:tr>
      <w:tr w14:paraId="516E7B25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7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716CAF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pct"/>
            <w:tcBorders>
              <w:tl2br w:val="nil"/>
              <w:tr2bl w:val="nil"/>
            </w:tcBorders>
            <w:vAlign w:val="center"/>
          </w:tcPr>
          <w:p w14:paraId="283982D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56" w:type="pct"/>
            <w:tcBorders>
              <w:tl2br w:val="nil"/>
              <w:tr2bl w:val="nil"/>
            </w:tcBorders>
            <w:vAlign w:val="center"/>
          </w:tcPr>
          <w:p w14:paraId="35E25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6" w:type="pct"/>
            <w:tcBorders>
              <w:tl2br w:val="nil"/>
              <w:tr2bl w:val="nil"/>
            </w:tcBorders>
            <w:vAlign w:val="center"/>
          </w:tcPr>
          <w:p w14:paraId="43E56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无</w:t>
            </w:r>
          </w:p>
        </w:tc>
      </w:tr>
    </w:tbl>
    <w:p w14:paraId="1039E6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符合性审查</w:t>
      </w:r>
    </w:p>
    <w:p w14:paraId="0F29441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（硬件特征码是否异常：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所有投标人硬件特征码均不相同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tbl>
      <w:tblPr>
        <w:tblStyle w:val="15"/>
        <w:tblW w:w="4638" w:type="pct"/>
        <w:tblCellSpacing w:w="0" w:type="dxa"/>
        <w:tblInd w:w="678" w:type="dxa"/>
        <w:tblBorders>
          <w:top w:val="outset" w:color="000000" w:sz="2" w:space="0"/>
          <w:left w:val="outset" w:color="000000" w:sz="2" w:space="0"/>
          <w:bottom w:val="outset" w:color="000000" w:sz="2" w:space="0"/>
          <w:right w:val="outset" w:color="000000" w:sz="2" w:space="0"/>
          <w:insideH w:val="outset" w:color="000000" w:sz="2" w:space="0"/>
          <w:insideV w:val="outset" w:color="000000" w:sz="2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00"/>
        <w:gridCol w:w="544"/>
        <w:gridCol w:w="1854"/>
        <w:gridCol w:w="2972"/>
        <w:gridCol w:w="3319"/>
      </w:tblGrid>
      <w:tr w14:paraId="3F8FEC5E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30" w:hRule="atLeast"/>
          <w:tblCellSpacing w:w="0" w:type="dxa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2F3B94A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4561" w:type="pct"/>
            <w:gridSpan w:val="3"/>
            <w:tcBorders>
              <w:tl2br w:val="nil"/>
              <w:tr2bl w:val="nil"/>
            </w:tcBorders>
            <w:vAlign w:val="center"/>
          </w:tcPr>
          <w:p w14:paraId="0479388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通过符合性审查的投标人</w:t>
            </w:r>
          </w:p>
        </w:tc>
      </w:tr>
      <w:tr w14:paraId="5FAE9AD6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6AD9500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79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DF79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t>南阳市医用气体有限公司</w:t>
            </w:r>
          </w:p>
        </w:tc>
      </w:tr>
      <w:tr w14:paraId="04A36B5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5DFC9AC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79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35E5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t>南阳市瑞源气体有限公司</w:t>
            </w:r>
          </w:p>
        </w:tc>
      </w:tr>
      <w:tr w14:paraId="2D192084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74314E2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3</w:t>
            </w:r>
          </w:p>
        </w:tc>
        <w:tc>
          <w:tcPr>
            <w:tcW w:w="7951" w:type="dxa"/>
            <w:gridSpan w:val="3"/>
            <w:tcBorders>
              <w:tl2br w:val="nil"/>
              <w:tr2bl w:val="nil"/>
            </w:tcBorders>
            <w:vAlign w:val="center"/>
          </w:tcPr>
          <w:p w14:paraId="5BB2104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t>巩义市瑞达福气体有限责任公司</w:t>
            </w:r>
          </w:p>
        </w:tc>
      </w:tr>
      <w:tr w14:paraId="40CAED5A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 w14:paraId="328670F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51" w:type="dxa"/>
            <w:gridSpan w:val="3"/>
            <w:tcBorders>
              <w:tl2br w:val="nil"/>
              <w:tr2bl w:val="nil"/>
            </w:tcBorders>
            <w:vAlign w:val="center"/>
          </w:tcPr>
          <w:p w14:paraId="042697A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t>伊川宏源气体科技有限公司</w:t>
            </w:r>
          </w:p>
        </w:tc>
      </w:tr>
      <w:tr w14:paraId="2FE9F59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326F1C9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未通过符合性审查的投标人</w:t>
            </w:r>
          </w:p>
        </w:tc>
      </w:tr>
      <w:tr w14:paraId="09871D0F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11" w:hRule="atLeast"/>
          <w:tblCellSpacing w:w="0" w:type="dxa"/>
        </w:trPr>
        <w:tc>
          <w:tcPr>
            <w:tcW w:w="112" w:type="pct"/>
            <w:tcBorders>
              <w:tl2br w:val="nil"/>
              <w:tr2bl w:val="nil"/>
            </w:tcBorders>
            <w:vAlign w:val="center"/>
          </w:tcPr>
          <w:p w14:paraId="3681EA7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1373" w:type="pct"/>
            <w:gridSpan w:val="2"/>
            <w:tcBorders>
              <w:tl2br w:val="nil"/>
              <w:tr2bl w:val="nil"/>
            </w:tcBorders>
            <w:vAlign w:val="center"/>
          </w:tcPr>
          <w:p w14:paraId="29545FA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投标人名称</w:t>
            </w:r>
          </w:p>
        </w:tc>
        <w:tc>
          <w:tcPr>
            <w:tcW w:w="1662" w:type="pct"/>
            <w:tcBorders>
              <w:tl2br w:val="nil"/>
              <w:tr2bl w:val="nil"/>
            </w:tcBorders>
            <w:vAlign w:val="center"/>
          </w:tcPr>
          <w:p w14:paraId="22B0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未通过原因</w:t>
            </w:r>
          </w:p>
        </w:tc>
        <w:tc>
          <w:tcPr>
            <w:tcW w:w="1852" w:type="pct"/>
            <w:tcBorders>
              <w:tl2br w:val="nil"/>
              <w:tr2bl w:val="nil"/>
            </w:tcBorders>
            <w:vAlign w:val="center"/>
          </w:tcPr>
          <w:p w14:paraId="6535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招标文件相应条款</w:t>
            </w:r>
          </w:p>
        </w:tc>
      </w:tr>
      <w:tr w14:paraId="2AFF7BE9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9" w:hRule="atLeast"/>
          <w:tblCellSpacing w:w="0" w:type="dxa"/>
        </w:trPr>
        <w:tc>
          <w:tcPr>
            <w:tcW w:w="112" w:type="pct"/>
            <w:tcBorders>
              <w:tl2br w:val="nil"/>
              <w:tr2bl w:val="nil"/>
            </w:tcBorders>
            <w:vAlign w:val="center"/>
          </w:tcPr>
          <w:p w14:paraId="3F89AD0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65AA235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901" w:type="dxa"/>
            <w:tcBorders>
              <w:tl2br w:val="nil"/>
              <w:tr2bl w:val="nil"/>
            </w:tcBorders>
            <w:vAlign w:val="center"/>
          </w:tcPr>
          <w:p w14:paraId="1F64B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3241" w:type="dxa"/>
            <w:tcBorders>
              <w:tl2br w:val="nil"/>
              <w:tr2bl w:val="nil"/>
            </w:tcBorders>
            <w:vAlign w:val="center"/>
          </w:tcPr>
          <w:p w14:paraId="71978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无</w:t>
            </w:r>
          </w:p>
        </w:tc>
      </w:tr>
    </w:tbl>
    <w:p w14:paraId="5E8884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评标结果排序</w:t>
      </w:r>
    </w:p>
    <w:tbl>
      <w:tblPr>
        <w:tblStyle w:val="15"/>
        <w:tblW w:w="4657" w:type="pct"/>
        <w:tblInd w:w="6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8"/>
        <w:gridCol w:w="1393"/>
        <w:gridCol w:w="1451"/>
        <w:gridCol w:w="1150"/>
        <w:gridCol w:w="506"/>
      </w:tblGrid>
      <w:tr w14:paraId="5941E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61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投标供应商名称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24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投标报价（元）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84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最终报价（元）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E1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企业</w:t>
            </w:r>
          </w:p>
          <w:p w14:paraId="1D6A3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32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名次</w:t>
            </w:r>
          </w:p>
        </w:tc>
      </w:tr>
      <w:tr w14:paraId="032C3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BCE4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南阳市医用气体有限公司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FA8A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906400.0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7025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891100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69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3B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60D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2D7F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伊川宏源气体科技有限公司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E79B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917800.0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724D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917800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1D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6D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2E4D3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1F78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巩义市瑞达福气体有限责任公司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E226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968900.0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18C8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963700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97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92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22F50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3C47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南阳市瑞源气体有限公司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3076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984700.0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8886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974500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D7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D3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737BA5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谈判小组推荐成交候选人（或采购人授权确定成交人）情况</w:t>
      </w:r>
    </w:p>
    <w:p w14:paraId="7EA01C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第一成交候选人：</w:t>
      </w:r>
    </w:p>
    <w:p w14:paraId="0DB820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成交候选人（成交人）名称：</w:t>
      </w:r>
      <w:bookmarkStart w:id="0" w:name="FirstHxrName"/>
      <w:r>
        <w:rPr>
          <w:rFonts w:hint="eastAsia" w:ascii="宋体" w:hAnsi="宋体" w:eastAsia="宋体" w:cs="宋体"/>
          <w:sz w:val="24"/>
          <w:szCs w:val="24"/>
        </w:rPr>
        <w:t>南阳市医用气体有限公司</w:t>
      </w:r>
      <w:bookmarkEnd w:id="0"/>
    </w:p>
    <w:p w14:paraId="1C4C3A7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统一社会信用代码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：9141130372185388X4</w:t>
      </w:r>
    </w:p>
    <w:p w14:paraId="522B4D9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地址：河南省南阳市官庄工区化工产业集聚区天山路</w:t>
      </w:r>
    </w:p>
    <w:p w14:paraId="1F8A262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联系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人：</w:t>
      </w:r>
      <w:bookmarkStart w:id="1" w:name="FirstHxrLianXiRen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张青山</w:t>
      </w:r>
      <w:bookmarkEnd w:id="1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联系方式（手机）：</w:t>
      </w:r>
      <w:bookmarkStart w:id="2" w:name="FirstHxrLiXiMobile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17527779797</w:t>
      </w:r>
      <w:bookmarkEnd w:id="2"/>
    </w:p>
    <w:p w14:paraId="344902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成交金额：</w:t>
      </w:r>
      <w:bookmarkStart w:id="3" w:name="FirstHxrRoundPrice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891100</w:t>
      </w:r>
      <w:bookmarkEnd w:id="3"/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.00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元          大写：捌拾玖万壹仟壹佰元整</w:t>
      </w:r>
    </w:p>
    <w:p w14:paraId="5C5A558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第二成交候选人：</w:t>
      </w:r>
    </w:p>
    <w:p w14:paraId="78A8D7D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成交候选人（成交人）名称：</w:t>
      </w:r>
      <w:bookmarkStart w:id="4" w:name="SecondHxrName"/>
      <w:r>
        <w:rPr>
          <w:rFonts w:hint="eastAsia" w:ascii="宋体" w:hAnsi="宋体" w:eastAsia="宋体" w:cs="宋体"/>
          <w:color w:val="auto"/>
          <w:sz w:val="24"/>
          <w:szCs w:val="24"/>
        </w:rPr>
        <w:t>伊川宏源气体科技有限公司</w:t>
      </w:r>
      <w:bookmarkEnd w:id="4"/>
    </w:p>
    <w:p w14:paraId="66C395E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统一社会信用代码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：91410329681750631Y</w:t>
      </w:r>
    </w:p>
    <w:p w14:paraId="4881AE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地址：洛阳市伊川县水寨镇伊电大道东段658号</w:t>
      </w:r>
    </w:p>
    <w:p w14:paraId="425310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联系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人：</w:t>
      </w:r>
      <w:bookmarkStart w:id="5" w:name="SecondHxrLianXiRen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郭涛涛</w:t>
      </w:r>
      <w:bookmarkEnd w:id="5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联系方式（手机）：</w:t>
      </w:r>
      <w:bookmarkStart w:id="6" w:name="SecondHxrLiXiMobile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13938887378</w:t>
      </w:r>
      <w:bookmarkEnd w:id="6"/>
    </w:p>
    <w:p w14:paraId="7E9308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成交金额：</w:t>
      </w:r>
      <w:bookmarkStart w:id="7" w:name="SecondHxrRoundPrice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917800</w:t>
      </w:r>
      <w:bookmarkEnd w:id="7"/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.00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元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大写：玖拾壹万柒仟捌佰元整</w:t>
      </w:r>
    </w:p>
    <w:p w14:paraId="61BD2CE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第三成交候选人：</w:t>
      </w:r>
    </w:p>
    <w:p w14:paraId="026CB9F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成交候选人（成交人）名称：</w:t>
      </w:r>
      <w:bookmarkStart w:id="8" w:name="ThirdHxrName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巩义市瑞达福气体有限责任公司</w:t>
      </w:r>
      <w:bookmarkEnd w:id="8"/>
    </w:p>
    <w:p w14:paraId="704A44D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统一社会信用代码：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" w:eastAsia="zh-CN"/>
        </w:rPr>
        <w:t>91410181685671172M</w:t>
      </w:r>
    </w:p>
    <w:p w14:paraId="5FA872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地址：河南省郑州市巩义市豫联产业集聚区中环东路 57 号</w:t>
      </w:r>
    </w:p>
    <w:p w14:paraId="3990B68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联系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人：</w:t>
      </w:r>
      <w:bookmarkStart w:id="9" w:name="ThirdHxrLianXiRen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崔海瑞</w:t>
      </w:r>
      <w:bookmarkEnd w:id="9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          </w:t>
      </w:r>
      <w:bookmarkStart w:id="12" w:name="_GoBack"/>
      <w:bookmarkEnd w:id="12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联系方式（手机）：</w:t>
      </w:r>
      <w:bookmarkStart w:id="10" w:name="ThirdHxrLiXiMobile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13253460666</w:t>
      </w:r>
      <w:bookmarkEnd w:id="10"/>
    </w:p>
    <w:p w14:paraId="290C659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成交金额：</w:t>
      </w:r>
      <w:bookmarkStart w:id="11" w:name="ThirdHxrRoundPrice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963700</w:t>
      </w:r>
      <w:bookmarkEnd w:id="11"/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.00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元            大写：玖拾陆万叁仟柒佰元整</w:t>
      </w:r>
    </w:p>
    <w:p w14:paraId="2C2067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六、采购人授权谈判小组确定中标人情况</w:t>
      </w:r>
    </w:p>
    <w:p w14:paraId="109431E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（一）中标人名称：</w:t>
      </w:r>
      <w:r>
        <w:rPr>
          <w:rFonts w:hint="eastAsia" w:ascii="宋体" w:hAnsi="宋体" w:eastAsia="宋体" w:cs="宋体"/>
          <w:sz w:val="24"/>
          <w:szCs w:val="24"/>
        </w:rPr>
        <w:t>南阳市医用气体有限公司</w:t>
      </w:r>
    </w:p>
    <w:p w14:paraId="11442BD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（二）统一社会信用代码：9141130372185388X4</w:t>
      </w:r>
    </w:p>
    <w:p w14:paraId="30D65D0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（三）地址：河南省南阳市官庄工区化工产业集聚区天山路</w:t>
      </w:r>
    </w:p>
    <w:p w14:paraId="4E7C500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（四）委托代理人：张青山    联系方式（手机）：17527779797</w:t>
      </w:r>
    </w:p>
    <w:p w14:paraId="02C9E57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（五）成交金额：891100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.00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元          </w:t>
      </w:r>
      <w:r>
        <w:rPr>
          <w:rFonts w:hint="eastAsia" w:ascii="宋体" w:hAnsi="宋体" w:eastAsia="宋体" w:cs="宋体"/>
          <w:sz w:val="24"/>
          <w:szCs w:val="24"/>
        </w:rPr>
        <w:t>大写：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捌拾玖万壹仟壹佰元整</w:t>
      </w:r>
    </w:p>
    <w:p w14:paraId="0A01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、投标人根据谈判小组要求进行的澄清、说明或者补正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无</w:t>
      </w:r>
    </w:p>
    <w:p w14:paraId="0C5E0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、是否存在谈判小组成员更换：</w:t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 w14:paraId="27B8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九、代理机构及采购单位地址、联系人、联系电话</w:t>
      </w:r>
    </w:p>
    <w:p w14:paraId="2FE1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名称：禹州市人民医院</w:t>
      </w:r>
    </w:p>
    <w:p w14:paraId="08E60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地址：禹州市康复路1号</w:t>
      </w:r>
    </w:p>
    <w:p w14:paraId="7AAE5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联系人：席先生</w:t>
      </w:r>
    </w:p>
    <w:p w14:paraId="0E35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联系电话：0374-6068852</w:t>
      </w:r>
    </w:p>
    <w:p w14:paraId="2A3C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代理机构：许昌丰元咨询管理有限公司</w:t>
      </w:r>
    </w:p>
    <w:p w14:paraId="698F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地址：禹州市颍北大道6号</w:t>
      </w:r>
    </w:p>
    <w:p w14:paraId="09D05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联系人：连女士</w:t>
      </w:r>
    </w:p>
    <w:p w14:paraId="54659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联系电话：0374-8281999</w:t>
      </w:r>
    </w:p>
    <w:p w14:paraId="226A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监督单位：禹州市政府采购监督管理办公室</w:t>
      </w:r>
    </w:p>
    <w:p w14:paraId="1D7B9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各有关当事人对中标结果有异议的，可以在中标结果公告期限届满之日起7个工作日内，以书面形式向采购人或采购代理机构质疑（加盖单位公章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07A38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受理部门：禹州市财政局政府采购监督管理办公室</w:t>
      </w:r>
    </w:p>
    <w:p w14:paraId="5691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受理电话：0374-8112523   </w:t>
      </w:r>
    </w:p>
    <w:p w14:paraId="7B4F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电子邮箱：yzscgb8112523@163.com</w:t>
      </w:r>
    </w:p>
    <w:p w14:paraId="4B5B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通讯地址：禹州市行政北路2号禹州市财政局1305房间</w:t>
      </w:r>
    </w:p>
    <w:p w14:paraId="3B90A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02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795B6">
    <w:pPr>
      <w:pStyle w:val="8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F03CEF"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A3C13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502426c2-0eec-4d4d-a115-17cd3bb1a968"/>
  </w:docVars>
  <w:rsids>
    <w:rsidRoot w:val="00E971CA"/>
    <w:rsid w:val="001D6486"/>
    <w:rsid w:val="00205BFA"/>
    <w:rsid w:val="002F7613"/>
    <w:rsid w:val="0037178B"/>
    <w:rsid w:val="00391C38"/>
    <w:rsid w:val="004625A3"/>
    <w:rsid w:val="0056346A"/>
    <w:rsid w:val="005C42BC"/>
    <w:rsid w:val="00656A09"/>
    <w:rsid w:val="008743CF"/>
    <w:rsid w:val="00987D94"/>
    <w:rsid w:val="009C4191"/>
    <w:rsid w:val="009D6B99"/>
    <w:rsid w:val="009E32CC"/>
    <w:rsid w:val="00A64723"/>
    <w:rsid w:val="00A96F91"/>
    <w:rsid w:val="00B56F47"/>
    <w:rsid w:val="00B7296F"/>
    <w:rsid w:val="00B807AD"/>
    <w:rsid w:val="00B8408D"/>
    <w:rsid w:val="00BF14DD"/>
    <w:rsid w:val="00C6640A"/>
    <w:rsid w:val="00CF4F11"/>
    <w:rsid w:val="00D1062E"/>
    <w:rsid w:val="00E331FA"/>
    <w:rsid w:val="00E83ABB"/>
    <w:rsid w:val="00E971CA"/>
    <w:rsid w:val="00EA058C"/>
    <w:rsid w:val="00F0472D"/>
    <w:rsid w:val="00FF4A72"/>
    <w:rsid w:val="01032C17"/>
    <w:rsid w:val="01591845"/>
    <w:rsid w:val="03122A31"/>
    <w:rsid w:val="03560DC4"/>
    <w:rsid w:val="036E484B"/>
    <w:rsid w:val="04612B40"/>
    <w:rsid w:val="049B0B31"/>
    <w:rsid w:val="04BE4263"/>
    <w:rsid w:val="05EA06E6"/>
    <w:rsid w:val="07160232"/>
    <w:rsid w:val="071E7277"/>
    <w:rsid w:val="073A3F8F"/>
    <w:rsid w:val="07590DC9"/>
    <w:rsid w:val="076F3599"/>
    <w:rsid w:val="07B0663A"/>
    <w:rsid w:val="07CF4038"/>
    <w:rsid w:val="07D1423A"/>
    <w:rsid w:val="080E61A0"/>
    <w:rsid w:val="087832A5"/>
    <w:rsid w:val="091F0FEF"/>
    <w:rsid w:val="09704AC2"/>
    <w:rsid w:val="09A86B73"/>
    <w:rsid w:val="09AC3223"/>
    <w:rsid w:val="09D75B16"/>
    <w:rsid w:val="0AAA1967"/>
    <w:rsid w:val="0B536DFE"/>
    <w:rsid w:val="0B5C6FB7"/>
    <w:rsid w:val="0BC11EE9"/>
    <w:rsid w:val="0C002593"/>
    <w:rsid w:val="0C126DC0"/>
    <w:rsid w:val="0C8F4C54"/>
    <w:rsid w:val="0C97087C"/>
    <w:rsid w:val="0D0F5CF8"/>
    <w:rsid w:val="0D1F5555"/>
    <w:rsid w:val="0D210931"/>
    <w:rsid w:val="0D286BF9"/>
    <w:rsid w:val="0D3F2E4E"/>
    <w:rsid w:val="0E533DC3"/>
    <w:rsid w:val="0EB15A69"/>
    <w:rsid w:val="0EE72023"/>
    <w:rsid w:val="0F1F3907"/>
    <w:rsid w:val="0F865B0D"/>
    <w:rsid w:val="0FEA61A0"/>
    <w:rsid w:val="10927534"/>
    <w:rsid w:val="10C3050B"/>
    <w:rsid w:val="11286567"/>
    <w:rsid w:val="11AC0F46"/>
    <w:rsid w:val="11DB182B"/>
    <w:rsid w:val="1211524D"/>
    <w:rsid w:val="123A47A4"/>
    <w:rsid w:val="12427F1D"/>
    <w:rsid w:val="12CC0195"/>
    <w:rsid w:val="12DA2F04"/>
    <w:rsid w:val="136973F8"/>
    <w:rsid w:val="13B10A95"/>
    <w:rsid w:val="1503085C"/>
    <w:rsid w:val="150A1F61"/>
    <w:rsid w:val="15B1273E"/>
    <w:rsid w:val="170F14EB"/>
    <w:rsid w:val="17255030"/>
    <w:rsid w:val="173978E9"/>
    <w:rsid w:val="18C354F3"/>
    <w:rsid w:val="1907739F"/>
    <w:rsid w:val="192B401B"/>
    <w:rsid w:val="193C7452"/>
    <w:rsid w:val="19EA2C0F"/>
    <w:rsid w:val="1A2E3952"/>
    <w:rsid w:val="1A5D06C3"/>
    <w:rsid w:val="1AAA41EF"/>
    <w:rsid w:val="1AB31597"/>
    <w:rsid w:val="1ADE4EC3"/>
    <w:rsid w:val="1B027D5B"/>
    <w:rsid w:val="1B3426D8"/>
    <w:rsid w:val="1B442FF4"/>
    <w:rsid w:val="1B5E7755"/>
    <w:rsid w:val="1BB00575"/>
    <w:rsid w:val="1BFC55D5"/>
    <w:rsid w:val="1C393000"/>
    <w:rsid w:val="1C493CA8"/>
    <w:rsid w:val="1C7B4336"/>
    <w:rsid w:val="1C8A72CA"/>
    <w:rsid w:val="1C913B5A"/>
    <w:rsid w:val="1C9D42AD"/>
    <w:rsid w:val="1CBF5FD1"/>
    <w:rsid w:val="1D9B6D63"/>
    <w:rsid w:val="1E223483"/>
    <w:rsid w:val="1E416188"/>
    <w:rsid w:val="1E65704C"/>
    <w:rsid w:val="1EC06991"/>
    <w:rsid w:val="1ED43F32"/>
    <w:rsid w:val="1F4D1FBA"/>
    <w:rsid w:val="1F5C044F"/>
    <w:rsid w:val="1F6D121F"/>
    <w:rsid w:val="1FAA3C10"/>
    <w:rsid w:val="1FB43DE7"/>
    <w:rsid w:val="1FE47E48"/>
    <w:rsid w:val="20250535"/>
    <w:rsid w:val="21A0321A"/>
    <w:rsid w:val="222E109B"/>
    <w:rsid w:val="224C6559"/>
    <w:rsid w:val="22DD0ABC"/>
    <w:rsid w:val="23113671"/>
    <w:rsid w:val="231B31A2"/>
    <w:rsid w:val="23C42D7E"/>
    <w:rsid w:val="23D21192"/>
    <w:rsid w:val="23DA3D37"/>
    <w:rsid w:val="23F85607"/>
    <w:rsid w:val="24373F7D"/>
    <w:rsid w:val="24657DE4"/>
    <w:rsid w:val="246C19B0"/>
    <w:rsid w:val="24A66BF0"/>
    <w:rsid w:val="252706E9"/>
    <w:rsid w:val="252739FE"/>
    <w:rsid w:val="26116C91"/>
    <w:rsid w:val="261C26E6"/>
    <w:rsid w:val="265F6619"/>
    <w:rsid w:val="268B3BAB"/>
    <w:rsid w:val="269C65FE"/>
    <w:rsid w:val="26BE161B"/>
    <w:rsid w:val="26EE0506"/>
    <w:rsid w:val="277C2787"/>
    <w:rsid w:val="27913C96"/>
    <w:rsid w:val="27D71C31"/>
    <w:rsid w:val="28794FFD"/>
    <w:rsid w:val="28A2500D"/>
    <w:rsid w:val="28DC615D"/>
    <w:rsid w:val="294D1100"/>
    <w:rsid w:val="29570607"/>
    <w:rsid w:val="297A43F9"/>
    <w:rsid w:val="298D4742"/>
    <w:rsid w:val="29910CF5"/>
    <w:rsid w:val="29913AFE"/>
    <w:rsid w:val="29C24E5C"/>
    <w:rsid w:val="29C80AFB"/>
    <w:rsid w:val="29DA755B"/>
    <w:rsid w:val="2A092F82"/>
    <w:rsid w:val="2A383F1E"/>
    <w:rsid w:val="2AB00CB9"/>
    <w:rsid w:val="2AC36894"/>
    <w:rsid w:val="2B0416A8"/>
    <w:rsid w:val="2B646282"/>
    <w:rsid w:val="2C372D63"/>
    <w:rsid w:val="2CCC490D"/>
    <w:rsid w:val="2D0F08AF"/>
    <w:rsid w:val="2DAC1DFB"/>
    <w:rsid w:val="2DF21C76"/>
    <w:rsid w:val="2DF5181E"/>
    <w:rsid w:val="2DF6789E"/>
    <w:rsid w:val="2E2E745B"/>
    <w:rsid w:val="2E5A7344"/>
    <w:rsid w:val="2EB60132"/>
    <w:rsid w:val="2F0D52C2"/>
    <w:rsid w:val="2F4D1687"/>
    <w:rsid w:val="2F566C69"/>
    <w:rsid w:val="2F787065"/>
    <w:rsid w:val="2FBE65BC"/>
    <w:rsid w:val="306C00EB"/>
    <w:rsid w:val="30763A66"/>
    <w:rsid w:val="308319E1"/>
    <w:rsid w:val="30CC16EB"/>
    <w:rsid w:val="30D06B49"/>
    <w:rsid w:val="31740947"/>
    <w:rsid w:val="31891237"/>
    <w:rsid w:val="31E262DD"/>
    <w:rsid w:val="31F75DB5"/>
    <w:rsid w:val="32001BDE"/>
    <w:rsid w:val="323025AD"/>
    <w:rsid w:val="323C4019"/>
    <w:rsid w:val="32873093"/>
    <w:rsid w:val="32BF332A"/>
    <w:rsid w:val="336D5746"/>
    <w:rsid w:val="349464BB"/>
    <w:rsid w:val="34963490"/>
    <w:rsid w:val="35037A83"/>
    <w:rsid w:val="355E4B16"/>
    <w:rsid w:val="35F93BED"/>
    <w:rsid w:val="36573C27"/>
    <w:rsid w:val="366F53F1"/>
    <w:rsid w:val="37084782"/>
    <w:rsid w:val="37936580"/>
    <w:rsid w:val="380747C3"/>
    <w:rsid w:val="38163439"/>
    <w:rsid w:val="38276C57"/>
    <w:rsid w:val="389B6372"/>
    <w:rsid w:val="38F775C9"/>
    <w:rsid w:val="3909162E"/>
    <w:rsid w:val="390A6F15"/>
    <w:rsid w:val="393A4F06"/>
    <w:rsid w:val="399B5D41"/>
    <w:rsid w:val="39A6281D"/>
    <w:rsid w:val="39AC1153"/>
    <w:rsid w:val="39E352F3"/>
    <w:rsid w:val="3A976BC0"/>
    <w:rsid w:val="3A9D085A"/>
    <w:rsid w:val="3AD924FC"/>
    <w:rsid w:val="3AF06FEF"/>
    <w:rsid w:val="3B1E7E0C"/>
    <w:rsid w:val="3B47390A"/>
    <w:rsid w:val="3B5F4D5C"/>
    <w:rsid w:val="3B7A526B"/>
    <w:rsid w:val="3BC92571"/>
    <w:rsid w:val="3C4F68DB"/>
    <w:rsid w:val="3C717F01"/>
    <w:rsid w:val="3CF733E2"/>
    <w:rsid w:val="3D0A1093"/>
    <w:rsid w:val="3DC3621B"/>
    <w:rsid w:val="3DD21BDA"/>
    <w:rsid w:val="3DF37D79"/>
    <w:rsid w:val="3E172019"/>
    <w:rsid w:val="3E3357EE"/>
    <w:rsid w:val="3E3E2F09"/>
    <w:rsid w:val="3E5765D8"/>
    <w:rsid w:val="3EC80E57"/>
    <w:rsid w:val="3ECD4126"/>
    <w:rsid w:val="3FFE1E84"/>
    <w:rsid w:val="400B60F0"/>
    <w:rsid w:val="407D2E73"/>
    <w:rsid w:val="40BE1D33"/>
    <w:rsid w:val="40E010E4"/>
    <w:rsid w:val="410E3655"/>
    <w:rsid w:val="41126768"/>
    <w:rsid w:val="419C0CE9"/>
    <w:rsid w:val="419E717C"/>
    <w:rsid w:val="41AF1384"/>
    <w:rsid w:val="41CF39A7"/>
    <w:rsid w:val="41FF4872"/>
    <w:rsid w:val="42AD560C"/>
    <w:rsid w:val="43632D4D"/>
    <w:rsid w:val="43CA4576"/>
    <w:rsid w:val="43F22716"/>
    <w:rsid w:val="441E640E"/>
    <w:rsid w:val="449000D0"/>
    <w:rsid w:val="450562E2"/>
    <w:rsid w:val="459933EC"/>
    <w:rsid w:val="45A47597"/>
    <w:rsid w:val="45FB6DBC"/>
    <w:rsid w:val="46820F38"/>
    <w:rsid w:val="46B13B7F"/>
    <w:rsid w:val="46EE7A3B"/>
    <w:rsid w:val="47335DE1"/>
    <w:rsid w:val="47997EA0"/>
    <w:rsid w:val="479F0234"/>
    <w:rsid w:val="481463C5"/>
    <w:rsid w:val="487934A4"/>
    <w:rsid w:val="48907D3B"/>
    <w:rsid w:val="48A20CB3"/>
    <w:rsid w:val="48D90BB7"/>
    <w:rsid w:val="4BA73FB4"/>
    <w:rsid w:val="4BB6692E"/>
    <w:rsid w:val="4C9646F1"/>
    <w:rsid w:val="4D3006A2"/>
    <w:rsid w:val="4D4A772B"/>
    <w:rsid w:val="4D5325E2"/>
    <w:rsid w:val="4D79605D"/>
    <w:rsid w:val="4DB5542A"/>
    <w:rsid w:val="4E461829"/>
    <w:rsid w:val="4E80682A"/>
    <w:rsid w:val="4F112E45"/>
    <w:rsid w:val="4F6665FD"/>
    <w:rsid w:val="50932F93"/>
    <w:rsid w:val="51655E85"/>
    <w:rsid w:val="51936315"/>
    <w:rsid w:val="52497F6E"/>
    <w:rsid w:val="52B902C2"/>
    <w:rsid w:val="52E42A6B"/>
    <w:rsid w:val="53AC0D46"/>
    <w:rsid w:val="54422A68"/>
    <w:rsid w:val="544346A0"/>
    <w:rsid w:val="54F84CB1"/>
    <w:rsid w:val="556846C4"/>
    <w:rsid w:val="558D60E7"/>
    <w:rsid w:val="55FF50B5"/>
    <w:rsid w:val="564B312B"/>
    <w:rsid w:val="56622B08"/>
    <w:rsid w:val="56D03958"/>
    <w:rsid w:val="570F670F"/>
    <w:rsid w:val="57B974E6"/>
    <w:rsid w:val="5837497D"/>
    <w:rsid w:val="587B0A01"/>
    <w:rsid w:val="58DD0FB2"/>
    <w:rsid w:val="58EA081A"/>
    <w:rsid w:val="58F441A7"/>
    <w:rsid w:val="5967369D"/>
    <w:rsid w:val="59E87FD4"/>
    <w:rsid w:val="5A076081"/>
    <w:rsid w:val="5A474FB8"/>
    <w:rsid w:val="5AB975D8"/>
    <w:rsid w:val="5AF74B31"/>
    <w:rsid w:val="5B9B53A1"/>
    <w:rsid w:val="5BD7484F"/>
    <w:rsid w:val="5BDA022A"/>
    <w:rsid w:val="5C71118F"/>
    <w:rsid w:val="5C8A1451"/>
    <w:rsid w:val="5C9909F8"/>
    <w:rsid w:val="5CA32CAC"/>
    <w:rsid w:val="5CAB5526"/>
    <w:rsid w:val="5CB030C7"/>
    <w:rsid w:val="5D082C87"/>
    <w:rsid w:val="5D2E62B6"/>
    <w:rsid w:val="5D3E2967"/>
    <w:rsid w:val="5DDE688C"/>
    <w:rsid w:val="5E2951D0"/>
    <w:rsid w:val="5E4173FE"/>
    <w:rsid w:val="5E9B7945"/>
    <w:rsid w:val="5EB17168"/>
    <w:rsid w:val="5EBC30A5"/>
    <w:rsid w:val="5F4D7B61"/>
    <w:rsid w:val="5F4F7F99"/>
    <w:rsid w:val="5F6F4940"/>
    <w:rsid w:val="5F7773A1"/>
    <w:rsid w:val="5F8F62B3"/>
    <w:rsid w:val="5FBF1CA1"/>
    <w:rsid w:val="5FC86518"/>
    <w:rsid w:val="5FCF1061"/>
    <w:rsid w:val="60716BAF"/>
    <w:rsid w:val="60E530F9"/>
    <w:rsid w:val="60FC08C5"/>
    <w:rsid w:val="613C540F"/>
    <w:rsid w:val="61DA69D6"/>
    <w:rsid w:val="62066613"/>
    <w:rsid w:val="620A0777"/>
    <w:rsid w:val="62A946FF"/>
    <w:rsid w:val="631510D2"/>
    <w:rsid w:val="63484587"/>
    <w:rsid w:val="641B13DB"/>
    <w:rsid w:val="64550596"/>
    <w:rsid w:val="647C19B2"/>
    <w:rsid w:val="648103E5"/>
    <w:rsid w:val="64D723A6"/>
    <w:rsid w:val="64EA6633"/>
    <w:rsid w:val="652922FF"/>
    <w:rsid w:val="6529562C"/>
    <w:rsid w:val="65312515"/>
    <w:rsid w:val="657A4758"/>
    <w:rsid w:val="65AC12A1"/>
    <w:rsid w:val="660C1377"/>
    <w:rsid w:val="6615278C"/>
    <w:rsid w:val="66470708"/>
    <w:rsid w:val="67515045"/>
    <w:rsid w:val="678F04F4"/>
    <w:rsid w:val="67B114FB"/>
    <w:rsid w:val="67FA0C0D"/>
    <w:rsid w:val="69DE51CF"/>
    <w:rsid w:val="6B111DCC"/>
    <w:rsid w:val="6B2E368B"/>
    <w:rsid w:val="6B9724E7"/>
    <w:rsid w:val="6BF33E36"/>
    <w:rsid w:val="6BFC51BA"/>
    <w:rsid w:val="6C0F29EC"/>
    <w:rsid w:val="6C5E519A"/>
    <w:rsid w:val="6C630C0B"/>
    <w:rsid w:val="6CBE0F61"/>
    <w:rsid w:val="6CC32156"/>
    <w:rsid w:val="6D2562F6"/>
    <w:rsid w:val="6D354B80"/>
    <w:rsid w:val="6D932295"/>
    <w:rsid w:val="6DD930DD"/>
    <w:rsid w:val="6E3C27C8"/>
    <w:rsid w:val="6E4366C9"/>
    <w:rsid w:val="6EBD12C5"/>
    <w:rsid w:val="6F206550"/>
    <w:rsid w:val="6F2474E3"/>
    <w:rsid w:val="6F276E36"/>
    <w:rsid w:val="6F3B6306"/>
    <w:rsid w:val="6F405059"/>
    <w:rsid w:val="6F7B2A02"/>
    <w:rsid w:val="6F95614A"/>
    <w:rsid w:val="700C41FF"/>
    <w:rsid w:val="70B24EBD"/>
    <w:rsid w:val="70E707C8"/>
    <w:rsid w:val="71381023"/>
    <w:rsid w:val="71797903"/>
    <w:rsid w:val="71B74DF8"/>
    <w:rsid w:val="71C147A2"/>
    <w:rsid w:val="72205FD5"/>
    <w:rsid w:val="72554365"/>
    <w:rsid w:val="72841D77"/>
    <w:rsid w:val="72B82D9A"/>
    <w:rsid w:val="72D5074F"/>
    <w:rsid w:val="733E4199"/>
    <w:rsid w:val="73682094"/>
    <w:rsid w:val="739C6AD3"/>
    <w:rsid w:val="73A1197C"/>
    <w:rsid w:val="73BA14D2"/>
    <w:rsid w:val="73CB0019"/>
    <w:rsid w:val="74D7686E"/>
    <w:rsid w:val="75412D34"/>
    <w:rsid w:val="75DE7824"/>
    <w:rsid w:val="765F2987"/>
    <w:rsid w:val="76691E31"/>
    <w:rsid w:val="777701C6"/>
    <w:rsid w:val="77A212BF"/>
    <w:rsid w:val="784A178A"/>
    <w:rsid w:val="787259C9"/>
    <w:rsid w:val="789A3DA4"/>
    <w:rsid w:val="78A64138"/>
    <w:rsid w:val="78AB5EC6"/>
    <w:rsid w:val="78D01AED"/>
    <w:rsid w:val="78DA7590"/>
    <w:rsid w:val="78F10436"/>
    <w:rsid w:val="78F47810"/>
    <w:rsid w:val="798634EC"/>
    <w:rsid w:val="7A6C2204"/>
    <w:rsid w:val="7ADB139D"/>
    <w:rsid w:val="7ADF59D2"/>
    <w:rsid w:val="7B5D2336"/>
    <w:rsid w:val="7B5F5B2A"/>
    <w:rsid w:val="7BB37CD1"/>
    <w:rsid w:val="7BD836B8"/>
    <w:rsid w:val="7BDD6DAA"/>
    <w:rsid w:val="7BEC7DD0"/>
    <w:rsid w:val="7C146A4C"/>
    <w:rsid w:val="7C305719"/>
    <w:rsid w:val="7C5D450D"/>
    <w:rsid w:val="7D883BCF"/>
    <w:rsid w:val="7DA02306"/>
    <w:rsid w:val="7DCE3A15"/>
    <w:rsid w:val="7E406B18"/>
    <w:rsid w:val="7EF91E18"/>
    <w:rsid w:val="7F1D0CED"/>
    <w:rsid w:val="7F224D47"/>
    <w:rsid w:val="7F44661E"/>
    <w:rsid w:val="7FAB1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5"/>
    </w:pPr>
  </w:style>
  <w:style w:type="paragraph" w:styleId="4">
    <w:name w:val="Body Text"/>
    <w:basedOn w:val="1"/>
    <w:next w:val="5"/>
    <w:link w:val="25"/>
    <w:semiHidden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styleId="12">
    <w:name w:val="Body Text First Indent"/>
    <w:basedOn w:val="4"/>
    <w:next w:val="13"/>
    <w:link w:val="26"/>
    <w:qFormat/>
    <w:uiPriority w:val="0"/>
    <w:pPr>
      <w:spacing w:after="0"/>
      <w:ind w:firstLine="420" w:firstLineChars="100"/>
    </w:pPr>
  </w:style>
  <w:style w:type="paragraph" w:customStyle="1" w:styleId="13">
    <w:name w:val="List Paragraph1"/>
    <w:basedOn w:val="1"/>
    <w:next w:val="1"/>
    <w:qFormat/>
    <w:uiPriority w:val="0"/>
    <w:pPr>
      <w:ind w:left="420" w:firstLine="3748"/>
    </w:pPr>
  </w:style>
  <w:style w:type="paragraph" w:styleId="14">
    <w:name w:val="Body Text First Indent 2"/>
    <w:basedOn w:val="6"/>
    <w:next w:val="1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yperlink"/>
    <w:basedOn w:val="16"/>
    <w:semiHidden/>
    <w:unhideWhenUsed/>
    <w:qFormat/>
    <w:uiPriority w:val="99"/>
    <w:rPr>
      <w:color w:val="000000"/>
      <w:u w:val="none"/>
    </w:rPr>
  </w:style>
  <w:style w:type="paragraph" w:customStyle="1" w:styleId="21">
    <w:name w:val="style4"/>
    <w:basedOn w:val="1"/>
    <w:next w:val="22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22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3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customStyle="1" w:styleId="24">
    <w:name w:val="列出段落1"/>
    <w:basedOn w:val="1"/>
    <w:qFormat/>
    <w:uiPriority w:val="99"/>
    <w:pPr>
      <w:ind w:firstLine="420" w:firstLineChars="200"/>
    </w:pPr>
  </w:style>
  <w:style w:type="character" w:customStyle="1" w:styleId="25">
    <w:name w:val="正文文本 Char"/>
    <w:basedOn w:val="16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6">
    <w:name w:val="正文首行缩进 Char"/>
    <w:basedOn w:val="25"/>
    <w:link w:val="1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7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28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29">
    <w:name w:val="red2"/>
    <w:basedOn w:val="16"/>
    <w:qFormat/>
    <w:uiPriority w:val="0"/>
    <w:rPr>
      <w:color w:val="CC0000"/>
    </w:rPr>
  </w:style>
  <w:style w:type="character" w:customStyle="1" w:styleId="30">
    <w:name w:val="red3"/>
    <w:basedOn w:val="16"/>
    <w:qFormat/>
    <w:uiPriority w:val="0"/>
    <w:rPr>
      <w:color w:val="FF0000"/>
    </w:rPr>
  </w:style>
  <w:style w:type="character" w:customStyle="1" w:styleId="31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2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3">
    <w:name w:val="hover24"/>
    <w:basedOn w:val="16"/>
    <w:qFormat/>
    <w:uiPriority w:val="0"/>
  </w:style>
  <w:style w:type="character" w:customStyle="1" w:styleId="34">
    <w:name w:val="gb-jt"/>
    <w:basedOn w:val="16"/>
    <w:qFormat/>
    <w:uiPriority w:val="0"/>
  </w:style>
  <w:style w:type="character" w:customStyle="1" w:styleId="35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36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37">
    <w:name w:val="hover25"/>
    <w:basedOn w:val="16"/>
    <w:qFormat/>
    <w:uiPriority w:val="0"/>
  </w:style>
  <w:style w:type="character" w:customStyle="1" w:styleId="38">
    <w:name w:val="searchopen"/>
    <w:basedOn w:val="16"/>
    <w:qFormat/>
    <w:uiPriority w:val="0"/>
  </w:style>
  <w:style w:type="character" w:customStyle="1" w:styleId="39">
    <w:name w:val="icon_cxktbr"/>
    <w:basedOn w:val="16"/>
    <w:qFormat/>
    <w:uiPriority w:val="0"/>
  </w:style>
  <w:style w:type="character" w:customStyle="1" w:styleId="40">
    <w:name w:val="close6"/>
    <w:basedOn w:val="16"/>
    <w:qFormat/>
    <w:uiPriority w:val="0"/>
  </w:style>
  <w:style w:type="character" w:customStyle="1" w:styleId="41">
    <w:name w:val="focus3"/>
    <w:basedOn w:val="16"/>
    <w:qFormat/>
    <w:uiPriority w:val="0"/>
    <w:rPr>
      <w:b/>
      <w:color w:val="000000"/>
    </w:rPr>
  </w:style>
  <w:style w:type="character" w:customStyle="1" w:styleId="42">
    <w:name w:val="icon_dljg"/>
    <w:basedOn w:val="16"/>
    <w:qFormat/>
    <w:uiPriority w:val="0"/>
  </w:style>
  <w:style w:type="character" w:customStyle="1" w:styleId="43">
    <w:name w:val="icon_cxkcyry"/>
    <w:basedOn w:val="16"/>
    <w:qFormat/>
    <w:uiPriority w:val="0"/>
  </w:style>
  <w:style w:type="character" w:customStyle="1" w:styleId="44">
    <w:name w:val="m-text"/>
    <w:basedOn w:val="16"/>
    <w:qFormat/>
    <w:uiPriority w:val="0"/>
  </w:style>
  <w:style w:type="character" w:customStyle="1" w:styleId="45">
    <w:name w:val="searchclose"/>
    <w:basedOn w:val="16"/>
    <w:qFormat/>
    <w:uiPriority w:val="0"/>
  </w:style>
  <w:style w:type="character" w:customStyle="1" w:styleId="46">
    <w:name w:val="menutitle10"/>
    <w:basedOn w:val="16"/>
    <w:qFormat/>
    <w:uiPriority w:val="0"/>
    <w:rPr>
      <w:color w:val="333333"/>
      <w:sz w:val="16"/>
      <w:szCs w:val="16"/>
    </w:rPr>
  </w:style>
  <w:style w:type="character" w:customStyle="1" w:styleId="47">
    <w:name w:val="menutitle11"/>
    <w:basedOn w:val="16"/>
    <w:qFormat/>
    <w:uiPriority w:val="0"/>
    <w:rPr>
      <w:color w:val="333333"/>
      <w:sz w:val="16"/>
      <w:szCs w:val="16"/>
    </w:rPr>
  </w:style>
  <w:style w:type="character" w:customStyle="1" w:styleId="48">
    <w:name w:val="swapimg4"/>
    <w:basedOn w:val="16"/>
    <w:qFormat/>
    <w:uiPriority w:val="0"/>
  </w:style>
  <w:style w:type="character" w:customStyle="1" w:styleId="49">
    <w:name w:val="swapimg5"/>
    <w:basedOn w:val="16"/>
    <w:qFormat/>
    <w:uiPriority w:val="0"/>
  </w:style>
  <w:style w:type="character" w:customStyle="1" w:styleId="50">
    <w:name w:val="l_13"/>
    <w:basedOn w:val="16"/>
    <w:qFormat/>
    <w:uiPriority w:val="0"/>
  </w:style>
  <w:style w:type="character" w:customStyle="1" w:styleId="51">
    <w:name w:val="l_131"/>
    <w:basedOn w:val="16"/>
    <w:qFormat/>
    <w:uiPriority w:val="0"/>
  </w:style>
  <w:style w:type="character" w:customStyle="1" w:styleId="52">
    <w:name w:val="icon_gzkj"/>
    <w:basedOn w:val="16"/>
    <w:qFormat/>
    <w:uiPriority w:val="0"/>
  </w:style>
  <w:style w:type="character" w:customStyle="1" w:styleId="53">
    <w:name w:val="icon_xglc"/>
    <w:basedOn w:val="16"/>
    <w:qFormat/>
    <w:uiPriority w:val="0"/>
  </w:style>
  <w:style w:type="character" w:customStyle="1" w:styleId="54">
    <w:name w:val="icon_lzrz"/>
    <w:basedOn w:val="16"/>
    <w:qFormat/>
    <w:uiPriority w:val="0"/>
  </w:style>
  <w:style w:type="character" w:customStyle="1" w:styleId="55">
    <w:name w:val="icon_xzry"/>
    <w:basedOn w:val="16"/>
    <w:qFormat/>
    <w:uiPriority w:val="0"/>
  </w:style>
  <w:style w:type="character" w:customStyle="1" w:styleId="56">
    <w:name w:val="l_5"/>
    <w:basedOn w:val="16"/>
    <w:qFormat/>
    <w:uiPriority w:val="0"/>
  </w:style>
  <w:style w:type="character" w:customStyle="1" w:styleId="57">
    <w:name w:val="l_51"/>
    <w:basedOn w:val="16"/>
    <w:qFormat/>
    <w:uiPriority w:val="0"/>
  </w:style>
  <w:style w:type="character" w:customStyle="1" w:styleId="58">
    <w:name w:val="l_7"/>
    <w:basedOn w:val="16"/>
    <w:qFormat/>
    <w:uiPriority w:val="0"/>
  </w:style>
  <w:style w:type="character" w:customStyle="1" w:styleId="59">
    <w:name w:val="l_71"/>
    <w:basedOn w:val="16"/>
    <w:qFormat/>
    <w:uiPriority w:val="0"/>
  </w:style>
  <w:style w:type="character" w:customStyle="1" w:styleId="60">
    <w:name w:val="l_0"/>
    <w:basedOn w:val="16"/>
    <w:qFormat/>
    <w:uiPriority w:val="0"/>
  </w:style>
  <w:style w:type="character" w:customStyle="1" w:styleId="61">
    <w:name w:val="l_01"/>
    <w:basedOn w:val="16"/>
    <w:qFormat/>
    <w:uiPriority w:val="0"/>
  </w:style>
  <w:style w:type="character" w:customStyle="1" w:styleId="62">
    <w:name w:val="l_6"/>
    <w:basedOn w:val="16"/>
    <w:qFormat/>
    <w:uiPriority w:val="0"/>
  </w:style>
  <w:style w:type="character" w:customStyle="1" w:styleId="63">
    <w:name w:val="l_61"/>
    <w:basedOn w:val="16"/>
    <w:qFormat/>
    <w:uiPriority w:val="0"/>
  </w:style>
  <w:style w:type="character" w:customStyle="1" w:styleId="64">
    <w:name w:val="l_1"/>
    <w:basedOn w:val="16"/>
    <w:qFormat/>
    <w:uiPriority w:val="0"/>
  </w:style>
  <w:style w:type="character" w:customStyle="1" w:styleId="65">
    <w:name w:val="l_11"/>
    <w:basedOn w:val="16"/>
    <w:qFormat/>
    <w:uiPriority w:val="0"/>
  </w:style>
  <w:style w:type="character" w:customStyle="1" w:styleId="66">
    <w:name w:val="l_2"/>
    <w:basedOn w:val="16"/>
    <w:qFormat/>
    <w:uiPriority w:val="0"/>
  </w:style>
  <w:style w:type="character" w:customStyle="1" w:styleId="67">
    <w:name w:val="l_21"/>
    <w:basedOn w:val="16"/>
    <w:qFormat/>
    <w:uiPriority w:val="0"/>
  </w:style>
  <w:style w:type="character" w:customStyle="1" w:styleId="68">
    <w:name w:val="l_3"/>
    <w:basedOn w:val="16"/>
    <w:qFormat/>
    <w:uiPriority w:val="0"/>
  </w:style>
  <w:style w:type="character" w:customStyle="1" w:styleId="69">
    <w:name w:val="l_31"/>
    <w:basedOn w:val="16"/>
    <w:qFormat/>
    <w:uiPriority w:val="0"/>
  </w:style>
  <w:style w:type="character" w:customStyle="1" w:styleId="70">
    <w:name w:val="l_4"/>
    <w:basedOn w:val="16"/>
    <w:qFormat/>
    <w:uiPriority w:val="0"/>
  </w:style>
  <w:style w:type="character" w:customStyle="1" w:styleId="71">
    <w:name w:val="l_41"/>
    <w:basedOn w:val="16"/>
    <w:qFormat/>
    <w:uiPriority w:val="0"/>
  </w:style>
  <w:style w:type="character" w:customStyle="1" w:styleId="72">
    <w:name w:val="l_9"/>
    <w:basedOn w:val="16"/>
    <w:qFormat/>
    <w:uiPriority w:val="0"/>
  </w:style>
  <w:style w:type="character" w:customStyle="1" w:styleId="73">
    <w:name w:val="l_91"/>
    <w:basedOn w:val="16"/>
    <w:qFormat/>
    <w:uiPriority w:val="0"/>
  </w:style>
  <w:style w:type="character" w:customStyle="1" w:styleId="74">
    <w:name w:val="l_111"/>
    <w:basedOn w:val="16"/>
    <w:qFormat/>
    <w:uiPriority w:val="0"/>
  </w:style>
  <w:style w:type="character" w:customStyle="1" w:styleId="75">
    <w:name w:val="l_112"/>
    <w:basedOn w:val="16"/>
    <w:qFormat/>
    <w:uiPriority w:val="0"/>
  </w:style>
  <w:style w:type="character" w:customStyle="1" w:styleId="76">
    <w:name w:val="l_8"/>
    <w:basedOn w:val="16"/>
    <w:qFormat/>
    <w:uiPriority w:val="0"/>
  </w:style>
  <w:style w:type="character" w:customStyle="1" w:styleId="77">
    <w:name w:val="l_81"/>
    <w:basedOn w:val="16"/>
    <w:qFormat/>
    <w:uiPriority w:val="0"/>
  </w:style>
  <w:style w:type="character" w:customStyle="1" w:styleId="78">
    <w:name w:val="l_10"/>
    <w:basedOn w:val="16"/>
    <w:qFormat/>
    <w:uiPriority w:val="0"/>
  </w:style>
  <w:style w:type="character" w:customStyle="1" w:styleId="79">
    <w:name w:val="l_101"/>
    <w:basedOn w:val="16"/>
    <w:qFormat/>
    <w:uiPriority w:val="0"/>
  </w:style>
  <w:style w:type="character" w:customStyle="1" w:styleId="80">
    <w:name w:val="l_12"/>
    <w:basedOn w:val="16"/>
    <w:qFormat/>
    <w:uiPriority w:val="0"/>
  </w:style>
  <w:style w:type="character" w:customStyle="1" w:styleId="81">
    <w:name w:val="l_121"/>
    <w:basedOn w:val="16"/>
    <w:qFormat/>
    <w:uiPriority w:val="0"/>
  </w:style>
  <w:style w:type="character" w:customStyle="1" w:styleId="82">
    <w:name w:val="l_14"/>
    <w:basedOn w:val="16"/>
    <w:qFormat/>
    <w:uiPriority w:val="0"/>
  </w:style>
  <w:style w:type="character" w:customStyle="1" w:styleId="83">
    <w:name w:val="l_141"/>
    <w:basedOn w:val="16"/>
    <w:qFormat/>
    <w:uiPriority w:val="0"/>
  </w:style>
  <w:style w:type="character" w:customStyle="1" w:styleId="84">
    <w:name w:val="l_15"/>
    <w:basedOn w:val="16"/>
    <w:qFormat/>
    <w:uiPriority w:val="0"/>
  </w:style>
  <w:style w:type="character" w:customStyle="1" w:styleId="85">
    <w:name w:val="l_151"/>
    <w:basedOn w:val="16"/>
    <w:qFormat/>
    <w:uiPriority w:val="0"/>
  </w:style>
  <w:style w:type="character" w:customStyle="1" w:styleId="86">
    <w:name w:val="color_cdyy"/>
    <w:basedOn w:val="16"/>
    <w:qFormat/>
    <w:uiPriority w:val="0"/>
    <w:rPr>
      <w:color w:val="FFFFFF"/>
      <w:bdr w:val="single" w:color="FFFFFF" w:sz="4" w:space="0"/>
    </w:rPr>
  </w:style>
  <w:style w:type="character" w:customStyle="1" w:styleId="87">
    <w:name w:val="menutitle"/>
    <w:basedOn w:val="16"/>
    <w:qFormat/>
    <w:uiPriority w:val="0"/>
    <w:rPr>
      <w:color w:val="333333"/>
      <w:sz w:val="16"/>
      <w:szCs w:val="16"/>
    </w:rPr>
  </w:style>
  <w:style w:type="character" w:customStyle="1" w:styleId="88">
    <w:name w:val="menutitle1"/>
    <w:basedOn w:val="16"/>
    <w:qFormat/>
    <w:uiPriority w:val="0"/>
    <w:rPr>
      <w:color w:val="333333"/>
      <w:sz w:val="16"/>
      <w:szCs w:val="16"/>
    </w:rPr>
  </w:style>
  <w:style w:type="character" w:customStyle="1" w:styleId="89">
    <w:name w:val="swapimg"/>
    <w:basedOn w:val="16"/>
    <w:qFormat/>
    <w:uiPriority w:val="0"/>
  </w:style>
  <w:style w:type="character" w:customStyle="1" w:styleId="90">
    <w:name w:val="swapimg1"/>
    <w:basedOn w:val="16"/>
    <w:qFormat/>
    <w:uiPriority w:val="0"/>
  </w:style>
  <w:style w:type="character" w:customStyle="1" w:styleId="91">
    <w:name w:val="close"/>
    <w:basedOn w:val="16"/>
    <w:qFormat/>
    <w:uiPriority w:val="0"/>
  </w:style>
  <w:style w:type="character" w:customStyle="1" w:styleId="92">
    <w:name w:val="hover"/>
    <w:basedOn w:val="16"/>
    <w:qFormat/>
    <w:uiPriority w:val="0"/>
  </w:style>
  <w:style w:type="character" w:customStyle="1" w:styleId="93">
    <w:name w:val="hover16"/>
    <w:basedOn w:val="16"/>
    <w:qFormat/>
    <w:uiPriority w:val="0"/>
  </w:style>
  <w:style w:type="character" w:customStyle="1" w:styleId="94">
    <w:name w:val="hover17"/>
    <w:basedOn w:val="16"/>
    <w:qFormat/>
    <w:uiPriority w:val="0"/>
  </w:style>
  <w:style w:type="character" w:customStyle="1" w:styleId="95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96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97">
    <w:name w:val="focus"/>
    <w:basedOn w:val="16"/>
    <w:qFormat/>
    <w:uiPriority w:val="0"/>
    <w:rPr>
      <w:b/>
      <w:bCs/>
      <w:color w:val="000000"/>
    </w:rPr>
  </w:style>
  <w:style w:type="character" w:customStyle="1" w:styleId="98">
    <w:name w:val="menutitle14"/>
    <w:basedOn w:val="16"/>
    <w:qFormat/>
    <w:uiPriority w:val="0"/>
    <w:rPr>
      <w:color w:val="333333"/>
      <w:sz w:val="24"/>
      <w:szCs w:val="24"/>
    </w:rPr>
  </w:style>
  <w:style w:type="character" w:customStyle="1" w:styleId="99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100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101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102">
    <w:name w:val="red5"/>
    <w:basedOn w:val="16"/>
    <w:qFormat/>
    <w:uiPriority w:val="0"/>
    <w:rPr>
      <w:color w:val="FF0000"/>
      <w:sz w:val="18"/>
      <w:szCs w:val="18"/>
    </w:rPr>
  </w:style>
  <w:style w:type="character" w:customStyle="1" w:styleId="103">
    <w:name w:val="red6"/>
    <w:basedOn w:val="16"/>
    <w:qFormat/>
    <w:uiPriority w:val="0"/>
    <w:rPr>
      <w:color w:val="CC0000"/>
    </w:rPr>
  </w:style>
  <w:style w:type="character" w:customStyle="1" w:styleId="104">
    <w:name w:val="red7"/>
    <w:basedOn w:val="16"/>
    <w:qFormat/>
    <w:uiPriority w:val="0"/>
    <w:rPr>
      <w:color w:val="FF0000"/>
    </w:rPr>
  </w:style>
  <w:style w:type="table" w:customStyle="1" w:styleId="10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3a6a357e-2329-4337-8919-045e12e78747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7B96D862</paraID>
      <start>0</start>
      <end>2</end>
      <status>modified</status>
      <modifiedWord>1.</modifiedWord>
      <trackRevisions>false</trackRevisions>
    </reviewItem>
    <reviewItem>
      <errorID>d9e55ea6-f279-48c5-85a3-0d0c80c4d89b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当前序号格式不规范，建议修改为规范格式[2.]。</explain>
      <paraID>7A82A231</paraID>
      <start>0</start>
      <end>2</end>
      <status>modified</status>
      <modifiedWord>2.</modifiedWord>
      <trackRevisions>false</trackRevisions>
    </reviewItem>
    <reviewItem>
      <errorID>da840135-a817-4fea-8b26-e93502f3b5e5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1AD368DB</paraID>
      <start>0</start>
      <end>2</end>
      <status>modified</status>
      <modifiedWord>3.</modifiedWord>
      <trackRevisions>false</trackRevisions>
    </reviewItem>
    <reviewItem>
      <errorID>e6fa5e2f-c55a-4e64-b385-f9d2bb6a09df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78F348F8</paraID>
      <start>0</start>
      <end>2</end>
      <status>modified</status>
      <modifiedWord>4.</modifiedWord>
      <trackRevisions>false</trackRevisions>
    </reviewItem>
    <reviewItem>
      <errorID>baab4077-3d31-479c-9572-8b3db0c1cb9e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76B28D41</paraID>
      <start>0</start>
      <end>2</end>
      <status>modified</status>
      <modifiedWord>5.</modifiedWord>
      <trackRevisions>false</trackRevisions>
    </reviewItem>
    <reviewItem>
      <errorID>2af3cc1a-495a-44b9-b80f-2ca4075e0382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4CA50D83</paraID>
      <start>0</start>
      <end>2</end>
      <status>modified</status>
      <modifiedWord>6.</modifiedWord>
      <trackRevisions>false</trackRevisions>
    </reviewItem>
    <reviewItem>
      <errorID>76504042-7dc2-472f-a663-cbc92b6294c0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48E1BBFD</paraID>
      <start>0</start>
      <end>2</end>
      <status>modified</status>
      <modifiedWord>7.</modifiedWord>
      <trackRevisions>false</trackRevisions>
    </reviewItem>
    <reviewItem>
      <errorID>5358f89b-ac15-42b3-af2b-8f6eb1686101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66EC7DCC</paraID>
      <start>0</start>
      <end>2</end>
      <status>modified</status>
      <modifiedWord>8.</modifiedWord>
      <trackRevisions>false</trackRevisions>
    </reviewItem>
    <reviewItem>
      <errorID>79f39e35-dd29-41dd-a006-841938e762f3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7ED2C41B</paraID>
      <start>0</start>
      <end>2</end>
      <status>modified</status>
      <modifiedWord>9.</modifiedWord>
      <trackRevisions>false</trackRevisions>
    </reviewItem>
    <reviewItem>
      <errorID>f8b67a50-ecf6-4553-854f-42da47890c9e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74D5C985</paraID>
      <start>0</start>
      <end>3</end>
      <status>modified</status>
      <modifiedWord>10.</modifiedWord>
      <trackRevisions>false</trackRevisions>
    </reviewItem>
    <reviewItem>
      <errorID>d03566f4-de26-4954-9da4-3388d399ced8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74D5C985</paraID>
      <start>22</start>
      <end>24</end>
      <status>modified</status>
      <modifiedWord>》《</modifiedWord>
      <trackRevisions>false</trackRevisions>
    </reviewItem>
    <reviewItem>
      <errorID>ddd08f89-cad5-4bf7-9ca4-b7ca4a20f32e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74D5C985</paraID>
      <start>32</start>
      <end>34</end>
      <status>modified</status>
      <modifiedWord>》《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30091-e03a-4abb-b918-e0a39ce04f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1392</Words>
  <Characters>1705</Characters>
  <Lines>8</Lines>
  <Paragraphs>7</Paragraphs>
  <TotalTime>25</TotalTime>
  <ScaleCrop>false</ScaleCrop>
  <LinksUpToDate>false</LinksUpToDate>
  <CharactersWithSpaces>1779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2019-03-11T08:08:00Z</dcterms:created>
  <dc:creator>dhzb004</dc:creator>
  <cp:lastModifiedBy>Administrator</cp:lastModifiedBy>
  <cp:lastPrinted>2021-11-18T10:15:00Z</cp:lastPrinted>
  <dcterms:modified xsi:type="dcterms:W3CDTF">2025-12-04T07:50:10Z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DA111F95C70C4E1ABA2C648499842906</vt:lpwstr>
  </property>
  <property fmtid="{D5CDD505-2E9C-101B-9397-08002B2CF9AE}" pid="4" name="KSOTemplateDocerSaveRecord">
    <vt:lpwstr>eyJoZGlkIjoiNGE3ZjliMjI0MTgzMThhM2Y2N2NlNjI2ODI3MjQ2NTAiLCJ1c2VySWQiOiIzODIyNjM5MTUifQ==</vt:lpwstr>
  </property>
</Properties>
</file>