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8B738">
      <w:pPr>
        <w:pageBreakBefore w:val="0"/>
        <w:kinsoku/>
        <w:overflowPunct/>
        <w:bidi w:val="0"/>
        <w:ind w:firstLine="0" w:firstLineChars="0"/>
        <w:rPr>
          <w:b/>
          <w:color w:val="auto"/>
          <w:spacing w:val="-20"/>
          <w:sz w:val="48"/>
          <w:szCs w:val="48"/>
          <w:highlight w:val="none"/>
        </w:rPr>
      </w:pPr>
      <w:bookmarkStart w:id="0" w:name="_Toc152042286"/>
      <w:bookmarkStart w:id="1" w:name="_Toc144974478"/>
    </w:p>
    <w:p w14:paraId="7386E704">
      <w:pPr>
        <w:pageBreakBefore w:val="0"/>
        <w:kinsoku/>
        <w:overflowPunct/>
        <w:bidi w:val="0"/>
        <w:ind w:firstLine="0" w:firstLineChars="0"/>
        <w:jc w:val="center"/>
        <w:rPr>
          <w:rFonts w:hint="eastAsia" w:eastAsiaTheme="minorEastAsia"/>
          <w:b/>
          <w:color w:val="auto"/>
          <w:spacing w:val="-20"/>
          <w:sz w:val="48"/>
          <w:szCs w:val="48"/>
          <w:highlight w:val="none"/>
          <w:lang w:eastAsia="zh-CN"/>
        </w:rPr>
      </w:pPr>
      <w:r>
        <w:rPr>
          <w:rFonts w:hint="eastAsia"/>
          <w:b/>
          <w:color w:val="auto"/>
          <w:spacing w:val="-20"/>
          <w:sz w:val="48"/>
          <w:szCs w:val="48"/>
          <w:highlight w:val="none"/>
          <w:lang w:eastAsia="zh-CN"/>
        </w:rPr>
        <w:t>信阳市浉河区文化广电和旅游局甘以敬故居修缮保护设计方案项目</w:t>
      </w:r>
    </w:p>
    <w:p w14:paraId="39C02762">
      <w:pPr>
        <w:pStyle w:val="54"/>
        <w:pageBreakBefore w:val="0"/>
        <w:kinsoku/>
        <w:overflowPunct/>
        <w:bidi w:val="0"/>
        <w:ind w:firstLine="0" w:firstLineChars="0"/>
        <w:rPr>
          <w:b/>
          <w:color w:val="auto"/>
          <w:spacing w:val="-20"/>
          <w:sz w:val="44"/>
          <w:szCs w:val="44"/>
          <w:highlight w:val="none"/>
        </w:rPr>
      </w:pPr>
    </w:p>
    <w:p w14:paraId="07FF7297">
      <w:pPr>
        <w:pStyle w:val="54"/>
        <w:pageBreakBefore w:val="0"/>
        <w:kinsoku/>
        <w:overflowPunct/>
        <w:bidi w:val="0"/>
        <w:ind w:firstLine="0" w:firstLineChars="0"/>
        <w:rPr>
          <w:b/>
          <w:color w:val="auto"/>
          <w:spacing w:val="-20"/>
          <w:sz w:val="44"/>
          <w:szCs w:val="44"/>
          <w:highlight w:val="none"/>
        </w:rPr>
      </w:pPr>
    </w:p>
    <w:p w14:paraId="4644C2BE">
      <w:pPr>
        <w:pageBreakBefore w:val="0"/>
        <w:kinsoku/>
        <w:overflowPunct/>
        <w:bidi w:val="0"/>
        <w:ind w:firstLine="0" w:firstLineChars="0"/>
        <w:jc w:val="center"/>
        <w:rPr>
          <w:rFonts w:hint="eastAsia" w:ascii="宋体" w:hAnsi="宋体"/>
          <w:b/>
          <w:color w:val="auto"/>
          <w:sz w:val="52"/>
          <w:szCs w:val="52"/>
          <w:highlight w:val="none"/>
        </w:rPr>
      </w:pPr>
    </w:p>
    <w:p w14:paraId="7A395A9A">
      <w:pPr>
        <w:pageBreakBefore w:val="0"/>
        <w:kinsoku/>
        <w:overflowPunct/>
        <w:bidi w:val="0"/>
        <w:ind w:firstLine="0" w:firstLineChars="0"/>
        <w:jc w:val="center"/>
        <w:rPr>
          <w:rFonts w:ascii="宋体" w:hAnsi="宋体"/>
          <w:b/>
          <w:color w:val="auto"/>
          <w:sz w:val="52"/>
          <w:szCs w:val="52"/>
          <w:highlight w:val="none"/>
        </w:rPr>
      </w:pPr>
      <w:r>
        <w:rPr>
          <w:rFonts w:hint="eastAsia" w:ascii="宋体" w:hAnsi="宋体"/>
          <w:b/>
          <w:color w:val="auto"/>
          <w:sz w:val="52"/>
          <w:szCs w:val="52"/>
          <w:highlight w:val="none"/>
        </w:rPr>
        <w:t>竞争性磋商文件</w:t>
      </w:r>
    </w:p>
    <w:p w14:paraId="25FB3AF1">
      <w:pPr>
        <w:pStyle w:val="28"/>
        <w:pageBreakBefore w:val="0"/>
        <w:kinsoku/>
        <w:overflowPunct/>
        <w:bidi w:val="0"/>
        <w:ind w:firstLine="0" w:firstLineChars="0"/>
        <w:rPr>
          <w:color w:val="auto"/>
          <w:highlight w:val="none"/>
        </w:rPr>
      </w:pPr>
    </w:p>
    <w:p w14:paraId="62BD8660">
      <w:pPr>
        <w:pageBreakBefore w:val="0"/>
        <w:kinsoku/>
        <w:overflowPunct/>
        <w:bidi w:val="0"/>
        <w:ind w:firstLine="0" w:firstLineChars="0"/>
        <w:jc w:val="center"/>
        <w:rPr>
          <w:rFonts w:hint="default" w:ascii="宋体" w:hAnsi="宋体" w:eastAsiaTheme="minorEastAsia"/>
          <w:b/>
          <w:color w:val="auto"/>
          <w:sz w:val="32"/>
          <w:szCs w:val="32"/>
          <w:highlight w:val="none"/>
          <w:lang w:val="en-US" w:eastAsia="zh-CN"/>
        </w:rPr>
      </w:pPr>
      <w:r>
        <w:rPr>
          <w:rFonts w:hint="eastAsia" w:ascii="宋体" w:hAnsi="宋体"/>
          <w:b/>
          <w:color w:val="auto"/>
          <w:sz w:val="32"/>
          <w:szCs w:val="32"/>
          <w:highlight w:val="none"/>
        </w:rPr>
        <w:t>采购编号：</w:t>
      </w:r>
      <w:r>
        <w:rPr>
          <w:rFonts w:hint="eastAsia" w:ascii="宋体" w:hAnsi="宋体"/>
          <w:b/>
          <w:color w:val="auto"/>
          <w:sz w:val="32"/>
          <w:szCs w:val="32"/>
          <w:highlight w:val="none"/>
          <w:lang w:eastAsia="zh-CN"/>
        </w:rPr>
        <w:t>信浉财磋商采购-202</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 xml:space="preserve">14 </w:t>
      </w:r>
    </w:p>
    <w:p w14:paraId="61DF9BF8">
      <w:pPr>
        <w:pStyle w:val="28"/>
        <w:pageBreakBefore w:val="0"/>
        <w:kinsoku/>
        <w:overflowPunct/>
        <w:bidi w:val="0"/>
        <w:ind w:firstLine="0" w:firstLineChars="0"/>
        <w:rPr>
          <w:color w:val="auto"/>
          <w:highlight w:val="none"/>
        </w:rPr>
      </w:pPr>
    </w:p>
    <w:p w14:paraId="3AE918C4">
      <w:pPr>
        <w:pageBreakBefore w:val="0"/>
        <w:kinsoku/>
        <w:overflowPunct/>
        <w:bidi w:val="0"/>
        <w:ind w:firstLine="0" w:firstLineChars="0"/>
        <w:rPr>
          <w:rFonts w:ascii="宋体"/>
          <w:color w:val="auto"/>
          <w:sz w:val="28"/>
          <w:highlight w:val="none"/>
        </w:rPr>
      </w:pPr>
      <w:r>
        <w:rPr>
          <w:rFonts w:hint="eastAsia" w:ascii="宋体" w:hAnsi="宋体" w:eastAsia="宋体" w:cs="宋体"/>
          <w:color w:val="auto"/>
          <w:sz w:val="24"/>
          <w:highlight w:val="none"/>
        </w:rPr>
        <w:drawing>
          <wp:anchor distT="0" distB="0" distL="114300" distR="114300" simplePos="0" relativeHeight="251659264" behindDoc="1" locked="0" layoutInCell="1" allowOverlap="1">
            <wp:simplePos x="0" y="0"/>
            <wp:positionH relativeFrom="column">
              <wp:posOffset>1411605</wp:posOffset>
            </wp:positionH>
            <wp:positionV relativeFrom="paragraph">
              <wp:posOffset>273685</wp:posOffset>
            </wp:positionV>
            <wp:extent cx="2185035" cy="2345690"/>
            <wp:effectExtent l="0" t="0" r="5715" b="16510"/>
            <wp:wrapTight wrapText="bothSides">
              <wp:wrapPolygon>
                <wp:start x="0" y="0"/>
                <wp:lineTo x="0" y="21401"/>
                <wp:lineTo x="21468" y="21401"/>
                <wp:lineTo x="21468" y="0"/>
                <wp:lineTo x="0" y="0"/>
              </wp:wrapPolygon>
            </wp:wrapTight>
            <wp:docPr id="1" name="图片 1" descr="IMG_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999"/>
                    <pic:cNvPicPr>
                      <a:picLocks noChangeAspect="1"/>
                    </pic:cNvPicPr>
                  </pic:nvPicPr>
                  <pic:blipFill>
                    <a:blip r:embed="rId15"/>
                    <a:stretch>
                      <a:fillRect/>
                    </a:stretch>
                  </pic:blipFill>
                  <pic:spPr>
                    <a:xfrm>
                      <a:off x="0" y="0"/>
                      <a:ext cx="2185035" cy="2345690"/>
                    </a:xfrm>
                    <a:prstGeom prst="rect">
                      <a:avLst/>
                    </a:prstGeom>
                    <a:noFill/>
                    <a:ln>
                      <a:noFill/>
                    </a:ln>
                  </pic:spPr>
                </pic:pic>
              </a:graphicData>
            </a:graphic>
          </wp:anchor>
        </w:drawing>
      </w:r>
    </w:p>
    <w:p w14:paraId="66F1D900">
      <w:pPr>
        <w:pStyle w:val="54"/>
        <w:pageBreakBefore w:val="0"/>
        <w:kinsoku/>
        <w:overflowPunct/>
        <w:bidi w:val="0"/>
        <w:ind w:firstLine="0" w:firstLineChars="0"/>
        <w:rPr>
          <w:rFonts w:ascii="宋体"/>
          <w:color w:val="auto"/>
          <w:sz w:val="28"/>
          <w:highlight w:val="none"/>
        </w:rPr>
      </w:pPr>
    </w:p>
    <w:p w14:paraId="269DF134">
      <w:pPr>
        <w:pStyle w:val="54"/>
        <w:pageBreakBefore w:val="0"/>
        <w:kinsoku/>
        <w:overflowPunct/>
        <w:bidi w:val="0"/>
        <w:ind w:firstLine="0" w:firstLineChars="0"/>
        <w:rPr>
          <w:rFonts w:ascii="宋体"/>
          <w:color w:val="auto"/>
          <w:sz w:val="28"/>
          <w:highlight w:val="none"/>
        </w:rPr>
      </w:pPr>
    </w:p>
    <w:p w14:paraId="7AA41EE3">
      <w:pPr>
        <w:pStyle w:val="54"/>
        <w:pageBreakBefore w:val="0"/>
        <w:kinsoku/>
        <w:overflowPunct/>
        <w:bidi w:val="0"/>
        <w:ind w:firstLine="0" w:firstLineChars="0"/>
        <w:rPr>
          <w:rFonts w:ascii="宋体"/>
          <w:color w:val="auto"/>
          <w:sz w:val="28"/>
          <w:highlight w:val="none"/>
        </w:rPr>
      </w:pPr>
    </w:p>
    <w:p w14:paraId="23CE0158">
      <w:pPr>
        <w:pStyle w:val="54"/>
        <w:pageBreakBefore w:val="0"/>
        <w:kinsoku/>
        <w:overflowPunct/>
        <w:bidi w:val="0"/>
        <w:ind w:firstLine="0" w:firstLineChars="0"/>
        <w:rPr>
          <w:rFonts w:ascii="宋体"/>
          <w:color w:val="auto"/>
          <w:sz w:val="28"/>
          <w:highlight w:val="none"/>
        </w:rPr>
      </w:pPr>
    </w:p>
    <w:p w14:paraId="779C92A7">
      <w:pPr>
        <w:pStyle w:val="54"/>
        <w:pageBreakBefore w:val="0"/>
        <w:kinsoku/>
        <w:overflowPunct/>
        <w:bidi w:val="0"/>
        <w:ind w:firstLine="0" w:firstLineChars="0"/>
        <w:rPr>
          <w:rFonts w:ascii="宋体"/>
          <w:color w:val="auto"/>
          <w:sz w:val="28"/>
          <w:highlight w:val="none"/>
        </w:rPr>
      </w:pPr>
    </w:p>
    <w:p w14:paraId="6EC93D78">
      <w:pPr>
        <w:pStyle w:val="54"/>
        <w:pageBreakBefore w:val="0"/>
        <w:kinsoku/>
        <w:overflowPunct/>
        <w:bidi w:val="0"/>
        <w:ind w:firstLine="0" w:firstLineChars="0"/>
        <w:rPr>
          <w:rFonts w:ascii="宋体"/>
          <w:color w:val="auto"/>
          <w:sz w:val="28"/>
          <w:highlight w:val="none"/>
        </w:rPr>
      </w:pPr>
    </w:p>
    <w:p w14:paraId="0CF654E4">
      <w:pPr>
        <w:pageBreakBefore w:val="0"/>
        <w:kinsoku/>
        <w:overflowPunct/>
        <w:bidi w:val="0"/>
        <w:ind w:firstLine="0" w:firstLineChars="0"/>
        <w:rPr>
          <w:rFonts w:ascii="宋体"/>
          <w:color w:val="auto"/>
          <w:sz w:val="28"/>
          <w:highlight w:val="none"/>
        </w:rPr>
      </w:pPr>
    </w:p>
    <w:p w14:paraId="429E8EAF">
      <w:pPr>
        <w:pStyle w:val="54"/>
        <w:pageBreakBefore w:val="0"/>
        <w:kinsoku/>
        <w:overflowPunct/>
        <w:bidi w:val="0"/>
        <w:ind w:firstLine="0" w:firstLineChars="0"/>
        <w:rPr>
          <w:color w:val="auto"/>
          <w:highlight w:val="none"/>
        </w:rPr>
      </w:pPr>
    </w:p>
    <w:p w14:paraId="2EE89606">
      <w:pPr>
        <w:pStyle w:val="54"/>
        <w:pageBreakBefore w:val="0"/>
        <w:kinsoku/>
        <w:overflowPunct/>
        <w:bidi w:val="0"/>
        <w:ind w:firstLine="0" w:firstLineChars="0"/>
        <w:rPr>
          <w:color w:val="auto"/>
          <w:highlight w:val="none"/>
        </w:rPr>
      </w:pPr>
    </w:p>
    <w:p w14:paraId="6DC1AFC7">
      <w:pPr>
        <w:pageBreakBefore w:val="0"/>
        <w:widowControl/>
        <w:kinsoku/>
        <w:overflowPunct/>
        <w:bidi w:val="0"/>
        <w:spacing w:line="720" w:lineRule="auto"/>
        <w:ind w:firstLine="0" w:firstLineChars="0"/>
        <w:rPr>
          <w:rFonts w:ascii="宋体" w:hAnsi="宋体" w:cs="宋体"/>
          <w:b/>
          <w:bCs/>
          <w:color w:val="auto"/>
          <w:kern w:val="0"/>
          <w:sz w:val="32"/>
          <w:szCs w:val="32"/>
          <w:highlight w:val="none"/>
        </w:rPr>
      </w:pPr>
    </w:p>
    <w:p w14:paraId="74BBE118">
      <w:pPr>
        <w:pageBreakBefore w:val="0"/>
        <w:widowControl/>
        <w:kinsoku/>
        <w:overflowPunct/>
        <w:bidi w:val="0"/>
        <w:spacing w:line="720" w:lineRule="auto"/>
        <w:ind w:firstLine="1285" w:firstLineChars="400"/>
        <w:jc w:val="both"/>
        <w:rPr>
          <w:rFonts w:hint="eastAsia" w:ascii="宋体" w:hAnsi="宋体" w:cs="宋体" w:eastAsiaTheme="minorEastAsia"/>
          <w:b/>
          <w:bCs/>
          <w:color w:val="auto"/>
          <w:kern w:val="0"/>
          <w:sz w:val="32"/>
          <w:szCs w:val="32"/>
          <w:highlight w:val="none"/>
          <w:lang w:eastAsia="zh-CN"/>
        </w:rPr>
      </w:pPr>
      <w:r>
        <w:rPr>
          <w:rFonts w:hint="eastAsia" w:ascii="宋体" w:hAnsi="宋体" w:cs="宋体"/>
          <w:b/>
          <w:bCs/>
          <w:color w:val="auto"/>
          <w:kern w:val="0"/>
          <w:sz w:val="32"/>
          <w:szCs w:val="32"/>
          <w:highlight w:val="none"/>
        </w:rPr>
        <w:t xml:space="preserve">采 </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 xml:space="preserve">购 </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人：</w:t>
      </w:r>
      <w:r>
        <w:rPr>
          <w:rFonts w:hint="eastAsia" w:ascii="宋体" w:hAnsi="宋体" w:cs="宋体"/>
          <w:b/>
          <w:bCs/>
          <w:color w:val="auto"/>
          <w:kern w:val="0"/>
          <w:sz w:val="32"/>
          <w:szCs w:val="32"/>
          <w:highlight w:val="none"/>
          <w:lang w:eastAsia="zh-CN"/>
        </w:rPr>
        <w:t>信阳市浉河区文化广电和旅游局</w:t>
      </w:r>
    </w:p>
    <w:p w14:paraId="7651F83F">
      <w:pPr>
        <w:pageBreakBefore w:val="0"/>
        <w:widowControl/>
        <w:kinsoku/>
        <w:overflowPunct/>
        <w:bidi w:val="0"/>
        <w:spacing w:line="720" w:lineRule="auto"/>
        <w:ind w:firstLine="0" w:firstLineChars="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采购代理机构：中金泰富工程管理有限公司</w:t>
      </w:r>
    </w:p>
    <w:p w14:paraId="55971827">
      <w:pPr>
        <w:pageBreakBefore w:val="0"/>
        <w:widowControl/>
        <w:kinsoku/>
        <w:overflowPunct/>
        <w:bidi w:val="0"/>
        <w:spacing w:line="720" w:lineRule="auto"/>
        <w:ind w:firstLine="1285" w:firstLineChars="400"/>
        <w:jc w:val="both"/>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日</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期：</w:t>
      </w:r>
      <w:r>
        <w:rPr>
          <w:rFonts w:hint="eastAsia" w:ascii="宋体" w:hAnsi="宋体" w:eastAsia="宋体" w:cs="宋体"/>
          <w:b/>
          <w:color w:val="auto"/>
          <w:sz w:val="28"/>
          <w:highlight w:val="none"/>
        </w:rPr>
        <w:t>二〇二</w:t>
      </w:r>
      <w:r>
        <w:rPr>
          <w:rFonts w:hint="eastAsia" w:ascii="宋体" w:hAnsi="宋体" w:eastAsia="宋体" w:cs="宋体"/>
          <w:b/>
          <w:color w:val="auto"/>
          <w:sz w:val="28"/>
          <w:highlight w:val="none"/>
          <w:lang w:eastAsia="zh-CN"/>
        </w:rPr>
        <w:t>五</w:t>
      </w:r>
      <w:r>
        <w:rPr>
          <w:rFonts w:hint="eastAsia" w:ascii="宋体" w:hAnsi="宋体" w:eastAsia="宋体" w:cs="宋体"/>
          <w:b/>
          <w:color w:val="auto"/>
          <w:sz w:val="28"/>
          <w:highlight w:val="none"/>
        </w:rPr>
        <w:t>年</w:t>
      </w:r>
      <w:r>
        <w:rPr>
          <w:rFonts w:hint="eastAsia" w:ascii="宋体" w:hAnsi="宋体" w:eastAsia="宋体" w:cs="宋体"/>
          <w:b/>
          <w:color w:val="auto"/>
          <w:sz w:val="28"/>
          <w:highlight w:val="none"/>
          <w:lang w:eastAsia="zh-CN"/>
        </w:rPr>
        <w:t>七</w:t>
      </w:r>
      <w:r>
        <w:rPr>
          <w:rFonts w:hint="eastAsia" w:ascii="宋体" w:hAnsi="宋体" w:eastAsia="宋体" w:cs="宋体"/>
          <w:b/>
          <w:color w:val="auto"/>
          <w:sz w:val="28"/>
          <w:highlight w:val="none"/>
        </w:rPr>
        <w:t>月</w:t>
      </w:r>
    </w:p>
    <w:p w14:paraId="63EDC928">
      <w:pPr>
        <w:pStyle w:val="11"/>
        <w:pageBreakBefore w:val="0"/>
        <w:kinsoku/>
        <w:overflowPunct/>
        <w:bidi w:val="0"/>
        <w:ind w:firstLine="0" w:firstLineChars="0"/>
        <w:jc w:val="center"/>
        <w:rPr>
          <w:rFonts w:ascii="宋体" w:hAnsi="宋体" w:cs="宋体"/>
          <w:b/>
          <w:color w:val="auto"/>
          <w:sz w:val="32"/>
          <w:highlight w:val="none"/>
        </w:rPr>
        <w:sectPr>
          <w:footerReference r:id="rId5" w:type="default"/>
          <w:pgSz w:w="11905" w:h="16838"/>
          <w:pgMar w:top="1440" w:right="1803" w:bottom="1440" w:left="1803" w:header="850" w:footer="850" w:gutter="0"/>
          <w:pgNumType w:fmt="decimal" w:start="1"/>
          <w:cols w:space="720" w:num="1"/>
          <w:docGrid w:type="lines" w:linePitch="349" w:charSpace="0"/>
        </w:sectPr>
      </w:pPr>
    </w:p>
    <w:p w14:paraId="4B382140">
      <w:pPr>
        <w:pStyle w:val="11"/>
        <w:pageBreakBefore w:val="0"/>
        <w:kinsoku/>
        <w:overflowPunct/>
        <w:bidi w:val="0"/>
        <w:ind w:firstLine="0" w:firstLineChars="0"/>
        <w:jc w:val="center"/>
        <w:rPr>
          <w:rFonts w:ascii="宋体" w:hAnsi="宋体" w:cs="宋体"/>
          <w:b/>
          <w:color w:val="auto"/>
          <w:sz w:val="32"/>
          <w:highlight w:val="none"/>
        </w:rPr>
      </w:pPr>
      <w:r>
        <w:rPr>
          <w:rFonts w:hint="eastAsia" w:ascii="宋体" w:hAnsi="宋体" w:cs="宋体"/>
          <w:b/>
          <w:color w:val="auto"/>
          <w:sz w:val="32"/>
          <w:highlight w:val="none"/>
        </w:rPr>
        <w:t>目     录</w:t>
      </w:r>
      <w:bookmarkEnd w:id="0"/>
      <w:bookmarkEnd w:id="1"/>
      <w:bookmarkStart w:id="2" w:name="_Toc490667779"/>
      <w:bookmarkStart w:id="3" w:name="_Toc152045511"/>
      <w:bookmarkStart w:id="4" w:name="_Toc152042287"/>
      <w:bookmarkStart w:id="5" w:name="_Toc144974479"/>
    </w:p>
    <w:p w14:paraId="08D6D28E">
      <w:pPr>
        <w:pStyle w:val="23"/>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_Toc32308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3F205C">
      <w:pPr>
        <w:pStyle w:val="23"/>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_Toc14928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92CB81">
      <w:pPr>
        <w:pStyle w:val="25"/>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_Toc22294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F19395">
      <w:pPr>
        <w:pStyle w:val="25"/>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_Toc24740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1. 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_Toc24740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- 15 -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AC54B3">
      <w:pPr>
        <w:pStyle w:val="25"/>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_Toc15552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2.竞争性磋商文件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_Toc15552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DA6E5C">
      <w:pPr>
        <w:pStyle w:val="25"/>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_Toc22547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 响应文件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_Toc22547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04AF53">
      <w:pPr>
        <w:pStyle w:val="25"/>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4. 磋商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_Toc18951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4E2525">
      <w:pPr>
        <w:pStyle w:val="25"/>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5.磋商开始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5990EC">
      <w:pPr>
        <w:pStyle w:val="25"/>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_Toc24508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6. 磋商小组</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_Toc24508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F7BB3CE">
      <w:pPr>
        <w:pStyle w:val="25"/>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_Toc3578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7. 合同授予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_Toc3578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A4AB48">
      <w:pPr>
        <w:pStyle w:val="25"/>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8.重新招标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9ED706">
      <w:pPr>
        <w:pStyle w:val="25"/>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9.纪律和监督</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8DC71A">
      <w:pPr>
        <w:pStyle w:val="25"/>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_Toc26468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10. 需要补充的其他内容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_Toc26468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FE2A9E">
      <w:pPr>
        <w:pStyle w:val="23"/>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_Toc22014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44"/>
          <w:sz w:val="24"/>
          <w:szCs w:val="24"/>
          <w:highlight w:val="none"/>
        </w:rPr>
        <w:t>第三章  评审办法（综合评分法）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_Toc22014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91FA41">
      <w:pPr>
        <w:pStyle w:val="23"/>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44"/>
          <w:sz w:val="24"/>
          <w:szCs w:val="24"/>
          <w:highlight w:val="none"/>
        </w:rPr>
        <w:t>第四章  河南省政府采购合同（参考文本）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_Toc21270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DDAB2F">
      <w:pPr>
        <w:pStyle w:val="23"/>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_Toc4703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采购项目要求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_Toc4703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FA5065B">
      <w:pPr>
        <w:pStyle w:val="23"/>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_Toc12248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第六章  竞争性磋商响应文件格式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_Toc12248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A192BE">
      <w:pPr>
        <w:pStyle w:val="23"/>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一、磋商函及磋商函附录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B0510A">
      <w:pPr>
        <w:pStyle w:val="18"/>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_Toc18581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二、法定代表身份证明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_Toc18581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6B7FD5">
      <w:pPr>
        <w:pStyle w:val="18"/>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三、授权委托书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_Toc20490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083CED">
      <w:pPr>
        <w:pStyle w:val="18"/>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_Toc23445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_Toc23445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F528DE7">
      <w:pPr>
        <w:pStyle w:val="18"/>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_Toc19486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、技术方案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_Toc19486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BABF9D">
      <w:pPr>
        <w:pStyle w:val="18"/>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_Toc20278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、类似项目业绩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_Toc20278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386943">
      <w:pPr>
        <w:pStyle w:val="18"/>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_Toc5368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_Toc5368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5C1D16">
      <w:pPr>
        <w:pStyle w:val="18"/>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、残疾人福利性单位声明函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_Toc18371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70FC13">
      <w:pPr>
        <w:pStyle w:val="18"/>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rPr>
        <w:t>、监狱企业证明文件（如有）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7F85D02">
      <w:pPr>
        <w:pStyle w:val="18"/>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_Toc4604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十、其他材料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_Toc4604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453DE0">
      <w:pPr>
        <w:pageBreakBefore w:val="0"/>
        <w:kinsoku/>
        <w:overflowPunct/>
        <w:bidi w:val="0"/>
        <w:spacing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14:paraId="0ACD5554">
      <w:pPr>
        <w:pStyle w:val="28"/>
        <w:jc w:val="center"/>
        <w:rPr>
          <w:rFonts w:hint="eastAsia" w:ascii="Times New Roman" w:hAnsi="Times New Roman" w:eastAsia="仿宋_GB2312"/>
          <w:sz w:val="32"/>
          <w:szCs w:val="32"/>
        </w:rPr>
      </w:pPr>
      <w:r>
        <w:rPr>
          <w:rFonts w:hint="eastAsia" w:ascii="宋体" w:hAnsi="宋体" w:eastAsia="宋体" w:cs="Times New Roman"/>
          <w:b/>
          <w:color w:val="000000"/>
          <w:spacing w:val="0"/>
          <w:sz w:val="36"/>
          <w:szCs w:val="36"/>
          <w:lang w:val="zh-CN" w:eastAsia="zh-CN"/>
        </w:rPr>
        <w:t>致政府采购供应商和代理机构的一封信</w:t>
      </w:r>
    </w:p>
    <w:p w14:paraId="62F6427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尊敬的政府采购供应商、代理机构：</w:t>
      </w:r>
    </w:p>
    <w:p w14:paraId="2D1A324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您好！非常感谢您一直以来对浉河区政府采购活动的关心和支持！</w:t>
      </w:r>
    </w:p>
    <w:p w14:paraId="2BEAC0D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近年来，浉河区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4DC0CBE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为持续优化浉河区政府采购领域营商环境，浉河区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区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10%—20%（工程项目为5%）扣除优惠，用扣除后的价格参与评审；鼓励采购人提高首付款或预付款比例，首付款或预付款支付比例原则上不低于合同金额的40%，对于中小微企业，首付款或预付款支付比例可提高至不低于合同金额的60%；加大政府采购合同融资政策宣传，推进政府采购合同融资，为中标企业开辟融资“绿色通道”。</w:t>
      </w:r>
    </w:p>
    <w:p w14:paraId="393BE116">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尽管做了一些工作，但我们深知，离贵公司的期望还有差距。恳请贵公司对我们的工作提出宝贵意见，并持续给予关注、支持和监督！</w:t>
      </w:r>
    </w:p>
    <w:p w14:paraId="5E618270">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凡涉及浉河区政府采购领域营商环境的任何问题，贵公司均可通过专线电话0376-6312702、电子邮箱shihecaigou@126.com，与浉河区财政局政府采购管理办公室随时沟通交流，我们将竭诚为各位供应商服务，全力解决贵公司遇到的困难。</w:t>
      </w:r>
    </w:p>
    <w:p w14:paraId="6FDA9B5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再次感谢贵公司对浉河区政府采购工作的关心和支持！</w:t>
      </w:r>
    </w:p>
    <w:p w14:paraId="7F51E4B2">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p>
    <w:p w14:paraId="0EFD502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p>
    <w:p w14:paraId="39C1B8E0">
      <w:pPr>
        <w:keepNext w:val="0"/>
        <w:keepLines w:val="0"/>
        <w:pageBreakBefore w:val="0"/>
        <w:kinsoku/>
        <w:wordWrap/>
        <w:overflowPunct/>
        <w:topLinePunct w:val="0"/>
        <w:autoSpaceDE/>
        <w:autoSpaceDN/>
        <w:bidi w:val="0"/>
        <w:spacing w:line="400" w:lineRule="exact"/>
        <w:ind w:firstLine="420" w:firstLineChars="200"/>
        <w:jc w:val="righ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浉河区财政局                                            </w:t>
      </w:r>
    </w:p>
    <w:p w14:paraId="3F31CEA8">
      <w:pPr>
        <w:keepNext w:val="0"/>
        <w:keepLines w:val="0"/>
        <w:pageBreakBefore w:val="0"/>
        <w:kinsoku/>
        <w:wordWrap/>
        <w:overflowPunct/>
        <w:topLinePunct w:val="0"/>
        <w:autoSpaceDE/>
        <w:autoSpaceDN/>
        <w:bidi w:val="0"/>
        <w:spacing w:line="400" w:lineRule="exact"/>
        <w:ind w:firstLine="420" w:firstLineChars="200"/>
        <w:jc w:val="right"/>
        <w:textAlignment w:val="auto"/>
        <w:rPr>
          <w:rFonts w:hint="eastAsia" w:ascii="仿宋" w:hAnsi="仿宋" w:eastAsia="仿宋" w:cs="仿宋"/>
          <w:kern w:val="2"/>
          <w:sz w:val="32"/>
          <w:szCs w:val="32"/>
        </w:rPr>
      </w:pPr>
      <w:r>
        <w:rPr>
          <w:rFonts w:hint="eastAsia" w:ascii="宋体" w:hAnsi="宋体" w:eastAsia="宋体" w:cs="宋体"/>
          <w:color w:val="000000"/>
          <w:sz w:val="21"/>
          <w:szCs w:val="21"/>
          <w:lang w:val="en-US" w:eastAsia="zh-CN"/>
        </w:rPr>
        <w:t xml:space="preserve"> 2025年6月</w:t>
      </w:r>
    </w:p>
    <w:p w14:paraId="483271E4">
      <w:pPr>
        <w:pageBreakBefore w:val="0"/>
        <w:kinsoku/>
        <w:overflowPunct/>
        <w:bidi w:val="0"/>
        <w:spacing w:line="440" w:lineRule="exact"/>
        <w:ind w:firstLine="0" w:firstLineChars="0"/>
        <w:jc w:val="center"/>
        <w:rPr>
          <w:rFonts w:hint="eastAsia" w:ascii="宋体" w:hAnsi="宋体" w:eastAsia="宋体" w:cs="宋体"/>
          <w:b/>
          <w:color w:val="auto"/>
          <w:spacing w:val="14"/>
          <w:sz w:val="44"/>
          <w:szCs w:val="44"/>
          <w:highlight w:val="none"/>
        </w:rPr>
      </w:pPr>
    </w:p>
    <w:p w14:paraId="484E88D4">
      <w:pPr>
        <w:pageBreakBefore w:val="0"/>
        <w:kinsoku/>
        <w:overflowPunct/>
        <w:bidi w:val="0"/>
        <w:spacing w:line="440" w:lineRule="exact"/>
        <w:ind w:firstLine="0" w:firstLineChars="0"/>
        <w:jc w:val="center"/>
        <w:rPr>
          <w:rFonts w:hint="eastAsia" w:ascii="宋体" w:hAnsi="宋体" w:eastAsia="宋体" w:cs="宋体"/>
          <w:b/>
          <w:color w:val="auto"/>
          <w:spacing w:val="14"/>
          <w:sz w:val="44"/>
          <w:szCs w:val="44"/>
          <w:highlight w:val="none"/>
        </w:rPr>
      </w:pPr>
    </w:p>
    <w:p w14:paraId="556F7EF6">
      <w:pPr>
        <w:pageBreakBefore w:val="0"/>
        <w:kinsoku/>
        <w:overflowPunct/>
        <w:bidi w:val="0"/>
        <w:spacing w:line="440" w:lineRule="exact"/>
        <w:ind w:firstLine="0" w:firstLineChars="0"/>
        <w:jc w:val="center"/>
        <w:rPr>
          <w:rFonts w:hint="eastAsia" w:ascii="宋体" w:hAnsi="宋体" w:eastAsia="宋体" w:cs="宋体"/>
          <w:b/>
          <w:color w:val="auto"/>
          <w:spacing w:val="14"/>
          <w:sz w:val="44"/>
          <w:szCs w:val="44"/>
          <w:highlight w:val="none"/>
        </w:rPr>
      </w:pPr>
    </w:p>
    <w:p w14:paraId="4C62D65A">
      <w:pPr>
        <w:pageBreakBefore w:val="0"/>
        <w:kinsoku/>
        <w:overflowPunct/>
        <w:bidi w:val="0"/>
        <w:spacing w:line="440" w:lineRule="exact"/>
        <w:ind w:firstLine="0" w:firstLineChars="0"/>
        <w:jc w:val="center"/>
        <w:rPr>
          <w:rFonts w:ascii="宋体" w:hAnsi="宋体" w:eastAsia="宋体" w:cs="宋体"/>
          <w:b/>
          <w:color w:val="auto"/>
          <w:spacing w:val="14"/>
          <w:sz w:val="44"/>
          <w:szCs w:val="44"/>
          <w:highlight w:val="none"/>
        </w:rPr>
      </w:pPr>
      <w:r>
        <w:rPr>
          <w:rFonts w:hint="eastAsia" w:ascii="宋体" w:hAnsi="宋体" w:eastAsia="宋体" w:cs="宋体"/>
          <w:b/>
          <w:color w:val="auto"/>
          <w:spacing w:val="14"/>
          <w:sz w:val="44"/>
          <w:szCs w:val="44"/>
          <w:highlight w:val="none"/>
        </w:rPr>
        <w:t>电子招投标特别提示</w:t>
      </w:r>
    </w:p>
    <w:p w14:paraId="5A6CA202">
      <w:pPr>
        <w:pageBreakBefore w:val="0"/>
        <w:kinsoku/>
        <w:overflowPunct/>
        <w:bidi w:val="0"/>
        <w:spacing w:line="400" w:lineRule="exact"/>
        <w:ind w:firstLine="0" w:firstLineChars="0"/>
        <w:rPr>
          <w:rFonts w:ascii="宋体" w:hAnsi="宋体" w:cs="宋体"/>
          <w:b/>
          <w:bCs/>
          <w:color w:val="auto"/>
          <w:sz w:val="24"/>
          <w:highlight w:val="none"/>
        </w:rPr>
      </w:pPr>
    </w:p>
    <w:p w14:paraId="1894514F">
      <w:pPr>
        <w:pageBreakBefore w:val="0"/>
        <w:kinsoku/>
        <w:overflowPunct/>
        <w:bidi w:val="0"/>
        <w:spacing w:line="360" w:lineRule="exact"/>
        <w:ind w:firstLine="0" w:firstLineChars="0"/>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一、投标人（供应商）注册</w:t>
      </w:r>
    </w:p>
    <w:p w14:paraId="75F4C9E4">
      <w:pPr>
        <w:pageBreakBefore w:val="0"/>
        <w:kinsoku/>
        <w:overflowPunct/>
        <w:bidi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凡有意参加本项目的投标人（供应商），请</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“全国公共资源交易平台（河南省·信阳市）（</w:t>
      </w:r>
      <w:r>
        <w:rPr>
          <w:rFonts w:hint="eastAsia" w:ascii="宋体" w:hAnsi="宋体" w:eastAsia="宋体" w:cs="宋体"/>
          <w:color w:val="auto"/>
          <w:szCs w:val="21"/>
          <w:highlight w:val="none"/>
          <w:lang w:eastAsia="zh-CN"/>
        </w:rPr>
        <w:t>https://ggzyjy.xinyang.gov.cn/</w:t>
      </w:r>
      <w:r>
        <w:rPr>
          <w:rFonts w:hint="eastAsia" w:ascii="宋体" w:hAnsi="宋体" w:eastAsia="宋体" w:cs="宋体"/>
          <w:color w:val="auto"/>
          <w:szCs w:val="21"/>
          <w:highlight w:val="none"/>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6ACCF78A">
      <w:pPr>
        <w:pageBreakBefore w:val="0"/>
        <w:kinsoku/>
        <w:overflowPunct/>
        <w:bidi w:val="0"/>
        <w:spacing w:line="360" w:lineRule="exact"/>
        <w:ind w:firstLine="0" w:firstLineChars="0"/>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二、办理CA数字证书</w:t>
      </w:r>
    </w:p>
    <w:p w14:paraId="65032B26">
      <w:pPr>
        <w:pageBreakBefore w:val="0"/>
        <w:kinsoku/>
        <w:overflowPunct/>
        <w:bidi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完成企业诚信库注册后，必须办理CA数字证书方可在网上办理招投标相关业务。投标人（供应商）根据《信阳市公共资源交易网》左侧下载中心有关办理CA数字证书的要求，准备好CA办理所需资料，到信阳市公共资源交易中心一楼CA窗口现场办理CA数字证书。</w:t>
      </w:r>
    </w:p>
    <w:p w14:paraId="6D25BE9B">
      <w:pPr>
        <w:pageBreakBefore w:val="0"/>
        <w:kinsoku/>
        <w:overflowPunct/>
        <w:bidi w:val="0"/>
        <w:spacing w:line="360" w:lineRule="exact"/>
        <w:ind w:firstLine="0" w:firstLineChars="0"/>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三、招标（采购）文件获取方式</w:t>
      </w:r>
    </w:p>
    <w:p w14:paraId="1F71283D">
      <w:pPr>
        <w:pageBreakBefore w:val="0"/>
        <w:kinsoku/>
        <w:overflowPunct/>
        <w:bidi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投标人（供应商）凭CA数字证书</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w:t>
      </w:r>
      <w:r>
        <w:rPr>
          <w:rFonts w:hint="eastAsia" w:ascii="宋体" w:hAnsi="宋体" w:eastAsia="宋体" w:cs="宋体"/>
          <w:color w:val="auto"/>
          <w:szCs w:val="21"/>
          <w:highlight w:val="none"/>
          <w:lang w:eastAsia="zh-CN"/>
        </w:rPr>
        <w:t>https://ggzyjy.xinyang.gov.cn/</w:t>
      </w:r>
      <w:r>
        <w:rPr>
          <w:rFonts w:hint="eastAsia" w:ascii="宋体" w:hAnsi="宋体" w:eastAsia="宋体" w:cs="宋体"/>
          <w:color w:val="auto"/>
          <w:szCs w:val="21"/>
          <w:highlight w:val="none"/>
        </w:rPr>
        <w:t>）”网站下载中心栏目内下载或在招标文件领取页面下载）。</w:t>
      </w:r>
    </w:p>
    <w:p w14:paraId="689C3ABF">
      <w:pPr>
        <w:pageBreakBefore w:val="0"/>
        <w:tabs>
          <w:tab w:val="left" w:pos="0"/>
        </w:tabs>
        <w:kinsoku/>
        <w:overflowPunct/>
        <w:bidi w:val="0"/>
        <w:spacing w:line="360" w:lineRule="exact"/>
        <w:ind w:firstLine="0" w:firstLineChars="0"/>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四、投标（响应）文件制作</w:t>
      </w:r>
    </w:p>
    <w:p w14:paraId="0E6A5568">
      <w:pPr>
        <w:pageBreakBefore w:val="0"/>
        <w:tabs>
          <w:tab w:val="left" w:pos="0"/>
        </w:tabs>
        <w:kinsoku/>
        <w:overflowPunct/>
        <w:bidi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投标（响应）文件应使用信阳市公共资源交易系统投标文件制作专用工具软件编制，投标（响应）文件格式为“*.XYTF”。</w:t>
      </w:r>
    </w:p>
    <w:p w14:paraId="558119F8">
      <w:pPr>
        <w:pageBreakBefore w:val="0"/>
        <w:tabs>
          <w:tab w:val="left" w:pos="0"/>
        </w:tabs>
        <w:kinsoku/>
        <w:overflowPunct/>
        <w:bidi w:val="0"/>
        <w:spacing w:line="360" w:lineRule="exact"/>
        <w:ind w:firstLine="0" w:firstLineChars="0"/>
        <w:rPr>
          <w:rFonts w:ascii="宋体" w:hAnsi="宋体" w:eastAsia="宋体" w:cs="宋体"/>
          <w:color w:val="auto"/>
          <w:szCs w:val="21"/>
          <w:highlight w:val="none"/>
          <w:u w:val="single"/>
        </w:rPr>
      </w:pPr>
      <w:r>
        <w:rPr>
          <w:rFonts w:hint="eastAsia" w:ascii="宋体" w:hAnsi="宋体" w:eastAsia="宋体" w:cs="宋体"/>
          <w:color w:val="auto"/>
          <w:szCs w:val="21"/>
          <w:highlight w:val="none"/>
        </w:rPr>
        <w:t>招标文件费用网上支付，支付成功后，方可上传电子投标（响应）文件。</w:t>
      </w:r>
      <w:r>
        <w:rPr>
          <w:rFonts w:hint="eastAsia" w:ascii="宋体" w:hAnsi="宋体" w:eastAsia="宋体" w:cs="宋体"/>
          <w:color w:val="auto"/>
          <w:szCs w:val="21"/>
          <w:highlight w:val="none"/>
          <w:u w:val="single"/>
        </w:rPr>
        <w:t>（政府采购类项目不收取招标文件费用）</w:t>
      </w:r>
    </w:p>
    <w:p w14:paraId="588FABA7">
      <w:pPr>
        <w:pageBreakBefore w:val="0"/>
        <w:tabs>
          <w:tab w:val="left" w:pos="0"/>
        </w:tabs>
        <w:kinsoku/>
        <w:overflowPunct/>
        <w:bidi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投标人（供应商）须在投标（响应）文件递交截止时间前制作并提交。</w:t>
      </w:r>
    </w:p>
    <w:p w14:paraId="2EB38FF7">
      <w:pPr>
        <w:pStyle w:val="13"/>
        <w:pageBreakBefore w:val="0"/>
        <w:kinsoku/>
        <w:overflowPunct/>
        <w:bidi w:val="0"/>
        <w:spacing w:line="360" w:lineRule="exact"/>
        <w:ind w:firstLine="0" w:firstLineChars="0"/>
        <w:rPr>
          <w:rFonts w:ascii="宋体" w:hAnsi="宋体" w:eastAsia="宋体" w:cs="宋体"/>
          <w:b/>
          <w:bCs/>
          <w:color w:val="auto"/>
          <w:szCs w:val="21"/>
          <w:highlight w:val="none"/>
        </w:rPr>
      </w:pPr>
      <w:r>
        <w:rPr>
          <w:rFonts w:hint="eastAsia" w:ascii="宋体" w:hAnsi="宋体" w:eastAsia="宋体" w:cs="宋体"/>
          <w:b/>
          <w:bCs/>
          <w:color w:val="auto"/>
          <w:szCs w:val="21"/>
          <w:highlight w:val="none"/>
          <w:u w:val="double"/>
        </w:rPr>
        <w:t>五、投标（响应）文件的签字和盖章要求</w:t>
      </w:r>
    </w:p>
    <w:p w14:paraId="4AAFB20F">
      <w:pPr>
        <w:pageBreakBefore w:val="0"/>
        <w:kinsoku/>
        <w:overflowPunct/>
        <w:bidi w:val="0"/>
        <w:adjustRightInd w:val="0"/>
        <w:snapToGrid w:val="0"/>
        <w:spacing w:line="36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1、投标文件（响应）格式中所有要求投标人（供应商）加盖公章的地方都须加盖投标人（供应商）的 CA 印章。</w:t>
      </w:r>
    </w:p>
    <w:p w14:paraId="2F2F2703">
      <w:pPr>
        <w:pageBreakBefore w:val="0"/>
        <w:kinsoku/>
        <w:overflowPunct/>
        <w:bidi w:val="0"/>
        <w:adjustRightInd w:val="0"/>
        <w:snapToGrid w:val="0"/>
        <w:spacing w:line="360" w:lineRule="exact"/>
        <w:ind w:left="-126" w:leftChars="-60" w:firstLine="0" w:firstLineChars="0"/>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2、投标文件（响应）格式中所有要求法定代表人或其委托代理人签字或盖章的地方</w:t>
      </w:r>
      <w:r>
        <w:rPr>
          <w:rFonts w:hint="eastAsia" w:ascii="宋体" w:hAnsi="宋体" w:eastAsia="宋体" w:cs="宋体"/>
          <w:b/>
          <w:bCs/>
          <w:color w:val="auto"/>
          <w:szCs w:val="21"/>
          <w:highlight w:val="none"/>
        </w:rPr>
        <w:t>（不含授权委托书委托人签字）</w:t>
      </w:r>
      <w:r>
        <w:rPr>
          <w:rFonts w:hint="eastAsia" w:ascii="宋体" w:hAnsi="宋体" w:eastAsia="宋体" w:cs="宋体"/>
          <w:color w:val="auto"/>
          <w:szCs w:val="21"/>
          <w:highlight w:val="none"/>
        </w:rPr>
        <w:t>都须加盖法定代表人</w:t>
      </w:r>
      <w:r>
        <w:rPr>
          <w:rFonts w:hint="eastAsia" w:ascii="宋体" w:hAnsi="宋体" w:eastAsia="宋体" w:cs="宋体"/>
          <w:b/>
          <w:bCs/>
          <w:color w:val="auto"/>
          <w:szCs w:val="21"/>
          <w:highlight w:val="none"/>
        </w:rPr>
        <w:t>CA 印章。</w:t>
      </w:r>
    </w:p>
    <w:p w14:paraId="77539888">
      <w:pPr>
        <w:pStyle w:val="13"/>
        <w:pageBreakBefore w:val="0"/>
        <w:kinsoku/>
        <w:overflowPunct/>
        <w:bidi w:val="0"/>
        <w:spacing w:line="360" w:lineRule="exact"/>
        <w:ind w:firstLine="0" w:firstLineChars="0"/>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六、投标文件份数</w:t>
      </w:r>
    </w:p>
    <w:p w14:paraId="4D294188">
      <w:pPr>
        <w:pageBreakBefore w:val="0"/>
        <w:kinsoku/>
        <w:overflowPunct/>
        <w:bidi w:val="0"/>
        <w:adjustRightInd w:val="0"/>
        <w:snapToGrid w:val="0"/>
        <w:spacing w:line="36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加密的电子投标（响应）文件壹份（*.XYTF 格式，在会员系统指定位置上传）。</w:t>
      </w:r>
    </w:p>
    <w:p w14:paraId="1467FF65">
      <w:pPr>
        <w:pStyle w:val="13"/>
        <w:pageBreakBefore w:val="0"/>
        <w:kinsoku/>
        <w:overflowPunct/>
        <w:bidi w:val="0"/>
        <w:spacing w:line="360" w:lineRule="exact"/>
        <w:ind w:firstLine="0" w:firstLineChars="0"/>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七、投标（响应）文件的递交</w:t>
      </w:r>
    </w:p>
    <w:p w14:paraId="664B6C7A">
      <w:pPr>
        <w:pageBreakBefore w:val="0"/>
        <w:kinsoku/>
        <w:overflowPunct/>
        <w:bidi w:val="0"/>
        <w:adjustRightInd w:val="0"/>
        <w:snapToGrid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1、电子投标（响应）文件的递交</w:t>
      </w:r>
    </w:p>
    <w:p w14:paraId="6224197A">
      <w:pPr>
        <w:pageBreakBefore w:val="0"/>
        <w:kinsoku/>
        <w:overflowPunct/>
        <w:bidi w:val="0"/>
        <w:spacing w:line="36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1B1CE9EA">
      <w:pPr>
        <w:pageBreakBefore w:val="0"/>
        <w:kinsoku/>
        <w:overflowPunct/>
        <w:bidi w:val="0"/>
        <w:spacing w:line="36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2、除电子投标（响应）文件外，不再接受任何纸质文件、资料原件等。</w:t>
      </w:r>
    </w:p>
    <w:p w14:paraId="58382397">
      <w:pPr>
        <w:pageBreakBefore w:val="0"/>
        <w:kinsoku/>
        <w:overflowPunct/>
        <w:bidi w:val="0"/>
        <w:spacing w:line="360" w:lineRule="exact"/>
        <w:ind w:firstLine="0" w:firstLineChars="0"/>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八、澄清与变更</w:t>
      </w:r>
    </w:p>
    <w:p w14:paraId="55B30DDD">
      <w:pPr>
        <w:pageBreakBefore w:val="0"/>
        <w:kinsoku/>
        <w:overflowPunct/>
        <w:bidi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67EEF71F">
      <w:pPr>
        <w:pageBreakBefore w:val="0"/>
        <w:widowControl/>
        <w:kinsoku/>
        <w:overflowPunct/>
        <w:bidi w:val="0"/>
        <w:spacing w:line="360" w:lineRule="exact"/>
        <w:ind w:firstLine="0" w:firstLineChars="0"/>
        <w:jc w:val="left"/>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 xml:space="preserve">九、其他注意事项 </w:t>
      </w:r>
    </w:p>
    <w:p w14:paraId="4399EACB">
      <w:pPr>
        <w:pageBreakBefore w:val="0"/>
        <w:widowControl/>
        <w:kinsoku/>
        <w:overflowPunct/>
        <w:bidi w:val="0"/>
        <w:spacing w:line="360" w:lineRule="exact"/>
        <w:ind w:firstLine="0" w:firstLineChars="0"/>
        <w:jc w:val="left"/>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 xml:space="preserve">1、供应商编制投标文件时，涉及的营业执照、资质、获奖、社保、纳税等固定内容可在交易中心主体信用信息中录入。 </w:t>
      </w:r>
    </w:p>
    <w:p w14:paraId="136E1119">
      <w:pPr>
        <w:pageBreakBefore w:val="0"/>
        <w:widowControl/>
        <w:kinsoku/>
        <w:overflowPunct/>
        <w:bidi w:val="0"/>
        <w:spacing w:line="360" w:lineRule="exact"/>
        <w:ind w:firstLine="0" w:firstLineChars="0"/>
        <w:jc w:val="left"/>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269A3152">
      <w:pPr>
        <w:pageBreakBefore w:val="0"/>
        <w:widowControl/>
        <w:kinsoku/>
        <w:overflowPunct/>
        <w:bidi w:val="0"/>
        <w:spacing w:line="360" w:lineRule="exact"/>
        <w:ind w:firstLine="0" w:firstLineChars="0"/>
        <w:jc w:val="left"/>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3、采购人或代理机构在发布中标公告或候选人公示时需同时将中标人或第一中标候选人响应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2021版添加修订）。）</w:t>
      </w:r>
    </w:p>
    <w:p w14:paraId="7B77F858">
      <w:pPr>
        <w:pageBreakBefore w:val="0"/>
        <w:widowControl/>
        <w:kinsoku/>
        <w:overflowPunct/>
        <w:bidi w:val="0"/>
        <w:spacing w:line="360" w:lineRule="exact"/>
        <w:ind w:firstLine="0" w:firstLineChars="0"/>
        <w:jc w:val="left"/>
        <w:rPr>
          <w:rFonts w:ascii="宋体" w:hAnsi="宋体" w:eastAsia="宋体" w:cs="宋体"/>
          <w:color w:val="auto"/>
          <w:szCs w:val="21"/>
          <w:highlight w:val="none"/>
          <w:u w:val="double"/>
        </w:rPr>
      </w:pPr>
      <w:r>
        <w:rPr>
          <w:rFonts w:hint="eastAsia" w:ascii="宋体" w:hAnsi="宋体" w:eastAsia="宋体" w:cs="宋体"/>
          <w:b/>
          <w:bCs/>
          <w:color w:val="auto"/>
          <w:szCs w:val="21"/>
          <w:highlight w:val="none"/>
          <w:u w:val="double"/>
        </w:rPr>
        <w:t>4、投标文件中的扫描件，在确保清晰的前提下，每张最好控制在 500kb 内,生成的加密电子投标文件最好不要超过50MB。</w:t>
      </w:r>
    </w:p>
    <w:p w14:paraId="1C0076C1">
      <w:pPr>
        <w:pageBreakBefore w:val="0"/>
        <w:widowControl/>
        <w:kinsoku/>
        <w:overflowPunct/>
        <w:bidi w:val="0"/>
        <w:spacing w:line="360" w:lineRule="exact"/>
        <w:ind w:firstLine="0" w:firstLineChars="0"/>
        <w:jc w:val="left"/>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十、特别提醒</w:t>
      </w:r>
    </w:p>
    <w:p w14:paraId="345454F0">
      <w:pPr>
        <w:pStyle w:val="56"/>
        <w:pageBreakBefore w:val="0"/>
        <w:tabs>
          <w:tab w:val="right" w:leader="dot" w:pos="9240"/>
        </w:tabs>
        <w:kinsoku/>
        <w:overflowPunct/>
        <w:bidi w:val="0"/>
        <w:spacing w:line="480" w:lineRule="auto"/>
        <w:ind w:firstLine="0" w:firstLineChars="0"/>
        <w:jc w:val="both"/>
        <w:rPr>
          <w:rFonts w:ascii="宋体" w:hAnsi="宋体" w:cs="宋体"/>
          <w:b/>
          <w:bCs/>
          <w:color w:val="auto"/>
          <w:sz w:val="21"/>
          <w:szCs w:val="21"/>
          <w:highlight w:val="none"/>
        </w:rPr>
      </w:pPr>
      <w:r>
        <w:rPr>
          <w:rFonts w:hint="eastAsia" w:ascii="宋体" w:hAnsi="宋体" w:cs="宋体"/>
          <w:color w:val="auto"/>
          <w:sz w:val="21"/>
          <w:szCs w:val="21"/>
          <w:highlight w:val="none"/>
        </w:rPr>
        <w:t>招标（响应）文件与此内容不符的，以此内容为准。</w:t>
      </w:r>
    </w:p>
    <w:p w14:paraId="02B80969">
      <w:pPr>
        <w:pStyle w:val="13"/>
        <w:pageBreakBefore w:val="0"/>
        <w:kinsoku/>
        <w:overflowPunct/>
        <w:bidi w:val="0"/>
        <w:ind w:firstLine="0" w:firstLineChars="0"/>
        <w:rPr>
          <w:rFonts w:ascii="宋体" w:hAnsi="宋体"/>
          <w:color w:val="auto"/>
          <w:szCs w:val="21"/>
          <w:highlight w:val="none"/>
        </w:rPr>
      </w:pPr>
    </w:p>
    <w:p w14:paraId="52E47A4E">
      <w:pPr>
        <w:pStyle w:val="13"/>
        <w:pageBreakBefore w:val="0"/>
        <w:kinsoku/>
        <w:overflowPunct/>
        <w:bidi w:val="0"/>
        <w:ind w:firstLine="0" w:firstLineChars="0"/>
        <w:rPr>
          <w:rFonts w:ascii="宋体" w:hAnsi="宋体"/>
          <w:color w:val="auto"/>
          <w:sz w:val="24"/>
          <w:highlight w:val="none"/>
        </w:rPr>
      </w:pPr>
    </w:p>
    <w:p w14:paraId="5E2E09F9">
      <w:pPr>
        <w:pStyle w:val="13"/>
        <w:pageBreakBefore w:val="0"/>
        <w:kinsoku/>
        <w:overflowPunct/>
        <w:bidi w:val="0"/>
        <w:ind w:firstLine="0" w:firstLineChars="0"/>
        <w:rPr>
          <w:rFonts w:ascii="宋体" w:hAnsi="宋体"/>
          <w:color w:val="auto"/>
          <w:sz w:val="24"/>
          <w:highlight w:val="none"/>
        </w:rPr>
      </w:pPr>
    </w:p>
    <w:p w14:paraId="6EF4120F">
      <w:pPr>
        <w:pStyle w:val="13"/>
        <w:pageBreakBefore w:val="0"/>
        <w:kinsoku/>
        <w:overflowPunct/>
        <w:bidi w:val="0"/>
        <w:ind w:firstLine="0" w:firstLineChars="0"/>
        <w:rPr>
          <w:rFonts w:ascii="宋体" w:hAnsi="宋体"/>
          <w:color w:val="auto"/>
          <w:sz w:val="24"/>
          <w:highlight w:val="none"/>
        </w:rPr>
      </w:pPr>
    </w:p>
    <w:p w14:paraId="37D1D368">
      <w:pPr>
        <w:pStyle w:val="13"/>
        <w:pageBreakBefore w:val="0"/>
        <w:kinsoku/>
        <w:overflowPunct/>
        <w:bidi w:val="0"/>
        <w:ind w:firstLine="0" w:firstLineChars="0"/>
        <w:rPr>
          <w:rFonts w:ascii="宋体" w:hAnsi="宋体"/>
          <w:color w:val="auto"/>
          <w:sz w:val="24"/>
          <w:highlight w:val="none"/>
        </w:rPr>
      </w:pPr>
    </w:p>
    <w:p w14:paraId="66383056">
      <w:pPr>
        <w:pStyle w:val="13"/>
        <w:pageBreakBefore w:val="0"/>
        <w:kinsoku/>
        <w:overflowPunct/>
        <w:bidi w:val="0"/>
        <w:ind w:firstLine="0" w:firstLineChars="0"/>
        <w:rPr>
          <w:rFonts w:ascii="宋体" w:hAnsi="宋体"/>
          <w:color w:val="auto"/>
          <w:sz w:val="24"/>
          <w:highlight w:val="none"/>
        </w:rPr>
      </w:pPr>
    </w:p>
    <w:p w14:paraId="6013ADFD">
      <w:pPr>
        <w:pStyle w:val="25"/>
        <w:keepNext w:val="0"/>
        <w:keepLines w:val="0"/>
        <w:pageBreakBefore w:val="0"/>
        <w:tabs>
          <w:tab w:val="right" w:leader="underscore" w:pos="8296"/>
        </w:tabs>
        <w:kinsoku/>
        <w:overflowPunct/>
        <w:topLinePunct w:val="0"/>
        <w:autoSpaceDE/>
        <w:autoSpaceDN/>
        <w:bidi w:val="0"/>
        <w:spacing w:line="540" w:lineRule="exact"/>
        <w:ind w:left="0" w:firstLine="0" w:firstLineChars="0"/>
        <w:jc w:val="center"/>
        <w:textAlignment w:val="auto"/>
        <w:outlineLvl w:val="0"/>
        <w:rPr>
          <w:rFonts w:hint="eastAsia" w:ascii="宋体" w:hAnsi="宋体" w:cs="宋体"/>
          <w:b/>
          <w:bCs/>
          <w:color w:val="auto"/>
          <w:sz w:val="32"/>
          <w:szCs w:val="32"/>
          <w:highlight w:val="none"/>
        </w:rPr>
      </w:pPr>
      <w:bookmarkStart w:id="6" w:name="_Toc30363"/>
      <w:bookmarkStart w:id="7" w:name="_Toc32308"/>
    </w:p>
    <w:p w14:paraId="3C27B66D">
      <w:pPr>
        <w:rPr>
          <w:rFonts w:hint="eastAsia"/>
          <w:color w:val="auto"/>
          <w:highlight w:val="none"/>
        </w:rPr>
      </w:pPr>
    </w:p>
    <w:p w14:paraId="556A8231">
      <w:pPr>
        <w:pStyle w:val="25"/>
        <w:keepNext w:val="0"/>
        <w:keepLines w:val="0"/>
        <w:pageBreakBefore w:val="0"/>
        <w:tabs>
          <w:tab w:val="right" w:leader="underscore" w:pos="8296"/>
        </w:tabs>
        <w:kinsoku/>
        <w:overflowPunct/>
        <w:topLinePunct w:val="0"/>
        <w:autoSpaceDE/>
        <w:autoSpaceDN/>
        <w:bidi w:val="0"/>
        <w:spacing w:line="540" w:lineRule="exact"/>
        <w:ind w:left="0" w:firstLine="0" w:firstLineChars="0"/>
        <w:jc w:val="center"/>
        <w:textAlignment w:val="auto"/>
        <w:outlineLvl w:val="0"/>
        <w:rPr>
          <w:rFonts w:ascii="宋体" w:hAnsi="宋体" w:eastAsia="宋体" w:cs="宋体"/>
          <w:b/>
          <w:bCs/>
          <w:color w:val="auto"/>
          <w:sz w:val="32"/>
          <w:szCs w:val="32"/>
          <w:highlight w:val="none"/>
        </w:rPr>
      </w:pPr>
      <w:r>
        <w:rPr>
          <w:rFonts w:hint="eastAsia" w:ascii="宋体" w:hAnsi="宋体" w:cs="宋体"/>
          <w:b/>
          <w:bCs/>
          <w:color w:val="auto"/>
          <w:sz w:val="32"/>
          <w:szCs w:val="32"/>
          <w:highlight w:val="none"/>
        </w:rPr>
        <w:t xml:space="preserve">第一章 </w:t>
      </w:r>
      <w:bookmarkEnd w:id="2"/>
      <w:bookmarkEnd w:id="3"/>
      <w:bookmarkEnd w:id="4"/>
      <w:bookmarkEnd w:id="5"/>
      <w:bookmarkEnd w:id="6"/>
      <w:r>
        <w:rPr>
          <w:rFonts w:hint="eastAsia" w:ascii="宋体" w:hAnsi="宋体" w:cs="宋体"/>
          <w:b/>
          <w:bCs/>
          <w:color w:val="auto"/>
          <w:sz w:val="32"/>
          <w:szCs w:val="32"/>
          <w:highlight w:val="none"/>
        </w:rPr>
        <w:t>竞争性磋商公告</w:t>
      </w:r>
      <w:bookmarkEnd w:id="7"/>
    </w:p>
    <w:p w14:paraId="60D50A5C">
      <w:pPr>
        <w:pStyle w:val="26"/>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eastAsia="宋体"/>
          <w:b/>
          <w:color w:val="auto"/>
          <w:sz w:val="21"/>
          <w:szCs w:val="21"/>
          <w:highlight w:val="none"/>
        </w:rPr>
      </w:pPr>
      <w:bookmarkStart w:id="8" w:name="OLE_LINK1"/>
      <w:bookmarkStart w:id="9" w:name="_Toc144974495"/>
      <w:bookmarkStart w:id="10" w:name="_Toc152045527"/>
      <w:bookmarkStart w:id="11" w:name="_Toc152042303"/>
      <w:r>
        <w:rPr>
          <w:rFonts w:hint="eastAsia" w:eastAsia="宋体"/>
          <w:b/>
          <w:color w:val="auto"/>
          <w:sz w:val="21"/>
          <w:szCs w:val="21"/>
          <w:highlight w:val="none"/>
        </w:rPr>
        <w:t>项目概况</w:t>
      </w:r>
    </w:p>
    <w:p w14:paraId="4E4D17FA">
      <w:pPr>
        <w:pStyle w:val="26"/>
        <w:keepNext w:val="0"/>
        <w:keepLines w:val="0"/>
        <w:pageBreakBefore w:val="0"/>
        <w:widowControl w:val="0"/>
        <w:kinsoku/>
        <w:overflowPunct/>
        <w:topLinePunct w:val="0"/>
        <w:autoSpaceDE/>
        <w:autoSpaceDN/>
        <w:bidi w:val="0"/>
        <w:spacing w:beforeAutospacing="0" w:afterAutospacing="0" w:line="540" w:lineRule="exact"/>
        <w:ind w:left="210" w:leftChars="100" w:firstLine="420" w:firstLineChars="200"/>
        <w:textAlignment w:val="auto"/>
        <w:rPr>
          <w:rFonts w:eastAsia="宋体"/>
          <w:bCs/>
          <w:color w:val="auto"/>
          <w:sz w:val="21"/>
          <w:szCs w:val="21"/>
          <w:highlight w:val="none"/>
        </w:rPr>
      </w:pPr>
      <w:r>
        <w:rPr>
          <w:rFonts w:hint="eastAsia" w:eastAsia="宋体"/>
          <w:bCs/>
          <w:color w:val="auto"/>
          <w:sz w:val="21"/>
          <w:szCs w:val="21"/>
          <w:highlight w:val="none"/>
          <w:lang w:eastAsia="zh-CN"/>
        </w:rPr>
        <w:t>信阳市浉河区文化广电和旅游局甘以敬故居修缮保护设计方案项目</w:t>
      </w:r>
      <w:r>
        <w:rPr>
          <w:rFonts w:hint="eastAsia" w:eastAsia="宋体"/>
          <w:bCs/>
          <w:color w:val="auto"/>
          <w:sz w:val="21"/>
          <w:szCs w:val="21"/>
          <w:highlight w:val="none"/>
        </w:rPr>
        <w:t>的潜在供应商应在</w:t>
      </w:r>
      <w:r>
        <w:rPr>
          <w:rFonts w:hint="eastAsia" w:eastAsia="宋体"/>
          <w:bCs/>
          <w:color w:val="auto"/>
          <w:sz w:val="21"/>
          <w:szCs w:val="21"/>
          <w:highlight w:val="none"/>
          <w:lang w:eastAsia="zh-CN"/>
        </w:rPr>
        <w:t>登录</w:t>
      </w:r>
      <w:r>
        <w:rPr>
          <w:rFonts w:hint="eastAsia" w:eastAsia="宋体"/>
          <w:bCs/>
          <w:color w:val="auto"/>
          <w:sz w:val="21"/>
          <w:szCs w:val="21"/>
          <w:highlight w:val="none"/>
        </w:rPr>
        <w:t>“全国公共资源交易中心（河南省·信阳市）（</w:t>
      </w:r>
      <w:r>
        <w:rPr>
          <w:rFonts w:hint="eastAsia" w:eastAsia="宋体"/>
          <w:bCs/>
          <w:color w:val="auto"/>
          <w:sz w:val="21"/>
          <w:szCs w:val="21"/>
          <w:highlight w:val="none"/>
          <w:lang w:eastAsia="zh-CN"/>
        </w:rPr>
        <w:t>https://ggzyjy.xinyang.gov.cn/</w:t>
      </w:r>
      <w:r>
        <w:rPr>
          <w:rFonts w:hint="eastAsia" w:eastAsia="宋体"/>
          <w:bCs/>
          <w:color w:val="auto"/>
          <w:sz w:val="21"/>
          <w:szCs w:val="21"/>
          <w:highlight w:val="none"/>
        </w:rPr>
        <w:t>）”网站，凭办理的企业身份认证锁（CA数字证书）</w:t>
      </w:r>
      <w:r>
        <w:rPr>
          <w:rFonts w:hint="eastAsia" w:eastAsia="宋体"/>
          <w:bCs/>
          <w:color w:val="auto"/>
          <w:sz w:val="21"/>
          <w:szCs w:val="21"/>
          <w:highlight w:val="none"/>
          <w:lang w:eastAsia="zh-CN"/>
        </w:rPr>
        <w:t>登录</w:t>
      </w:r>
      <w:r>
        <w:rPr>
          <w:rFonts w:hint="eastAsia" w:eastAsia="宋体"/>
          <w:bCs/>
          <w:color w:val="auto"/>
          <w:sz w:val="21"/>
          <w:szCs w:val="21"/>
          <w:highlight w:val="none"/>
        </w:rPr>
        <w:t>会员系统进行网上投标并获取竞争性磋商文件，并于</w:t>
      </w:r>
      <w:r>
        <w:rPr>
          <w:rFonts w:hint="eastAsia" w:eastAsia="宋体"/>
          <w:bCs/>
          <w:color w:val="auto"/>
          <w:sz w:val="21"/>
          <w:szCs w:val="21"/>
          <w:highlight w:val="none"/>
          <w:lang w:eastAsia="zh-CN"/>
        </w:rPr>
        <w:t>202</w:t>
      </w:r>
      <w:r>
        <w:rPr>
          <w:rFonts w:hint="eastAsia" w:eastAsia="宋体"/>
          <w:bCs/>
          <w:color w:val="auto"/>
          <w:sz w:val="21"/>
          <w:szCs w:val="21"/>
          <w:highlight w:val="none"/>
          <w:lang w:val="en-US" w:eastAsia="zh-CN"/>
        </w:rPr>
        <w:t>5</w:t>
      </w:r>
      <w:r>
        <w:rPr>
          <w:rFonts w:hint="eastAsia" w:eastAsia="宋体"/>
          <w:bCs/>
          <w:color w:val="auto"/>
          <w:sz w:val="21"/>
          <w:szCs w:val="21"/>
          <w:highlight w:val="none"/>
          <w:lang w:eastAsia="zh-CN"/>
        </w:rPr>
        <w:t>年</w:t>
      </w:r>
      <w:r>
        <w:rPr>
          <w:rFonts w:hint="eastAsia" w:eastAsia="宋体"/>
          <w:bCs/>
          <w:color w:val="auto"/>
          <w:sz w:val="21"/>
          <w:szCs w:val="21"/>
          <w:highlight w:val="none"/>
          <w:lang w:val="en-US" w:eastAsia="zh-CN"/>
        </w:rPr>
        <w:t>7</w:t>
      </w:r>
      <w:r>
        <w:rPr>
          <w:rFonts w:hint="eastAsia" w:eastAsia="宋体"/>
          <w:bCs/>
          <w:color w:val="auto"/>
          <w:sz w:val="21"/>
          <w:szCs w:val="21"/>
          <w:highlight w:val="none"/>
          <w:lang w:eastAsia="zh-CN"/>
        </w:rPr>
        <w:t>月</w:t>
      </w:r>
      <w:r>
        <w:rPr>
          <w:rFonts w:hint="eastAsia" w:eastAsia="宋体"/>
          <w:bCs/>
          <w:color w:val="auto"/>
          <w:sz w:val="21"/>
          <w:szCs w:val="21"/>
          <w:highlight w:val="none"/>
          <w:lang w:val="en-US" w:eastAsia="zh-CN"/>
        </w:rPr>
        <w:t>18</w:t>
      </w:r>
      <w:r>
        <w:rPr>
          <w:rFonts w:hint="eastAsia" w:eastAsia="宋体"/>
          <w:bCs/>
          <w:color w:val="auto"/>
          <w:sz w:val="21"/>
          <w:szCs w:val="21"/>
          <w:highlight w:val="none"/>
          <w:lang w:eastAsia="zh-CN"/>
        </w:rPr>
        <w:t>日9时30分</w:t>
      </w:r>
      <w:r>
        <w:rPr>
          <w:rFonts w:hint="eastAsia" w:eastAsia="宋体"/>
          <w:bCs/>
          <w:color w:val="auto"/>
          <w:sz w:val="21"/>
          <w:szCs w:val="21"/>
          <w:highlight w:val="none"/>
        </w:rPr>
        <w:t>（北京时间）前递交响应文件。</w:t>
      </w:r>
    </w:p>
    <w:p w14:paraId="0C525999">
      <w:pPr>
        <w:pStyle w:val="26"/>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eastAsia="宋体"/>
          <w:b/>
          <w:color w:val="auto"/>
          <w:sz w:val="21"/>
          <w:szCs w:val="21"/>
          <w:highlight w:val="none"/>
        </w:rPr>
      </w:pPr>
      <w:r>
        <w:rPr>
          <w:rFonts w:hint="eastAsia" w:eastAsia="宋体"/>
          <w:b/>
          <w:color w:val="auto"/>
          <w:sz w:val="21"/>
          <w:szCs w:val="21"/>
          <w:highlight w:val="none"/>
        </w:rPr>
        <w:t>一、项目基本情况</w:t>
      </w:r>
    </w:p>
    <w:p w14:paraId="52D01952">
      <w:pPr>
        <w:pStyle w:val="26"/>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1、项目编号：</w:t>
      </w:r>
      <w:r>
        <w:rPr>
          <w:rFonts w:hint="eastAsia" w:ascii="宋体" w:hAnsi="宋体" w:eastAsia="宋体" w:cs="宋体"/>
          <w:bCs/>
          <w:color w:val="auto"/>
          <w:sz w:val="21"/>
          <w:szCs w:val="21"/>
          <w:highlight w:val="none"/>
          <w:lang w:eastAsia="zh-CN"/>
        </w:rPr>
        <w:t>信浉财磋商采购-202</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w:t>
      </w:r>
      <w:r>
        <w:rPr>
          <w:rFonts w:hint="eastAsia" w:eastAsia="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val="en-US" w:eastAsia="zh-CN"/>
        </w:rPr>
        <w:t xml:space="preserve"> </w:t>
      </w:r>
    </w:p>
    <w:p w14:paraId="366C4D44">
      <w:pPr>
        <w:pStyle w:val="26"/>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2、项目名称：</w:t>
      </w:r>
      <w:r>
        <w:rPr>
          <w:rFonts w:hint="eastAsia" w:ascii="宋体" w:hAnsi="宋体" w:eastAsia="宋体" w:cs="宋体"/>
          <w:bCs/>
          <w:color w:val="auto"/>
          <w:sz w:val="21"/>
          <w:szCs w:val="21"/>
          <w:highlight w:val="none"/>
          <w:lang w:eastAsia="zh-CN"/>
        </w:rPr>
        <w:t>信阳市浉河区文化广电和旅游局甘以敬故居修缮保护设计方案项目</w:t>
      </w:r>
    </w:p>
    <w:p w14:paraId="696A7DED">
      <w:pPr>
        <w:pStyle w:val="26"/>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3、采购方式：竞争性磋商</w:t>
      </w:r>
    </w:p>
    <w:p w14:paraId="2C2740A6">
      <w:pPr>
        <w:pStyle w:val="26"/>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4、预算金额：</w:t>
      </w:r>
      <w:r>
        <w:rPr>
          <w:rFonts w:hint="eastAsia" w:ascii="宋体" w:hAnsi="宋体" w:eastAsia="宋体" w:cs="宋体"/>
          <w:bCs/>
          <w:color w:val="auto"/>
          <w:sz w:val="21"/>
          <w:szCs w:val="21"/>
          <w:highlight w:val="none"/>
          <w:lang w:eastAsia="zh-CN"/>
        </w:rPr>
        <w:t>680000.00</w:t>
      </w:r>
      <w:r>
        <w:rPr>
          <w:rFonts w:hint="eastAsia" w:ascii="宋体" w:hAnsi="宋体" w:eastAsia="宋体" w:cs="宋体"/>
          <w:bCs/>
          <w:color w:val="auto"/>
          <w:sz w:val="21"/>
          <w:szCs w:val="21"/>
          <w:highlight w:val="none"/>
        </w:rPr>
        <w:t>元</w:t>
      </w:r>
    </w:p>
    <w:p w14:paraId="4019E3C7">
      <w:pPr>
        <w:pStyle w:val="26"/>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bCs/>
          <w:color w:val="auto"/>
          <w:sz w:val="21"/>
          <w:szCs w:val="21"/>
          <w:highlight w:val="none"/>
          <w:lang w:eastAsia="zh-CN"/>
        </w:rPr>
        <w:t>680000.00</w:t>
      </w:r>
      <w:r>
        <w:rPr>
          <w:rFonts w:hint="eastAsia" w:ascii="宋体" w:hAnsi="宋体" w:eastAsia="宋体" w:cs="宋体"/>
          <w:color w:val="auto"/>
          <w:sz w:val="21"/>
          <w:szCs w:val="21"/>
          <w:highlight w:val="none"/>
        </w:rPr>
        <w:t>元</w:t>
      </w:r>
    </w:p>
    <w:p w14:paraId="52A2FD1D">
      <w:pPr>
        <w:pStyle w:val="26"/>
        <w:keepNext w:val="0"/>
        <w:keepLines w:val="0"/>
        <w:pageBreakBefore w:val="0"/>
        <w:widowControl w:val="0"/>
        <w:numPr>
          <w:ilvl w:val="0"/>
          <w:numId w:val="0"/>
        </w:numPr>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5、</w:t>
      </w:r>
      <w:r>
        <w:rPr>
          <w:rFonts w:hint="eastAsia" w:ascii="宋体" w:hAnsi="宋体" w:eastAsia="宋体" w:cs="宋体"/>
          <w:bCs/>
          <w:color w:val="auto"/>
          <w:sz w:val="21"/>
          <w:szCs w:val="21"/>
          <w:highlight w:val="none"/>
        </w:rPr>
        <w:t>采购需求（包括但不限于标的的名称、数量、简要技术需求或服务要求等）</w:t>
      </w:r>
    </w:p>
    <w:p w14:paraId="31387301">
      <w:pPr>
        <w:pStyle w:val="26"/>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5.1 采购内容：</w:t>
      </w:r>
      <w:r>
        <w:rPr>
          <w:rFonts w:hint="eastAsia" w:ascii="宋体" w:hAnsi="宋体" w:eastAsia="宋体" w:cs="宋体"/>
          <w:bCs/>
          <w:color w:val="auto"/>
          <w:kern w:val="0"/>
          <w:sz w:val="21"/>
          <w:szCs w:val="21"/>
          <w:highlight w:val="none"/>
          <w:lang w:val="en-US" w:eastAsia="zh-CN" w:bidi="ar-SA"/>
        </w:rPr>
        <w:t>对甘以敬故居进行修缮保护设计</w:t>
      </w:r>
      <w:r>
        <w:rPr>
          <w:rFonts w:hint="eastAsia" w:eastAsia="宋体" w:cs="宋体"/>
          <w:bCs/>
          <w:color w:val="auto"/>
          <w:kern w:val="0"/>
          <w:sz w:val="21"/>
          <w:szCs w:val="21"/>
          <w:highlight w:val="none"/>
          <w:lang w:val="en-US" w:eastAsia="zh-CN" w:bidi="ar-SA"/>
        </w:rPr>
        <w:t>，</w:t>
      </w:r>
      <w:r>
        <w:rPr>
          <w:rFonts w:hint="eastAsia" w:ascii="宋体" w:hAnsi="宋体" w:eastAsia="宋体" w:cs="宋体"/>
          <w:bCs/>
          <w:color w:val="auto"/>
          <w:kern w:val="0"/>
          <w:sz w:val="21"/>
          <w:szCs w:val="21"/>
          <w:highlight w:val="none"/>
          <w:lang w:val="en-US" w:eastAsia="zh-CN" w:bidi="ar-SA"/>
        </w:rPr>
        <w:t>项目地点位于河南省信阳市浉河区柳林乡甘冲村；</w:t>
      </w:r>
      <w:r>
        <w:rPr>
          <w:rFonts w:hint="eastAsia" w:ascii="宋体" w:hAnsi="宋体" w:eastAsia="宋体" w:cs="宋体"/>
          <w:bCs/>
          <w:color w:val="auto"/>
          <w:kern w:val="0"/>
          <w:sz w:val="21"/>
          <w:szCs w:val="21"/>
          <w:highlight w:val="none"/>
          <w:lang w:val="en-US" w:eastAsia="zh-CN" w:bidi="ar-SA"/>
        </w:rPr>
        <w:br w:type="textWrapping"/>
      </w:r>
      <w:r>
        <w:rPr>
          <w:rFonts w:hint="eastAsia" w:ascii="宋体" w:hAnsi="宋体" w:eastAsia="宋体" w:cs="宋体"/>
          <w:color w:val="auto"/>
          <w:sz w:val="21"/>
          <w:szCs w:val="21"/>
          <w:highlight w:val="none"/>
        </w:rPr>
        <w:t>5.2服务期限：</w:t>
      </w:r>
      <w:r>
        <w:rPr>
          <w:rFonts w:hint="eastAsia" w:ascii="宋体" w:hAnsi="宋体" w:eastAsia="宋体" w:cs="宋体"/>
          <w:color w:val="auto"/>
          <w:sz w:val="21"/>
          <w:szCs w:val="21"/>
          <w:highlight w:val="none"/>
          <w:lang w:val="en-US" w:eastAsia="zh-CN"/>
        </w:rPr>
        <w:t>自合同签订之日起，按照上级要求时限完成；</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5.3质量标准：</w:t>
      </w:r>
      <w:r>
        <w:rPr>
          <w:rFonts w:hint="eastAsia" w:ascii="宋体" w:hAnsi="宋体" w:eastAsia="宋体" w:cs="宋体"/>
          <w:color w:val="auto"/>
          <w:sz w:val="21"/>
          <w:szCs w:val="21"/>
          <w:highlight w:val="none"/>
          <w:lang w:eastAsia="zh-CN"/>
        </w:rPr>
        <w:t>满足国家、省、市相关技术要求</w:t>
      </w:r>
      <w:r>
        <w:rPr>
          <w:rFonts w:hint="eastAsia" w:ascii="宋体" w:hAnsi="宋体" w:eastAsia="宋体" w:cs="宋体"/>
          <w:color w:val="auto"/>
          <w:sz w:val="21"/>
          <w:szCs w:val="21"/>
          <w:highlight w:val="none"/>
        </w:rPr>
        <w:t>；</w:t>
      </w:r>
    </w:p>
    <w:p w14:paraId="4FAE0A90">
      <w:pPr>
        <w:pStyle w:val="26"/>
        <w:keepNext w:val="0"/>
        <w:keepLines w:val="0"/>
        <w:pageBreakBefore w:val="0"/>
        <w:widowControl w:val="0"/>
        <w:numPr>
          <w:ilvl w:val="0"/>
          <w:numId w:val="0"/>
        </w:numPr>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0"/>
          <w:sz w:val="21"/>
          <w:szCs w:val="21"/>
          <w:lang w:val="en-US" w:eastAsia="zh-CN" w:bidi="ar-SA"/>
        </w:rPr>
        <w:t>6、</w:t>
      </w:r>
      <w:r>
        <w:rPr>
          <w:rFonts w:hint="eastAsia" w:ascii="宋体" w:hAnsi="宋体" w:eastAsia="宋体" w:cs="宋体"/>
          <w:bCs/>
          <w:color w:val="auto"/>
          <w:sz w:val="21"/>
          <w:szCs w:val="21"/>
          <w:highlight w:val="none"/>
          <w:lang w:val="en-US" w:eastAsia="zh-CN"/>
        </w:rPr>
        <w:t>合同履行期限：自合同签订之日起，按照上级要求时限完成。</w:t>
      </w:r>
    </w:p>
    <w:p w14:paraId="7363ACBA">
      <w:pPr>
        <w:pStyle w:val="26"/>
        <w:keepNext w:val="0"/>
        <w:keepLines w:val="0"/>
        <w:pageBreakBefore w:val="0"/>
        <w:widowControl w:val="0"/>
        <w:numPr>
          <w:ilvl w:val="0"/>
          <w:numId w:val="0"/>
        </w:numPr>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0"/>
          <w:sz w:val="21"/>
          <w:szCs w:val="21"/>
          <w:lang w:val="en-US" w:eastAsia="zh-CN" w:bidi="ar-SA"/>
        </w:rPr>
        <w:t>7、</w:t>
      </w:r>
      <w:r>
        <w:rPr>
          <w:rFonts w:hint="eastAsia" w:ascii="宋体" w:hAnsi="宋体" w:eastAsia="宋体" w:cs="宋体"/>
          <w:bCs/>
          <w:color w:val="auto"/>
          <w:sz w:val="21"/>
          <w:szCs w:val="21"/>
          <w:highlight w:val="none"/>
          <w:lang w:val="en-US" w:eastAsia="zh-CN"/>
        </w:rPr>
        <w:t>本项目是否接受联合体投标：否</w:t>
      </w:r>
    </w:p>
    <w:p w14:paraId="4D2E56A5">
      <w:pPr>
        <w:pStyle w:val="26"/>
        <w:keepNext w:val="0"/>
        <w:keepLines w:val="0"/>
        <w:pageBreakBefore w:val="0"/>
        <w:widowControl w:val="0"/>
        <w:numPr>
          <w:ilvl w:val="0"/>
          <w:numId w:val="0"/>
        </w:numPr>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0"/>
          <w:sz w:val="21"/>
          <w:szCs w:val="21"/>
          <w:lang w:val="en-US" w:eastAsia="zh-CN" w:bidi="ar-SA"/>
        </w:rPr>
        <w:t>8、</w:t>
      </w:r>
      <w:r>
        <w:rPr>
          <w:rFonts w:hint="eastAsia" w:ascii="宋体" w:hAnsi="宋体" w:eastAsia="宋体" w:cs="宋体"/>
          <w:bCs/>
          <w:color w:val="auto"/>
          <w:sz w:val="21"/>
          <w:szCs w:val="21"/>
          <w:highlight w:val="none"/>
          <w:lang w:val="en-US" w:eastAsia="zh-CN"/>
        </w:rPr>
        <w:t>是否接受进口产品：否</w:t>
      </w:r>
    </w:p>
    <w:p w14:paraId="0046AA16">
      <w:pPr>
        <w:pStyle w:val="26"/>
        <w:keepNext w:val="0"/>
        <w:keepLines w:val="0"/>
        <w:pageBreakBefore w:val="0"/>
        <w:widowControl w:val="0"/>
        <w:numPr>
          <w:ilvl w:val="0"/>
          <w:numId w:val="0"/>
        </w:numPr>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kern w:val="0"/>
          <w:sz w:val="21"/>
          <w:szCs w:val="21"/>
          <w:lang w:val="en-US" w:eastAsia="zh-CN" w:bidi="ar-SA"/>
        </w:rPr>
        <w:t>9、</w:t>
      </w:r>
      <w:r>
        <w:rPr>
          <w:rFonts w:hint="eastAsia" w:ascii="宋体" w:hAnsi="宋体" w:eastAsia="宋体" w:cs="宋体"/>
          <w:bCs/>
          <w:color w:val="auto"/>
          <w:sz w:val="21"/>
          <w:szCs w:val="21"/>
          <w:highlight w:val="none"/>
          <w:lang w:val="en-US" w:eastAsia="zh-CN"/>
        </w:rPr>
        <w:t>是否专门面向中小企业：</w:t>
      </w:r>
      <w:r>
        <w:rPr>
          <w:rFonts w:hint="eastAsia" w:eastAsia="宋体" w:cs="宋体"/>
          <w:bCs/>
          <w:color w:val="auto"/>
          <w:sz w:val="21"/>
          <w:szCs w:val="21"/>
          <w:highlight w:val="none"/>
          <w:lang w:val="en-US" w:eastAsia="zh-CN"/>
        </w:rPr>
        <w:t>是</w:t>
      </w:r>
    </w:p>
    <w:p w14:paraId="0C0B3E83">
      <w:pPr>
        <w:pStyle w:val="26"/>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eastAsia="宋体"/>
          <w:b/>
          <w:bCs/>
          <w:color w:val="auto"/>
          <w:sz w:val="21"/>
          <w:szCs w:val="21"/>
          <w:highlight w:val="none"/>
        </w:rPr>
      </w:pPr>
      <w:r>
        <w:rPr>
          <w:rFonts w:hint="eastAsia" w:eastAsia="宋体"/>
          <w:b/>
          <w:bCs/>
          <w:color w:val="auto"/>
          <w:sz w:val="21"/>
          <w:szCs w:val="21"/>
          <w:highlight w:val="none"/>
        </w:rPr>
        <w:t>二、申请人资格要求：</w:t>
      </w:r>
    </w:p>
    <w:p w14:paraId="1E47FD77">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1、满足《中华人民共和国政府采购法》第二十二条规定。</w:t>
      </w:r>
    </w:p>
    <w:p w14:paraId="38C91970">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2、落实政府采购政策满足的资格要求：</w:t>
      </w:r>
      <w:r>
        <w:rPr>
          <w:rFonts w:hint="eastAsia" w:ascii="宋体" w:hAnsi="宋体" w:eastAsia="宋体" w:cs="宋体"/>
          <w:b w:val="0"/>
          <w:bCs w:val="0"/>
          <w:color w:val="auto"/>
          <w:sz w:val="21"/>
          <w:szCs w:val="21"/>
          <w:lang w:val="en-US" w:eastAsia="zh-CN"/>
        </w:rPr>
        <w:t>本项目专门面向中小企业采购，落实促进中小型企业发展政策（监狱企业、残疾人福利性企业视同小微企业）、强制采购节能产品、优先采购节能环保产品、优先采购国货等政府采购政策</w:t>
      </w:r>
      <w:r>
        <w:rPr>
          <w:rFonts w:hint="eastAsia" w:ascii="宋体" w:hAnsi="宋体" w:cs="宋体"/>
          <w:color w:val="auto"/>
          <w:sz w:val="21"/>
          <w:szCs w:val="21"/>
          <w:highlight w:val="none"/>
          <w:lang w:val="en-US" w:eastAsia="zh-CN"/>
        </w:rPr>
        <w:t>。</w:t>
      </w:r>
    </w:p>
    <w:p w14:paraId="0CFDE760">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3、特定资格要求</w:t>
      </w:r>
    </w:p>
    <w:p w14:paraId="0A27B485">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3.1供应商应具有文物保护工程勘察设计乙级及以上资质，拟派设计负责人须具有文物保护工程责任设计师证书，</w:t>
      </w:r>
      <w:r>
        <w:rPr>
          <w:rFonts w:hint="eastAsia" w:ascii="宋体" w:hAnsi="宋体" w:eastAsia="宋体" w:cs="宋体"/>
          <w:color w:val="auto"/>
          <w:sz w:val="21"/>
          <w:szCs w:val="21"/>
          <w:lang w:val="en-US" w:eastAsia="en-US"/>
        </w:rPr>
        <w:t>项目负责人必须为本单位人员，提供</w:t>
      </w:r>
      <w:r>
        <w:rPr>
          <w:rFonts w:hint="eastAsia" w:ascii="宋体" w:hAnsi="宋体" w:eastAsia="宋体" w:cs="宋体"/>
          <w:color w:val="auto"/>
          <w:sz w:val="21"/>
          <w:szCs w:val="21"/>
          <w:lang w:val="en-US" w:eastAsia="zh-CN"/>
        </w:rPr>
        <w:t>2025年以来任意3</w:t>
      </w:r>
      <w:r>
        <w:rPr>
          <w:rFonts w:hint="eastAsia" w:ascii="宋体" w:hAnsi="宋体" w:eastAsia="宋体" w:cs="宋体"/>
          <w:color w:val="auto"/>
          <w:sz w:val="21"/>
          <w:szCs w:val="21"/>
          <w:lang w:val="en-US" w:eastAsia="en-US"/>
        </w:rPr>
        <w:t>个月的社保缴</w:t>
      </w:r>
      <w:r>
        <w:rPr>
          <w:rFonts w:hint="eastAsia" w:ascii="宋体" w:hAnsi="宋体" w:eastAsia="宋体" w:cs="宋体"/>
          <w:color w:val="auto"/>
          <w:sz w:val="21"/>
          <w:szCs w:val="21"/>
          <w:lang w:val="en-US" w:eastAsia="zh-CN"/>
        </w:rPr>
        <w:t>纳</w:t>
      </w:r>
      <w:r>
        <w:rPr>
          <w:rFonts w:hint="eastAsia" w:ascii="宋体" w:hAnsi="宋体" w:eastAsia="宋体" w:cs="宋体"/>
          <w:color w:val="auto"/>
          <w:sz w:val="21"/>
          <w:szCs w:val="21"/>
          <w:lang w:val="en-US" w:eastAsia="en-US"/>
        </w:rPr>
        <w:t>证明</w:t>
      </w:r>
      <w:r>
        <w:rPr>
          <w:rFonts w:hint="eastAsia" w:ascii="宋体" w:hAnsi="宋体" w:cs="宋体"/>
          <w:color w:val="auto"/>
          <w:sz w:val="21"/>
          <w:szCs w:val="21"/>
          <w:highlight w:val="none"/>
          <w:lang w:val="en-US" w:eastAsia="zh-CN"/>
        </w:rPr>
        <w:t>。</w:t>
      </w:r>
    </w:p>
    <w:p w14:paraId="6F5589C0">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 单位负责人为同一人或者存在直接控股、管理关系的不同单位，不得同时参加同一合同项下的政府采购活动（提供加盖投标人公章的“国家企业信用信息公示系统”中公示的公司基础信息包含股东及出资信息。查询截止时点为：从报名开始之日起至投标截止之日止。）</w:t>
      </w:r>
    </w:p>
    <w:p w14:paraId="5A7E66D0">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 本项目</w:t>
      </w:r>
      <w:r>
        <w:rPr>
          <w:rFonts w:hint="eastAsia" w:ascii="宋体" w:hAnsi="宋体" w:cs="宋体"/>
          <w:color w:val="auto"/>
          <w:sz w:val="21"/>
          <w:szCs w:val="21"/>
          <w:highlight w:val="none"/>
          <w:u w:val="single"/>
          <w:lang w:val="en-US" w:eastAsia="zh-CN"/>
        </w:rPr>
        <w:t xml:space="preserve"> 适用 </w:t>
      </w:r>
      <w:r>
        <w:rPr>
          <w:rFonts w:hint="eastAsia" w:ascii="宋体" w:hAnsi="宋体" w:cs="宋体"/>
          <w:color w:val="auto"/>
          <w:sz w:val="21"/>
          <w:szCs w:val="21"/>
          <w:highlight w:val="none"/>
          <w:lang w:val="en-US" w:eastAsia="zh-CN"/>
        </w:rPr>
        <w:t>信用承诺（详见下述要求）：根据财政部《关于在政府采购活动中查询及使用信用记录有关问题的通知》(财库[2016] 125 号)和豫财购[2016]15 号的规定，对列入失信被执行人、重大税收违法失信主体、政府采购严重违法失信行为记录名单的投标人，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14:paraId="4DBEF61B">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14:paraId="66A7CC46">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①具有独立承担民事责任的能力（提供有效的企业营业执照或其他组织的证明材料）；</w:t>
      </w:r>
    </w:p>
    <w:p w14:paraId="087DB3E5">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②具有良好的商业信誉和健全的财务会计制度（提供2023或2024年度的财务审计报告，若企业成立年份不足1年，则需提供开户行出具的资信证明）；</w:t>
      </w:r>
    </w:p>
    <w:p w14:paraId="715E7128">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③具有履行合同所必须的设备和专业技术能力（提供承诺书）；</w:t>
      </w:r>
    </w:p>
    <w:p w14:paraId="5C32C16E">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④具有依法缴纳税收和社会保障资金的良好记录【提供2025年1月以来任意3个月的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14:paraId="77F61F21">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⑤参加政府采购活动前三年内在经营活动中没有重大违法记录的证明材料（提供承诺书）；</w:t>
      </w:r>
    </w:p>
    <w:p w14:paraId="2BCC0B1D">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⑥未被列入失信被执行人、重大税收违法失信主体、政府采购严重违法失信行为记录名单的证明材料。</w:t>
      </w:r>
    </w:p>
    <w:p w14:paraId="761689D6">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130B953E">
      <w:pPr>
        <w:pStyle w:val="60"/>
        <w:keepNext w:val="0"/>
        <w:keepLines w:val="0"/>
        <w:pageBreakBefore w:val="0"/>
        <w:kinsoku/>
        <w:overflowPunct/>
        <w:topLinePunct w:val="0"/>
        <w:autoSpaceDE/>
        <w:autoSpaceDN/>
        <w:bidi w:val="0"/>
        <w:spacing w:line="540" w:lineRule="exact"/>
        <w:ind w:firstLine="0" w:firstLineChars="0"/>
        <w:textAlignment w:val="auto"/>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三、获取采购文件</w:t>
      </w:r>
    </w:p>
    <w:p w14:paraId="40F259C4">
      <w:pPr>
        <w:keepNext w:val="0"/>
        <w:keepLines w:val="0"/>
        <w:pageBreakBefore w:val="0"/>
        <w:kinsoku/>
        <w:overflowPunct/>
        <w:topLinePunct w:val="0"/>
        <w:autoSpaceDE/>
        <w:autoSpaceDN/>
        <w:bidi w:val="0"/>
        <w:spacing w:line="540" w:lineRule="exact"/>
        <w:ind w:firstLine="0" w:firstLineChars="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1、时间： 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 xml:space="preserve"> 7</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 xml:space="preserve"> 8 </w:t>
      </w:r>
      <w:r>
        <w:rPr>
          <w:rFonts w:hint="eastAsia" w:ascii="宋体" w:hAnsi="宋体" w:cs="宋体"/>
          <w:color w:val="auto"/>
          <w:kern w:val="0"/>
          <w:szCs w:val="21"/>
          <w:highlight w:val="none"/>
        </w:rPr>
        <w:t>日至202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 xml:space="preserve"> 7 </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日，每天上午00:00至12:00，下午12:01至23:59（北京时间，法定节假日除外。）</w:t>
      </w:r>
    </w:p>
    <w:p w14:paraId="2874FE40">
      <w:pPr>
        <w:keepNext w:val="0"/>
        <w:keepLines w:val="0"/>
        <w:pageBreakBefore w:val="0"/>
        <w:kinsoku/>
        <w:overflowPunct/>
        <w:topLinePunct w:val="0"/>
        <w:autoSpaceDE/>
        <w:autoSpaceDN/>
        <w:bidi w:val="0"/>
        <w:spacing w:line="540" w:lineRule="exact"/>
        <w:ind w:firstLine="0" w:firstLineChars="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2、地点：“全国公共资源交易平台（河南省·信阳市）（</w:t>
      </w:r>
      <w:r>
        <w:rPr>
          <w:rFonts w:hint="eastAsia" w:ascii="宋体" w:hAnsi="宋体" w:cs="宋体"/>
          <w:color w:val="auto"/>
          <w:kern w:val="0"/>
          <w:szCs w:val="21"/>
          <w:highlight w:val="none"/>
          <w:lang w:eastAsia="zh-CN"/>
        </w:rPr>
        <w:t>https://ggzyjy.xinyang.gov.cn/</w:t>
      </w:r>
      <w:r>
        <w:rPr>
          <w:rFonts w:hint="eastAsia" w:ascii="宋体" w:hAnsi="宋体" w:cs="宋体"/>
          <w:color w:val="auto"/>
          <w:kern w:val="0"/>
          <w:szCs w:val="21"/>
          <w:highlight w:val="none"/>
        </w:rPr>
        <w:t>）”网站，凭办理的企业身份认证锁（CA数字证书）</w:t>
      </w:r>
      <w:r>
        <w:rPr>
          <w:rFonts w:hint="eastAsia" w:ascii="宋体" w:hAnsi="宋体" w:cs="宋体"/>
          <w:color w:val="auto"/>
          <w:kern w:val="0"/>
          <w:szCs w:val="21"/>
          <w:highlight w:val="none"/>
          <w:lang w:eastAsia="zh-CN"/>
        </w:rPr>
        <w:t>登录</w:t>
      </w:r>
      <w:r>
        <w:rPr>
          <w:rFonts w:hint="eastAsia" w:ascii="宋体" w:hAnsi="宋体" w:cs="宋体"/>
          <w:color w:val="auto"/>
          <w:kern w:val="0"/>
          <w:szCs w:val="21"/>
          <w:highlight w:val="none"/>
        </w:rPr>
        <w:t>会员系统。</w:t>
      </w:r>
    </w:p>
    <w:p w14:paraId="49148C21">
      <w:pPr>
        <w:pStyle w:val="13"/>
        <w:keepNext w:val="0"/>
        <w:keepLines w:val="0"/>
        <w:pageBreakBefore w:val="0"/>
        <w:kinsoku/>
        <w:overflowPunct/>
        <w:topLinePunct w:val="0"/>
        <w:autoSpaceDE/>
        <w:autoSpaceDN/>
        <w:bidi w:val="0"/>
        <w:spacing w:line="540" w:lineRule="exact"/>
        <w:ind w:firstLine="0" w:firstLineChars="0"/>
        <w:textAlignment w:val="auto"/>
        <w:rPr>
          <w:color w:val="auto"/>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color w:val="auto"/>
          <w:highlight w:val="none"/>
        </w:rPr>
        <w:t>办理CA数字证书</w:t>
      </w:r>
      <w:r>
        <w:rPr>
          <w:rFonts w:hint="eastAsia"/>
          <w:color w:val="auto"/>
          <w:highlight w:val="none"/>
          <w:lang w:val="en-US" w:eastAsia="zh-CN"/>
        </w:rPr>
        <w:t>:</w:t>
      </w:r>
      <w:r>
        <w:rPr>
          <w:rFonts w:hint="eastAsia"/>
          <w:color w:val="auto"/>
          <w:highlight w:val="none"/>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3166F224">
      <w:pPr>
        <w:keepNext w:val="0"/>
        <w:keepLines w:val="0"/>
        <w:pageBreakBefore w:val="0"/>
        <w:kinsoku/>
        <w:overflowPunct/>
        <w:topLinePunct w:val="0"/>
        <w:autoSpaceDE/>
        <w:autoSpaceDN/>
        <w:bidi w:val="0"/>
        <w:spacing w:line="540" w:lineRule="exact"/>
        <w:ind w:firstLine="0" w:firstLineChars="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、方式：供应商凭CA数字证书</w:t>
      </w:r>
      <w:r>
        <w:rPr>
          <w:rFonts w:hint="eastAsia" w:ascii="宋体" w:hAnsi="宋体" w:cs="宋体"/>
          <w:color w:val="auto"/>
          <w:kern w:val="0"/>
          <w:szCs w:val="21"/>
          <w:highlight w:val="none"/>
          <w:lang w:eastAsia="zh-CN"/>
        </w:rPr>
        <w:t>登录</w:t>
      </w:r>
      <w:r>
        <w:rPr>
          <w:rFonts w:hint="eastAsia" w:ascii="宋体" w:hAnsi="宋体" w:cs="宋体"/>
          <w:color w:val="auto"/>
          <w:kern w:val="0"/>
          <w:szCs w:val="21"/>
          <w:highlight w:val="none"/>
        </w:rPr>
        <w:t>会员系统后，即可按网上提示免费下载竞争性磋商文件及资料（操作程序详见信阳市公共资源交易中心网站下载中心栏目里投标人操作手册）。竞争性磋商文件(*.XYZF格式)下载后需使用“信阳市投标文件制作工具软件”打开（该工具软件可在“全国公共资源交易平台（河南省·信阳市）（</w:t>
      </w:r>
      <w:r>
        <w:rPr>
          <w:rFonts w:hint="eastAsia" w:ascii="宋体" w:hAnsi="宋体" w:cs="宋体"/>
          <w:color w:val="auto"/>
          <w:kern w:val="0"/>
          <w:szCs w:val="21"/>
          <w:highlight w:val="none"/>
          <w:lang w:eastAsia="zh-CN"/>
        </w:rPr>
        <w:t>https://ggzyjy.xinyang.gov.cn/</w:t>
      </w:r>
      <w:r>
        <w:rPr>
          <w:rFonts w:hint="eastAsia" w:ascii="宋体" w:hAnsi="宋体" w:cs="宋体"/>
          <w:color w:val="auto"/>
          <w:kern w:val="0"/>
          <w:szCs w:val="21"/>
          <w:highlight w:val="none"/>
        </w:rPr>
        <w:t>）”网站下载中心栏目内下载或在文件领取页面下载）。请供应商下载磋商文件后及时关注系统业务菜单（“答疑澄清文件领取”，“控制价文件领取”）内该项目是否有新的答疑澄清文件或控制价文件。如有请直接下载，不再另行通知。</w:t>
      </w:r>
    </w:p>
    <w:p w14:paraId="21300731">
      <w:pPr>
        <w:keepNext w:val="0"/>
        <w:keepLines w:val="0"/>
        <w:pageBreakBefore w:val="0"/>
        <w:kinsoku/>
        <w:overflowPunct/>
        <w:topLinePunct w:val="0"/>
        <w:autoSpaceDE/>
        <w:autoSpaceDN/>
        <w:bidi w:val="0"/>
        <w:spacing w:line="540" w:lineRule="exact"/>
        <w:ind w:firstLine="0" w:firstLineChars="0"/>
        <w:jc w:val="left"/>
        <w:textAlignment w:val="auto"/>
        <w:rPr>
          <w:color w:val="auto"/>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、售价：竞争性磋商文件售价0元。</w:t>
      </w:r>
    </w:p>
    <w:p w14:paraId="3C95A7C7">
      <w:pPr>
        <w:keepNext w:val="0"/>
        <w:keepLines w:val="0"/>
        <w:pageBreakBefore w:val="0"/>
        <w:widowControl/>
        <w:kinsoku/>
        <w:overflowPunct/>
        <w:topLinePunct w:val="0"/>
        <w:autoSpaceDE/>
        <w:autoSpaceDN/>
        <w:bidi w:val="0"/>
        <w:spacing w:line="540" w:lineRule="exact"/>
        <w:ind w:firstLine="0" w:firstLineChars="0"/>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四、响应文件提交：</w:t>
      </w:r>
    </w:p>
    <w:p w14:paraId="676F0AA0">
      <w:pPr>
        <w:pStyle w:val="26"/>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Autospacing="0" w:afterAutospacing="0" w:line="540" w:lineRule="exact"/>
        <w:ind w:firstLine="0" w:firstLineChars="0"/>
        <w:textAlignment w:val="auto"/>
        <w:rPr>
          <w:rFonts w:eastAsia="宋体"/>
          <w:color w:val="auto"/>
          <w:sz w:val="21"/>
          <w:szCs w:val="21"/>
          <w:highlight w:val="none"/>
        </w:rPr>
      </w:pPr>
      <w:r>
        <w:rPr>
          <w:rFonts w:hint="eastAsia" w:eastAsia="宋体"/>
          <w:color w:val="auto"/>
          <w:sz w:val="21"/>
          <w:szCs w:val="21"/>
          <w:highlight w:val="none"/>
        </w:rPr>
        <w:t>1、时间：</w:t>
      </w:r>
      <w:r>
        <w:rPr>
          <w:rFonts w:hint="eastAsia" w:eastAsia="宋体"/>
          <w:color w:val="auto"/>
          <w:sz w:val="21"/>
          <w:szCs w:val="21"/>
          <w:highlight w:val="none"/>
          <w:lang w:val="en-US" w:eastAsia="zh-CN"/>
        </w:rPr>
        <w:t>2025</w:t>
      </w:r>
      <w:r>
        <w:rPr>
          <w:rFonts w:hint="eastAsia" w:eastAsia="宋体"/>
          <w:color w:val="auto"/>
          <w:sz w:val="21"/>
          <w:szCs w:val="21"/>
          <w:highlight w:val="none"/>
        </w:rPr>
        <w:t>年</w:t>
      </w:r>
      <w:r>
        <w:rPr>
          <w:rFonts w:hint="eastAsia" w:eastAsia="宋体"/>
          <w:color w:val="auto"/>
          <w:sz w:val="21"/>
          <w:szCs w:val="21"/>
          <w:highlight w:val="none"/>
          <w:lang w:val="en-US" w:eastAsia="zh-CN"/>
        </w:rPr>
        <w:t xml:space="preserve"> 7</w:t>
      </w:r>
      <w:r>
        <w:rPr>
          <w:rFonts w:hint="eastAsia" w:eastAsia="宋体"/>
          <w:color w:val="auto"/>
          <w:sz w:val="21"/>
          <w:szCs w:val="21"/>
          <w:highlight w:val="none"/>
        </w:rPr>
        <w:t>月</w:t>
      </w:r>
      <w:r>
        <w:rPr>
          <w:rFonts w:hint="eastAsia" w:eastAsia="宋体"/>
          <w:color w:val="auto"/>
          <w:sz w:val="21"/>
          <w:szCs w:val="21"/>
          <w:highlight w:val="none"/>
          <w:lang w:val="en-US" w:eastAsia="zh-CN"/>
        </w:rPr>
        <w:t>18</w:t>
      </w:r>
      <w:r>
        <w:rPr>
          <w:rFonts w:hint="eastAsia" w:eastAsia="宋体"/>
          <w:color w:val="auto"/>
          <w:sz w:val="21"/>
          <w:szCs w:val="21"/>
          <w:highlight w:val="none"/>
        </w:rPr>
        <w:t>日</w:t>
      </w:r>
      <w:r>
        <w:rPr>
          <w:rFonts w:hint="eastAsia" w:eastAsia="宋体"/>
          <w:color w:val="auto"/>
          <w:sz w:val="21"/>
          <w:szCs w:val="21"/>
          <w:highlight w:val="none"/>
          <w:lang w:val="en-US" w:eastAsia="zh-CN"/>
        </w:rPr>
        <w:t>9</w:t>
      </w:r>
      <w:r>
        <w:rPr>
          <w:rFonts w:hint="eastAsia" w:eastAsia="宋体"/>
          <w:color w:val="auto"/>
          <w:sz w:val="21"/>
          <w:szCs w:val="21"/>
          <w:highlight w:val="none"/>
        </w:rPr>
        <w:t xml:space="preserve"> 时</w:t>
      </w:r>
      <w:r>
        <w:rPr>
          <w:rFonts w:hint="eastAsia" w:eastAsia="宋体"/>
          <w:color w:val="auto"/>
          <w:sz w:val="21"/>
          <w:szCs w:val="21"/>
          <w:highlight w:val="none"/>
          <w:lang w:val="en-US" w:eastAsia="zh-CN"/>
        </w:rPr>
        <w:t>30</w:t>
      </w:r>
      <w:r>
        <w:rPr>
          <w:rFonts w:hint="eastAsia" w:eastAsia="宋体"/>
          <w:color w:val="auto"/>
          <w:sz w:val="21"/>
          <w:szCs w:val="21"/>
          <w:highlight w:val="none"/>
        </w:rPr>
        <w:t>分（北京时间）。</w:t>
      </w:r>
    </w:p>
    <w:p w14:paraId="7D39953E">
      <w:pPr>
        <w:keepNext w:val="0"/>
        <w:keepLines w:val="0"/>
        <w:pageBreakBefore w:val="0"/>
        <w:kinsoku/>
        <w:overflowPunct/>
        <w:topLinePunct w:val="0"/>
        <w:autoSpaceDE/>
        <w:autoSpaceDN/>
        <w:bidi w:val="0"/>
        <w:spacing w:line="540" w:lineRule="exact"/>
        <w:ind w:firstLine="0" w:firstLineChars="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2、地点：供应商必须在响应文件提交截止时间前通过信阳市公共资源交易中心电子招投标系统上传加密的电子响应文件(*.XYTF格式)。注：加密电子响应文件逾期上传采购人不予受理。</w:t>
      </w:r>
    </w:p>
    <w:p w14:paraId="2AD29649">
      <w:pPr>
        <w:keepNext w:val="0"/>
        <w:keepLines w:val="0"/>
        <w:pageBreakBefore w:val="0"/>
        <w:widowControl/>
        <w:kinsoku/>
        <w:overflowPunct/>
        <w:topLinePunct w:val="0"/>
        <w:autoSpaceDE/>
        <w:autoSpaceDN/>
        <w:bidi w:val="0"/>
        <w:spacing w:line="540" w:lineRule="exact"/>
        <w:ind w:firstLine="0" w:firstLineChars="0"/>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五、响应文件开启：</w:t>
      </w:r>
    </w:p>
    <w:p w14:paraId="142E5173">
      <w:pPr>
        <w:pStyle w:val="26"/>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Autospacing="0" w:afterAutospacing="0" w:line="540" w:lineRule="exact"/>
        <w:ind w:firstLine="0" w:firstLineChars="0"/>
        <w:textAlignment w:val="auto"/>
        <w:rPr>
          <w:rFonts w:eastAsia="宋体"/>
          <w:color w:val="auto"/>
          <w:sz w:val="21"/>
          <w:szCs w:val="21"/>
          <w:highlight w:val="none"/>
        </w:rPr>
      </w:pPr>
      <w:r>
        <w:rPr>
          <w:rFonts w:hint="eastAsia" w:eastAsia="宋体"/>
          <w:color w:val="auto"/>
          <w:sz w:val="21"/>
          <w:szCs w:val="21"/>
          <w:highlight w:val="none"/>
        </w:rPr>
        <w:t>1、时间：</w:t>
      </w:r>
      <w:r>
        <w:rPr>
          <w:rFonts w:hint="eastAsia" w:eastAsia="宋体"/>
          <w:color w:val="auto"/>
          <w:sz w:val="21"/>
          <w:szCs w:val="21"/>
          <w:highlight w:val="none"/>
          <w:lang w:val="en-US" w:eastAsia="zh-CN"/>
        </w:rPr>
        <w:t>2025年7月18日9时30分</w:t>
      </w:r>
      <w:r>
        <w:rPr>
          <w:rFonts w:hint="eastAsia" w:eastAsia="宋体"/>
          <w:color w:val="auto"/>
          <w:sz w:val="21"/>
          <w:szCs w:val="21"/>
          <w:highlight w:val="none"/>
        </w:rPr>
        <w:t>（北京时间）。</w:t>
      </w:r>
    </w:p>
    <w:p w14:paraId="3BDAD45B">
      <w:pPr>
        <w:keepNext w:val="0"/>
        <w:keepLines w:val="0"/>
        <w:pageBreakBefore w:val="0"/>
        <w:widowControl/>
        <w:kinsoku/>
        <w:overflowPunct/>
        <w:topLinePunct w:val="0"/>
        <w:autoSpaceDE/>
        <w:autoSpaceDN/>
        <w:bidi w:val="0"/>
        <w:spacing w:line="540" w:lineRule="exact"/>
        <w:ind w:firstLine="0" w:firstLineChars="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2、地点：信阳市公共资源交易中心第</w:t>
      </w:r>
      <w:r>
        <w:rPr>
          <w:rFonts w:hint="eastAsia" w:ascii="宋体" w:hAnsi="宋体" w:cs="宋体"/>
          <w:color w:val="auto"/>
          <w:kern w:val="0"/>
          <w:szCs w:val="21"/>
          <w:highlight w:val="none"/>
          <w:lang w:val="en-US" w:eastAsia="zh-CN"/>
        </w:rPr>
        <w:t>八</w:t>
      </w:r>
      <w:r>
        <w:rPr>
          <w:rFonts w:hint="eastAsia" w:ascii="宋体" w:hAnsi="宋体" w:cs="宋体"/>
          <w:color w:val="auto"/>
          <w:kern w:val="0"/>
          <w:szCs w:val="21"/>
          <w:highlight w:val="none"/>
        </w:rPr>
        <w:t>开标室。</w:t>
      </w:r>
    </w:p>
    <w:p w14:paraId="019D777C">
      <w:pPr>
        <w:keepNext w:val="0"/>
        <w:keepLines w:val="0"/>
        <w:pageBreakBefore w:val="0"/>
        <w:widowControl/>
        <w:kinsoku/>
        <w:overflowPunct/>
        <w:topLinePunct w:val="0"/>
        <w:autoSpaceDE/>
        <w:autoSpaceDN/>
        <w:bidi w:val="0"/>
        <w:spacing w:line="540" w:lineRule="exact"/>
        <w:ind w:firstLine="0" w:firstLineChars="0"/>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六、发布公告的媒介及招标公告期限：</w:t>
      </w:r>
    </w:p>
    <w:p w14:paraId="334E4023">
      <w:pPr>
        <w:keepNext w:val="0"/>
        <w:keepLines w:val="0"/>
        <w:pageBreakBefore w:val="0"/>
        <w:widowControl/>
        <w:kinsoku/>
        <w:overflowPunct/>
        <w:topLinePunct w:val="0"/>
        <w:autoSpaceDE/>
        <w:autoSpaceDN/>
        <w:bidi w:val="0"/>
        <w:spacing w:line="540" w:lineRule="exact"/>
        <w:ind w:firstLine="0" w:firstLineChars="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本次招标公告在《河南省政府采购网》、《全国公共资源交易平台（河南省·信阳市）》网上发布，招标公告期限为五个工作日。</w:t>
      </w:r>
    </w:p>
    <w:p w14:paraId="33C58B60">
      <w:pPr>
        <w:pStyle w:val="13"/>
        <w:keepNext w:val="0"/>
        <w:keepLines w:val="0"/>
        <w:pageBreakBefore w:val="0"/>
        <w:kinsoku/>
        <w:overflowPunct/>
        <w:topLinePunct w:val="0"/>
        <w:autoSpaceDE/>
        <w:autoSpaceDN/>
        <w:bidi w:val="0"/>
        <w:spacing w:line="540" w:lineRule="exact"/>
        <w:ind w:firstLine="0" w:firstLineChars="0"/>
        <w:textAlignment w:val="auto"/>
        <w:rPr>
          <w:rFonts w:ascii="宋体" w:hAnsi="宋体" w:cs="宋体"/>
          <w:b/>
          <w:bCs/>
          <w:color w:val="auto"/>
          <w:szCs w:val="21"/>
          <w:highlight w:val="none"/>
        </w:rPr>
      </w:pPr>
      <w:r>
        <w:rPr>
          <w:rFonts w:hint="eastAsia" w:ascii="宋体" w:hAnsi="宋体" w:cs="宋体"/>
          <w:b/>
          <w:bCs/>
          <w:color w:val="auto"/>
          <w:szCs w:val="21"/>
          <w:highlight w:val="none"/>
        </w:rPr>
        <w:t>七、其他补充事宜：</w:t>
      </w:r>
    </w:p>
    <w:p w14:paraId="79A9228E">
      <w:pPr>
        <w:keepNext w:val="0"/>
        <w:keepLines w:val="0"/>
        <w:pageBreakBefore w:val="0"/>
        <w:widowControl/>
        <w:kinsoku/>
        <w:overflowPunct/>
        <w:topLinePunct w:val="0"/>
        <w:bidi w:val="0"/>
        <w:adjustRightInd/>
        <w:snapToGrid/>
        <w:spacing w:line="390" w:lineRule="exact"/>
        <w:ind w:firstLine="420" w:firstLineChars="200"/>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凡有意参加本项目的供应商，请登录“全国公共资源交易平台（河南省·信阳市）（https://ggzyjy.xinyang.gov.cn）”网站进行交易主体自主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7C90C1F5">
      <w:pPr>
        <w:keepNext w:val="0"/>
        <w:keepLines w:val="0"/>
        <w:pageBreakBefore w:val="0"/>
        <w:widowControl/>
        <w:kinsoku/>
        <w:overflowPunct/>
        <w:topLinePunct w:val="0"/>
        <w:bidi w:val="0"/>
        <w:adjustRightInd/>
        <w:snapToGrid/>
        <w:spacing w:line="390" w:lineRule="exact"/>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、本项目采用“不见面开标”交易方式，不见面开标大厅网址为</w:t>
      </w:r>
      <w:r>
        <w:rPr>
          <w:rFonts w:hint="eastAsia" w:ascii="宋体" w:hAnsi="宋体" w:cs="宋体"/>
          <w:color w:val="auto"/>
          <w:sz w:val="21"/>
          <w:szCs w:val="21"/>
          <w:lang w:eastAsia="zh-CN"/>
        </w:rPr>
        <w:t>https://ggzyjy.xinyang.gov.cn/BidOpening</w:t>
      </w:r>
      <w:r>
        <w:rPr>
          <w:rFonts w:hint="eastAsia" w:ascii="宋体" w:hAnsi="宋体" w:cs="宋体"/>
          <w:color w:val="auto"/>
          <w:kern w:val="0"/>
          <w:szCs w:val="21"/>
        </w:rPr>
        <w:t>，供应商无需寄送和递交非加密的电子响应文件，无需到现场参加开标会议，无需到达现场提交原件资料。</w:t>
      </w:r>
    </w:p>
    <w:p w14:paraId="72F1397E">
      <w:pPr>
        <w:keepNext w:val="0"/>
        <w:keepLines w:val="0"/>
        <w:pageBreakBefore w:val="0"/>
        <w:widowControl/>
        <w:kinsoku/>
        <w:overflowPunct/>
        <w:topLinePunct w:val="0"/>
        <w:bidi w:val="0"/>
        <w:adjustRightInd/>
        <w:snapToGrid/>
        <w:spacing w:line="390" w:lineRule="exact"/>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、供应商应当在投标截止时间前，使用供应商CA数字证书登录不见面开标大厅，在线签到并准时参加开标活动，并在规定时间内完成响应文件解密、答疑澄清等。</w:t>
      </w:r>
    </w:p>
    <w:p w14:paraId="06A6E28A">
      <w:pPr>
        <w:keepNext w:val="0"/>
        <w:keepLines w:val="0"/>
        <w:pageBreakBefore w:val="0"/>
        <w:widowControl/>
        <w:kinsoku/>
        <w:overflowPunct/>
        <w:topLinePunct w:val="0"/>
        <w:bidi w:val="0"/>
        <w:adjustRightInd/>
        <w:snapToGrid/>
        <w:spacing w:line="390" w:lineRule="exact"/>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、逾期解密或者没有准时在线参加开标活动导致的一切后果供应商自行承担。</w:t>
      </w:r>
    </w:p>
    <w:p w14:paraId="1E7F0EA9">
      <w:pPr>
        <w:keepNext w:val="0"/>
        <w:keepLines w:val="0"/>
        <w:pageBreakBefore w:val="0"/>
        <w:widowControl/>
        <w:kinsoku/>
        <w:overflowPunct/>
        <w:topLinePunct w:val="0"/>
        <w:bidi w:val="0"/>
        <w:adjustRightInd/>
        <w:snapToGrid/>
        <w:spacing w:line="390" w:lineRule="exact"/>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lang w:val="en-US" w:eastAsia="zh-CN"/>
        </w:rPr>
        <w:t>5</w:t>
      </w:r>
      <w:r>
        <w:rPr>
          <w:rFonts w:hint="eastAsia" w:ascii="宋体" w:hAnsi="宋体" w:cs="宋体"/>
          <w:color w:val="auto"/>
          <w:kern w:val="0"/>
          <w:szCs w:val="21"/>
        </w:rPr>
        <w:t>、不见面开标服务的具体事宜，请查阅信阳市公共资源交易中心网站首页—下载中心—信阳市不见面开标大厅系统操作手册 。</w:t>
      </w:r>
    </w:p>
    <w:p w14:paraId="5104EFFC">
      <w:pPr>
        <w:keepNext w:val="0"/>
        <w:keepLines w:val="0"/>
        <w:pageBreakBefore w:val="0"/>
        <w:widowControl/>
        <w:kinsoku/>
        <w:overflowPunct/>
        <w:topLinePunct w:val="0"/>
        <w:bidi w:val="0"/>
        <w:adjustRightInd/>
        <w:snapToGrid/>
        <w:spacing w:line="39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特别提示：供应商在线签到时，应如实准确的填写授权委托人的联系电话，开标当天请务必保证电话保持畅通。</w:t>
      </w:r>
    </w:p>
    <w:p w14:paraId="632165D6">
      <w:pPr>
        <w:keepNext w:val="0"/>
        <w:keepLines w:val="0"/>
        <w:pageBreakBefore w:val="0"/>
        <w:widowControl/>
        <w:numPr>
          <w:ilvl w:val="0"/>
          <w:numId w:val="0"/>
        </w:numPr>
        <w:kinsoku/>
        <w:overflowPunct/>
        <w:topLinePunct w:val="0"/>
        <w:bidi w:val="0"/>
        <w:adjustRightInd/>
        <w:snapToGrid/>
        <w:spacing w:line="390" w:lineRule="exact"/>
        <w:ind w:left="420" w:leftChars="200"/>
        <w:jc w:val="left"/>
        <w:textAlignment w:val="auto"/>
        <w:rPr>
          <w:rFonts w:hint="eastAsia" w:ascii="宋体" w:hAnsi="宋体" w:eastAsia="宋体" w:cs="Times New Roman"/>
          <w:color w:val="auto"/>
          <w:kern w:val="0"/>
          <w:szCs w:val="21"/>
          <w:shd w:val="clear" w:color="auto" w:fill="FFFFFF"/>
          <w:lang w:val="en-US" w:eastAsia="zh-CN"/>
        </w:rPr>
      </w:pPr>
      <w:r>
        <w:rPr>
          <w:rFonts w:hint="eastAsia" w:ascii="宋体" w:hAnsi="宋体" w:eastAsia="宋体" w:cs="Times New Roman"/>
          <w:color w:val="auto"/>
          <w:kern w:val="0"/>
          <w:sz w:val="21"/>
          <w:szCs w:val="21"/>
          <w:shd w:val="clear" w:color="auto" w:fill="FFFFFF"/>
          <w:lang w:val="en-US" w:eastAsia="zh-CN" w:bidi="ar-SA"/>
        </w:rPr>
        <w:t>6、</w:t>
      </w:r>
      <w:r>
        <w:rPr>
          <w:rFonts w:hint="eastAsia" w:ascii="宋体" w:hAnsi="宋体"/>
          <w:color w:val="auto"/>
          <w:kern w:val="0"/>
          <w:szCs w:val="21"/>
          <w:shd w:val="clear" w:color="auto" w:fill="FFFFFF"/>
        </w:rPr>
        <w:t>监督部门：</w:t>
      </w:r>
      <w:r>
        <w:rPr>
          <w:rFonts w:hint="eastAsia" w:ascii="宋体" w:hAnsi="宋体" w:eastAsia="宋体" w:cs="Times New Roman"/>
          <w:color w:val="auto"/>
          <w:kern w:val="0"/>
          <w:szCs w:val="21"/>
          <w:shd w:val="clear" w:color="auto" w:fill="FFFFFF"/>
          <w:lang w:val="en-US" w:eastAsia="zh-CN"/>
        </w:rPr>
        <w:t>信阳市浉河区政府采购管理办公室    联系电话：0376-6312702</w:t>
      </w:r>
    </w:p>
    <w:p w14:paraId="781375BF">
      <w:pPr>
        <w:keepNext w:val="0"/>
        <w:keepLines w:val="0"/>
        <w:pageBreakBefore w:val="0"/>
        <w:widowControl/>
        <w:numPr>
          <w:ilvl w:val="0"/>
          <w:numId w:val="0"/>
        </w:numPr>
        <w:kinsoku/>
        <w:overflowPunct/>
        <w:topLinePunct w:val="0"/>
        <w:bidi w:val="0"/>
        <w:adjustRightInd/>
        <w:snapToGrid/>
        <w:spacing w:line="390" w:lineRule="exact"/>
        <w:ind w:left="420" w:leftChars="200"/>
        <w:jc w:val="left"/>
        <w:textAlignment w:val="auto"/>
        <w:rPr>
          <w:rFonts w:hint="eastAsia" w:ascii="宋体" w:hAnsi="宋体" w:eastAsia="宋体" w:cs="Times New Roman"/>
          <w:color w:val="auto"/>
          <w:kern w:val="0"/>
          <w:szCs w:val="21"/>
          <w:shd w:val="clear" w:color="auto" w:fill="FFFFFF"/>
          <w:lang w:val="en-US" w:eastAsia="zh-CN"/>
        </w:rPr>
      </w:pPr>
      <w:r>
        <w:rPr>
          <w:rFonts w:hint="eastAsia" w:ascii="宋体" w:hAnsi="宋体" w:eastAsia="宋体" w:cs="Times New Roman"/>
          <w:color w:val="auto"/>
          <w:kern w:val="0"/>
          <w:sz w:val="21"/>
          <w:szCs w:val="21"/>
          <w:shd w:val="clear" w:color="auto" w:fill="FFFFFF"/>
          <w:lang w:val="en-US" w:eastAsia="zh-CN" w:bidi="ar-SA"/>
        </w:rPr>
        <w:t>7、</w:t>
      </w:r>
      <w:r>
        <w:rPr>
          <w:rFonts w:hint="eastAsia" w:ascii="宋体" w:hAnsi="宋体" w:eastAsia="宋体" w:cs="Times New Roman"/>
          <w:color w:val="auto"/>
          <w:kern w:val="0"/>
          <w:szCs w:val="21"/>
          <w:shd w:val="clear" w:color="auto" w:fill="FFFFFF"/>
          <w:lang w:val="en-US" w:eastAsia="zh-CN"/>
        </w:rPr>
        <w:t>招标代理服务费：按照河南省招标投标协会关于印发《河南省招标代理服务收费指导意见》的通知（豫招协[2023]002号）文件的计算方法收取，招标代理服务费为11604.00元。</w:t>
      </w:r>
    </w:p>
    <w:p w14:paraId="4FFC4C67">
      <w:pPr>
        <w:keepNext w:val="0"/>
        <w:keepLines w:val="0"/>
        <w:pageBreakBefore w:val="0"/>
        <w:widowControl/>
        <w:kinsoku/>
        <w:overflowPunct/>
        <w:topLinePunct w:val="0"/>
        <w:autoSpaceDE/>
        <w:autoSpaceDN/>
        <w:bidi w:val="0"/>
        <w:spacing w:line="540" w:lineRule="exact"/>
        <w:ind w:firstLine="0" w:firstLineChars="0"/>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八、凡对本次招标提出询问，请按照以下方式联系：</w:t>
      </w:r>
    </w:p>
    <w:p w14:paraId="28699C56">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 xml:space="preserve">1.采购人信息 </w:t>
      </w:r>
    </w:p>
    <w:p w14:paraId="6CEB94BC">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信阳市浉河区文化广电和旅游局</w:t>
      </w:r>
    </w:p>
    <w:p w14:paraId="4FB8AAE9">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地 址：</w:t>
      </w:r>
      <w:r>
        <w:rPr>
          <w:rFonts w:hint="eastAsia" w:ascii="宋体" w:hAnsi="宋体" w:eastAsia="宋体" w:cs="宋体"/>
          <w:bCs/>
          <w:color w:val="auto"/>
          <w:kern w:val="0"/>
          <w:highlight w:val="none"/>
        </w:rPr>
        <w:t>信阳市</w:t>
      </w:r>
      <w:r>
        <w:rPr>
          <w:rFonts w:hint="eastAsia" w:ascii="宋体" w:hAnsi="宋体" w:eastAsia="宋体" w:cs="宋体"/>
          <w:bCs/>
          <w:color w:val="auto"/>
          <w:kern w:val="0"/>
          <w:highlight w:val="none"/>
          <w:lang w:eastAsia="zh-CN"/>
        </w:rPr>
        <w:t>浉河区天伦广场茶韵路</w:t>
      </w:r>
      <w:r>
        <w:rPr>
          <w:rFonts w:hint="eastAsia" w:ascii="宋体" w:hAnsi="宋体" w:eastAsia="宋体" w:cs="宋体"/>
          <w:bCs/>
          <w:color w:val="auto"/>
          <w:kern w:val="0"/>
          <w:highlight w:val="none"/>
          <w:lang w:val="en-US" w:eastAsia="zh-CN"/>
        </w:rPr>
        <w:t>107号</w:t>
      </w:r>
    </w:p>
    <w:p w14:paraId="131E8ADD">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李牧纯</w:t>
      </w:r>
      <w:r>
        <w:rPr>
          <w:rFonts w:hint="eastAsia" w:ascii="宋体" w:hAnsi="宋体" w:cs="宋体"/>
          <w:color w:val="auto"/>
          <w:szCs w:val="21"/>
          <w:highlight w:val="none"/>
        </w:rPr>
        <w:t xml:space="preserve"> </w:t>
      </w:r>
    </w:p>
    <w:p w14:paraId="40849822">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val="en-US" w:eastAsia="zh-CN"/>
        </w:rPr>
        <w:t>18637636859</w:t>
      </w:r>
    </w:p>
    <w:p w14:paraId="570D8E05">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 xml:space="preserve">2.采购代理机构信息 </w:t>
      </w:r>
    </w:p>
    <w:p w14:paraId="7EAEA69D">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名 称：中金泰富工程管理有限公司</w:t>
      </w:r>
    </w:p>
    <w:p w14:paraId="23AAD034">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地　址：郑州市经七路15号中亨大厦7楼</w:t>
      </w:r>
    </w:p>
    <w:p w14:paraId="4DC755A5">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联系人：吴</w:t>
      </w:r>
      <w:r>
        <w:rPr>
          <w:rFonts w:hint="eastAsia" w:ascii="宋体" w:hAnsi="宋体" w:cs="宋体"/>
          <w:color w:val="auto"/>
          <w:szCs w:val="21"/>
          <w:highlight w:val="none"/>
          <w:lang w:eastAsia="zh-CN"/>
        </w:rPr>
        <w:t>伟丽</w:t>
      </w:r>
    </w:p>
    <w:p w14:paraId="234BBED9">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联系方式：18530056373</w:t>
      </w:r>
    </w:p>
    <w:p w14:paraId="4F3D831B">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 xml:space="preserve">3.项目联系方式 </w:t>
      </w:r>
    </w:p>
    <w:p w14:paraId="7ED21218">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联 系 人：吴</w:t>
      </w:r>
      <w:r>
        <w:rPr>
          <w:rFonts w:hint="eastAsia" w:ascii="宋体" w:hAnsi="宋体" w:cs="宋体"/>
          <w:color w:val="auto"/>
          <w:szCs w:val="21"/>
          <w:highlight w:val="none"/>
          <w:lang w:eastAsia="zh-CN"/>
        </w:rPr>
        <w:t>伟丽</w:t>
      </w:r>
    </w:p>
    <w:p w14:paraId="2EA76ADA">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 xml:space="preserve">电    话：18530056373 </w:t>
      </w:r>
    </w:p>
    <w:p w14:paraId="773A29FF">
      <w:pPr>
        <w:pageBreakBefore w:val="0"/>
        <w:widowControl/>
        <w:kinsoku/>
        <w:overflowPunct/>
        <w:bidi w:val="0"/>
        <w:spacing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            </w:t>
      </w:r>
      <w:bookmarkEnd w:id="8"/>
      <w:bookmarkStart w:id="12" w:name="_Toc8890"/>
    </w:p>
    <w:p w14:paraId="67A1C545">
      <w:pPr>
        <w:pStyle w:val="49"/>
        <w:pageBreakBefore w:val="0"/>
        <w:kinsoku/>
        <w:overflowPunct/>
        <w:bidi w:val="0"/>
        <w:ind w:firstLine="0" w:firstLineChars="0"/>
        <w:rPr>
          <w:color w:val="auto"/>
          <w:highlight w:val="none"/>
        </w:rPr>
      </w:pPr>
    </w:p>
    <w:p w14:paraId="65292E49">
      <w:pPr>
        <w:pageBreakBefore w:val="0"/>
        <w:kinsoku/>
        <w:overflowPunct/>
        <w:bidi w:val="0"/>
        <w:ind w:firstLine="0" w:firstLineChars="0"/>
        <w:rPr>
          <w:color w:val="auto"/>
          <w:highlight w:val="none"/>
        </w:rPr>
      </w:pPr>
    </w:p>
    <w:p w14:paraId="7D8A2970">
      <w:pPr>
        <w:pStyle w:val="25"/>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highlight w:val="none"/>
        </w:rPr>
      </w:pPr>
    </w:p>
    <w:p w14:paraId="2343EA8C">
      <w:pPr>
        <w:rPr>
          <w:rFonts w:hint="eastAsia" w:ascii="宋体" w:hAnsi="宋体" w:cs="宋体"/>
          <w:b/>
          <w:bCs/>
          <w:color w:val="auto"/>
          <w:sz w:val="32"/>
          <w:szCs w:val="32"/>
          <w:highlight w:val="none"/>
        </w:rPr>
      </w:pPr>
    </w:p>
    <w:p w14:paraId="263DA370">
      <w:pPr>
        <w:rPr>
          <w:rFonts w:hint="eastAsia" w:ascii="宋体" w:hAnsi="宋体" w:cs="宋体"/>
          <w:b/>
          <w:bCs/>
          <w:color w:val="auto"/>
          <w:sz w:val="32"/>
          <w:szCs w:val="32"/>
          <w:highlight w:val="none"/>
        </w:rPr>
      </w:pPr>
    </w:p>
    <w:p w14:paraId="6AC77983">
      <w:pPr>
        <w:rPr>
          <w:rFonts w:hint="eastAsia" w:ascii="宋体" w:hAnsi="宋体" w:cs="宋体"/>
          <w:b/>
          <w:bCs/>
          <w:color w:val="auto"/>
          <w:sz w:val="32"/>
          <w:szCs w:val="32"/>
          <w:highlight w:val="none"/>
        </w:rPr>
      </w:pPr>
    </w:p>
    <w:p w14:paraId="1A3394DD">
      <w:pPr>
        <w:rPr>
          <w:rFonts w:hint="eastAsia" w:ascii="宋体" w:hAnsi="宋体" w:cs="宋体"/>
          <w:b/>
          <w:bCs/>
          <w:color w:val="auto"/>
          <w:sz w:val="32"/>
          <w:szCs w:val="32"/>
          <w:highlight w:val="none"/>
        </w:rPr>
      </w:pPr>
    </w:p>
    <w:p w14:paraId="6D5D3D4A">
      <w:pPr>
        <w:rPr>
          <w:rFonts w:hint="eastAsia" w:ascii="宋体" w:hAnsi="宋体" w:cs="宋体"/>
          <w:b/>
          <w:bCs/>
          <w:color w:val="auto"/>
          <w:sz w:val="32"/>
          <w:szCs w:val="32"/>
          <w:highlight w:val="none"/>
        </w:rPr>
      </w:pPr>
    </w:p>
    <w:p w14:paraId="79A11E00">
      <w:pPr>
        <w:ind w:left="0" w:leftChars="0" w:firstLine="0" w:firstLineChars="0"/>
        <w:rPr>
          <w:rFonts w:hint="eastAsia"/>
        </w:rPr>
      </w:pPr>
    </w:p>
    <w:p w14:paraId="697DFD2F">
      <w:pPr>
        <w:pStyle w:val="25"/>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highlight w:val="none"/>
        </w:rPr>
      </w:pPr>
      <w:bookmarkStart w:id="13" w:name="_Toc14928"/>
    </w:p>
    <w:p w14:paraId="0ECD08EB">
      <w:pPr>
        <w:pStyle w:val="25"/>
        <w:pageBreakBefore w:val="0"/>
        <w:tabs>
          <w:tab w:val="right" w:leader="underscore" w:pos="8296"/>
        </w:tabs>
        <w:kinsoku/>
        <w:overflowPunct/>
        <w:bidi w:val="0"/>
        <w:spacing w:line="360" w:lineRule="auto"/>
        <w:ind w:left="0" w:leftChars="0" w:firstLine="0" w:firstLineChars="0"/>
        <w:jc w:val="center"/>
        <w:outlineLvl w:val="0"/>
        <w:rPr>
          <w:rFonts w:ascii="宋体" w:hAnsi="宋体" w:cs="宋体"/>
          <w:b/>
          <w:bCs/>
          <w:color w:val="auto"/>
          <w:sz w:val="32"/>
          <w:szCs w:val="32"/>
          <w:highlight w:val="none"/>
        </w:rPr>
      </w:pPr>
      <w:r>
        <w:rPr>
          <w:rFonts w:hint="eastAsia" w:ascii="宋体" w:hAnsi="宋体" w:cs="宋体"/>
          <w:b/>
          <w:bCs/>
          <w:color w:val="auto"/>
          <w:sz w:val="32"/>
          <w:szCs w:val="32"/>
          <w:highlight w:val="none"/>
        </w:rPr>
        <w:t>第二章 供应商须知</w:t>
      </w:r>
      <w:bookmarkEnd w:id="9"/>
      <w:bookmarkEnd w:id="10"/>
      <w:bookmarkEnd w:id="11"/>
      <w:bookmarkEnd w:id="12"/>
      <w:bookmarkEnd w:id="13"/>
    </w:p>
    <w:p w14:paraId="6EC37B04">
      <w:pPr>
        <w:pStyle w:val="67"/>
        <w:pageBreakBefore w:val="0"/>
        <w:kinsoku/>
        <w:overflowPunct/>
        <w:bidi w:val="0"/>
        <w:ind w:left="0" w:leftChars="0" w:firstLine="0" w:firstLineChars="0"/>
        <w:jc w:val="center"/>
        <w:rPr>
          <w:rFonts w:ascii="宋体" w:hAnsi="宋体" w:eastAsia="宋体"/>
          <w:b/>
          <w:bCs/>
          <w:color w:val="auto"/>
          <w:highlight w:val="none"/>
        </w:rPr>
      </w:pPr>
      <w:bookmarkStart w:id="14" w:name="_Toc466298090"/>
      <w:bookmarkStart w:id="15" w:name="_Toc22294"/>
      <w:bookmarkStart w:id="16" w:name="_Toc455080107"/>
      <w:bookmarkStart w:id="17" w:name="_Toc471"/>
      <w:bookmarkStart w:id="18" w:name="_Toc152045528"/>
      <w:bookmarkStart w:id="19" w:name="_Toc27072"/>
      <w:bookmarkStart w:id="20" w:name="_Toc152042304"/>
      <w:bookmarkStart w:id="21" w:name="_Toc144974496"/>
      <w:r>
        <w:rPr>
          <w:rFonts w:hint="eastAsia" w:ascii="宋体" w:hAnsi="宋体" w:eastAsia="宋体"/>
          <w:b/>
          <w:bCs/>
          <w:color w:val="auto"/>
          <w:highlight w:val="none"/>
        </w:rPr>
        <w:t>供应商须知前附表</w:t>
      </w:r>
      <w:bookmarkEnd w:id="14"/>
      <w:bookmarkEnd w:id="15"/>
      <w:bookmarkEnd w:id="16"/>
      <w:bookmarkEnd w:id="17"/>
      <w:bookmarkEnd w:id="18"/>
      <w:bookmarkEnd w:id="19"/>
      <w:bookmarkEnd w:id="20"/>
      <w:bookmarkEnd w:id="21"/>
    </w:p>
    <w:tbl>
      <w:tblPr>
        <w:tblStyle w:val="30"/>
        <w:tblW w:w="8899" w:type="dxa"/>
        <w:tblInd w:w="108" w:type="dxa"/>
        <w:tblLayout w:type="fixed"/>
        <w:tblCellMar>
          <w:top w:w="0" w:type="dxa"/>
          <w:left w:w="108" w:type="dxa"/>
          <w:bottom w:w="0" w:type="dxa"/>
          <w:right w:w="108" w:type="dxa"/>
        </w:tblCellMar>
      </w:tblPr>
      <w:tblGrid>
        <w:gridCol w:w="1087"/>
        <w:gridCol w:w="2262"/>
        <w:gridCol w:w="5550"/>
      </w:tblGrid>
      <w:tr w14:paraId="6F257D21">
        <w:tblPrEx>
          <w:tblCellMar>
            <w:top w:w="0" w:type="dxa"/>
            <w:left w:w="108" w:type="dxa"/>
            <w:bottom w:w="0" w:type="dxa"/>
            <w:right w:w="108" w:type="dxa"/>
          </w:tblCellMar>
        </w:tblPrEx>
        <w:trPr>
          <w:trHeight w:val="496"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2EAA444F">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条款号</w:t>
            </w:r>
          </w:p>
        </w:tc>
        <w:tc>
          <w:tcPr>
            <w:tcW w:w="2262" w:type="dxa"/>
            <w:tcBorders>
              <w:top w:val="single" w:color="auto" w:sz="4" w:space="0"/>
              <w:left w:val="single" w:color="auto" w:sz="4" w:space="0"/>
              <w:bottom w:val="single" w:color="auto" w:sz="4" w:space="0"/>
              <w:right w:val="single" w:color="auto" w:sz="4" w:space="0"/>
            </w:tcBorders>
            <w:noWrap/>
            <w:vAlign w:val="center"/>
          </w:tcPr>
          <w:p w14:paraId="61675271">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条款名称</w:t>
            </w:r>
          </w:p>
        </w:tc>
        <w:tc>
          <w:tcPr>
            <w:tcW w:w="5550" w:type="dxa"/>
            <w:tcBorders>
              <w:top w:val="single" w:color="auto" w:sz="4" w:space="0"/>
              <w:left w:val="single" w:color="auto" w:sz="4" w:space="0"/>
              <w:bottom w:val="single" w:color="auto" w:sz="4" w:space="0"/>
              <w:right w:val="single" w:color="auto" w:sz="4" w:space="0"/>
            </w:tcBorders>
            <w:noWrap/>
            <w:vAlign w:val="center"/>
          </w:tcPr>
          <w:p w14:paraId="75E218BF">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编  列  内  容</w:t>
            </w:r>
          </w:p>
        </w:tc>
      </w:tr>
      <w:tr w14:paraId="0FBDF549">
        <w:tblPrEx>
          <w:tblCellMar>
            <w:top w:w="0" w:type="dxa"/>
            <w:left w:w="108" w:type="dxa"/>
            <w:bottom w:w="0" w:type="dxa"/>
            <w:right w:w="108" w:type="dxa"/>
          </w:tblCellMar>
        </w:tblPrEx>
        <w:trPr>
          <w:trHeight w:val="1890"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4A8E71E8">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1.2.1</w:t>
            </w:r>
          </w:p>
        </w:tc>
        <w:tc>
          <w:tcPr>
            <w:tcW w:w="2262" w:type="dxa"/>
            <w:tcBorders>
              <w:top w:val="single" w:color="auto" w:sz="4" w:space="0"/>
              <w:left w:val="single" w:color="auto" w:sz="4" w:space="0"/>
              <w:bottom w:val="single" w:color="auto" w:sz="4" w:space="0"/>
              <w:right w:val="single" w:color="auto" w:sz="4" w:space="0"/>
            </w:tcBorders>
            <w:noWrap/>
            <w:vAlign w:val="center"/>
          </w:tcPr>
          <w:p w14:paraId="0F0502E8">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采购人</w:t>
            </w:r>
          </w:p>
        </w:tc>
        <w:tc>
          <w:tcPr>
            <w:tcW w:w="5550" w:type="dxa"/>
            <w:tcBorders>
              <w:top w:val="single" w:color="auto" w:sz="4" w:space="0"/>
              <w:left w:val="single" w:color="auto" w:sz="4" w:space="0"/>
              <w:bottom w:val="single" w:color="auto" w:sz="4" w:space="0"/>
              <w:right w:val="single" w:color="auto" w:sz="4" w:space="0"/>
            </w:tcBorders>
            <w:noWrap/>
            <w:vAlign w:val="center"/>
          </w:tcPr>
          <w:p w14:paraId="1E9A4961">
            <w:pPr>
              <w:pageBreakBefore w:val="0"/>
              <w:kinsoku/>
              <w:overflowPunct/>
              <w:bidi w:val="0"/>
              <w:spacing w:line="400" w:lineRule="exact"/>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信阳市浉河区文化广电和旅游局</w:t>
            </w:r>
          </w:p>
          <w:p w14:paraId="5ACD0A61">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bCs/>
                <w:color w:val="auto"/>
                <w:kern w:val="0"/>
                <w:highlight w:val="none"/>
              </w:rPr>
              <w:t>信阳市</w:t>
            </w:r>
            <w:r>
              <w:rPr>
                <w:rFonts w:hint="eastAsia" w:ascii="宋体" w:hAnsi="宋体" w:eastAsia="宋体" w:cs="宋体"/>
                <w:bCs/>
                <w:color w:val="auto"/>
                <w:kern w:val="0"/>
                <w:highlight w:val="none"/>
                <w:lang w:eastAsia="zh-CN"/>
              </w:rPr>
              <w:t>浉河区天伦广场茶韵路</w:t>
            </w:r>
            <w:r>
              <w:rPr>
                <w:rFonts w:hint="eastAsia" w:ascii="宋体" w:hAnsi="宋体" w:eastAsia="宋体" w:cs="宋体"/>
                <w:bCs/>
                <w:color w:val="auto"/>
                <w:kern w:val="0"/>
                <w:highlight w:val="none"/>
                <w:lang w:val="en-US" w:eastAsia="zh-CN"/>
              </w:rPr>
              <w:t>107号</w:t>
            </w:r>
          </w:p>
          <w:p w14:paraId="5A0D5BCE">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李牧纯</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p>
          <w:p w14:paraId="38A44725">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val="en-US" w:eastAsia="zh-CN"/>
              </w:rPr>
              <w:t>18637636859</w:t>
            </w:r>
          </w:p>
        </w:tc>
      </w:tr>
      <w:tr w14:paraId="5499A007">
        <w:tblPrEx>
          <w:tblCellMar>
            <w:top w:w="0" w:type="dxa"/>
            <w:left w:w="108" w:type="dxa"/>
            <w:bottom w:w="0" w:type="dxa"/>
            <w:right w:w="108" w:type="dxa"/>
          </w:tblCellMar>
        </w:tblPrEx>
        <w:trPr>
          <w:trHeight w:val="1930"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1E757ED3">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1.2.2</w:t>
            </w:r>
          </w:p>
        </w:tc>
        <w:tc>
          <w:tcPr>
            <w:tcW w:w="2262" w:type="dxa"/>
            <w:tcBorders>
              <w:top w:val="single" w:color="auto" w:sz="4" w:space="0"/>
              <w:left w:val="single" w:color="auto" w:sz="4" w:space="0"/>
              <w:bottom w:val="single" w:color="auto" w:sz="4" w:space="0"/>
              <w:right w:val="single" w:color="auto" w:sz="4" w:space="0"/>
            </w:tcBorders>
            <w:noWrap/>
            <w:vAlign w:val="center"/>
          </w:tcPr>
          <w:p w14:paraId="449BEC6C">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采购代理机构</w:t>
            </w:r>
          </w:p>
        </w:tc>
        <w:tc>
          <w:tcPr>
            <w:tcW w:w="5550" w:type="dxa"/>
            <w:tcBorders>
              <w:top w:val="single" w:color="auto" w:sz="4" w:space="0"/>
              <w:left w:val="single" w:color="auto" w:sz="4" w:space="0"/>
              <w:bottom w:val="single" w:color="auto" w:sz="4" w:space="0"/>
              <w:right w:val="single" w:color="auto" w:sz="4" w:space="0"/>
            </w:tcBorders>
            <w:noWrap/>
            <w:vAlign w:val="center"/>
          </w:tcPr>
          <w:p w14:paraId="4C452BD0">
            <w:pPr>
              <w:pageBreakBefore w:val="0"/>
              <w:kinsoku/>
              <w:overflowPunct/>
              <w:bidi w:val="0"/>
              <w:spacing w:line="400" w:lineRule="exact"/>
              <w:ind w:firstLine="0" w:firstLineChars="0"/>
              <w:rPr>
                <w:rFonts w:ascii="宋体" w:hAnsi="宋体" w:eastAsia="宋体" w:cs="宋体"/>
                <w:color w:val="auto"/>
                <w:szCs w:val="21"/>
                <w:highlight w:val="none"/>
              </w:rPr>
            </w:pPr>
            <w:r>
              <w:rPr>
                <w:rFonts w:ascii="宋体" w:hAnsi="宋体" w:eastAsia="宋体" w:cs="宋体"/>
                <w:color w:val="auto"/>
                <w:szCs w:val="21"/>
                <w:highlight w:val="none"/>
              </w:rPr>
              <w:t>名 称：中金泰富工程管理有限公司</w:t>
            </w:r>
          </w:p>
          <w:p w14:paraId="4593E8B0">
            <w:pPr>
              <w:pageBreakBefore w:val="0"/>
              <w:kinsoku/>
              <w:overflowPunct/>
              <w:bidi w:val="0"/>
              <w:spacing w:line="400" w:lineRule="exact"/>
              <w:ind w:firstLine="0" w:firstLineChars="0"/>
              <w:rPr>
                <w:rFonts w:ascii="宋体" w:hAnsi="宋体" w:eastAsia="宋体" w:cs="宋体"/>
                <w:color w:val="auto"/>
                <w:szCs w:val="21"/>
                <w:highlight w:val="none"/>
              </w:rPr>
            </w:pPr>
            <w:r>
              <w:rPr>
                <w:rFonts w:ascii="宋体" w:hAnsi="宋体" w:eastAsia="宋体" w:cs="宋体"/>
                <w:color w:val="auto"/>
                <w:szCs w:val="21"/>
                <w:highlight w:val="none"/>
              </w:rPr>
              <w:t>地　址：郑州市经七路15号中亨大厦7楼</w:t>
            </w:r>
          </w:p>
          <w:p w14:paraId="5E9BD65E">
            <w:pPr>
              <w:pageBreakBefore w:val="0"/>
              <w:kinsoku/>
              <w:overflowPunct/>
              <w:bidi w:val="0"/>
              <w:spacing w:line="400" w:lineRule="exact"/>
              <w:ind w:firstLine="0" w:firstLineChars="0"/>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联系人：吴</w:t>
            </w:r>
            <w:r>
              <w:rPr>
                <w:rFonts w:hint="eastAsia" w:ascii="宋体" w:hAnsi="宋体" w:eastAsia="宋体" w:cs="宋体"/>
                <w:color w:val="auto"/>
                <w:szCs w:val="21"/>
                <w:highlight w:val="none"/>
                <w:lang w:eastAsia="zh-CN"/>
              </w:rPr>
              <w:t>伟丽</w:t>
            </w:r>
          </w:p>
          <w:p w14:paraId="5052A7DE">
            <w:pPr>
              <w:pageBreakBefore w:val="0"/>
              <w:kinsoku/>
              <w:overflowPunct/>
              <w:bidi w:val="0"/>
              <w:spacing w:line="400" w:lineRule="exact"/>
              <w:ind w:firstLine="0" w:firstLineChars="0"/>
              <w:rPr>
                <w:rFonts w:ascii="宋体" w:hAnsi="宋体" w:eastAsia="宋体" w:cs="宋体"/>
                <w:color w:val="auto"/>
                <w:szCs w:val="21"/>
                <w:highlight w:val="none"/>
              </w:rPr>
            </w:pPr>
            <w:r>
              <w:rPr>
                <w:rFonts w:ascii="宋体" w:hAnsi="宋体" w:eastAsia="宋体" w:cs="宋体"/>
                <w:color w:val="auto"/>
                <w:szCs w:val="21"/>
                <w:highlight w:val="none"/>
              </w:rPr>
              <w:t>联系方式：18530056373</w:t>
            </w:r>
          </w:p>
        </w:tc>
      </w:tr>
      <w:tr w14:paraId="06795575">
        <w:tblPrEx>
          <w:tblCellMar>
            <w:top w:w="0" w:type="dxa"/>
            <w:left w:w="108" w:type="dxa"/>
            <w:bottom w:w="0" w:type="dxa"/>
            <w:right w:w="108" w:type="dxa"/>
          </w:tblCellMar>
        </w:tblPrEx>
        <w:trPr>
          <w:trHeight w:val="1210"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3C3924E0">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1.2.3</w:t>
            </w:r>
          </w:p>
        </w:tc>
        <w:tc>
          <w:tcPr>
            <w:tcW w:w="2262" w:type="dxa"/>
            <w:tcBorders>
              <w:top w:val="single" w:color="auto" w:sz="4" w:space="0"/>
              <w:left w:val="single" w:color="auto" w:sz="4" w:space="0"/>
              <w:bottom w:val="single" w:color="auto" w:sz="4" w:space="0"/>
              <w:right w:val="single" w:color="auto" w:sz="4" w:space="0"/>
            </w:tcBorders>
            <w:noWrap/>
            <w:vAlign w:val="center"/>
          </w:tcPr>
          <w:p w14:paraId="44B82569">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项目名称</w:t>
            </w:r>
          </w:p>
        </w:tc>
        <w:tc>
          <w:tcPr>
            <w:tcW w:w="5550" w:type="dxa"/>
            <w:tcBorders>
              <w:top w:val="single" w:color="auto" w:sz="4" w:space="0"/>
              <w:left w:val="single" w:color="auto" w:sz="4" w:space="0"/>
              <w:bottom w:val="single" w:color="auto" w:sz="4" w:space="0"/>
              <w:right w:val="single" w:color="auto" w:sz="4" w:space="0"/>
            </w:tcBorders>
            <w:noWrap/>
            <w:vAlign w:val="center"/>
          </w:tcPr>
          <w:p w14:paraId="66DA4ABB">
            <w:pPr>
              <w:pageBreakBefore w:val="0"/>
              <w:kinsoku/>
              <w:overflowPunct/>
              <w:bidi w:val="0"/>
              <w:spacing w:line="400" w:lineRule="exact"/>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信阳市浉河区文化广电和旅游局甘以敬故居修缮保护设计方案项目</w:t>
            </w:r>
          </w:p>
        </w:tc>
      </w:tr>
      <w:tr w14:paraId="1DA2196F">
        <w:tblPrEx>
          <w:tblCellMar>
            <w:top w:w="0" w:type="dxa"/>
            <w:left w:w="108" w:type="dxa"/>
            <w:bottom w:w="0" w:type="dxa"/>
            <w:right w:w="108" w:type="dxa"/>
          </w:tblCellMar>
        </w:tblPrEx>
        <w:trPr>
          <w:trHeight w:val="865"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3E0B169E">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highlight w:val="none"/>
              </w:rPr>
            </w:pPr>
            <w:r>
              <w:rPr>
                <w:rFonts w:hint="eastAsia" w:ascii="宋体" w:hAnsi="宋体" w:cs="宋体"/>
                <w:color w:val="auto"/>
                <w:szCs w:val="21"/>
                <w:highlight w:val="none"/>
              </w:rPr>
              <w:t>1.2.4</w:t>
            </w:r>
          </w:p>
        </w:tc>
        <w:tc>
          <w:tcPr>
            <w:tcW w:w="2262" w:type="dxa"/>
            <w:tcBorders>
              <w:top w:val="single" w:color="auto" w:sz="4" w:space="0"/>
              <w:left w:val="single" w:color="auto" w:sz="4" w:space="0"/>
              <w:bottom w:val="single" w:color="auto" w:sz="4" w:space="0"/>
              <w:right w:val="single" w:color="auto" w:sz="4" w:space="0"/>
            </w:tcBorders>
            <w:noWrap/>
            <w:vAlign w:val="center"/>
          </w:tcPr>
          <w:p w14:paraId="038CA6CB">
            <w:pPr>
              <w:pageBreakBefore w:val="0"/>
              <w:kinsoku/>
              <w:overflowPunct/>
              <w:autoSpaceDE w:val="0"/>
              <w:autoSpaceDN w:val="0"/>
              <w:bidi w:val="0"/>
              <w:adjustRightInd w:val="0"/>
              <w:spacing w:line="400" w:lineRule="exact"/>
              <w:ind w:right="35" w:firstLine="0" w:firstLineChars="0"/>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采购方式</w:t>
            </w:r>
          </w:p>
        </w:tc>
        <w:tc>
          <w:tcPr>
            <w:tcW w:w="5550" w:type="dxa"/>
            <w:tcBorders>
              <w:top w:val="single" w:color="auto" w:sz="4" w:space="0"/>
              <w:left w:val="single" w:color="auto" w:sz="4" w:space="0"/>
              <w:bottom w:val="single" w:color="auto" w:sz="4" w:space="0"/>
              <w:right w:val="single" w:color="auto" w:sz="4" w:space="0"/>
            </w:tcBorders>
            <w:noWrap/>
            <w:vAlign w:val="center"/>
          </w:tcPr>
          <w:p w14:paraId="7E93B286">
            <w:pPr>
              <w:pageBreakBefore w:val="0"/>
              <w:kinsoku/>
              <w:overflowPunct/>
              <w:autoSpaceDE w:val="0"/>
              <w:autoSpaceDN w:val="0"/>
              <w:bidi w:val="0"/>
              <w:adjustRightInd w:val="0"/>
              <w:spacing w:line="400" w:lineRule="exact"/>
              <w:ind w:firstLine="0" w:firstLineChars="0"/>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竞争性磋商</w:t>
            </w:r>
          </w:p>
        </w:tc>
      </w:tr>
      <w:tr w14:paraId="159337FB">
        <w:tblPrEx>
          <w:tblCellMar>
            <w:top w:w="0" w:type="dxa"/>
            <w:left w:w="108" w:type="dxa"/>
            <w:bottom w:w="0" w:type="dxa"/>
            <w:right w:w="108" w:type="dxa"/>
          </w:tblCellMar>
        </w:tblPrEx>
        <w:trPr>
          <w:trHeight w:val="1144"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3DBE2A93">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highlight w:val="none"/>
              </w:rPr>
            </w:pPr>
            <w:r>
              <w:rPr>
                <w:rFonts w:hint="eastAsia" w:ascii="宋体" w:hAnsi="宋体" w:cs="宋体"/>
                <w:color w:val="auto"/>
                <w:szCs w:val="21"/>
                <w:highlight w:val="none"/>
              </w:rPr>
              <w:t>1.2.5</w:t>
            </w:r>
          </w:p>
        </w:tc>
        <w:tc>
          <w:tcPr>
            <w:tcW w:w="2262" w:type="dxa"/>
            <w:tcBorders>
              <w:top w:val="single" w:color="auto" w:sz="4" w:space="0"/>
              <w:left w:val="single" w:color="auto" w:sz="4" w:space="0"/>
              <w:bottom w:val="single" w:color="auto" w:sz="4" w:space="0"/>
              <w:right w:val="single" w:color="auto" w:sz="4" w:space="0"/>
            </w:tcBorders>
            <w:noWrap/>
            <w:vAlign w:val="center"/>
          </w:tcPr>
          <w:p w14:paraId="56474512">
            <w:pPr>
              <w:pageBreakBefore w:val="0"/>
              <w:kinsoku/>
              <w:overflowPunct/>
              <w:autoSpaceDE w:val="0"/>
              <w:autoSpaceDN w:val="0"/>
              <w:bidi w:val="0"/>
              <w:adjustRightInd w:val="0"/>
              <w:spacing w:line="400" w:lineRule="exact"/>
              <w:ind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预算价（</w:t>
            </w:r>
            <w:r>
              <w:rPr>
                <w:rFonts w:hint="eastAsia" w:ascii="宋体" w:hAnsi="宋体" w:eastAsia="宋体" w:cs="宋体"/>
                <w:color w:val="auto"/>
                <w:szCs w:val="21"/>
                <w:highlight w:val="none"/>
              </w:rPr>
              <w:t>最高限价</w:t>
            </w:r>
            <w:r>
              <w:rPr>
                <w:rFonts w:hint="eastAsia" w:ascii="宋体" w:hAnsi="宋体" w:eastAsia="宋体" w:cs="宋体"/>
                <w:color w:val="auto"/>
                <w:kern w:val="0"/>
                <w:szCs w:val="21"/>
                <w:highlight w:val="none"/>
              </w:rPr>
              <w:t>）</w:t>
            </w:r>
          </w:p>
        </w:tc>
        <w:tc>
          <w:tcPr>
            <w:tcW w:w="5550" w:type="dxa"/>
            <w:tcBorders>
              <w:top w:val="single" w:color="auto" w:sz="4" w:space="0"/>
              <w:left w:val="single" w:color="auto" w:sz="4" w:space="0"/>
              <w:bottom w:val="single" w:color="auto" w:sz="4" w:space="0"/>
              <w:right w:val="single" w:color="auto" w:sz="4" w:space="0"/>
            </w:tcBorders>
            <w:noWrap/>
            <w:vAlign w:val="center"/>
          </w:tcPr>
          <w:p w14:paraId="2308DD90">
            <w:pPr>
              <w:pageBreakBefore w:val="0"/>
              <w:kinsoku/>
              <w:overflowPunct/>
              <w:bidi w:val="0"/>
              <w:spacing w:line="400" w:lineRule="exact"/>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预算价（最高限价）：</w:t>
            </w:r>
            <w:r>
              <w:rPr>
                <w:rFonts w:hint="eastAsia" w:ascii="宋体" w:hAnsi="宋体" w:eastAsia="宋体" w:cs="宋体"/>
                <w:color w:val="auto"/>
                <w:kern w:val="0"/>
                <w:szCs w:val="21"/>
                <w:highlight w:val="none"/>
                <w:lang w:eastAsia="zh-CN"/>
              </w:rPr>
              <w:t>680000.00</w:t>
            </w:r>
            <w:r>
              <w:rPr>
                <w:rFonts w:hint="eastAsia" w:ascii="宋体" w:hAnsi="宋体" w:eastAsia="宋体" w:cs="宋体"/>
                <w:color w:val="auto"/>
                <w:kern w:val="0"/>
                <w:szCs w:val="21"/>
                <w:highlight w:val="none"/>
              </w:rPr>
              <w:t>元</w:t>
            </w:r>
          </w:p>
          <w:p w14:paraId="19CF9286">
            <w:pPr>
              <w:pStyle w:val="57"/>
              <w:pageBreakBefore w:val="0"/>
              <w:kinsoku/>
              <w:overflowPunct/>
              <w:bidi w:val="0"/>
              <w:spacing w:line="400" w:lineRule="exact"/>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第一次报价超过预算价（最高限价）按无效投标处理。</w:t>
            </w:r>
          </w:p>
        </w:tc>
      </w:tr>
      <w:tr w14:paraId="42E0713C">
        <w:tblPrEx>
          <w:tblCellMar>
            <w:top w:w="0" w:type="dxa"/>
            <w:left w:w="108" w:type="dxa"/>
            <w:bottom w:w="0" w:type="dxa"/>
            <w:right w:w="108" w:type="dxa"/>
          </w:tblCellMar>
        </w:tblPrEx>
        <w:trPr>
          <w:trHeight w:val="858"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53991F7B">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1.4.1</w:t>
            </w:r>
          </w:p>
        </w:tc>
        <w:tc>
          <w:tcPr>
            <w:tcW w:w="2262" w:type="dxa"/>
            <w:tcBorders>
              <w:top w:val="single" w:color="auto" w:sz="4" w:space="0"/>
              <w:left w:val="single" w:color="auto" w:sz="4" w:space="0"/>
              <w:bottom w:val="single" w:color="auto" w:sz="4" w:space="0"/>
              <w:right w:val="single" w:color="auto" w:sz="4" w:space="0"/>
            </w:tcBorders>
            <w:noWrap/>
            <w:vAlign w:val="center"/>
          </w:tcPr>
          <w:p w14:paraId="3CF18F76">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highlight w:val="none"/>
              </w:rPr>
            </w:pPr>
            <w:r>
              <w:rPr>
                <w:rFonts w:hint="eastAsia" w:ascii="宋体" w:hAnsi="宋体" w:cs="宋体"/>
                <w:color w:val="auto"/>
                <w:szCs w:val="21"/>
                <w:highlight w:val="none"/>
              </w:rPr>
              <w:t>磋商内容</w:t>
            </w:r>
          </w:p>
        </w:tc>
        <w:tc>
          <w:tcPr>
            <w:tcW w:w="5550" w:type="dxa"/>
            <w:tcBorders>
              <w:top w:val="single" w:color="auto" w:sz="4" w:space="0"/>
              <w:left w:val="single" w:color="auto" w:sz="4" w:space="0"/>
              <w:bottom w:val="single" w:color="auto" w:sz="4" w:space="0"/>
              <w:right w:val="single" w:color="auto" w:sz="4" w:space="0"/>
            </w:tcBorders>
            <w:noWrap/>
            <w:vAlign w:val="center"/>
          </w:tcPr>
          <w:p w14:paraId="01E88D81">
            <w:pPr>
              <w:pageBreakBefore w:val="0"/>
              <w:kinsoku/>
              <w:overflowPunct/>
              <w:bidi w:val="0"/>
              <w:spacing w:line="400" w:lineRule="exact"/>
              <w:ind w:firstLine="0" w:firstLineChars="0"/>
              <w:rPr>
                <w:rFonts w:ascii="宋体" w:hAnsi="宋体" w:cs="宋体"/>
                <w:color w:val="auto"/>
                <w:szCs w:val="21"/>
                <w:highlight w:val="none"/>
              </w:rPr>
            </w:pPr>
            <w:r>
              <w:rPr>
                <w:rFonts w:hint="eastAsia" w:ascii="宋体" w:hAnsi="宋体" w:eastAsia="宋体" w:cs="宋体"/>
                <w:bCs/>
                <w:color w:val="auto"/>
                <w:kern w:val="0"/>
                <w:sz w:val="21"/>
                <w:szCs w:val="21"/>
                <w:highlight w:val="none"/>
                <w:lang w:val="en-US" w:eastAsia="zh-CN" w:bidi="ar-SA"/>
              </w:rPr>
              <w:t>对甘以敬故居进行修缮保护设计</w:t>
            </w:r>
            <w:r>
              <w:rPr>
                <w:rFonts w:hint="eastAsia" w:eastAsia="宋体" w:cs="宋体"/>
                <w:bCs/>
                <w:color w:val="auto"/>
                <w:kern w:val="0"/>
                <w:sz w:val="21"/>
                <w:szCs w:val="21"/>
                <w:highlight w:val="none"/>
                <w:lang w:val="en-US" w:eastAsia="zh-CN" w:bidi="ar-SA"/>
              </w:rPr>
              <w:t>，</w:t>
            </w:r>
            <w:r>
              <w:rPr>
                <w:rFonts w:hint="eastAsia" w:ascii="宋体" w:hAnsi="宋体" w:eastAsia="宋体" w:cs="宋体"/>
                <w:bCs/>
                <w:color w:val="auto"/>
                <w:kern w:val="0"/>
                <w:sz w:val="21"/>
                <w:szCs w:val="21"/>
                <w:highlight w:val="none"/>
                <w:lang w:val="en-US" w:eastAsia="zh-CN" w:bidi="ar-SA"/>
              </w:rPr>
              <w:t>项目地点位于河南省信阳市浉河区柳林乡甘冲村</w:t>
            </w:r>
          </w:p>
        </w:tc>
      </w:tr>
      <w:tr w14:paraId="4646BBBF">
        <w:tblPrEx>
          <w:tblCellMar>
            <w:top w:w="0" w:type="dxa"/>
            <w:left w:w="108" w:type="dxa"/>
            <w:bottom w:w="0" w:type="dxa"/>
            <w:right w:w="108" w:type="dxa"/>
          </w:tblCellMar>
        </w:tblPrEx>
        <w:trPr>
          <w:trHeight w:val="994"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49DEC9BA">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1.4.2</w:t>
            </w:r>
          </w:p>
        </w:tc>
        <w:tc>
          <w:tcPr>
            <w:tcW w:w="2262" w:type="dxa"/>
            <w:tcBorders>
              <w:top w:val="single" w:color="auto" w:sz="4" w:space="0"/>
              <w:left w:val="single" w:color="auto" w:sz="4" w:space="0"/>
              <w:bottom w:val="single" w:color="auto" w:sz="4" w:space="0"/>
              <w:right w:val="single" w:color="auto" w:sz="4" w:space="0"/>
            </w:tcBorders>
            <w:noWrap/>
            <w:vAlign w:val="center"/>
          </w:tcPr>
          <w:p w14:paraId="212833F1">
            <w:pPr>
              <w:pageBreakBefore w:val="0"/>
              <w:kinsoku/>
              <w:overflowPunct/>
              <w:bidi w:val="0"/>
              <w:spacing w:line="400" w:lineRule="exact"/>
              <w:ind w:firstLine="0" w:firstLineChars="0"/>
              <w:jc w:val="center"/>
              <w:rPr>
                <w:rFonts w:ascii="宋体" w:hAnsi="宋体" w:eastAsia="宋体"/>
                <w:color w:val="auto"/>
                <w:szCs w:val="21"/>
                <w:highlight w:val="none"/>
              </w:rPr>
            </w:pPr>
            <w:r>
              <w:rPr>
                <w:rFonts w:hint="eastAsia" w:ascii="宋体" w:hAnsi="宋体"/>
                <w:color w:val="auto"/>
                <w:szCs w:val="21"/>
                <w:highlight w:val="none"/>
              </w:rPr>
              <w:t>服务期限</w:t>
            </w:r>
          </w:p>
        </w:tc>
        <w:tc>
          <w:tcPr>
            <w:tcW w:w="5550" w:type="dxa"/>
            <w:tcBorders>
              <w:top w:val="single" w:color="auto" w:sz="4" w:space="0"/>
              <w:left w:val="single" w:color="auto" w:sz="4" w:space="0"/>
              <w:bottom w:val="single" w:color="auto" w:sz="4" w:space="0"/>
              <w:right w:val="single" w:color="auto" w:sz="4" w:space="0"/>
            </w:tcBorders>
            <w:noWrap/>
            <w:vAlign w:val="center"/>
          </w:tcPr>
          <w:p w14:paraId="4AD79235">
            <w:pPr>
              <w:pageBreakBefore w:val="0"/>
              <w:kinsoku/>
              <w:overflowPunct/>
              <w:bidi w:val="0"/>
              <w:spacing w:line="400" w:lineRule="exact"/>
              <w:ind w:firstLine="0" w:firstLineChars="0"/>
              <w:jc w:val="left"/>
              <w:rPr>
                <w:rFonts w:ascii="宋体" w:hAnsi="宋体"/>
                <w:color w:val="auto"/>
                <w:szCs w:val="21"/>
                <w:highlight w:val="none"/>
              </w:rPr>
            </w:pPr>
            <w:r>
              <w:rPr>
                <w:rFonts w:hint="eastAsia" w:ascii="宋体" w:hAnsi="宋体" w:cs="宋体"/>
                <w:color w:val="auto"/>
                <w:szCs w:val="21"/>
                <w:highlight w:val="none"/>
                <w:lang w:val="en-US" w:eastAsia="zh-CN"/>
              </w:rPr>
              <w:t>自合同签订之日起，按照上级要求时限完成。</w:t>
            </w:r>
          </w:p>
        </w:tc>
      </w:tr>
      <w:tr w14:paraId="16C40174">
        <w:tblPrEx>
          <w:tblCellMar>
            <w:top w:w="0" w:type="dxa"/>
            <w:left w:w="108" w:type="dxa"/>
            <w:bottom w:w="0" w:type="dxa"/>
            <w:right w:w="108" w:type="dxa"/>
          </w:tblCellMar>
        </w:tblPrEx>
        <w:trPr>
          <w:trHeight w:val="821"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0DE8D3B4">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highlight w:val="none"/>
              </w:rPr>
            </w:pPr>
            <w:r>
              <w:rPr>
                <w:rFonts w:hint="eastAsia" w:ascii="宋体" w:hAnsi="宋体" w:cs="宋体"/>
                <w:color w:val="auto"/>
                <w:szCs w:val="21"/>
                <w:highlight w:val="none"/>
              </w:rPr>
              <w:t>1.4.4</w:t>
            </w:r>
          </w:p>
        </w:tc>
        <w:tc>
          <w:tcPr>
            <w:tcW w:w="2262" w:type="dxa"/>
            <w:tcBorders>
              <w:top w:val="single" w:color="auto" w:sz="4" w:space="0"/>
              <w:left w:val="single" w:color="auto" w:sz="4" w:space="0"/>
              <w:bottom w:val="single" w:color="auto" w:sz="4" w:space="0"/>
              <w:right w:val="single" w:color="auto" w:sz="4" w:space="0"/>
            </w:tcBorders>
            <w:noWrap/>
            <w:vAlign w:val="center"/>
          </w:tcPr>
          <w:p w14:paraId="566796C4">
            <w:pPr>
              <w:pageBreakBefore w:val="0"/>
              <w:kinsoku/>
              <w:overflowPunct/>
              <w:bidi w:val="0"/>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质量要求</w:t>
            </w:r>
          </w:p>
        </w:tc>
        <w:tc>
          <w:tcPr>
            <w:tcW w:w="5550" w:type="dxa"/>
            <w:tcBorders>
              <w:top w:val="single" w:color="auto" w:sz="4" w:space="0"/>
              <w:left w:val="single" w:color="auto" w:sz="4" w:space="0"/>
              <w:bottom w:val="single" w:color="auto" w:sz="4" w:space="0"/>
              <w:right w:val="single" w:color="auto" w:sz="4" w:space="0"/>
            </w:tcBorders>
            <w:noWrap/>
            <w:vAlign w:val="center"/>
          </w:tcPr>
          <w:p w14:paraId="3718123E">
            <w:pPr>
              <w:pageBreakBefore w:val="0"/>
              <w:kinsoku/>
              <w:overflowPunct/>
              <w:bidi w:val="0"/>
              <w:spacing w:line="400" w:lineRule="exact"/>
              <w:ind w:firstLine="0" w:firstLineChars="0"/>
              <w:jc w:val="left"/>
              <w:rPr>
                <w:rFonts w:ascii="宋体" w:hAnsi="宋体"/>
                <w:color w:val="auto"/>
                <w:szCs w:val="21"/>
                <w:highlight w:val="none"/>
              </w:rPr>
            </w:pPr>
            <w:r>
              <w:rPr>
                <w:rFonts w:hint="eastAsia" w:ascii="宋体" w:hAnsi="宋体" w:cs="宋体"/>
                <w:color w:val="auto"/>
                <w:szCs w:val="21"/>
                <w:highlight w:val="none"/>
                <w:lang w:eastAsia="zh-CN"/>
              </w:rPr>
              <w:t>满足国家、省、市相关技术要求</w:t>
            </w:r>
            <w:r>
              <w:rPr>
                <w:rFonts w:hint="eastAsia" w:ascii="宋体" w:hAnsi="宋体" w:cs="宋体"/>
                <w:color w:val="auto"/>
                <w:szCs w:val="21"/>
                <w:highlight w:val="none"/>
              </w:rPr>
              <w:t>；</w:t>
            </w:r>
          </w:p>
        </w:tc>
      </w:tr>
      <w:tr w14:paraId="3E54C894">
        <w:tblPrEx>
          <w:tblCellMar>
            <w:top w:w="0" w:type="dxa"/>
            <w:left w:w="108" w:type="dxa"/>
            <w:bottom w:w="0" w:type="dxa"/>
            <w:right w:w="108" w:type="dxa"/>
          </w:tblCellMar>
        </w:tblPrEx>
        <w:trPr>
          <w:trHeight w:val="1288"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6D622A34">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highlight w:val="none"/>
              </w:rPr>
            </w:pPr>
            <w:r>
              <w:rPr>
                <w:rFonts w:hint="eastAsia" w:ascii="宋体" w:hAnsi="宋体" w:cs="宋体"/>
                <w:color w:val="auto"/>
                <w:szCs w:val="21"/>
                <w:highlight w:val="none"/>
              </w:rPr>
              <w:t>1.4.5</w:t>
            </w:r>
          </w:p>
        </w:tc>
        <w:tc>
          <w:tcPr>
            <w:tcW w:w="2262" w:type="dxa"/>
            <w:tcBorders>
              <w:top w:val="single" w:color="auto" w:sz="4" w:space="0"/>
              <w:left w:val="single" w:color="auto" w:sz="4" w:space="0"/>
              <w:bottom w:val="single" w:color="auto" w:sz="4" w:space="0"/>
              <w:right w:val="single" w:color="auto" w:sz="4" w:space="0"/>
            </w:tcBorders>
            <w:noWrap/>
            <w:vAlign w:val="center"/>
          </w:tcPr>
          <w:p w14:paraId="25ABC254">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5550" w:type="dxa"/>
            <w:tcBorders>
              <w:top w:val="single" w:color="auto" w:sz="4" w:space="0"/>
              <w:left w:val="single" w:color="auto" w:sz="4" w:space="0"/>
              <w:bottom w:val="single" w:color="auto" w:sz="4" w:space="0"/>
              <w:right w:val="single" w:color="auto" w:sz="4" w:space="0"/>
            </w:tcBorders>
            <w:noWrap/>
            <w:vAlign w:val="center"/>
          </w:tcPr>
          <w:p w14:paraId="58A9A494">
            <w:pPr>
              <w:pageBreakBefore w:val="0"/>
              <w:kinsoku/>
              <w:overflowPunct/>
              <w:bidi w:val="0"/>
              <w:spacing w:line="400" w:lineRule="exact"/>
              <w:ind w:firstLine="0" w:firstLineChars="0"/>
              <w:rPr>
                <w:rFonts w:hint="default" w:eastAsiaTheme="minorEastAsia"/>
                <w:color w:val="auto"/>
                <w:highlight w:val="none"/>
                <w:lang w:val="en-US" w:eastAsia="zh-CN"/>
              </w:rPr>
            </w:pPr>
            <w:r>
              <w:rPr>
                <w:rFonts w:hint="eastAsia"/>
                <w:color w:val="auto"/>
                <w:highlight w:val="none"/>
                <w:lang w:val="en-US" w:eastAsia="zh-CN"/>
              </w:rPr>
              <w:t>双方自行约定</w:t>
            </w:r>
          </w:p>
        </w:tc>
      </w:tr>
      <w:tr w14:paraId="3C70B5EC">
        <w:tblPrEx>
          <w:tblCellMar>
            <w:top w:w="0" w:type="dxa"/>
            <w:left w:w="108" w:type="dxa"/>
            <w:bottom w:w="0" w:type="dxa"/>
            <w:right w:w="108" w:type="dxa"/>
          </w:tblCellMar>
        </w:tblPrEx>
        <w:trPr>
          <w:trHeight w:val="6284"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04B60BC0">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1.5.1</w:t>
            </w:r>
          </w:p>
        </w:tc>
        <w:tc>
          <w:tcPr>
            <w:tcW w:w="2262" w:type="dxa"/>
            <w:tcBorders>
              <w:top w:val="single" w:color="auto" w:sz="4" w:space="0"/>
              <w:left w:val="single" w:color="auto" w:sz="4" w:space="0"/>
              <w:bottom w:val="single" w:color="auto" w:sz="4" w:space="0"/>
              <w:right w:val="single" w:color="auto" w:sz="4" w:space="0"/>
            </w:tcBorders>
            <w:noWrap/>
            <w:vAlign w:val="center"/>
          </w:tcPr>
          <w:p w14:paraId="2CFC2999">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供应商资质条件及能力要求</w:t>
            </w:r>
          </w:p>
        </w:tc>
        <w:tc>
          <w:tcPr>
            <w:tcW w:w="5550" w:type="dxa"/>
            <w:tcBorders>
              <w:top w:val="single" w:color="auto" w:sz="4" w:space="0"/>
              <w:left w:val="single" w:color="auto" w:sz="4" w:space="0"/>
              <w:bottom w:val="single" w:color="auto" w:sz="4" w:space="0"/>
              <w:right w:val="single" w:color="auto" w:sz="4" w:space="0"/>
            </w:tcBorders>
            <w:noWrap/>
            <w:vAlign w:val="center"/>
          </w:tcPr>
          <w:p w14:paraId="5385C755">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1、满足《中华人民共和国政府采购法》第二十二条规定。</w:t>
            </w:r>
          </w:p>
          <w:p w14:paraId="3524E75E">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lang w:val="en-US" w:eastAsia="zh-CN"/>
              </w:rPr>
              <w:t>本项目专门面向中小企业采购，落实促进中小型企业发展政策（监狱企业、残疾人福利性企业视同小微企业）、强制采购节能产品、优先采购节能环保产品、优先采购国货等政府采购政策</w:t>
            </w:r>
            <w:r>
              <w:rPr>
                <w:rFonts w:hint="eastAsia" w:ascii="宋体" w:hAnsi="宋体" w:cs="宋体"/>
                <w:color w:val="auto"/>
                <w:sz w:val="21"/>
                <w:szCs w:val="21"/>
                <w:highlight w:val="none"/>
                <w:lang w:val="en-US" w:eastAsia="zh-CN"/>
              </w:rPr>
              <w:t>。</w:t>
            </w:r>
          </w:p>
          <w:p w14:paraId="1A0A1489">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3、特定资格要求</w:t>
            </w:r>
          </w:p>
          <w:p w14:paraId="51C2ED49">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3.1供应商应具有文物保护工程勘察设计乙级及以上资质，拟派设计负责人须具有文物保护工程责任设计师证书，</w:t>
            </w:r>
            <w:r>
              <w:rPr>
                <w:rFonts w:hint="eastAsia" w:ascii="宋体" w:hAnsi="宋体" w:eastAsia="宋体" w:cs="宋体"/>
                <w:color w:val="auto"/>
                <w:sz w:val="21"/>
                <w:szCs w:val="21"/>
                <w:lang w:val="en-US" w:eastAsia="en-US"/>
              </w:rPr>
              <w:t>项目负责人必须为本单位人员，提供</w:t>
            </w:r>
            <w:r>
              <w:rPr>
                <w:rFonts w:hint="eastAsia" w:ascii="宋体" w:hAnsi="宋体" w:eastAsia="宋体" w:cs="宋体"/>
                <w:color w:val="auto"/>
                <w:sz w:val="21"/>
                <w:szCs w:val="21"/>
                <w:lang w:val="en-US" w:eastAsia="zh-CN"/>
              </w:rPr>
              <w:t>2025年以来任意3</w:t>
            </w:r>
            <w:r>
              <w:rPr>
                <w:rFonts w:hint="eastAsia" w:ascii="宋体" w:hAnsi="宋体" w:eastAsia="宋体" w:cs="宋体"/>
                <w:color w:val="auto"/>
                <w:sz w:val="21"/>
                <w:szCs w:val="21"/>
                <w:lang w:val="en-US" w:eastAsia="en-US"/>
              </w:rPr>
              <w:t>个月的社保缴</w:t>
            </w:r>
            <w:r>
              <w:rPr>
                <w:rFonts w:hint="eastAsia" w:ascii="宋体" w:hAnsi="宋体" w:eastAsia="宋体" w:cs="宋体"/>
                <w:color w:val="auto"/>
                <w:sz w:val="21"/>
                <w:szCs w:val="21"/>
                <w:lang w:val="en-US" w:eastAsia="zh-CN"/>
              </w:rPr>
              <w:t>纳</w:t>
            </w:r>
            <w:r>
              <w:rPr>
                <w:rFonts w:hint="eastAsia" w:ascii="宋体" w:hAnsi="宋体" w:eastAsia="宋体" w:cs="宋体"/>
                <w:color w:val="auto"/>
                <w:sz w:val="21"/>
                <w:szCs w:val="21"/>
                <w:lang w:val="en-US" w:eastAsia="en-US"/>
              </w:rPr>
              <w:t>证明</w:t>
            </w:r>
          </w:p>
          <w:p w14:paraId="3C63A5F1">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 单位负责人为同一人或者存在直接控股、管理关系的不同单位，不得同时参加同一合同项下的政府采购活动（提供加盖投标人公章的“国家企业信用信息公示系统”中公示的公司基础信息包含股东及出资信息。查询截止时点为：从报名开始之日起至投标截止之日止。）</w:t>
            </w:r>
          </w:p>
          <w:p w14:paraId="007BF398">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 本项目 适用 信用承诺（详见下述要求）：根据财政部《关于在政府采购活动中查询及使用信用记录有关问题的通知》(财库[2016] 125 号)和豫财购[2016]15 号的规定，对列入失信被执行人、重大税收违法失信主体、政府采购严重违法失信行为记录名单的投标人，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14:paraId="3FDCE337">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14:paraId="3838683D">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①具有独立承担民事责任的能力（提供有效的企业营业执照或其他组织的证明材料）；</w:t>
            </w:r>
          </w:p>
          <w:p w14:paraId="6F057CDA">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②具有良好的商业信誉和健全的财务会计制度（提供2023或2024年度的财务审计报告，若企业成立年份不足1年，则需提供开户行出具的资信证明）；</w:t>
            </w:r>
          </w:p>
          <w:p w14:paraId="6A41CF36">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③具有履行合同所必须的设备和专业技术能力（提供承诺书）；</w:t>
            </w:r>
          </w:p>
          <w:p w14:paraId="6093FACF">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④具有依法缴纳税收和社会保障资金的良好记录【提供2025年1月以来任意3个月的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14:paraId="666AA3BA">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⑤参加政府采购活动前三年内在经营活动中没有重大违法记录的证明材料（提供承诺书）；</w:t>
            </w:r>
          </w:p>
          <w:p w14:paraId="42F8574A">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⑥未被列入失信被执行人、重大税收违法失信主体、政府采购严重违法失信行为记录名单的证明材料。</w:t>
            </w:r>
          </w:p>
          <w:p w14:paraId="734036BF">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tc>
      </w:tr>
      <w:tr w14:paraId="4F60B6E3">
        <w:tblPrEx>
          <w:tblCellMar>
            <w:top w:w="0" w:type="dxa"/>
            <w:left w:w="108" w:type="dxa"/>
            <w:bottom w:w="0" w:type="dxa"/>
            <w:right w:w="108" w:type="dxa"/>
          </w:tblCellMar>
        </w:tblPrEx>
        <w:trPr>
          <w:trHeight w:val="493"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17A6B4C1">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1.5.2</w:t>
            </w:r>
          </w:p>
        </w:tc>
        <w:tc>
          <w:tcPr>
            <w:tcW w:w="2262" w:type="dxa"/>
            <w:tcBorders>
              <w:top w:val="single" w:color="auto" w:sz="4" w:space="0"/>
              <w:left w:val="single" w:color="auto" w:sz="4" w:space="0"/>
              <w:bottom w:val="single" w:color="auto" w:sz="4" w:space="0"/>
              <w:right w:val="single" w:color="auto" w:sz="4" w:space="0"/>
            </w:tcBorders>
            <w:noWrap/>
            <w:vAlign w:val="center"/>
          </w:tcPr>
          <w:p w14:paraId="0FCBFA4C">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是否接受联合体</w:t>
            </w:r>
          </w:p>
        </w:tc>
        <w:tc>
          <w:tcPr>
            <w:tcW w:w="5550" w:type="dxa"/>
            <w:tcBorders>
              <w:top w:val="single" w:color="auto" w:sz="4" w:space="0"/>
              <w:left w:val="single" w:color="auto" w:sz="4" w:space="0"/>
              <w:bottom w:val="single" w:color="auto" w:sz="4" w:space="0"/>
              <w:right w:val="single" w:color="auto" w:sz="4" w:space="0"/>
            </w:tcBorders>
            <w:noWrap/>
            <w:vAlign w:val="center"/>
          </w:tcPr>
          <w:p w14:paraId="7866CDE8">
            <w:pPr>
              <w:pStyle w:val="12"/>
              <w:pageBreakBefore w:val="0"/>
              <w:kinsoku/>
              <w:overflowPunct/>
              <w:topLinePunct/>
              <w:bidi w:val="0"/>
              <w:adjustRightInd w:val="0"/>
              <w:spacing w:line="400" w:lineRule="exact"/>
              <w:ind w:firstLine="0" w:firstLineChars="0"/>
              <w:jc w:val="left"/>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不接受</w:t>
            </w:r>
          </w:p>
        </w:tc>
      </w:tr>
      <w:tr w14:paraId="32AC3A8C">
        <w:tblPrEx>
          <w:tblCellMar>
            <w:top w:w="0" w:type="dxa"/>
            <w:left w:w="108" w:type="dxa"/>
            <w:bottom w:w="0" w:type="dxa"/>
            <w:right w:w="108" w:type="dxa"/>
          </w:tblCellMar>
        </w:tblPrEx>
        <w:trPr>
          <w:trHeight w:val="469"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07F9E52D">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1.10</w:t>
            </w:r>
          </w:p>
        </w:tc>
        <w:tc>
          <w:tcPr>
            <w:tcW w:w="2262" w:type="dxa"/>
            <w:tcBorders>
              <w:top w:val="single" w:color="auto" w:sz="4" w:space="0"/>
              <w:left w:val="single" w:color="auto" w:sz="4" w:space="0"/>
              <w:bottom w:val="single" w:color="auto" w:sz="4" w:space="0"/>
              <w:right w:val="single" w:color="auto" w:sz="4" w:space="0"/>
            </w:tcBorders>
            <w:noWrap/>
            <w:vAlign w:val="center"/>
          </w:tcPr>
          <w:p w14:paraId="42D1BC11">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highlight w:val="none"/>
              </w:rPr>
            </w:pPr>
            <w:r>
              <w:rPr>
                <w:rFonts w:hint="eastAsia" w:ascii="宋体" w:hAnsi="宋体" w:cs="宋体"/>
                <w:color w:val="auto"/>
                <w:szCs w:val="21"/>
                <w:highlight w:val="none"/>
              </w:rPr>
              <w:t>现场踏勘</w:t>
            </w:r>
          </w:p>
        </w:tc>
        <w:tc>
          <w:tcPr>
            <w:tcW w:w="5550" w:type="dxa"/>
            <w:tcBorders>
              <w:top w:val="single" w:color="auto" w:sz="4" w:space="0"/>
              <w:left w:val="single" w:color="auto" w:sz="4" w:space="0"/>
              <w:bottom w:val="single" w:color="auto" w:sz="4" w:space="0"/>
              <w:right w:val="single" w:color="auto" w:sz="4" w:space="0"/>
            </w:tcBorders>
            <w:noWrap/>
            <w:vAlign w:val="center"/>
          </w:tcPr>
          <w:p w14:paraId="00FE8869">
            <w:pPr>
              <w:pStyle w:val="12"/>
              <w:pageBreakBefore w:val="0"/>
              <w:kinsoku/>
              <w:overflowPunct/>
              <w:topLinePunct/>
              <w:bidi w:val="0"/>
              <w:adjustRightInd w:val="0"/>
              <w:spacing w:line="400" w:lineRule="exact"/>
              <w:ind w:firstLine="0" w:firstLineChars="0"/>
              <w:jc w:val="left"/>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自行踏勘</w:t>
            </w:r>
          </w:p>
        </w:tc>
      </w:tr>
      <w:tr w14:paraId="4A10651D">
        <w:tblPrEx>
          <w:tblCellMar>
            <w:top w:w="0" w:type="dxa"/>
            <w:left w:w="108" w:type="dxa"/>
            <w:bottom w:w="0" w:type="dxa"/>
            <w:right w:w="108" w:type="dxa"/>
          </w:tblCellMar>
        </w:tblPrEx>
        <w:trPr>
          <w:trHeight w:val="469"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132DE653">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1.11</w:t>
            </w:r>
          </w:p>
        </w:tc>
        <w:tc>
          <w:tcPr>
            <w:tcW w:w="2262" w:type="dxa"/>
            <w:tcBorders>
              <w:top w:val="single" w:color="auto" w:sz="4" w:space="0"/>
              <w:left w:val="single" w:color="auto" w:sz="4" w:space="0"/>
              <w:bottom w:val="single" w:color="auto" w:sz="4" w:space="0"/>
              <w:right w:val="single" w:color="auto" w:sz="4" w:space="0"/>
            </w:tcBorders>
            <w:noWrap/>
            <w:vAlign w:val="center"/>
          </w:tcPr>
          <w:p w14:paraId="4125CCE3">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分包</w:t>
            </w:r>
          </w:p>
        </w:tc>
        <w:tc>
          <w:tcPr>
            <w:tcW w:w="5550" w:type="dxa"/>
            <w:tcBorders>
              <w:top w:val="single" w:color="auto" w:sz="4" w:space="0"/>
              <w:left w:val="single" w:color="auto" w:sz="4" w:space="0"/>
              <w:bottom w:val="single" w:color="auto" w:sz="4" w:space="0"/>
              <w:right w:val="single" w:color="auto" w:sz="4" w:space="0"/>
            </w:tcBorders>
            <w:noWrap/>
            <w:vAlign w:val="center"/>
          </w:tcPr>
          <w:p w14:paraId="1E511E15">
            <w:pPr>
              <w:pStyle w:val="12"/>
              <w:pageBreakBefore w:val="0"/>
              <w:kinsoku/>
              <w:overflowPunct/>
              <w:topLinePunct/>
              <w:bidi w:val="0"/>
              <w:adjustRightInd w:val="0"/>
              <w:spacing w:line="400" w:lineRule="exact"/>
              <w:ind w:firstLine="0" w:firstLineChars="0"/>
              <w:jc w:val="left"/>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不允许</w:t>
            </w:r>
          </w:p>
        </w:tc>
      </w:tr>
      <w:tr w14:paraId="1CB89FEA">
        <w:tblPrEx>
          <w:tblCellMar>
            <w:top w:w="0" w:type="dxa"/>
            <w:left w:w="108" w:type="dxa"/>
            <w:bottom w:w="0" w:type="dxa"/>
            <w:right w:w="108" w:type="dxa"/>
          </w:tblCellMar>
        </w:tblPrEx>
        <w:trPr>
          <w:trHeight w:val="1058"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416C6735">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2.1</w:t>
            </w:r>
          </w:p>
        </w:tc>
        <w:tc>
          <w:tcPr>
            <w:tcW w:w="2262" w:type="dxa"/>
            <w:tcBorders>
              <w:top w:val="single" w:color="auto" w:sz="4" w:space="0"/>
              <w:left w:val="single" w:color="auto" w:sz="4" w:space="0"/>
              <w:bottom w:val="single" w:color="auto" w:sz="4" w:space="0"/>
              <w:right w:val="single" w:color="auto" w:sz="4" w:space="0"/>
            </w:tcBorders>
            <w:noWrap/>
            <w:vAlign w:val="center"/>
          </w:tcPr>
          <w:p w14:paraId="3A4DAAFE">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构成磋商文件</w:t>
            </w:r>
          </w:p>
          <w:p w14:paraId="3B586B84">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的其他材料</w:t>
            </w:r>
          </w:p>
        </w:tc>
        <w:tc>
          <w:tcPr>
            <w:tcW w:w="5550" w:type="dxa"/>
            <w:tcBorders>
              <w:top w:val="single" w:color="auto" w:sz="4" w:space="0"/>
              <w:left w:val="single" w:color="auto" w:sz="4" w:space="0"/>
              <w:bottom w:val="single" w:color="auto" w:sz="4" w:space="0"/>
              <w:right w:val="single" w:color="auto" w:sz="4" w:space="0"/>
            </w:tcBorders>
            <w:noWrap/>
            <w:vAlign w:val="center"/>
          </w:tcPr>
          <w:p w14:paraId="5D6BD6CE">
            <w:pPr>
              <w:pageBreakBefore w:val="0"/>
              <w:kinsoku/>
              <w:overflowPunct/>
              <w:bidi w:val="0"/>
              <w:adjustRightInd w:val="0"/>
              <w:spacing w:line="40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除磋商文件外，采购人在磋商期间发出的澄清、修改、补充、补遗和其它有效正式函件等内容均是磋商文件的组成部分</w:t>
            </w:r>
          </w:p>
        </w:tc>
      </w:tr>
      <w:tr w14:paraId="41CC1B85">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1A4B9332">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2.2.1</w:t>
            </w:r>
          </w:p>
        </w:tc>
        <w:tc>
          <w:tcPr>
            <w:tcW w:w="2262" w:type="dxa"/>
            <w:tcBorders>
              <w:top w:val="single" w:color="auto" w:sz="4" w:space="0"/>
              <w:left w:val="single" w:color="auto" w:sz="4" w:space="0"/>
              <w:bottom w:val="single" w:color="auto" w:sz="4" w:space="0"/>
              <w:right w:val="single" w:color="auto" w:sz="4" w:space="0"/>
            </w:tcBorders>
            <w:noWrap/>
            <w:vAlign w:val="center"/>
          </w:tcPr>
          <w:p w14:paraId="01E0F9E6">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供应商提出问题的截止时间</w:t>
            </w:r>
          </w:p>
        </w:tc>
        <w:tc>
          <w:tcPr>
            <w:tcW w:w="5550" w:type="dxa"/>
            <w:tcBorders>
              <w:top w:val="single" w:color="auto" w:sz="4" w:space="0"/>
              <w:left w:val="single" w:color="auto" w:sz="4" w:space="0"/>
              <w:bottom w:val="single" w:color="auto" w:sz="4" w:space="0"/>
              <w:right w:val="single" w:color="auto" w:sz="4" w:space="0"/>
            </w:tcBorders>
            <w:noWrap/>
            <w:vAlign w:val="center"/>
          </w:tcPr>
          <w:p w14:paraId="4CD1FF59">
            <w:pPr>
              <w:pageBreakBefore w:val="0"/>
              <w:kinsoku/>
              <w:overflowPunct/>
              <w:bidi w:val="0"/>
              <w:adjustRightInd w:val="0"/>
              <w:spacing w:line="400" w:lineRule="exact"/>
              <w:ind w:firstLine="0" w:firstLineChars="0"/>
              <w:jc w:val="left"/>
              <w:textAlignment w:val="baseline"/>
              <w:rPr>
                <w:rFonts w:ascii="宋体" w:hAnsi="宋体" w:eastAsia="宋体" w:cs="宋体"/>
                <w:color w:val="auto"/>
                <w:szCs w:val="21"/>
                <w:highlight w:val="none"/>
              </w:rPr>
            </w:pPr>
            <w:r>
              <w:rPr>
                <w:rFonts w:hint="eastAsia" w:ascii="宋体" w:hAnsi="宋体" w:cs="宋体"/>
                <w:color w:val="auto"/>
                <w:szCs w:val="21"/>
                <w:highlight w:val="none"/>
              </w:rPr>
              <w:t>公告发布之日起7个工作日内</w:t>
            </w:r>
          </w:p>
        </w:tc>
      </w:tr>
      <w:tr w14:paraId="7680D945">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49278E7D">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2.2.2</w:t>
            </w:r>
          </w:p>
        </w:tc>
        <w:tc>
          <w:tcPr>
            <w:tcW w:w="2262" w:type="dxa"/>
            <w:tcBorders>
              <w:top w:val="single" w:color="auto" w:sz="4" w:space="0"/>
              <w:left w:val="single" w:color="auto" w:sz="4" w:space="0"/>
              <w:bottom w:val="single" w:color="auto" w:sz="4" w:space="0"/>
              <w:right w:val="single" w:color="auto" w:sz="4" w:space="0"/>
            </w:tcBorders>
            <w:noWrap/>
            <w:vAlign w:val="center"/>
          </w:tcPr>
          <w:p w14:paraId="6303C78D">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采购人澄清磋商文件的截止时间</w:t>
            </w:r>
          </w:p>
        </w:tc>
        <w:tc>
          <w:tcPr>
            <w:tcW w:w="5550" w:type="dxa"/>
            <w:tcBorders>
              <w:top w:val="single" w:color="auto" w:sz="4" w:space="0"/>
              <w:left w:val="single" w:color="auto" w:sz="4" w:space="0"/>
              <w:bottom w:val="single" w:color="auto" w:sz="4" w:space="0"/>
              <w:right w:val="single" w:color="auto" w:sz="4" w:space="0"/>
            </w:tcBorders>
            <w:noWrap/>
            <w:vAlign w:val="center"/>
          </w:tcPr>
          <w:p w14:paraId="52B481AA">
            <w:pPr>
              <w:pageBreakBefore w:val="0"/>
              <w:kinsoku/>
              <w:overflowPunct/>
              <w:bidi w:val="0"/>
              <w:adjustRightInd w:val="0"/>
              <w:spacing w:line="40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递交响应文件截止之日</w:t>
            </w:r>
            <w:r>
              <w:rPr>
                <w:rFonts w:hint="eastAsia" w:ascii="宋体" w:hAnsi="宋体" w:cs="宋体"/>
                <w:color w:val="auto"/>
                <w:szCs w:val="21"/>
                <w:highlight w:val="none"/>
                <w:u w:val="single"/>
              </w:rPr>
              <w:t>5</w:t>
            </w:r>
            <w:r>
              <w:rPr>
                <w:rFonts w:hint="eastAsia" w:ascii="宋体" w:hAnsi="宋体" w:cs="宋体"/>
                <w:color w:val="auto"/>
                <w:szCs w:val="21"/>
                <w:highlight w:val="none"/>
              </w:rPr>
              <w:t>天前</w:t>
            </w:r>
          </w:p>
        </w:tc>
      </w:tr>
      <w:tr w14:paraId="4180ACE6">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6530A273">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2.2.3</w:t>
            </w:r>
          </w:p>
        </w:tc>
        <w:tc>
          <w:tcPr>
            <w:tcW w:w="2262" w:type="dxa"/>
            <w:tcBorders>
              <w:top w:val="single" w:color="auto" w:sz="4" w:space="0"/>
              <w:left w:val="single" w:color="auto" w:sz="4" w:space="0"/>
              <w:bottom w:val="single" w:color="auto" w:sz="4" w:space="0"/>
              <w:right w:val="single" w:color="auto" w:sz="4" w:space="0"/>
            </w:tcBorders>
            <w:noWrap/>
            <w:vAlign w:val="center"/>
          </w:tcPr>
          <w:p w14:paraId="685BEAE6">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供应商确认收到磋商文件澄清的时间</w:t>
            </w:r>
          </w:p>
        </w:tc>
        <w:tc>
          <w:tcPr>
            <w:tcW w:w="5550" w:type="dxa"/>
            <w:tcBorders>
              <w:top w:val="single" w:color="auto" w:sz="4" w:space="0"/>
              <w:left w:val="single" w:color="auto" w:sz="4" w:space="0"/>
              <w:bottom w:val="single" w:color="auto" w:sz="4" w:space="0"/>
              <w:right w:val="single" w:color="auto" w:sz="4" w:space="0"/>
            </w:tcBorders>
            <w:noWrap/>
            <w:vAlign w:val="center"/>
          </w:tcPr>
          <w:p w14:paraId="76F08630">
            <w:pPr>
              <w:pageBreakBefore w:val="0"/>
              <w:kinsoku/>
              <w:overflowPunct/>
              <w:bidi w:val="0"/>
              <w:adjustRightInd w:val="0"/>
              <w:spacing w:line="40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在收到相应澄清文件后</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小时内</w:t>
            </w:r>
          </w:p>
        </w:tc>
      </w:tr>
      <w:tr w14:paraId="5A4C6888">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053D4561">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2.3.2</w:t>
            </w:r>
          </w:p>
        </w:tc>
        <w:tc>
          <w:tcPr>
            <w:tcW w:w="2262" w:type="dxa"/>
            <w:tcBorders>
              <w:top w:val="single" w:color="auto" w:sz="4" w:space="0"/>
              <w:left w:val="single" w:color="auto" w:sz="4" w:space="0"/>
              <w:bottom w:val="single" w:color="auto" w:sz="4" w:space="0"/>
              <w:right w:val="single" w:color="auto" w:sz="4" w:space="0"/>
            </w:tcBorders>
            <w:noWrap/>
            <w:vAlign w:val="center"/>
          </w:tcPr>
          <w:p w14:paraId="07BEE507">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供应商确认收到磋商文件修改的时间</w:t>
            </w:r>
          </w:p>
        </w:tc>
        <w:tc>
          <w:tcPr>
            <w:tcW w:w="5550" w:type="dxa"/>
            <w:tcBorders>
              <w:top w:val="single" w:color="auto" w:sz="4" w:space="0"/>
              <w:left w:val="single" w:color="auto" w:sz="4" w:space="0"/>
              <w:bottom w:val="single" w:color="auto" w:sz="4" w:space="0"/>
              <w:right w:val="single" w:color="auto" w:sz="4" w:space="0"/>
            </w:tcBorders>
            <w:noWrap/>
            <w:vAlign w:val="center"/>
          </w:tcPr>
          <w:p w14:paraId="0070C551">
            <w:pPr>
              <w:pageBreakBefore w:val="0"/>
              <w:kinsoku/>
              <w:overflowPunct/>
              <w:bidi w:val="0"/>
              <w:adjustRightInd w:val="0"/>
              <w:spacing w:line="40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在收到相应修改文件后</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小时内</w:t>
            </w:r>
          </w:p>
        </w:tc>
      </w:tr>
      <w:tr w14:paraId="455635EA">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561D7502">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3.1</w:t>
            </w:r>
          </w:p>
        </w:tc>
        <w:tc>
          <w:tcPr>
            <w:tcW w:w="2262" w:type="dxa"/>
            <w:tcBorders>
              <w:top w:val="single" w:color="auto" w:sz="4" w:space="0"/>
              <w:left w:val="single" w:color="auto" w:sz="4" w:space="0"/>
              <w:bottom w:val="single" w:color="auto" w:sz="4" w:space="0"/>
              <w:right w:val="single" w:color="auto" w:sz="4" w:space="0"/>
            </w:tcBorders>
            <w:noWrap/>
            <w:vAlign w:val="center"/>
          </w:tcPr>
          <w:p w14:paraId="71965F1C">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构成响应文件</w:t>
            </w:r>
          </w:p>
          <w:p w14:paraId="1897D7C5">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的其他材料</w:t>
            </w:r>
          </w:p>
        </w:tc>
        <w:tc>
          <w:tcPr>
            <w:tcW w:w="5550" w:type="dxa"/>
            <w:tcBorders>
              <w:top w:val="single" w:color="auto" w:sz="4" w:space="0"/>
              <w:left w:val="single" w:color="auto" w:sz="4" w:space="0"/>
              <w:bottom w:val="single" w:color="auto" w:sz="4" w:space="0"/>
              <w:right w:val="single" w:color="auto" w:sz="4" w:space="0"/>
            </w:tcBorders>
            <w:noWrap/>
            <w:vAlign w:val="center"/>
          </w:tcPr>
          <w:p w14:paraId="0200114A">
            <w:pPr>
              <w:pageBreakBefore w:val="0"/>
              <w:kinsoku/>
              <w:overflowPunct/>
              <w:bidi w:val="0"/>
              <w:adjustRightInd w:val="0"/>
              <w:spacing w:line="40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供应商认为需要提交的其他证明材料</w:t>
            </w:r>
          </w:p>
        </w:tc>
      </w:tr>
      <w:tr w14:paraId="705F0F1F">
        <w:tblPrEx>
          <w:tblCellMar>
            <w:top w:w="0" w:type="dxa"/>
            <w:left w:w="108" w:type="dxa"/>
            <w:bottom w:w="0" w:type="dxa"/>
            <w:right w:w="108" w:type="dxa"/>
          </w:tblCellMar>
        </w:tblPrEx>
        <w:trPr>
          <w:trHeight w:val="398"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46102FD7">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3.3.1</w:t>
            </w:r>
          </w:p>
        </w:tc>
        <w:tc>
          <w:tcPr>
            <w:tcW w:w="2262" w:type="dxa"/>
            <w:tcBorders>
              <w:top w:val="single" w:color="auto" w:sz="4" w:space="0"/>
              <w:left w:val="single" w:color="auto" w:sz="4" w:space="0"/>
              <w:bottom w:val="single" w:color="auto" w:sz="4" w:space="0"/>
              <w:right w:val="single" w:color="auto" w:sz="4" w:space="0"/>
            </w:tcBorders>
            <w:noWrap/>
            <w:vAlign w:val="center"/>
          </w:tcPr>
          <w:p w14:paraId="6D4A6926">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磋商有效期</w:t>
            </w:r>
          </w:p>
        </w:tc>
        <w:tc>
          <w:tcPr>
            <w:tcW w:w="5550" w:type="dxa"/>
            <w:tcBorders>
              <w:top w:val="single" w:color="auto" w:sz="4" w:space="0"/>
              <w:left w:val="single" w:color="auto" w:sz="4" w:space="0"/>
              <w:bottom w:val="single" w:color="auto" w:sz="4" w:space="0"/>
              <w:right w:val="single" w:color="auto" w:sz="4" w:space="0"/>
            </w:tcBorders>
            <w:noWrap/>
            <w:vAlign w:val="center"/>
          </w:tcPr>
          <w:p w14:paraId="4C935D86">
            <w:pPr>
              <w:pageBreakBefore w:val="0"/>
              <w:kinsoku/>
              <w:overflowPunct/>
              <w:bidi w:val="0"/>
              <w:adjustRightInd w:val="0"/>
              <w:spacing w:line="40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kern w:val="0"/>
                <w:szCs w:val="21"/>
                <w:highlight w:val="none"/>
              </w:rPr>
              <w:t>60日历天（响应文件截止之日起）</w:t>
            </w:r>
          </w:p>
        </w:tc>
      </w:tr>
      <w:tr w14:paraId="4FBC5534">
        <w:tblPrEx>
          <w:tblCellMar>
            <w:top w:w="0" w:type="dxa"/>
            <w:left w:w="108" w:type="dxa"/>
            <w:bottom w:w="0" w:type="dxa"/>
            <w:right w:w="108" w:type="dxa"/>
          </w:tblCellMar>
        </w:tblPrEx>
        <w:trPr>
          <w:trHeight w:val="359"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294F48AE">
            <w:pPr>
              <w:pageBreakBefore w:val="0"/>
              <w:kinsoku/>
              <w:overflowPunct/>
              <w:bidi w:val="0"/>
              <w:spacing w:line="400" w:lineRule="exact"/>
              <w:ind w:firstLine="0" w:firstLineChars="0"/>
              <w:jc w:val="center"/>
              <w:textAlignment w:val="center"/>
              <w:rPr>
                <w:rFonts w:ascii="宋体" w:hAnsi="宋体"/>
                <w:color w:val="auto"/>
                <w:szCs w:val="21"/>
                <w:highlight w:val="none"/>
              </w:rPr>
            </w:pPr>
            <w:r>
              <w:rPr>
                <w:rFonts w:hint="eastAsia" w:ascii="宋体" w:hAnsi="宋体"/>
                <w:color w:val="auto"/>
                <w:szCs w:val="21"/>
                <w:highlight w:val="none"/>
              </w:rPr>
              <w:t>3.2.3</w:t>
            </w:r>
          </w:p>
        </w:tc>
        <w:tc>
          <w:tcPr>
            <w:tcW w:w="2262" w:type="dxa"/>
            <w:tcBorders>
              <w:top w:val="single" w:color="auto" w:sz="4" w:space="0"/>
              <w:left w:val="single" w:color="auto" w:sz="4" w:space="0"/>
              <w:bottom w:val="single" w:color="auto" w:sz="4" w:space="0"/>
              <w:right w:val="single" w:color="auto" w:sz="4" w:space="0"/>
            </w:tcBorders>
            <w:noWrap/>
            <w:vAlign w:val="center"/>
          </w:tcPr>
          <w:p w14:paraId="1C64CA5B">
            <w:pPr>
              <w:pageBreakBefore w:val="0"/>
              <w:kinsoku/>
              <w:overflowPunct/>
              <w:bidi w:val="0"/>
              <w:spacing w:line="400" w:lineRule="exact"/>
              <w:ind w:firstLine="0" w:firstLineChars="0"/>
              <w:jc w:val="center"/>
              <w:textAlignment w:val="center"/>
              <w:rPr>
                <w:color w:val="auto"/>
                <w:szCs w:val="24"/>
                <w:highlight w:val="none"/>
              </w:rPr>
            </w:pPr>
            <w:r>
              <w:rPr>
                <w:color w:val="auto"/>
                <w:highlight w:val="none"/>
              </w:rPr>
              <w:t>报价方式</w:t>
            </w:r>
          </w:p>
        </w:tc>
        <w:tc>
          <w:tcPr>
            <w:tcW w:w="5550" w:type="dxa"/>
            <w:tcBorders>
              <w:top w:val="single" w:color="auto" w:sz="4" w:space="0"/>
              <w:left w:val="single" w:color="auto" w:sz="4" w:space="0"/>
              <w:bottom w:val="single" w:color="auto" w:sz="4" w:space="0"/>
              <w:right w:val="single" w:color="auto" w:sz="4" w:space="0"/>
            </w:tcBorders>
            <w:noWrap/>
            <w:vAlign w:val="center"/>
          </w:tcPr>
          <w:p w14:paraId="15CCAAD3">
            <w:pPr>
              <w:pageBreakBefore w:val="0"/>
              <w:kinsoku/>
              <w:overflowPunct/>
              <w:bidi w:val="0"/>
              <w:spacing w:line="400" w:lineRule="exact"/>
              <w:ind w:firstLine="0" w:firstLineChars="0"/>
              <w:jc w:val="left"/>
              <w:textAlignment w:val="center"/>
              <w:rPr>
                <w:rFonts w:ascii="宋体" w:hAnsi="宋体"/>
                <w:color w:val="auto"/>
                <w:szCs w:val="24"/>
                <w:highlight w:val="none"/>
              </w:rPr>
            </w:pPr>
            <w:r>
              <w:rPr>
                <w:rFonts w:hint="eastAsia" w:ascii="宋体" w:hAnsi="宋体"/>
                <w:color w:val="auto"/>
                <w:highlight w:val="none"/>
              </w:rPr>
              <w:t>自主报价</w:t>
            </w:r>
          </w:p>
        </w:tc>
      </w:tr>
      <w:tr w14:paraId="6C734016">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4595D560">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3.6</w:t>
            </w:r>
          </w:p>
        </w:tc>
        <w:tc>
          <w:tcPr>
            <w:tcW w:w="2262" w:type="dxa"/>
            <w:tcBorders>
              <w:top w:val="single" w:color="auto" w:sz="4" w:space="0"/>
              <w:left w:val="single" w:color="auto" w:sz="4" w:space="0"/>
              <w:bottom w:val="single" w:color="auto" w:sz="4" w:space="0"/>
              <w:right w:val="single" w:color="auto" w:sz="4" w:space="0"/>
            </w:tcBorders>
            <w:noWrap/>
            <w:vAlign w:val="center"/>
          </w:tcPr>
          <w:p w14:paraId="6220383A">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是否允许递交</w:t>
            </w:r>
          </w:p>
          <w:p w14:paraId="2F271285">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备选磋商方案</w:t>
            </w:r>
          </w:p>
        </w:tc>
        <w:tc>
          <w:tcPr>
            <w:tcW w:w="5550" w:type="dxa"/>
            <w:tcBorders>
              <w:top w:val="single" w:color="auto" w:sz="4" w:space="0"/>
              <w:left w:val="single" w:color="auto" w:sz="4" w:space="0"/>
              <w:bottom w:val="single" w:color="auto" w:sz="4" w:space="0"/>
              <w:right w:val="single" w:color="auto" w:sz="4" w:space="0"/>
            </w:tcBorders>
            <w:noWrap/>
            <w:vAlign w:val="center"/>
          </w:tcPr>
          <w:p w14:paraId="0B228F7A">
            <w:pPr>
              <w:pStyle w:val="12"/>
              <w:pageBreakBefore w:val="0"/>
              <w:kinsoku/>
              <w:overflowPunct/>
              <w:topLinePunct/>
              <w:bidi w:val="0"/>
              <w:adjustRightInd w:val="0"/>
              <w:spacing w:line="400" w:lineRule="exact"/>
              <w:ind w:firstLine="0" w:firstLineChars="0"/>
              <w:jc w:val="left"/>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不允许</w:t>
            </w:r>
          </w:p>
        </w:tc>
      </w:tr>
      <w:tr w14:paraId="0E6DA599">
        <w:tblPrEx>
          <w:tblCellMar>
            <w:top w:w="0" w:type="dxa"/>
            <w:left w:w="108" w:type="dxa"/>
            <w:bottom w:w="0" w:type="dxa"/>
            <w:right w:w="108" w:type="dxa"/>
          </w:tblCellMar>
        </w:tblPrEx>
        <w:trPr>
          <w:trHeight w:val="1408"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5C2A84D0">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3.7.3</w:t>
            </w:r>
          </w:p>
        </w:tc>
        <w:tc>
          <w:tcPr>
            <w:tcW w:w="2262" w:type="dxa"/>
            <w:tcBorders>
              <w:top w:val="single" w:color="auto" w:sz="4" w:space="0"/>
              <w:left w:val="single" w:color="auto" w:sz="4" w:space="0"/>
              <w:bottom w:val="single" w:color="auto" w:sz="4" w:space="0"/>
              <w:right w:val="single" w:color="auto" w:sz="4" w:space="0"/>
            </w:tcBorders>
            <w:noWrap/>
            <w:vAlign w:val="center"/>
          </w:tcPr>
          <w:p w14:paraId="129463FC">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电子响应文件</w:t>
            </w:r>
          </w:p>
          <w:p w14:paraId="582E640B">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签字盖章要求</w:t>
            </w:r>
          </w:p>
        </w:tc>
        <w:tc>
          <w:tcPr>
            <w:tcW w:w="5550" w:type="dxa"/>
            <w:tcBorders>
              <w:top w:val="single" w:color="auto" w:sz="4" w:space="0"/>
              <w:left w:val="single" w:color="auto" w:sz="4" w:space="0"/>
              <w:bottom w:val="single" w:color="auto" w:sz="4" w:space="0"/>
              <w:right w:val="single" w:color="auto" w:sz="4" w:space="0"/>
            </w:tcBorders>
            <w:noWrap/>
            <w:vAlign w:val="center"/>
          </w:tcPr>
          <w:p w14:paraId="16EFE392">
            <w:pPr>
              <w:pageBreakBefore w:val="0"/>
              <w:kinsoku/>
              <w:overflowPunct/>
              <w:bidi w:val="0"/>
              <w:adjustRightInd w:val="0"/>
              <w:snapToGrid w:val="0"/>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（1）所有要求供应商加盖公章的地方都须加盖供应商的 CA 印章。</w:t>
            </w:r>
          </w:p>
          <w:p w14:paraId="28520D63">
            <w:pPr>
              <w:pageBreakBefore w:val="0"/>
              <w:kinsoku/>
              <w:overflowPunct/>
              <w:bidi w:val="0"/>
              <w:adjustRightInd w:val="0"/>
              <w:snapToGrid w:val="0"/>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（2）所有要求法定代表人或其委托代理人签字的地方都须法定代表人或其委托代理人加盖CA印章或签字。</w:t>
            </w:r>
          </w:p>
        </w:tc>
      </w:tr>
      <w:tr w14:paraId="2EE3AE8F">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44936D73">
            <w:pPr>
              <w:pageBreakBefore w:val="0"/>
              <w:kinsoku/>
              <w:overflowPunct/>
              <w:bidi w:val="0"/>
              <w:spacing w:line="400" w:lineRule="exact"/>
              <w:ind w:firstLine="0" w:firstLineChars="0"/>
              <w:jc w:val="center"/>
              <w:rPr>
                <w:rFonts w:ascii="宋体" w:hAnsi="宋体" w:cs="宋体"/>
                <w:bCs/>
                <w:color w:val="auto"/>
                <w:szCs w:val="21"/>
                <w:highlight w:val="none"/>
              </w:rPr>
            </w:pPr>
            <w:r>
              <w:rPr>
                <w:rFonts w:hint="eastAsia" w:ascii="宋体" w:hAnsi="宋体" w:cs="宋体"/>
                <w:bCs/>
                <w:color w:val="auto"/>
                <w:szCs w:val="21"/>
                <w:highlight w:val="none"/>
              </w:rPr>
              <w:t>3.7.4</w:t>
            </w:r>
          </w:p>
        </w:tc>
        <w:tc>
          <w:tcPr>
            <w:tcW w:w="2262" w:type="dxa"/>
            <w:tcBorders>
              <w:top w:val="single" w:color="auto" w:sz="4" w:space="0"/>
              <w:left w:val="single" w:color="auto" w:sz="4" w:space="0"/>
              <w:bottom w:val="single" w:color="auto" w:sz="4" w:space="0"/>
              <w:right w:val="single" w:color="auto" w:sz="4" w:space="0"/>
            </w:tcBorders>
            <w:noWrap/>
            <w:vAlign w:val="center"/>
          </w:tcPr>
          <w:p w14:paraId="4401781E">
            <w:pPr>
              <w:pageBreakBefore w:val="0"/>
              <w:kinsoku/>
              <w:overflowPunct/>
              <w:bidi w:val="0"/>
              <w:adjustRightInd w:val="0"/>
              <w:snapToGrid w:val="0"/>
              <w:spacing w:line="400" w:lineRule="exact"/>
              <w:ind w:firstLine="0" w:firstLineChars="0"/>
              <w:jc w:val="center"/>
              <w:rPr>
                <w:rFonts w:ascii="宋体" w:hAnsi="宋体" w:cs="宋体"/>
                <w:bCs/>
                <w:color w:val="auto"/>
                <w:szCs w:val="21"/>
                <w:highlight w:val="none"/>
              </w:rPr>
            </w:pPr>
            <w:r>
              <w:rPr>
                <w:rFonts w:hint="eastAsia" w:ascii="宋体" w:hAnsi="宋体" w:cs="宋体"/>
                <w:bCs/>
                <w:color w:val="auto"/>
                <w:szCs w:val="21"/>
                <w:highlight w:val="none"/>
              </w:rPr>
              <w:t>响应文件份数</w:t>
            </w:r>
          </w:p>
        </w:tc>
        <w:tc>
          <w:tcPr>
            <w:tcW w:w="5550" w:type="dxa"/>
            <w:tcBorders>
              <w:top w:val="single" w:color="auto" w:sz="4" w:space="0"/>
              <w:left w:val="single" w:color="auto" w:sz="4" w:space="0"/>
              <w:bottom w:val="single" w:color="auto" w:sz="4" w:space="0"/>
              <w:right w:val="single" w:color="auto" w:sz="4" w:space="0"/>
            </w:tcBorders>
            <w:noWrap/>
            <w:vAlign w:val="center"/>
          </w:tcPr>
          <w:p w14:paraId="76F507A3">
            <w:pPr>
              <w:pageBreakBefore w:val="0"/>
              <w:kinsoku/>
              <w:overflowPunct/>
              <w:bidi w:val="0"/>
              <w:adjustRightInd w:val="0"/>
              <w:snapToGrid w:val="0"/>
              <w:spacing w:line="400" w:lineRule="exact"/>
              <w:ind w:firstLine="0" w:firstLineChars="0"/>
              <w:jc w:val="left"/>
              <w:rPr>
                <w:rFonts w:ascii="宋体" w:hAnsi="宋体" w:cs="宋体"/>
                <w:bCs/>
                <w:color w:val="auto"/>
                <w:szCs w:val="21"/>
                <w:highlight w:val="none"/>
              </w:rPr>
            </w:pPr>
            <w:r>
              <w:rPr>
                <w:rFonts w:hint="eastAsia" w:ascii="宋体" w:hAnsi="宋体" w:cs="宋体"/>
                <w:bCs/>
                <w:color w:val="auto"/>
                <w:szCs w:val="21"/>
                <w:highlight w:val="none"/>
              </w:rPr>
              <w:t>加密的电子响应文件壹份（*.XYTF 格式，在会员系统指定位置上传）</w:t>
            </w:r>
          </w:p>
        </w:tc>
      </w:tr>
      <w:tr w14:paraId="15B70C43">
        <w:tblPrEx>
          <w:tblCellMar>
            <w:top w:w="0" w:type="dxa"/>
            <w:left w:w="108" w:type="dxa"/>
            <w:bottom w:w="0" w:type="dxa"/>
            <w:right w:w="108" w:type="dxa"/>
          </w:tblCellMar>
        </w:tblPrEx>
        <w:trPr>
          <w:trHeight w:val="402"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2EFD7F42">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4.2</w:t>
            </w:r>
          </w:p>
        </w:tc>
        <w:tc>
          <w:tcPr>
            <w:tcW w:w="2262" w:type="dxa"/>
            <w:tcBorders>
              <w:top w:val="single" w:color="auto" w:sz="4" w:space="0"/>
              <w:left w:val="single" w:color="auto" w:sz="4" w:space="0"/>
              <w:bottom w:val="single" w:color="auto" w:sz="4" w:space="0"/>
              <w:right w:val="single" w:color="auto" w:sz="4" w:space="0"/>
            </w:tcBorders>
            <w:noWrap/>
            <w:vAlign w:val="center"/>
          </w:tcPr>
          <w:p w14:paraId="0D8CC963">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响应文件的递交</w:t>
            </w:r>
          </w:p>
        </w:tc>
        <w:tc>
          <w:tcPr>
            <w:tcW w:w="5550" w:type="dxa"/>
            <w:tcBorders>
              <w:top w:val="single" w:color="auto" w:sz="4" w:space="0"/>
              <w:left w:val="single" w:color="auto" w:sz="4" w:space="0"/>
              <w:bottom w:val="single" w:color="auto" w:sz="4" w:space="0"/>
              <w:right w:val="single" w:color="auto" w:sz="4" w:space="0"/>
            </w:tcBorders>
            <w:noWrap/>
            <w:vAlign w:val="center"/>
          </w:tcPr>
          <w:p w14:paraId="5EEEFC26">
            <w:pPr>
              <w:keepNext w:val="0"/>
              <w:keepLines w:val="0"/>
              <w:pageBreakBefore w:val="0"/>
              <w:widowControl w:val="0"/>
              <w:kinsoku/>
              <w:wordWrap/>
              <w:overflowPunct/>
              <w:topLinePunct w:val="0"/>
              <w:bidi w:val="0"/>
              <w:adjustRightInd w:val="0"/>
              <w:snapToGrid w:val="0"/>
              <w:spacing w:line="36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1、电子响应文件的递交</w:t>
            </w:r>
          </w:p>
          <w:p w14:paraId="1D7B79FE">
            <w:pPr>
              <w:keepNext w:val="0"/>
              <w:keepLines w:val="0"/>
              <w:pageBreakBefore w:val="0"/>
              <w:widowControl w:val="0"/>
              <w:kinsoku/>
              <w:wordWrap/>
              <w:overflowPunct/>
              <w:topLinePunct w:val="0"/>
              <w:bidi w:val="0"/>
              <w:adjustRightInd w:val="0"/>
              <w:snapToGrid w:val="0"/>
              <w:spacing w:line="36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319C1870">
            <w:pPr>
              <w:keepNext w:val="0"/>
              <w:keepLines w:val="0"/>
              <w:pageBreakBefore w:val="0"/>
              <w:widowControl w:val="0"/>
              <w:kinsoku/>
              <w:wordWrap/>
              <w:overflowPunct/>
              <w:topLinePunct w:val="0"/>
              <w:bidi w:val="0"/>
              <w:adjustRightInd w:val="0"/>
              <w:snapToGrid w:val="0"/>
              <w:spacing w:line="36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 xml:space="preserve">2、本项目采用“不见面开标”交易方式，不见面开标大厅网址为 </w:t>
            </w:r>
            <w:r>
              <w:rPr>
                <w:color w:val="auto"/>
                <w:highlight w:val="none"/>
              </w:rPr>
              <w:fldChar w:fldCharType="begin"/>
            </w:r>
            <w:r>
              <w:rPr>
                <w:color w:val="auto"/>
                <w:highlight w:val="none"/>
              </w:rPr>
              <w:instrText xml:space="preserve"> HYPERLINK "http://117.158.91.68:8095/xxhy，投标人无需寄送和递交非加密的电子投标文件，无需到现场参加开标会议，无需到达现场提交原件资料。" </w:instrText>
            </w:r>
            <w:r>
              <w:rPr>
                <w:color w:val="auto"/>
                <w:highlight w:val="none"/>
              </w:rPr>
              <w:fldChar w:fldCharType="separate"/>
            </w:r>
            <w:r>
              <w:rPr>
                <w:rFonts w:hint="eastAsia" w:ascii="宋体" w:hAnsi="宋体" w:cs="宋体"/>
                <w:color w:val="auto"/>
                <w:szCs w:val="21"/>
                <w:highlight w:val="none"/>
                <w:lang w:eastAsia="zh-CN"/>
              </w:rPr>
              <w:t>https://ggzyjy.xinyang.gov.cn/BidOpening/bidhall/xinyang/login.html</w:t>
            </w:r>
            <w:r>
              <w:rPr>
                <w:rFonts w:hint="eastAsia" w:ascii="宋体" w:hAnsi="宋体" w:cs="宋体"/>
                <w:color w:val="auto"/>
                <w:szCs w:val="21"/>
                <w:highlight w:val="none"/>
              </w:rPr>
              <w:t>，供应商无需寄送和递交非加密的电子响应文件，无需到现场参加开标会议，无需到达现场提交原件资料。</w:t>
            </w:r>
            <w:r>
              <w:rPr>
                <w:rFonts w:hint="eastAsia" w:ascii="宋体" w:hAnsi="宋体" w:cs="宋体"/>
                <w:color w:val="auto"/>
                <w:szCs w:val="21"/>
                <w:highlight w:val="none"/>
              </w:rPr>
              <w:fldChar w:fldCharType="end"/>
            </w:r>
          </w:p>
        </w:tc>
      </w:tr>
      <w:tr w14:paraId="23605CD6">
        <w:tblPrEx>
          <w:tblCellMar>
            <w:top w:w="0" w:type="dxa"/>
            <w:left w:w="108" w:type="dxa"/>
            <w:bottom w:w="0" w:type="dxa"/>
            <w:right w:w="108" w:type="dxa"/>
          </w:tblCellMar>
        </w:tblPrEx>
        <w:trPr>
          <w:trHeight w:val="90"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614055AB">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5.1</w:t>
            </w:r>
          </w:p>
        </w:tc>
        <w:tc>
          <w:tcPr>
            <w:tcW w:w="2262" w:type="dxa"/>
            <w:tcBorders>
              <w:top w:val="single" w:color="auto" w:sz="4" w:space="0"/>
              <w:left w:val="single" w:color="auto" w:sz="4" w:space="0"/>
              <w:bottom w:val="single" w:color="auto" w:sz="4" w:space="0"/>
              <w:right w:val="single" w:color="auto" w:sz="4" w:space="0"/>
            </w:tcBorders>
            <w:noWrap/>
            <w:vAlign w:val="center"/>
          </w:tcPr>
          <w:p w14:paraId="4BB4DE13">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提交响应文件</w:t>
            </w:r>
          </w:p>
          <w:p w14:paraId="720EA827">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截止时间</w:t>
            </w:r>
          </w:p>
        </w:tc>
        <w:tc>
          <w:tcPr>
            <w:tcW w:w="5550" w:type="dxa"/>
            <w:tcBorders>
              <w:top w:val="single" w:color="auto" w:sz="4" w:space="0"/>
              <w:left w:val="single" w:color="auto" w:sz="4" w:space="0"/>
              <w:bottom w:val="single" w:color="auto" w:sz="4" w:space="0"/>
              <w:right w:val="single" w:color="auto" w:sz="4" w:space="0"/>
            </w:tcBorders>
            <w:noWrap/>
            <w:vAlign w:val="center"/>
          </w:tcPr>
          <w:p w14:paraId="23DE2357">
            <w:pPr>
              <w:keepNext w:val="0"/>
              <w:keepLines w:val="0"/>
              <w:pageBreakBefore w:val="0"/>
              <w:widowControl w:val="0"/>
              <w:kinsoku/>
              <w:wordWrap/>
              <w:overflowPunct/>
              <w:topLinePunct w:val="0"/>
              <w:bidi w:val="0"/>
              <w:adjustRightInd w:val="0"/>
              <w:spacing w:line="360" w:lineRule="exact"/>
              <w:ind w:firstLine="0" w:firstLineChars="0"/>
              <w:jc w:val="left"/>
              <w:textAlignment w:val="baseline"/>
              <w:rPr>
                <w:rFonts w:ascii="宋体" w:hAnsi="宋体" w:cs="宋体"/>
                <w:color w:val="auto"/>
                <w:szCs w:val="21"/>
                <w:highlight w:val="none"/>
              </w:rPr>
            </w:pPr>
            <w:r>
              <w:rPr>
                <w:rFonts w:hint="eastAsia" w:ascii="宋体" w:hAnsi="宋体" w:eastAsia="宋体" w:cs="宋体"/>
                <w:bCs/>
                <w:color w:val="auto"/>
                <w:szCs w:val="21"/>
                <w:highlight w:val="none"/>
                <w:lang w:val="en-US" w:eastAsia="zh-CN"/>
              </w:rPr>
              <w:t>2025</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18日09</w:t>
            </w:r>
            <w:r>
              <w:rPr>
                <w:rFonts w:hint="eastAsia" w:ascii="宋体" w:hAnsi="宋体" w:eastAsia="宋体" w:cs="宋体"/>
                <w:bCs/>
                <w:color w:val="auto"/>
                <w:szCs w:val="21"/>
                <w:highlight w:val="none"/>
              </w:rPr>
              <w:t>时</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分</w:t>
            </w:r>
          </w:p>
        </w:tc>
      </w:tr>
      <w:tr w14:paraId="3D730A33">
        <w:tblPrEx>
          <w:tblCellMar>
            <w:top w:w="0" w:type="dxa"/>
            <w:left w:w="108" w:type="dxa"/>
            <w:bottom w:w="0" w:type="dxa"/>
            <w:right w:w="108" w:type="dxa"/>
          </w:tblCellMar>
        </w:tblPrEx>
        <w:trPr>
          <w:trHeight w:val="607"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36D9F032">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5.1.1</w:t>
            </w:r>
          </w:p>
        </w:tc>
        <w:tc>
          <w:tcPr>
            <w:tcW w:w="2262" w:type="dxa"/>
            <w:tcBorders>
              <w:top w:val="single" w:color="auto" w:sz="4" w:space="0"/>
              <w:left w:val="single" w:color="auto" w:sz="4" w:space="0"/>
              <w:bottom w:val="single" w:color="auto" w:sz="4" w:space="0"/>
              <w:right w:val="single" w:color="auto" w:sz="4" w:space="0"/>
            </w:tcBorders>
            <w:noWrap/>
            <w:vAlign w:val="center"/>
          </w:tcPr>
          <w:p w14:paraId="28E84032">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磋商时间和地点</w:t>
            </w:r>
          </w:p>
        </w:tc>
        <w:tc>
          <w:tcPr>
            <w:tcW w:w="5550" w:type="dxa"/>
            <w:tcBorders>
              <w:top w:val="single" w:color="auto" w:sz="4" w:space="0"/>
              <w:left w:val="single" w:color="auto" w:sz="4" w:space="0"/>
              <w:bottom w:val="single" w:color="auto" w:sz="4" w:space="0"/>
              <w:right w:val="single" w:color="auto" w:sz="4" w:space="0"/>
            </w:tcBorders>
            <w:noWrap/>
            <w:vAlign w:val="center"/>
          </w:tcPr>
          <w:p w14:paraId="05554C35">
            <w:pPr>
              <w:keepNext w:val="0"/>
              <w:keepLines w:val="0"/>
              <w:pageBreakBefore w:val="0"/>
              <w:widowControl w:val="0"/>
              <w:kinsoku/>
              <w:wordWrap/>
              <w:overflowPunct/>
              <w:topLinePunct w:val="0"/>
              <w:autoSpaceDE w:val="0"/>
              <w:autoSpaceDN w:val="0"/>
              <w:bidi w:val="0"/>
              <w:adjustRightInd w:val="0"/>
              <w:spacing w:line="360" w:lineRule="exact"/>
              <w:ind w:firstLine="0" w:firstLineChars="0"/>
              <w:jc w:val="left"/>
              <w:rPr>
                <w:rFonts w:ascii="宋体" w:hAnsi="宋体" w:cs="宋体"/>
                <w:color w:val="auto"/>
                <w:kern w:val="0"/>
                <w:szCs w:val="21"/>
                <w:highlight w:val="none"/>
              </w:rPr>
            </w:pPr>
            <w:r>
              <w:rPr>
                <w:rFonts w:hint="eastAsia" w:ascii="宋体" w:hAnsi="宋体" w:cs="宋体"/>
                <w:color w:val="auto"/>
                <w:szCs w:val="21"/>
                <w:highlight w:val="none"/>
              </w:rPr>
              <w:t>磋商</w:t>
            </w:r>
            <w:r>
              <w:rPr>
                <w:rFonts w:hint="eastAsia" w:ascii="宋体" w:hAnsi="宋体" w:cs="宋体"/>
                <w:color w:val="auto"/>
                <w:kern w:val="0"/>
                <w:szCs w:val="21"/>
                <w:highlight w:val="none"/>
              </w:rPr>
              <w:t>时间：同</w:t>
            </w:r>
            <w:r>
              <w:rPr>
                <w:rFonts w:hint="eastAsia" w:ascii="宋体" w:hAnsi="宋体" w:cs="宋体"/>
                <w:color w:val="auto"/>
                <w:szCs w:val="21"/>
                <w:highlight w:val="none"/>
              </w:rPr>
              <w:t>响应文件提交</w:t>
            </w:r>
            <w:r>
              <w:rPr>
                <w:rFonts w:hint="eastAsia" w:ascii="宋体" w:hAnsi="宋体" w:cs="宋体"/>
                <w:color w:val="auto"/>
                <w:kern w:val="0"/>
                <w:szCs w:val="21"/>
                <w:highlight w:val="none"/>
              </w:rPr>
              <w:t>截止时间</w:t>
            </w:r>
          </w:p>
          <w:p w14:paraId="3D244B78">
            <w:pPr>
              <w:keepNext w:val="0"/>
              <w:keepLines w:val="0"/>
              <w:pageBreakBefore w:val="0"/>
              <w:widowControl w:val="0"/>
              <w:kinsoku/>
              <w:wordWrap/>
              <w:overflowPunct/>
              <w:topLinePunct w:val="0"/>
              <w:bidi w:val="0"/>
              <w:spacing w:line="360" w:lineRule="exact"/>
              <w:ind w:firstLine="0" w:firstLineChars="0"/>
              <w:jc w:val="left"/>
              <w:rPr>
                <w:rFonts w:ascii="宋体" w:hAnsi="宋体" w:eastAsia="宋体" w:cs="宋体"/>
                <w:color w:val="auto"/>
                <w:szCs w:val="21"/>
                <w:highlight w:val="none"/>
              </w:rPr>
            </w:pPr>
            <w:r>
              <w:rPr>
                <w:rFonts w:hint="eastAsia" w:ascii="宋体" w:hAnsi="宋体" w:cs="宋体"/>
                <w:color w:val="auto"/>
                <w:szCs w:val="21"/>
                <w:highlight w:val="none"/>
              </w:rPr>
              <w:t>磋商</w:t>
            </w:r>
            <w:r>
              <w:rPr>
                <w:rFonts w:hint="eastAsia" w:ascii="宋体" w:hAnsi="宋体" w:cs="宋体"/>
                <w:color w:val="auto"/>
                <w:kern w:val="0"/>
                <w:szCs w:val="21"/>
                <w:highlight w:val="none"/>
              </w:rPr>
              <w:t>地点：信阳市公共资源交易中心第</w:t>
            </w:r>
            <w:r>
              <w:rPr>
                <w:rFonts w:hint="eastAsia" w:ascii="宋体" w:hAnsi="宋体" w:cs="宋体"/>
                <w:color w:val="auto"/>
                <w:kern w:val="0"/>
                <w:szCs w:val="21"/>
                <w:highlight w:val="none"/>
                <w:lang w:val="en-US" w:eastAsia="zh-CN"/>
              </w:rPr>
              <w:t>八</w:t>
            </w:r>
            <w:r>
              <w:rPr>
                <w:rFonts w:hint="eastAsia" w:ascii="宋体" w:hAnsi="宋体" w:cs="宋体"/>
                <w:color w:val="auto"/>
                <w:kern w:val="0"/>
                <w:szCs w:val="21"/>
                <w:highlight w:val="none"/>
              </w:rPr>
              <w:t>开标室</w:t>
            </w:r>
          </w:p>
        </w:tc>
      </w:tr>
      <w:tr w14:paraId="76CEE8A0">
        <w:tblPrEx>
          <w:tblCellMar>
            <w:top w:w="0" w:type="dxa"/>
            <w:left w:w="108" w:type="dxa"/>
            <w:bottom w:w="0" w:type="dxa"/>
            <w:right w:w="108" w:type="dxa"/>
          </w:tblCellMar>
        </w:tblPrEx>
        <w:trPr>
          <w:trHeight w:val="856"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30F01B47">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6.1</w:t>
            </w:r>
          </w:p>
        </w:tc>
        <w:tc>
          <w:tcPr>
            <w:tcW w:w="2262" w:type="dxa"/>
            <w:tcBorders>
              <w:top w:val="single" w:color="auto" w:sz="4" w:space="0"/>
              <w:left w:val="single" w:color="auto" w:sz="4" w:space="0"/>
              <w:bottom w:val="single" w:color="auto" w:sz="4" w:space="0"/>
              <w:right w:val="single" w:color="auto" w:sz="4" w:space="0"/>
            </w:tcBorders>
            <w:noWrap/>
            <w:vAlign w:val="center"/>
          </w:tcPr>
          <w:p w14:paraId="5060FC25">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磋商小组的组建</w:t>
            </w:r>
          </w:p>
        </w:tc>
        <w:tc>
          <w:tcPr>
            <w:tcW w:w="5550" w:type="dxa"/>
            <w:tcBorders>
              <w:top w:val="single" w:color="auto" w:sz="4" w:space="0"/>
              <w:left w:val="single" w:color="auto" w:sz="4" w:space="0"/>
              <w:bottom w:val="single" w:color="auto" w:sz="4" w:space="0"/>
              <w:right w:val="single" w:color="auto" w:sz="4" w:space="0"/>
            </w:tcBorders>
            <w:noWrap/>
            <w:vAlign w:val="center"/>
          </w:tcPr>
          <w:p w14:paraId="27ADF4C1">
            <w:pPr>
              <w:keepNext w:val="0"/>
              <w:keepLines w:val="0"/>
              <w:pageBreakBefore w:val="0"/>
              <w:widowControl w:val="0"/>
              <w:kinsoku/>
              <w:wordWrap/>
              <w:overflowPunct/>
              <w:topLinePunct w:val="0"/>
              <w:autoSpaceDE w:val="0"/>
              <w:autoSpaceDN w:val="0"/>
              <w:bidi w:val="0"/>
              <w:adjustRightInd w:val="0"/>
              <w:spacing w:line="36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磋商小组构成：</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人，其中业主评委</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人，技术、经济类专家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p w14:paraId="3605DC55">
            <w:pPr>
              <w:keepNext w:val="0"/>
              <w:keepLines w:val="0"/>
              <w:pageBreakBefore w:val="0"/>
              <w:widowControl w:val="0"/>
              <w:kinsoku/>
              <w:wordWrap/>
              <w:overflowPunct/>
              <w:topLinePunct w:val="0"/>
              <w:bidi w:val="0"/>
              <w:adjustRightInd w:val="0"/>
              <w:spacing w:line="36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kern w:val="0"/>
                <w:szCs w:val="21"/>
                <w:highlight w:val="none"/>
              </w:rPr>
              <w:t>专家确定方式：磋商前从政府采购专家库中随机抽取。</w:t>
            </w:r>
          </w:p>
        </w:tc>
      </w:tr>
      <w:tr w14:paraId="3B2DEABA">
        <w:tblPrEx>
          <w:tblCellMar>
            <w:top w:w="0" w:type="dxa"/>
            <w:left w:w="108" w:type="dxa"/>
            <w:bottom w:w="0" w:type="dxa"/>
            <w:right w:w="108" w:type="dxa"/>
          </w:tblCellMar>
        </w:tblPrEx>
        <w:trPr>
          <w:trHeight w:val="507"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4A6FF2F6">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7.1</w:t>
            </w:r>
          </w:p>
        </w:tc>
        <w:tc>
          <w:tcPr>
            <w:tcW w:w="2262" w:type="dxa"/>
            <w:tcBorders>
              <w:top w:val="single" w:color="auto" w:sz="4" w:space="0"/>
              <w:left w:val="single" w:color="auto" w:sz="4" w:space="0"/>
              <w:bottom w:val="single" w:color="auto" w:sz="4" w:space="0"/>
              <w:right w:val="single" w:color="auto" w:sz="4" w:space="0"/>
            </w:tcBorders>
            <w:noWrap/>
            <w:vAlign w:val="center"/>
          </w:tcPr>
          <w:p w14:paraId="293804A8">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是否授权磋商小组</w:t>
            </w:r>
          </w:p>
          <w:p w14:paraId="446A036A">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确定成交人</w:t>
            </w:r>
          </w:p>
        </w:tc>
        <w:tc>
          <w:tcPr>
            <w:tcW w:w="5550" w:type="dxa"/>
            <w:tcBorders>
              <w:top w:val="single" w:color="auto" w:sz="4" w:space="0"/>
              <w:left w:val="single" w:color="auto" w:sz="4" w:space="0"/>
              <w:bottom w:val="single" w:color="auto" w:sz="4" w:space="0"/>
              <w:right w:val="single" w:color="auto" w:sz="4" w:space="0"/>
            </w:tcBorders>
            <w:noWrap/>
            <w:vAlign w:val="center"/>
          </w:tcPr>
          <w:p w14:paraId="25CEC032">
            <w:pPr>
              <w:keepNext w:val="0"/>
              <w:keepLines w:val="0"/>
              <w:pageBreakBefore w:val="0"/>
              <w:widowControl w:val="0"/>
              <w:kinsoku/>
              <w:wordWrap/>
              <w:overflowPunct/>
              <w:topLinePunct w:val="0"/>
              <w:bidi w:val="0"/>
              <w:adjustRightInd w:val="0"/>
              <w:spacing w:line="36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否；推荐的成交候选人数：3名</w:t>
            </w:r>
          </w:p>
        </w:tc>
      </w:tr>
      <w:tr w14:paraId="0DCC37EB">
        <w:tblPrEx>
          <w:tblCellMar>
            <w:top w:w="0" w:type="dxa"/>
            <w:left w:w="108" w:type="dxa"/>
            <w:bottom w:w="0" w:type="dxa"/>
            <w:right w:w="108" w:type="dxa"/>
          </w:tblCellMar>
        </w:tblPrEx>
        <w:trPr>
          <w:trHeight w:val="412"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5F0B32A7">
            <w:pPr>
              <w:pageBreakBefore w:val="0"/>
              <w:kinsoku/>
              <w:overflowPunct/>
              <w:autoSpaceDE w:val="0"/>
              <w:autoSpaceDN w:val="0"/>
              <w:bidi w:val="0"/>
              <w:adjustRightInd w:val="0"/>
              <w:spacing w:line="400" w:lineRule="exact"/>
              <w:ind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w:t>
            </w:r>
          </w:p>
        </w:tc>
        <w:tc>
          <w:tcPr>
            <w:tcW w:w="2262" w:type="dxa"/>
            <w:tcBorders>
              <w:top w:val="single" w:color="auto" w:sz="4" w:space="0"/>
              <w:left w:val="single" w:color="auto" w:sz="4" w:space="0"/>
              <w:bottom w:val="single" w:color="auto" w:sz="4" w:space="0"/>
              <w:right w:val="single" w:color="auto" w:sz="4" w:space="0"/>
            </w:tcBorders>
            <w:noWrap/>
            <w:vAlign w:val="center"/>
          </w:tcPr>
          <w:p w14:paraId="7C7DB388">
            <w:pPr>
              <w:keepNext w:val="0"/>
              <w:keepLines w:val="0"/>
              <w:pageBreakBefore w:val="0"/>
              <w:widowControl w:val="0"/>
              <w:kinsoku/>
              <w:wordWrap/>
              <w:overflowPunct/>
              <w:topLinePunct w:val="0"/>
              <w:autoSpaceDE w:val="0"/>
              <w:autoSpaceDN w:val="0"/>
              <w:bidi w:val="0"/>
              <w:adjustRightInd w:val="0"/>
              <w:spacing w:line="360" w:lineRule="exact"/>
              <w:ind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5550" w:type="dxa"/>
            <w:tcBorders>
              <w:top w:val="single" w:color="auto" w:sz="4" w:space="0"/>
              <w:left w:val="single" w:color="auto" w:sz="4" w:space="0"/>
              <w:bottom w:val="single" w:color="auto" w:sz="4" w:space="0"/>
              <w:right w:val="single" w:color="auto" w:sz="4" w:space="0"/>
            </w:tcBorders>
            <w:noWrap/>
            <w:vAlign w:val="center"/>
          </w:tcPr>
          <w:p w14:paraId="39AD610C">
            <w:pPr>
              <w:keepNext w:val="0"/>
              <w:keepLines w:val="0"/>
              <w:pageBreakBefore w:val="0"/>
              <w:widowControl w:val="0"/>
              <w:kinsoku/>
              <w:wordWrap/>
              <w:overflowPunct/>
              <w:topLinePunct w:val="0"/>
              <w:autoSpaceDE w:val="0"/>
              <w:autoSpaceDN w:val="0"/>
              <w:bidi w:val="0"/>
              <w:adjustRightInd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7D20D7E3">
        <w:tblPrEx>
          <w:tblCellMar>
            <w:top w:w="0" w:type="dxa"/>
            <w:left w:w="108" w:type="dxa"/>
            <w:bottom w:w="0" w:type="dxa"/>
            <w:right w:w="108" w:type="dxa"/>
          </w:tblCellMar>
        </w:tblPrEx>
        <w:trPr>
          <w:trHeight w:val="481" w:hRule="atLeast"/>
        </w:trPr>
        <w:tc>
          <w:tcPr>
            <w:tcW w:w="8899" w:type="dxa"/>
            <w:gridSpan w:val="3"/>
            <w:tcBorders>
              <w:top w:val="single" w:color="auto" w:sz="4" w:space="0"/>
              <w:left w:val="single" w:color="auto" w:sz="4" w:space="0"/>
              <w:bottom w:val="single" w:color="auto" w:sz="4" w:space="0"/>
              <w:right w:val="single" w:color="auto" w:sz="4" w:space="0"/>
            </w:tcBorders>
            <w:noWrap/>
            <w:vAlign w:val="center"/>
          </w:tcPr>
          <w:p w14:paraId="1D32AA9B">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D5143B8">
        <w:tblPrEx>
          <w:tblCellMar>
            <w:top w:w="0" w:type="dxa"/>
            <w:left w:w="108" w:type="dxa"/>
            <w:bottom w:w="0" w:type="dxa"/>
            <w:right w:w="108" w:type="dxa"/>
          </w:tblCellMar>
        </w:tblPrEx>
        <w:trPr>
          <w:trHeight w:val="1673"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4A4D4929">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解释权</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14:paraId="78C46C9A">
            <w:pPr>
              <w:keepNext w:val="0"/>
              <w:keepLines w:val="0"/>
              <w:pageBreakBefore w:val="0"/>
              <w:widowControl w:val="0"/>
              <w:kinsoku/>
              <w:wordWrap/>
              <w:overflowPunct/>
              <w:topLinePunct w:val="0"/>
              <w:bidi w:val="0"/>
              <w:adjustRightInd w:val="0"/>
              <w:spacing w:line="36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269D142">
        <w:tblPrEx>
          <w:tblCellMar>
            <w:top w:w="0" w:type="dxa"/>
            <w:left w:w="108" w:type="dxa"/>
            <w:bottom w:w="0" w:type="dxa"/>
            <w:right w:w="108" w:type="dxa"/>
          </w:tblCellMar>
        </w:tblPrEx>
        <w:trPr>
          <w:trHeight w:val="90"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712ED808">
            <w:pPr>
              <w:pageBreakBefore w:val="0"/>
              <w:kinsoku/>
              <w:overflowPunct/>
              <w:bidi w:val="0"/>
              <w:spacing w:line="400" w:lineRule="exact"/>
              <w:ind w:firstLine="0" w:firstLineChars="0"/>
              <w:jc w:val="center"/>
              <w:rPr>
                <w:rFonts w:ascii="宋体" w:hAnsi="宋体" w:eastAsia="宋体"/>
                <w:color w:val="auto"/>
                <w:szCs w:val="21"/>
                <w:highlight w:val="none"/>
              </w:rPr>
            </w:pPr>
            <w:r>
              <w:rPr>
                <w:rFonts w:ascii="宋体" w:hAnsi="宋体" w:eastAsia="宋体"/>
                <w:color w:val="auto"/>
                <w:szCs w:val="21"/>
                <w:highlight w:val="none"/>
              </w:rPr>
              <w:t>采购代理服务费</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14:paraId="5C1F41B4">
            <w:pPr>
              <w:keepNext w:val="0"/>
              <w:keepLines w:val="0"/>
              <w:pageBreakBefore w:val="0"/>
              <w:widowControl w:val="0"/>
              <w:kinsoku/>
              <w:wordWrap/>
              <w:overflowPunct/>
              <w:topLinePunct w:val="0"/>
              <w:bidi w:val="0"/>
              <w:spacing w:line="360" w:lineRule="exact"/>
              <w:ind w:firstLine="0" w:firstLineChars="0"/>
              <w:jc w:val="left"/>
              <w:rPr>
                <w:rFonts w:ascii="宋体" w:hAnsi="宋体" w:eastAsia="宋体"/>
                <w:color w:val="auto"/>
                <w:szCs w:val="21"/>
                <w:highlight w:val="none"/>
              </w:rPr>
            </w:pPr>
            <w:r>
              <w:rPr>
                <w:rFonts w:hint="eastAsia" w:ascii="宋体" w:hAnsi="宋体" w:eastAsia="宋体" w:cs="Times New Roman"/>
                <w:color w:val="auto"/>
                <w:kern w:val="0"/>
                <w:szCs w:val="21"/>
                <w:shd w:val="clear" w:color="auto" w:fill="FFFFFF"/>
                <w:lang w:val="en-US" w:eastAsia="zh-CN"/>
              </w:rPr>
              <w:t>招标代理服务费：按照河南省招标投标协会关于印发《河南省招标代理服务收费指导意见》的通知（豫招协[2023]002号）文件的计算方法收取，招标代理服务费为11604.00元。</w:t>
            </w:r>
          </w:p>
        </w:tc>
      </w:tr>
      <w:tr w14:paraId="7040F346">
        <w:tblPrEx>
          <w:tblCellMar>
            <w:top w:w="0" w:type="dxa"/>
            <w:left w:w="108" w:type="dxa"/>
            <w:bottom w:w="0" w:type="dxa"/>
            <w:right w:w="108" w:type="dxa"/>
          </w:tblCellMar>
        </w:tblPrEx>
        <w:trPr>
          <w:trHeight w:val="539"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60D0593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宋体" w:hAnsi="宋体" w:eastAsia="宋体"/>
                <w:color w:val="auto"/>
                <w:szCs w:val="21"/>
                <w:highlight w:val="none"/>
              </w:rPr>
            </w:pPr>
            <w:bookmarkStart w:id="22" w:name="_Toc10694"/>
            <w:bookmarkStart w:id="23" w:name="_Toc152042305"/>
            <w:bookmarkStart w:id="24" w:name="_Toc455080108"/>
            <w:bookmarkStart w:id="25" w:name="_Toc152045529"/>
            <w:bookmarkStart w:id="26" w:name="_Toc466298091"/>
            <w:bookmarkStart w:id="27" w:name="_Toc144974497"/>
            <w:r>
              <w:rPr>
                <w:rFonts w:ascii="宋体" w:hAnsi="宋体" w:eastAsia="宋体"/>
                <w:color w:val="auto"/>
                <w:szCs w:val="21"/>
                <w:highlight w:val="none"/>
              </w:rPr>
              <w:t>河南省政府采购合同融资政策告知函</w:t>
            </w:r>
          </w:p>
          <w:p w14:paraId="7AEDA21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宋体" w:hAnsi="宋体" w:eastAsia="宋体"/>
                <w:color w:val="auto"/>
                <w:szCs w:val="21"/>
                <w:highlight w:val="none"/>
              </w:rPr>
            </w:pP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14:paraId="7EBC2F09">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各供应商：</w:t>
            </w:r>
          </w:p>
          <w:p w14:paraId="4399926A">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欢迎贵公司参与河南省政府采购活动！</w:t>
            </w:r>
          </w:p>
          <w:p w14:paraId="792DFD6C">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FD7DD2B">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贷款渠道和提供贷款的金融机构，可在河南省政府采购网“河南省政府采购合同融资平台”查询联系。政策解读网址：http://www.hngp.gov.cn/henan/content?infoId=1601449567470800&amp;channelCode=H6016</w:t>
            </w:r>
          </w:p>
        </w:tc>
      </w:tr>
      <w:tr w14:paraId="648AD282">
        <w:tblPrEx>
          <w:tblCellMar>
            <w:top w:w="0" w:type="dxa"/>
            <w:left w:w="108" w:type="dxa"/>
            <w:bottom w:w="0" w:type="dxa"/>
            <w:right w:w="108" w:type="dxa"/>
          </w:tblCellMar>
        </w:tblPrEx>
        <w:trPr>
          <w:trHeight w:val="464" w:hRule="atLeast"/>
        </w:trPr>
        <w:tc>
          <w:tcPr>
            <w:tcW w:w="1087" w:type="dxa"/>
            <w:tcBorders>
              <w:top w:val="single" w:color="auto" w:sz="4" w:space="0"/>
              <w:left w:val="single" w:color="auto" w:sz="4" w:space="0"/>
              <w:bottom w:val="single" w:color="auto" w:sz="4" w:space="0"/>
              <w:right w:val="single" w:color="auto" w:sz="4" w:space="0"/>
            </w:tcBorders>
            <w:noWrap/>
            <w:vAlign w:val="center"/>
          </w:tcPr>
          <w:p w14:paraId="21DA430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宋体" w:hAnsi="宋体" w:eastAsia="宋体"/>
                <w:color w:val="auto"/>
                <w:szCs w:val="21"/>
                <w:highlight w:val="none"/>
              </w:rPr>
            </w:pPr>
            <w:bookmarkStart w:id="28" w:name="_Toc24740"/>
            <w:r>
              <w:rPr>
                <w:rFonts w:hint="eastAsia" w:ascii="宋体" w:hAnsi="宋体" w:eastAsia="宋体"/>
                <w:color w:val="auto"/>
                <w:szCs w:val="21"/>
                <w:highlight w:val="none"/>
              </w:rPr>
              <w:t>其它</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14:paraId="4C92D28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本项目所属行业为其他未列明行业</w:t>
            </w:r>
          </w:p>
        </w:tc>
      </w:tr>
    </w:tbl>
    <w:p w14:paraId="556540B2">
      <w:pPr>
        <w:pStyle w:val="67"/>
        <w:pageBreakBefore w:val="0"/>
        <w:kinsoku/>
        <w:overflowPunct/>
        <w:bidi w:val="0"/>
        <w:spacing w:line="360" w:lineRule="auto"/>
        <w:ind w:firstLine="0" w:firstLineChars="0"/>
        <w:rPr>
          <w:rFonts w:ascii="宋体" w:hAnsi="宋体" w:eastAsia="宋体"/>
          <w:color w:val="auto"/>
          <w:sz w:val="21"/>
          <w:szCs w:val="21"/>
          <w:highlight w:val="none"/>
        </w:rPr>
      </w:pPr>
      <w:r>
        <w:rPr>
          <w:rFonts w:hint="eastAsia" w:ascii="宋体" w:hAnsi="宋体" w:eastAsia="宋体"/>
          <w:b/>
          <w:bCs/>
          <w:color w:val="auto"/>
          <w:sz w:val="24"/>
          <w:szCs w:val="24"/>
          <w:highlight w:val="none"/>
        </w:rPr>
        <w:t>1</w:t>
      </w:r>
      <w:r>
        <w:rPr>
          <w:rFonts w:hint="eastAsia" w:ascii="宋体" w:hAnsi="宋体" w:eastAsia="宋体"/>
          <w:b/>
          <w:bCs/>
          <w:color w:val="auto"/>
          <w:sz w:val="21"/>
          <w:szCs w:val="21"/>
          <w:highlight w:val="none"/>
        </w:rPr>
        <w:t>. 总则</w:t>
      </w:r>
      <w:bookmarkEnd w:id="22"/>
      <w:bookmarkEnd w:id="23"/>
      <w:bookmarkEnd w:id="24"/>
      <w:bookmarkEnd w:id="25"/>
      <w:bookmarkEnd w:id="26"/>
      <w:bookmarkEnd w:id="27"/>
      <w:bookmarkEnd w:id="28"/>
    </w:p>
    <w:p w14:paraId="08D5DD72">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29" w:name="_Toc29023"/>
      <w:bookmarkStart w:id="30" w:name="_Toc318450675"/>
      <w:bookmarkStart w:id="31" w:name="_Toc20827"/>
      <w:bookmarkStart w:id="32" w:name="_Toc10273"/>
      <w:bookmarkStart w:id="33" w:name="_Toc490667828"/>
      <w:bookmarkStart w:id="34" w:name="_Toc274409866"/>
      <w:bookmarkStart w:id="35" w:name="_Toc466298092"/>
      <w:bookmarkStart w:id="36" w:name="_Toc15391"/>
      <w:bookmarkStart w:id="37" w:name="_Toc6747"/>
      <w:bookmarkStart w:id="38" w:name="_Toc455867769"/>
      <w:bookmarkStart w:id="39" w:name="_Toc281380952"/>
      <w:bookmarkStart w:id="40" w:name="_Toc21458"/>
      <w:bookmarkStart w:id="41" w:name="_Toc31404"/>
      <w:bookmarkStart w:id="42" w:name="_Toc15709"/>
      <w:bookmarkStart w:id="43" w:name="_Toc658"/>
      <w:bookmarkStart w:id="44" w:name="_Toc27339"/>
      <w:bookmarkStart w:id="45" w:name="_Toc1669"/>
      <w:bookmarkStart w:id="46" w:name="_Toc1172"/>
      <w:bookmarkStart w:id="47" w:name="_Toc21979"/>
      <w:bookmarkStart w:id="48" w:name="_Toc1209"/>
      <w:bookmarkStart w:id="49" w:name="_Toc21266"/>
      <w:bookmarkStart w:id="50" w:name="_Toc455080109"/>
      <w:bookmarkStart w:id="51" w:name="_Toc9953"/>
      <w:bookmarkStart w:id="52" w:name="_Toc152042307"/>
      <w:bookmarkStart w:id="53" w:name="_Toc144974499"/>
      <w:bookmarkStart w:id="54" w:name="_Toc152045531"/>
      <w:r>
        <w:rPr>
          <w:rFonts w:hint="eastAsia" w:ascii="宋体" w:hAnsi="宋体" w:eastAsia="宋体"/>
          <w:b/>
          <w:bCs/>
          <w:color w:val="auto"/>
          <w:sz w:val="21"/>
          <w:szCs w:val="21"/>
          <w:highlight w:val="none"/>
        </w:rPr>
        <w:t>1.1 适用范围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7565E9B">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1.1.1根据《中华人民共和国政府采购法》等有关法律、法规和规章的规定，编制本项目磋商文件。</w:t>
      </w:r>
    </w:p>
    <w:p w14:paraId="03C334F3">
      <w:pPr>
        <w:pStyle w:val="68"/>
        <w:pageBreakBefore w:val="0"/>
        <w:tabs>
          <w:tab w:val="left" w:pos="7410"/>
        </w:tabs>
        <w:kinsoku/>
        <w:overflowPunct/>
        <w:bidi w:val="0"/>
        <w:spacing w:line="360" w:lineRule="auto"/>
        <w:ind w:firstLine="0" w:firstLineChars="0"/>
        <w:outlineLvl w:val="0"/>
        <w:rPr>
          <w:rFonts w:ascii="宋体" w:hAnsi="宋体" w:eastAsia="宋体"/>
          <w:b/>
          <w:bCs/>
          <w:color w:val="auto"/>
          <w:sz w:val="21"/>
          <w:szCs w:val="21"/>
          <w:highlight w:val="none"/>
        </w:rPr>
      </w:pPr>
      <w:bookmarkStart w:id="55" w:name="_Toc281405468"/>
      <w:bookmarkStart w:id="56" w:name="_Toc318450676"/>
      <w:bookmarkStart w:id="57" w:name="_Toc455867770"/>
      <w:bookmarkStart w:id="58" w:name="_Toc710"/>
      <w:bookmarkStart w:id="59" w:name="_Toc3336"/>
      <w:bookmarkStart w:id="60" w:name="_Toc25049"/>
      <w:bookmarkStart w:id="61" w:name="_Toc25773"/>
      <w:bookmarkStart w:id="62" w:name="_Toc30891"/>
      <w:bookmarkStart w:id="63" w:name="_Toc7237"/>
      <w:bookmarkStart w:id="64" w:name="_Toc2291"/>
      <w:bookmarkStart w:id="65" w:name="_Toc32619"/>
      <w:bookmarkStart w:id="66" w:name="_Toc14944"/>
      <w:bookmarkStart w:id="67" w:name="_Toc10556"/>
      <w:bookmarkStart w:id="68" w:name="_Toc455080110"/>
      <w:bookmarkStart w:id="69" w:name="_Toc490667829"/>
      <w:bookmarkStart w:id="70" w:name="_Toc7062"/>
      <w:bookmarkStart w:id="71" w:name="_Toc17549"/>
      <w:bookmarkStart w:id="72" w:name="_Toc274409867"/>
      <w:bookmarkStart w:id="73" w:name="_Toc466298093"/>
      <w:bookmarkStart w:id="74" w:name="_Toc10269"/>
      <w:bookmarkStart w:id="75" w:name="_Toc29506"/>
      <w:bookmarkStart w:id="76" w:name="_Toc2929"/>
      <w:bookmarkStart w:id="77" w:name="_Toc24852"/>
      <w:r>
        <w:rPr>
          <w:rFonts w:hint="eastAsia" w:ascii="宋体" w:hAnsi="宋体" w:eastAsia="宋体"/>
          <w:b/>
          <w:bCs/>
          <w:color w:val="auto"/>
          <w:sz w:val="21"/>
          <w:szCs w:val="21"/>
          <w:highlight w:val="none"/>
        </w:rPr>
        <w:t>1.2 招标项目说明</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3F59500">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1.2.1 本项目</w:t>
      </w:r>
      <w:r>
        <w:rPr>
          <w:rFonts w:hint="eastAsia" w:ascii="宋体" w:hAnsi="宋体"/>
          <w:color w:val="auto"/>
          <w:szCs w:val="21"/>
          <w:highlight w:val="none"/>
        </w:rPr>
        <w:t>采购人</w:t>
      </w:r>
      <w:r>
        <w:rPr>
          <w:rFonts w:hint="eastAsia" w:ascii="宋体" w:hAnsi="宋体" w:cs="宋体"/>
          <w:color w:val="auto"/>
          <w:szCs w:val="21"/>
          <w:highlight w:val="none"/>
        </w:rPr>
        <w:t>：见供应商须知前附表。</w:t>
      </w:r>
    </w:p>
    <w:p w14:paraId="5E69DA23">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1.2.2 本项目采购代理机构：见供应商须知前附表。</w:t>
      </w:r>
    </w:p>
    <w:p w14:paraId="1601D37B">
      <w:pPr>
        <w:pageBreakBefore w:val="0"/>
        <w:kinsoku/>
        <w:overflowPunct/>
        <w:bidi w:val="0"/>
        <w:spacing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1.2.3 本项目名称：见供应商须知前附表。</w:t>
      </w:r>
    </w:p>
    <w:p w14:paraId="1BCD5CE0">
      <w:pPr>
        <w:pageBreakBefore w:val="0"/>
        <w:kinsoku/>
        <w:overflowPunct/>
        <w:bidi w:val="0"/>
        <w:spacing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1.2.4本项目采购方式：见供应商须知前附表。</w:t>
      </w:r>
    </w:p>
    <w:p w14:paraId="03C06AAE">
      <w:pPr>
        <w:pageBreakBefore w:val="0"/>
        <w:kinsoku/>
        <w:overflowPunct/>
        <w:bidi w:val="0"/>
        <w:spacing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1.2.5本项目预算价（最高限价）：见供应商须知前附表。</w:t>
      </w:r>
    </w:p>
    <w:p w14:paraId="1D34777F">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78" w:name="_Toc22979"/>
      <w:bookmarkStart w:id="79" w:name="_Toc4952"/>
      <w:bookmarkStart w:id="80" w:name="_Toc4563"/>
      <w:bookmarkStart w:id="81" w:name="_Toc17146"/>
      <w:bookmarkStart w:id="82" w:name="_Toc4608"/>
      <w:bookmarkStart w:id="83" w:name="_Toc455080111"/>
      <w:bookmarkStart w:id="84" w:name="_Toc16931"/>
      <w:bookmarkStart w:id="85" w:name="_Toc281405469"/>
      <w:bookmarkStart w:id="86" w:name="_Toc466298094"/>
      <w:bookmarkStart w:id="87" w:name="_Toc9593"/>
      <w:bookmarkStart w:id="88" w:name="_Toc12098"/>
      <w:bookmarkStart w:id="89" w:name="_Toc18583"/>
      <w:bookmarkStart w:id="90" w:name="_Toc490667830"/>
      <w:bookmarkStart w:id="91" w:name="_Toc455867771"/>
      <w:bookmarkStart w:id="92" w:name="_Toc1373"/>
      <w:bookmarkStart w:id="93" w:name="_Toc17016"/>
      <w:bookmarkStart w:id="94" w:name="_Toc4122"/>
      <w:bookmarkStart w:id="95" w:name="_Toc318450677"/>
      <w:bookmarkStart w:id="96" w:name="_Toc16825"/>
      <w:bookmarkStart w:id="97" w:name="_Toc274409868"/>
      <w:bookmarkStart w:id="98" w:name="_Toc3477"/>
      <w:bookmarkStart w:id="99" w:name="_Toc18960"/>
      <w:bookmarkStart w:id="100" w:name="_Toc12395"/>
      <w:r>
        <w:rPr>
          <w:rFonts w:hint="eastAsia" w:ascii="宋体" w:hAnsi="宋体" w:eastAsia="宋体"/>
          <w:b/>
          <w:bCs/>
          <w:color w:val="auto"/>
          <w:sz w:val="21"/>
          <w:szCs w:val="21"/>
          <w:highlight w:val="none"/>
        </w:rPr>
        <w:t>1.3 定义及解释</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5BE89CE">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olor w:val="auto"/>
          <w:szCs w:val="21"/>
          <w:highlight w:val="none"/>
        </w:rPr>
        <w:t>采购人</w:t>
      </w:r>
      <w:r>
        <w:rPr>
          <w:rFonts w:hint="eastAsia" w:ascii="宋体" w:hAnsi="宋体" w:cs="宋体"/>
          <w:color w:val="auto"/>
          <w:szCs w:val="21"/>
          <w:highlight w:val="none"/>
        </w:rPr>
        <w:t>：依法进行政府采购的国家机关、事业单位、团体组织。</w:t>
      </w:r>
    </w:p>
    <w:p w14:paraId="41D2BCD8">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olor w:val="auto"/>
          <w:szCs w:val="21"/>
          <w:highlight w:val="none"/>
        </w:rPr>
        <w:t>采购代理机构</w:t>
      </w:r>
      <w:r>
        <w:rPr>
          <w:rFonts w:hint="eastAsia" w:ascii="宋体" w:hAnsi="宋体" w:cs="宋体"/>
          <w:color w:val="auto"/>
          <w:szCs w:val="21"/>
          <w:highlight w:val="none"/>
        </w:rPr>
        <w:t>：取得政府采购招标代理资质，受采购人委托组织招标活动的社会中介组织。</w:t>
      </w:r>
    </w:p>
    <w:p w14:paraId="6B344DD6">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1.3.3服务：系指根据本磋商文件规定供应商须承担的服务以及其他类似的义务等。</w:t>
      </w:r>
    </w:p>
    <w:p w14:paraId="723B0B9A">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1.3.4供应商：供应商是响应磋商文件、参加磋商竞争的中华人民共和国境内的法人、其它组织。</w:t>
      </w:r>
    </w:p>
    <w:p w14:paraId="726D7A36">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1.3.5响应文件：指供应商根据竞争性磋商文件提交的所有文件。</w:t>
      </w:r>
    </w:p>
    <w:p w14:paraId="44C2F8B0">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1.3.6磋商小组：依据</w:t>
      </w:r>
      <w:r>
        <w:rPr>
          <w:rFonts w:hint="eastAsia" w:ascii="宋体" w:hAnsi="宋体" w:cs="宋体"/>
          <w:color w:val="auto"/>
          <w:szCs w:val="21"/>
          <w:highlight w:val="none"/>
          <w:lang w:bidi="en-US"/>
        </w:rPr>
        <w:t>《中华人民共和国政府采购法》及有关法律、法规的规定依法组建的专门负责本次评标工作的临时机构</w:t>
      </w:r>
      <w:r>
        <w:rPr>
          <w:rFonts w:hint="eastAsia" w:ascii="宋体" w:hAnsi="宋体" w:cs="宋体"/>
          <w:color w:val="auto"/>
          <w:szCs w:val="21"/>
          <w:highlight w:val="none"/>
        </w:rPr>
        <w:t>。</w:t>
      </w:r>
    </w:p>
    <w:p w14:paraId="70CC9158">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1.3.7偏离：响应文件的响应相对于竞争性磋商文件要求的偏差，该偏差优于竞争性磋商文件要求的为正偏离；劣于的，为负偏离。</w:t>
      </w:r>
    </w:p>
    <w:p w14:paraId="336ED58B">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1.3.8“日期”或“天”：指日历天。</w:t>
      </w:r>
    </w:p>
    <w:p w14:paraId="62D2C7F9">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1.3.9合同：指依据本次服务采购招标结果签订的协议或合约文件。</w:t>
      </w:r>
    </w:p>
    <w:p w14:paraId="325DF28C">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1.3.10竞争性磋商文件中的标题或题名仅起引导作用，而不应视为对竞争性磋商文件内容的理解和解释。</w:t>
      </w:r>
    </w:p>
    <w:bookmarkEnd w:id="52"/>
    <w:bookmarkEnd w:id="53"/>
    <w:bookmarkEnd w:id="54"/>
    <w:p w14:paraId="28061DEF">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101" w:name="_Toc25616"/>
      <w:bookmarkStart w:id="102" w:name="_Toc24289"/>
      <w:bookmarkStart w:id="103" w:name="_Toc19363"/>
      <w:bookmarkStart w:id="104" w:name="_Toc490667831"/>
      <w:bookmarkStart w:id="105" w:name="_Toc455867772"/>
      <w:bookmarkStart w:id="106" w:name="_Toc14043"/>
      <w:bookmarkStart w:id="107" w:name="_Toc32236"/>
      <w:bookmarkStart w:id="108" w:name="_Toc152045532"/>
      <w:bookmarkStart w:id="109" w:name="_Toc17908"/>
      <w:bookmarkStart w:id="110" w:name="_Toc18788"/>
      <w:bookmarkStart w:id="111" w:name="_Toc10894"/>
      <w:bookmarkStart w:id="112" w:name="_Toc30975"/>
      <w:bookmarkStart w:id="113" w:name="_Toc455080112"/>
      <w:bookmarkStart w:id="114" w:name="_Toc466298095"/>
      <w:bookmarkStart w:id="115" w:name="_Toc152042308"/>
      <w:bookmarkStart w:id="116" w:name="_Toc27407"/>
      <w:bookmarkStart w:id="117" w:name="_Toc16470"/>
      <w:bookmarkStart w:id="118" w:name="_Toc318450678"/>
      <w:bookmarkStart w:id="119" w:name="_Toc23228"/>
      <w:bookmarkStart w:id="120" w:name="_Toc12752"/>
      <w:bookmarkStart w:id="121" w:name="_Toc21766"/>
      <w:bookmarkStart w:id="122" w:name="_Toc144974500"/>
      <w:bookmarkStart w:id="123" w:name="_Toc28499"/>
      <w:bookmarkStart w:id="124" w:name="_Toc17808"/>
      <w:r>
        <w:rPr>
          <w:rFonts w:hint="eastAsia" w:ascii="宋体" w:hAnsi="宋体" w:eastAsia="宋体"/>
          <w:b/>
          <w:bCs/>
          <w:color w:val="auto"/>
          <w:sz w:val="21"/>
          <w:szCs w:val="21"/>
          <w:highlight w:val="none"/>
        </w:rPr>
        <w:t>1.4 磋商内容、交货期、质保期和质量要求</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8A240B9">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1.4.1 本次磋商内容：见供应商须知前附表。</w:t>
      </w:r>
    </w:p>
    <w:p w14:paraId="783CDD27">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1.4.2 本项目的交货期：见供应商须知前附表。</w:t>
      </w:r>
    </w:p>
    <w:p w14:paraId="2EDC807E">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1.4.3本项目的质保期：见供应商须知前附表。</w:t>
      </w:r>
    </w:p>
    <w:p w14:paraId="60DA2C57">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1.4.4本项目的质量要求：见供应商须知前附表。</w:t>
      </w:r>
    </w:p>
    <w:p w14:paraId="469976F1">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eastAsia="宋体" w:cs="宋体"/>
          <w:color w:val="auto"/>
          <w:szCs w:val="21"/>
          <w:highlight w:val="none"/>
        </w:rPr>
        <w:t>1.4.5付款方式：见供应商须知前附表。</w:t>
      </w:r>
    </w:p>
    <w:p w14:paraId="456BC53C">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125" w:name="_Toc144974502"/>
      <w:bookmarkStart w:id="126" w:name="_Toc152045534"/>
      <w:bookmarkStart w:id="127" w:name="_Toc318450679"/>
      <w:bookmarkStart w:id="128" w:name="_Toc152042310"/>
      <w:bookmarkStart w:id="129" w:name="_Toc7209"/>
      <w:bookmarkStart w:id="130" w:name="_Toc455080113"/>
      <w:bookmarkStart w:id="131" w:name="_Toc9716"/>
      <w:bookmarkStart w:id="132" w:name="_Toc466298096"/>
      <w:bookmarkStart w:id="133" w:name="_Toc22643"/>
      <w:bookmarkStart w:id="134" w:name="_Toc18004"/>
      <w:bookmarkStart w:id="135" w:name="_Toc19901"/>
      <w:bookmarkStart w:id="136" w:name="_Toc5019"/>
      <w:bookmarkStart w:id="137" w:name="_Toc1602"/>
      <w:bookmarkStart w:id="138" w:name="_Toc4850"/>
      <w:bookmarkStart w:id="139" w:name="_Toc455867773"/>
      <w:bookmarkStart w:id="140" w:name="_Toc25754"/>
      <w:bookmarkStart w:id="141" w:name="_Toc13438"/>
      <w:bookmarkStart w:id="142" w:name="_Toc31969"/>
      <w:bookmarkStart w:id="143" w:name="_Toc11063"/>
      <w:bookmarkStart w:id="144" w:name="_Toc490667832"/>
      <w:bookmarkStart w:id="145" w:name="_Toc32156"/>
      <w:bookmarkStart w:id="146" w:name="_Toc4301"/>
      <w:bookmarkStart w:id="147" w:name="_Toc18689"/>
      <w:bookmarkStart w:id="148" w:name="_Toc4711"/>
      <w:r>
        <w:rPr>
          <w:rFonts w:hint="eastAsia" w:ascii="宋体" w:hAnsi="宋体" w:eastAsia="宋体"/>
          <w:b/>
          <w:bCs/>
          <w:color w:val="auto"/>
          <w:sz w:val="21"/>
          <w:szCs w:val="21"/>
          <w:highlight w:val="none"/>
        </w:rPr>
        <w:t xml:space="preserve">1.5 </w:t>
      </w:r>
      <w:bookmarkEnd w:id="125"/>
      <w:bookmarkEnd w:id="126"/>
      <w:bookmarkEnd w:id="127"/>
      <w:bookmarkEnd w:id="128"/>
      <w:r>
        <w:rPr>
          <w:rFonts w:hint="eastAsia" w:ascii="宋体" w:hAnsi="宋体" w:eastAsia="宋体"/>
          <w:b/>
          <w:bCs/>
          <w:color w:val="auto"/>
          <w:sz w:val="21"/>
          <w:szCs w:val="21"/>
          <w:highlight w:val="none"/>
        </w:rPr>
        <w:t>供应商资质条件和能力</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4C09AB0D">
      <w:pPr>
        <w:pageBreakBefore w:val="0"/>
        <w:kinsoku/>
        <w:overflowPunct/>
        <w:bidi w:val="0"/>
        <w:spacing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1.5.1供应商资质及能力要求：见供应商须知前附表。</w:t>
      </w:r>
    </w:p>
    <w:p w14:paraId="1A2ABF60">
      <w:pPr>
        <w:pageBreakBefore w:val="0"/>
        <w:kinsoku/>
        <w:overflowPunct/>
        <w:bidi w:val="0"/>
        <w:spacing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1.5.2是否接受联合体：见供应商须知前附表。</w:t>
      </w:r>
    </w:p>
    <w:p w14:paraId="71CBFECB">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149" w:name="_Toc11905"/>
      <w:bookmarkStart w:id="150" w:name="_Toc466298097"/>
      <w:bookmarkStart w:id="151" w:name="_Toc6233"/>
      <w:bookmarkStart w:id="152" w:name="_Toc152045535"/>
      <w:bookmarkStart w:id="153" w:name="_Toc455080114"/>
      <w:bookmarkStart w:id="154" w:name="_Toc152042311"/>
      <w:bookmarkStart w:id="155" w:name="_Toc14511"/>
      <w:bookmarkStart w:id="156" w:name="_Toc9505"/>
      <w:bookmarkStart w:id="157" w:name="_Toc651"/>
      <w:bookmarkStart w:id="158" w:name="_Toc31854"/>
      <w:bookmarkStart w:id="159" w:name="_Toc28135"/>
      <w:bookmarkStart w:id="160" w:name="_Toc16828"/>
      <w:bookmarkStart w:id="161" w:name="_Toc25712"/>
      <w:bookmarkStart w:id="162" w:name="_Toc529"/>
      <w:bookmarkStart w:id="163" w:name="_Toc16889"/>
      <w:bookmarkStart w:id="164" w:name="_Toc981"/>
      <w:bookmarkStart w:id="165" w:name="_Toc490667833"/>
      <w:bookmarkStart w:id="166" w:name="_Toc17411"/>
      <w:bookmarkStart w:id="167" w:name="_Toc12403"/>
      <w:bookmarkStart w:id="168" w:name="_Toc318450680"/>
      <w:bookmarkStart w:id="169" w:name="_Toc455867774"/>
      <w:bookmarkStart w:id="170" w:name="_Toc144974503"/>
      <w:bookmarkStart w:id="171" w:name="_Toc5162"/>
      <w:bookmarkStart w:id="172" w:name="_Toc32446"/>
      <w:r>
        <w:rPr>
          <w:rFonts w:hint="eastAsia" w:ascii="宋体" w:hAnsi="宋体" w:eastAsia="宋体"/>
          <w:b/>
          <w:bCs/>
          <w:color w:val="auto"/>
          <w:sz w:val="21"/>
          <w:szCs w:val="21"/>
          <w:highlight w:val="none"/>
        </w:rPr>
        <w:t>1.6 费用承担</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4AA03C2">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供应商准备和参加磋商活动发生的费用自理，不论磋商的结果如何，采购人和采购代理机构在任何情况下均无义务和责任承担这些费用。</w:t>
      </w:r>
    </w:p>
    <w:p w14:paraId="22D0FC26">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173" w:name="_Toc24601"/>
      <w:bookmarkStart w:id="174" w:name="_Toc11954"/>
      <w:bookmarkStart w:id="175" w:name="_Toc16419"/>
      <w:bookmarkStart w:id="176" w:name="_Toc8390"/>
      <w:bookmarkStart w:id="177" w:name="_Toc455867775"/>
      <w:bookmarkStart w:id="178" w:name="_Toc1879"/>
      <w:bookmarkStart w:id="179" w:name="_Toc22136"/>
      <w:bookmarkStart w:id="180" w:name="_Toc22800"/>
      <w:bookmarkStart w:id="181" w:name="_Toc318450681"/>
      <w:bookmarkStart w:id="182" w:name="_Toc152045536"/>
      <w:bookmarkStart w:id="183" w:name="_Toc5402"/>
      <w:bookmarkStart w:id="184" w:name="_Toc152042312"/>
      <w:bookmarkStart w:id="185" w:name="_Toc24530"/>
      <w:bookmarkStart w:id="186" w:name="_Toc20145"/>
      <w:bookmarkStart w:id="187" w:name="_Toc144974504"/>
      <w:bookmarkStart w:id="188" w:name="_Toc10331"/>
      <w:bookmarkStart w:id="189" w:name="_Toc490667834"/>
      <w:bookmarkStart w:id="190" w:name="_Toc466298098"/>
      <w:bookmarkStart w:id="191" w:name="_Toc8055"/>
      <w:bookmarkStart w:id="192" w:name="_Toc6014"/>
      <w:bookmarkStart w:id="193" w:name="_Toc455080115"/>
      <w:bookmarkStart w:id="194" w:name="_Toc32053"/>
      <w:bookmarkStart w:id="195" w:name="_Toc2622"/>
      <w:bookmarkStart w:id="196" w:name="_Toc609"/>
      <w:r>
        <w:rPr>
          <w:rFonts w:hint="eastAsia" w:ascii="宋体" w:hAnsi="宋体" w:eastAsia="宋体"/>
          <w:b/>
          <w:bCs/>
          <w:color w:val="auto"/>
          <w:sz w:val="21"/>
          <w:szCs w:val="21"/>
          <w:highlight w:val="none"/>
        </w:rPr>
        <w:t>1.7 保密</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17095B6">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参与磋商活动的各方应对竞争性磋商文件和响应文件中的商业和技术等秘密保密，违者应对由此造成的后果承担法律责任。 </w:t>
      </w:r>
    </w:p>
    <w:p w14:paraId="69D5BFDE">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197" w:name="_Toc144974505"/>
      <w:bookmarkStart w:id="198" w:name="_Toc23509"/>
      <w:bookmarkStart w:id="199" w:name="_Toc21089"/>
      <w:bookmarkStart w:id="200" w:name="_Toc6615"/>
      <w:bookmarkStart w:id="201" w:name="_Toc3628"/>
      <w:bookmarkStart w:id="202" w:name="_Toc30747"/>
      <w:bookmarkStart w:id="203" w:name="_Toc23942"/>
      <w:bookmarkStart w:id="204" w:name="_Toc13976"/>
      <w:bookmarkStart w:id="205" w:name="_Toc2658"/>
      <w:bookmarkStart w:id="206" w:name="_Toc455080116"/>
      <w:bookmarkStart w:id="207" w:name="_Toc152045537"/>
      <w:bookmarkStart w:id="208" w:name="_Toc490667835"/>
      <w:bookmarkStart w:id="209" w:name="_Toc455867776"/>
      <w:bookmarkStart w:id="210" w:name="_Toc7031"/>
      <w:bookmarkStart w:id="211" w:name="_Toc6550"/>
      <w:bookmarkStart w:id="212" w:name="_Toc30583"/>
      <w:bookmarkStart w:id="213" w:name="_Toc28512"/>
      <w:bookmarkStart w:id="214" w:name="_Toc25517"/>
      <w:bookmarkStart w:id="215" w:name="_Toc29323"/>
      <w:bookmarkStart w:id="216" w:name="_Toc14775"/>
      <w:bookmarkStart w:id="217" w:name="_Toc15673"/>
      <w:bookmarkStart w:id="218" w:name="_Toc152042313"/>
      <w:bookmarkStart w:id="219" w:name="_Toc466298099"/>
      <w:bookmarkStart w:id="220" w:name="_Toc318450682"/>
      <w:r>
        <w:rPr>
          <w:rFonts w:hint="eastAsia" w:ascii="宋体" w:hAnsi="宋体" w:eastAsia="宋体"/>
          <w:b/>
          <w:bCs/>
          <w:color w:val="auto"/>
          <w:sz w:val="21"/>
          <w:szCs w:val="21"/>
          <w:highlight w:val="none"/>
        </w:rPr>
        <w:t>1.8 语言</w:t>
      </w:r>
      <w:bookmarkEnd w:id="197"/>
      <w:r>
        <w:rPr>
          <w:rFonts w:hint="eastAsia" w:ascii="宋体" w:hAnsi="宋体" w:eastAsia="宋体"/>
          <w:b/>
          <w:bCs/>
          <w:color w:val="auto"/>
          <w:sz w:val="21"/>
          <w:szCs w:val="21"/>
          <w:highlight w:val="none"/>
        </w:rPr>
        <w:t>文字</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C958A04">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除专用术语外，与磋商有关的语言均使用中文。必要时专用术语应附有中文注释，</w:t>
      </w:r>
      <w:r>
        <w:rPr>
          <w:rFonts w:hint="eastAsia" w:ascii="宋体" w:hAnsi="宋体" w:cs="宋体"/>
          <w:color w:val="auto"/>
          <w:szCs w:val="21"/>
          <w:highlight w:val="none"/>
          <w:lang w:bidi="en-US"/>
        </w:rPr>
        <w:t>对不同文字文本响应文件的解释发生异议的，以中文文本为准。</w:t>
      </w:r>
    </w:p>
    <w:p w14:paraId="2A0D3404">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221" w:name="_Toc4501"/>
      <w:bookmarkStart w:id="222" w:name="_Toc14555"/>
      <w:bookmarkStart w:id="223" w:name="_Toc4237"/>
      <w:bookmarkStart w:id="224" w:name="_Toc22378"/>
      <w:bookmarkStart w:id="225" w:name="_Toc318450683"/>
      <w:bookmarkStart w:id="226" w:name="_Toc2313"/>
      <w:bookmarkStart w:id="227" w:name="_Toc9446"/>
      <w:bookmarkStart w:id="228" w:name="_Toc18357"/>
      <w:bookmarkStart w:id="229" w:name="_Toc18425"/>
      <w:bookmarkStart w:id="230" w:name="_Toc152042314"/>
      <w:bookmarkStart w:id="231" w:name="_Toc466298100"/>
      <w:bookmarkStart w:id="232" w:name="_Toc152045538"/>
      <w:bookmarkStart w:id="233" w:name="_Toc29626"/>
      <w:bookmarkStart w:id="234" w:name="_Toc14934"/>
      <w:bookmarkStart w:id="235" w:name="_Toc490667836"/>
      <w:bookmarkStart w:id="236" w:name="_Toc24337"/>
      <w:bookmarkStart w:id="237" w:name="_Toc22415"/>
      <w:bookmarkStart w:id="238" w:name="_Toc2702"/>
      <w:bookmarkStart w:id="239" w:name="_Toc17559"/>
      <w:bookmarkStart w:id="240" w:name="_Toc29060"/>
      <w:bookmarkStart w:id="241" w:name="_Toc32507"/>
      <w:bookmarkStart w:id="242" w:name="_Toc144974506"/>
      <w:bookmarkStart w:id="243" w:name="_Toc455867777"/>
      <w:bookmarkStart w:id="244" w:name="_Toc455080117"/>
      <w:r>
        <w:rPr>
          <w:rFonts w:hint="eastAsia" w:ascii="宋体" w:hAnsi="宋体" w:eastAsia="宋体"/>
          <w:b/>
          <w:bCs/>
          <w:color w:val="auto"/>
          <w:sz w:val="21"/>
          <w:szCs w:val="21"/>
          <w:highlight w:val="none"/>
        </w:rPr>
        <w:t>1.9 计量单位</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491B2D13">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B6790D6">
      <w:pPr>
        <w:pStyle w:val="68"/>
        <w:pageBreakBefore w:val="0"/>
        <w:kinsoku/>
        <w:overflowPunct/>
        <w:bidi w:val="0"/>
        <w:spacing w:line="360" w:lineRule="auto"/>
        <w:ind w:firstLine="0" w:firstLineChars="0"/>
        <w:outlineLvl w:val="0"/>
        <w:rPr>
          <w:rFonts w:ascii="宋体" w:hAnsi="宋体" w:eastAsia="宋体"/>
          <w:color w:val="auto"/>
          <w:sz w:val="21"/>
          <w:szCs w:val="21"/>
          <w:highlight w:val="none"/>
        </w:rPr>
      </w:pPr>
      <w:bookmarkStart w:id="245" w:name="_Toc152045540"/>
      <w:bookmarkStart w:id="246" w:name="_Toc144974508"/>
      <w:bookmarkStart w:id="247" w:name="_Toc152042316"/>
      <w:bookmarkStart w:id="248" w:name="_Toc18589"/>
      <w:bookmarkStart w:id="249" w:name="_Toc284"/>
      <w:bookmarkStart w:id="250" w:name="_Toc27570"/>
      <w:bookmarkStart w:id="251" w:name="_Toc2508"/>
      <w:bookmarkStart w:id="252" w:name="_Toc490667837"/>
      <w:bookmarkStart w:id="253" w:name="_Toc338"/>
      <w:bookmarkStart w:id="254" w:name="_Toc13675"/>
      <w:bookmarkStart w:id="255" w:name="_Toc12027"/>
      <w:bookmarkStart w:id="256" w:name="_Toc19685"/>
      <w:bookmarkStart w:id="257" w:name="_Toc466298101"/>
      <w:bookmarkStart w:id="258" w:name="_Toc455080118"/>
      <w:bookmarkStart w:id="259" w:name="_Toc318450684"/>
      <w:bookmarkStart w:id="260" w:name="_Toc455867778"/>
      <w:bookmarkStart w:id="261" w:name="_Toc31195"/>
      <w:bookmarkStart w:id="262" w:name="_Toc29845"/>
      <w:bookmarkStart w:id="263" w:name="_Toc21098"/>
      <w:bookmarkStart w:id="264" w:name="_Toc21643"/>
      <w:bookmarkStart w:id="265" w:name="_Toc8379"/>
      <w:bookmarkStart w:id="266" w:name="_Toc30886"/>
      <w:bookmarkStart w:id="267" w:name="_Toc15047"/>
      <w:bookmarkStart w:id="268" w:name="_Toc27512"/>
      <w:r>
        <w:rPr>
          <w:rFonts w:hint="eastAsia" w:ascii="宋体" w:hAnsi="宋体" w:eastAsia="宋体"/>
          <w:b/>
          <w:bCs/>
          <w:color w:val="auto"/>
          <w:sz w:val="21"/>
          <w:szCs w:val="21"/>
          <w:highlight w:val="none"/>
        </w:rPr>
        <w:t xml:space="preserve">1.10 </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rFonts w:hint="eastAsia" w:ascii="宋体" w:hAnsi="宋体" w:eastAsia="宋体"/>
          <w:b/>
          <w:bCs/>
          <w:color w:val="auto"/>
          <w:sz w:val="21"/>
          <w:szCs w:val="21"/>
          <w:highlight w:val="none"/>
        </w:rPr>
        <w:t>现场踏勘：</w:t>
      </w:r>
      <w:r>
        <w:rPr>
          <w:rFonts w:hint="eastAsia" w:ascii="宋体" w:hAnsi="宋体" w:eastAsia="宋体"/>
          <w:color w:val="auto"/>
          <w:sz w:val="21"/>
          <w:szCs w:val="21"/>
          <w:highlight w:val="none"/>
        </w:rPr>
        <w:t>自行踏勘，与之相关的费用，供应商自行承担。</w:t>
      </w:r>
      <w:bookmarkEnd w:id="263"/>
      <w:bookmarkEnd w:id="264"/>
      <w:bookmarkEnd w:id="265"/>
      <w:bookmarkEnd w:id="266"/>
      <w:bookmarkEnd w:id="267"/>
      <w:bookmarkEnd w:id="268"/>
    </w:p>
    <w:p w14:paraId="589DAE08">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269" w:name="_Toc21571"/>
      <w:bookmarkStart w:id="270" w:name="_Toc24262"/>
      <w:bookmarkStart w:id="271" w:name="_Toc4384"/>
      <w:bookmarkStart w:id="272" w:name="_Toc25208"/>
      <w:bookmarkStart w:id="273" w:name="_Toc12562"/>
      <w:bookmarkStart w:id="274" w:name="_Toc32757"/>
      <w:bookmarkStart w:id="275" w:name="_Toc144974509"/>
      <w:bookmarkStart w:id="276" w:name="_Toc5365"/>
      <w:bookmarkStart w:id="277" w:name="_Toc490667838"/>
      <w:bookmarkStart w:id="278" w:name="_Toc7035"/>
      <w:bookmarkStart w:id="279" w:name="_Toc23635"/>
      <w:bookmarkStart w:id="280" w:name="_Toc455080119"/>
      <w:bookmarkStart w:id="281" w:name="_Toc23678"/>
      <w:bookmarkStart w:id="282" w:name="_Toc11744"/>
      <w:bookmarkStart w:id="283" w:name="_Toc466298102"/>
      <w:bookmarkStart w:id="284" w:name="_Toc9182"/>
      <w:bookmarkStart w:id="285" w:name="_Toc455867779"/>
      <w:bookmarkStart w:id="286" w:name="_Toc25167"/>
      <w:bookmarkStart w:id="287" w:name="_Toc31725"/>
      <w:bookmarkStart w:id="288" w:name="_Toc152042317"/>
      <w:bookmarkStart w:id="289" w:name="_Toc29433"/>
      <w:bookmarkStart w:id="290" w:name="_Toc318450685"/>
      <w:bookmarkStart w:id="291" w:name="_Toc3853"/>
      <w:bookmarkStart w:id="292" w:name="_Toc152045541"/>
      <w:r>
        <w:rPr>
          <w:rFonts w:hint="eastAsia" w:ascii="宋体" w:hAnsi="宋体" w:eastAsia="宋体"/>
          <w:b/>
          <w:bCs/>
          <w:color w:val="auto"/>
          <w:sz w:val="21"/>
          <w:szCs w:val="21"/>
          <w:highlight w:val="none"/>
        </w:rPr>
        <w:t>1.11分包</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025316FF">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是否允许分包：见供应商须知前附表。</w:t>
      </w:r>
      <w:bookmarkStart w:id="293" w:name="_Toc144974510"/>
      <w:bookmarkStart w:id="294" w:name="_Toc152042318"/>
      <w:bookmarkStart w:id="295" w:name="_Toc152045542"/>
      <w:bookmarkStart w:id="296" w:name="_Toc455080120"/>
    </w:p>
    <w:bookmarkEnd w:id="293"/>
    <w:bookmarkEnd w:id="294"/>
    <w:bookmarkEnd w:id="295"/>
    <w:p w14:paraId="0E4D736B">
      <w:pPr>
        <w:pageBreakBefore w:val="0"/>
        <w:kinsoku/>
        <w:overflowPunct/>
        <w:bidi w:val="0"/>
        <w:spacing w:line="360" w:lineRule="auto"/>
        <w:ind w:firstLine="0" w:firstLineChars="0"/>
        <w:outlineLvl w:val="1"/>
        <w:rPr>
          <w:rFonts w:ascii="宋体" w:hAnsi="宋体" w:eastAsia="宋体"/>
          <w:b/>
          <w:bCs/>
          <w:color w:val="auto"/>
          <w:szCs w:val="21"/>
          <w:highlight w:val="none"/>
        </w:rPr>
      </w:pPr>
      <w:bookmarkStart w:id="297" w:name="_Toc12453"/>
      <w:bookmarkStart w:id="298" w:name="_Toc15552"/>
      <w:r>
        <w:rPr>
          <w:rFonts w:hint="eastAsia" w:ascii="宋体" w:hAnsi="宋体"/>
          <w:b/>
          <w:bCs/>
          <w:color w:val="auto"/>
          <w:szCs w:val="21"/>
          <w:highlight w:val="none"/>
        </w:rPr>
        <w:t>2.</w:t>
      </w:r>
      <w:bookmarkEnd w:id="296"/>
      <w:bookmarkEnd w:id="297"/>
      <w:r>
        <w:rPr>
          <w:rFonts w:hint="eastAsia" w:ascii="宋体" w:hAnsi="宋体"/>
          <w:b/>
          <w:bCs/>
          <w:color w:val="auto"/>
          <w:szCs w:val="21"/>
          <w:highlight w:val="none"/>
        </w:rPr>
        <w:t>竞争性磋商文件</w:t>
      </w:r>
      <w:bookmarkEnd w:id="298"/>
    </w:p>
    <w:p w14:paraId="288DB9F7">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299" w:name="_Toc32711"/>
      <w:bookmarkStart w:id="300" w:name="_Toc1008"/>
      <w:bookmarkStart w:id="301" w:name="_Toc318450687"/>
      <w:bookmarkStart w:id="302" w:name="_Toc455080121"/>
      <w:bookmarkStart w:id="303" w:name="_Toc23649"/>
      <w:bookmarkStart w:id="304" w:name="_Toc144974511"/>
      <w:bookmarkStart w:id="305" w:name="_Toc30664"/>
      <w:bookmarkStart w:id="306" w:name="_Toc30071"/>
      <w:bookmarkStart w:id="307" w:name="_Toc152045543"/>
      <w:bookmarkStart w:id="308" w:name="_Toc6065"/>
      <w:bookmarkStart w:id="309" w:name="_Toc12640"/>
      <w:bookmarkStart w:id="310" w:name="_Toc32497"/>
      <w:bookmarkStart w:id="311" w:name="_Toc7999"/>
      <w:bookmarkStart w:id="312" w:name="_Toc466298104"/>
      <w:bookmarkStart w:id="313" w:name="_Toc490667840"/>
      <w:bookmarkStart w:id="314" w:name="_Toc11599"/>
      <w:bookmarkStart w:id="315" w:name="_Toc9780"/>
      <w:bookmarkStart w:id="316" w:name="_Toc12004"/>
      <w:bookmarkStart w:id="317" w:name="_Toc152042319"/>
      <w:bookmarkStart w:id="318" w:name="_Toc3982"/>
      <w:bookmarkStart w:id="319" w:name="_Toc11567"/>
      <w:bookmarkStart w:id="320" w:name="_Toc30730"/>
      <w:bookmarkStart w:id="321" w:name="_Toc455867781"/>
      <w:r>
        <w:rPr>
          <w:rFonts w:hint="eastAsia" w:ascii="宋体" w:hAnsi="宋体" w:eastAsia="宋体"/>
          <w:b/>
          <w:bCs/>
          <w:color w:val="auto"/>
          <w:sz w:val="21"/>
          <w:szCs w:val="21"/>
          <w:highlight w:val="none"/>
        </w:rPr>
        <w:t>2.1竞争性磋商文件的组成</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27C766A9">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本竞争性磋商文件包括：</w:t>
      </w:r>
    </w:p>
    <w:p w14:paraId="48B9BFB9">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（1）竞争性磋商公告；</w:t>
      </w:r>
    </w:p>
    <w:p w14:paraId="32BFACD9">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（2）供应商须知；</w:t>
      </w:r>
    </w:p>
    <w:p w14:paraId="08204E01">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（3）评审办法；</w:t>
      </w:r>
    </w:p>
    <w:p w14:paraId="1AC346CE">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（4）河南省政府采购合同（参考文本）；</w:t>
      </w:r>
    </w:p>
    <w:p w14:paraId="0CB16E9D">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（5）采购项目技术参数、规格与要求；</w:t>
      </w:r>
    </w:p>
    <w:p w14:paraId="64A1E026">
      <w:pPr>
        <w:pageBreakBefore w:val="0"/>
        <w:kinsoku/>
        <w:overflowPunct/>
        <w:bidi w:val="0"/>
        <w:spacing w:line="360" w:lineRule="auto"/>
        <w:ind w:firstLine="0" w:firstLineChars="0"/>
        <w:rPr>
          <w:rFonts w:ascii="宋体" w:hAnsi="宋体" w:eastAsia="宋体" w:cs="宋体"/>
          <w:color w:val="auto"/>
          <w:szCs w:val="21"/>
          <w:highlight w:val="none"/>
        </w:rPr>
      </w:pPr>
      <w:r>
        <w:rPr>
          <w:rFonts w:hint="eastAsia" w:ascii="宋体" w:hAnsi="宋体" w:cs="宋体"/>
          <w:color w:val="auto"/>
          <w:szCs w:val="21"/>
          <w:highlight w:val="none"/>
        </w:rPr>
        <w:t>（6）竞争性磋商响应文件格式；</w:t>
      </w:r>
    </w:p>
    <w:p w14:paraId="74FC3204">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（7）供应商须知前附表规定的其他材料。</w:t>
      </w:r>
    </w:p>
    <w:p w14:paraId="1885E391">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根据本章第2.2款和第2.3款对竞争性磋商文件所作的澄清、修改，构成竞争性磋商文件的组成部分。</w:t>
      </w:r>
    </w:p>
    <w:p w14:paraId="04BC47C3">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322" w:name="_Toc4054"/>
      <w:bookmarkStart w:id="323" w:name="_Toc29229"/>
      <w:bookmarkStart w:id="324" w:name="_Toc391"/>
      <w:bookmarkStart w:id="325" w:name="_Toc14688"/>
      <w:bookmarkStart w:id="326" w:name="_Toc2133"/>
      <w:bookmarkStart w:id="327" w:name="_Toc15658"/>
      <w:bookmarkStart w:id="328" w:name="_Toc144974514"/>
      <w:bookmarkStart w:id="329" w:name="_Toc152045546"/>
      <w:bookmarkStart w:id="330" w:name="_Toc152042322"/>
      <w:bookmarkStart w:id="331" w:name="_Toc455080124"/>
      <w:r>
        <w:rPr>
          <w:rFonts w:hint="eastAsia" w:ascii="宋体" w:hAnsi="宋体" w:eastAsia="宋体"/>
          <w:b/>
          <w:bCs/>
          <w:color w:val="auto"/>
          <w:sz w:val="21"/>
          <w:szCs w:val="21"/>
          <w:highlight w:val="none"/>
        </w:rPr>
        <w:t>2.2 竞争性磋商文件的澄清</w:t>
      </w:r>
      <w:bookmarkEnd w:id="322"/>
      <w:bookmarkEnd w:id="323"/>
      <w:bookmarkEnd w:id="324"/>
      <w:bookmarkEnd w:id="325"/>
      <w:bookmarkEnd w:id="326"/>
      <w:bookmarkEnd w:id="327"/>
    </w:p>
    <w:p w14:paraId="7CA20541">
      <w:pPr>
        <w:pageBreakBefore w:val="0"/>
        <w:kinsoku/>
        <w:overflowPunct/>
        <w:bidi w:val="0"/>
        <w:spacing w:line="400" w:lineRule="exact"/>
        <w:ind w:firstLine="0" w:firstLineChars="0"/>
        <w:rPr>
          <w:rFonts w:ascii="宋体" w:hAnsi="宋体" w:cs="宋体"/>
          <w:color w:val="auto"/>
          <w:highlight w:val="none"/>
        </w:rPr>
      </w:pPr>
      <w:r>
        <w:rPr>
          <w:rFonts w:hint="eastAsia" w:ascii="宋体" w:hAnsi="宋体" w:cs="宋体"/>
          <w:color w:val="auto"/>
          <w:highlight w:val="none"/>
        </w:rPr>
        <w:t>2.2.1供应商应仔细阅读和检查竞争性磋商文件的全部内容。</w:t>
      </w:r>
      <w:r>
        <w:rPr>
          <w:rFonts w:hint="eastAsia" w:ascii="宋体" w:hAnsi="宋体" w:cs="宋体"/>
          <w:color w:val="auto"/>
          <w:szCs w:val="21"/>
          <w:highlight w:val="none"/>
        </w:rPr>
        <w:t>如发现缺页或附件不全，应及时向采购人提出，以便补齐。</w:t>
      </w:r>
      <w:r>
        <w:rPr>
          <w:rFonts w:hint="eastAsia" w:ascii="宋体" w:hAnsi="宋体" w:cs="宋体"/>
          <w:color w:val="auto"/>
          <w:highlight w:val="none"/>
        </w:rPr>
        <w:t>如有疑问，应在供应商须知前附表规定的时间前</w:t>
      </w:r>
      <w:r>
        <w:rPr>
          <w:rFonts w:hint="eastAsia" w:ascii="宋体" w:hAnsi="宋体"/>
          <w:color w:val="auto"/>
          <w:szCs w:val="21"/>
          <w:highlight w:val="none"/>
        </w:rPr>
        <w:t>以书面形式（包括信函、电报、传真等可以有形表现所载内容的形式，下同），</w:t>
      </w:r>
      <w:r>
        <w:rPr>
          <w:rFonts w:hint="eastAsia" w:ascii="宋体" w:hAnsi="宋体" w:cs="宋体"/>
          <w:color w:val="auto"/>
          <w:highlight w:val="none"/>
        </w:rPr>
        <w:t>要求采购人对竞争性磋商文件予以澄清。</w:t>
      </w:r>
    </w:p>
    <w:p w14:paraId="12CDA05E">
      <w:pPr>
        <w:pageBreakBefore w:val="0"/>
        <w:kinsoku/>
        <w:overflowPunct/>
        <w:bidi w:val="0"/>
        <w:spacing w:line="400" w:lineRule="exact"/>
        <w:ind w:firstLine="0" w:firstLineChars="0"/>
        <w:rPr>
          <w:rFonts w:ascii="宋体" w:hAnsi="宋体" w:cs="宋体"/>
          <w:color w:val="auto"/>
          <w:highlight w:val="none"/>
        </w:rPr>
      </w:pPr>
      <w:r>
        <w:rPr>
          <w:rFonts w:hint="eastAsia" w:ascii="宋体" w:hAnsi="宋体" w:cs="宋体"/>
          <w:color w:val="auto"/>
          <w:highlight w:val="none"/>
        </w:rPr>
        <w:t>2.2.2 竞争性磋商文件的澄清将在供应商须知前附表规定的响应文件递交截止时间5天前在信阳市公共资源交易系统“变更公告”或“答疑文件”</w:t>
      </w:r>
      <w:r>
        <w:rPr>
          <w:rFonts w:hint="eastAsia" w:ascii="宋体" w:hAnsi="宋体"/>
          <w:color w:val="auto"/>
          <w:szCs w:val="21"/>
          <w:highlight w:val="none"/>
        </w:rPr>
        <w:t>将澄清内容予以发布，</w:t>
      </w:r>
      <w:r>
        <w:rPr>
          <w:rFonts w:hint="eastAsia" w:ascii="宋体" w:hAnsi="宋体" w:cs="宋体"/>
          <w:color w:val="auto"/>
          <w:highlight w:val="none"/>
        </w:rPr>
        <w:t>但不指明澄清问题的来源。如果澄清的内容可能影响响应文件编制且发出的时间距响应文件递交截止时间不足5天，相应延长投标截止时间。</w:t>
      </w:r>
    </w:p>
    <w:p w14:paraId="5738690B">
      <w:pPr>
        <w:pageBreakBefore w:val="0"/>
        <w:kinsoku/>
        <w:overflowPunct/>
        <w:bidi w:val="0"/>
        <w:spacing w:line="360" w:lineRule="auto"/>
        <w:ind w:firstLine="0" w:firstLineChars="0"/>
        <w:rPr>
          <w:color w:val="auto"/>
          <w:highlight w:val="none"/>
        </w:rPr>
      </w:pPr>
      <w:r>
        <w:rPr>
          <w:rFonts w:hint="eastAsia" w:ascii="宋体" w:hAnsi="宋体"/>
          <w:color w:val="auto"/>
          <w:szCs w:val="21"/>
          <w:highlight w:val="none"/>
        </w:rPr>
        <w:t>2.2.3供应商应在响应文件递交截止时间前及时查看澄清内容，因供应商未及时查看而造成的后果自负。</w:t>
      </w:r>
    </w:p>
    <w:p w14:paraId="2B9768B1">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332" w:name="_Toc6489"/>
      <w:bookmarkStart w:id="333" w:name="_Toc8263"/>
      <w:bookmarkStart w:id="334" w:name="_Toc1637"/>
      <w:bookmarkStart w:id="335" w:name="_Toc10140"/>
      <w:bookmarkStart w:id="336" w:name="_Toc27360"/>
      <w:bookmarkStart w:id="337" w:name="_Toc5672"/>
      <w:r>
        <w:rPr>
          <w:rFonts w:hint="eastAsia" w:ascii="宋体" w:hAnsi="宋体" w:eastAsia="宋体"/>
          <w:b/>
          <w:bCs/>
          <w:color w:val="auto"/>
          <w:sz w:val="21"/>
          <w:szCs w:val="21"/>
          <w:highlight w:val="none"/>
        </w:rPr>
        <w:t>2.3 竞争性磋商文件的修改</w:t>
      </w:r>
      <w:bookmarkEnd w:id="332"/>
      <w:bookmarkEnd w:id="333"/>
      <w:bookmarkEnd w:id="334"/>
      <w:bookmarkEnd w:id="335"/>
      <w:bookmarkEnd w:id="336"/>
      <w:bookmarkEnd w:id="337"/>
    </w:p>
    <w:p w14:paraId="6CB4D373">
      <w:pPr>
        <w:pageBreakBefore w:val="0"/>
        <w:kinsoku/>
        <w:overflowPunct/>
        <w:bidi w:val="0"/>
        <w:spacing w:line="400" w:lineRule="exact"/>
        <w:ind w:firstLine="0" w:firstLineChars="0"/>
        <w:rPr>
          <w:rFonts w:ascii="宋体" w:hAnsi="宋体" w:cs="宋体"/>
          <w:color w:val="auto"/>
          <w:highlight w:val="none"/>
        </w:rPr>
      </w:pPr>
      <w:r>
        <w:rPr>
          <w:rFonts w:hint="eastAsia" w:ascii="宋体" w:hAnsi="宋体" w:cs="宋体"/>
          <w:color w:val="auto"/>
          <w:highlight w:val="none"/>
        </w:rPr>
        <w:t>2.3.1 在响应文件递交截止时间5天前，采购人可以修改竞争性磋商文件。如有修改，应在信阳市公共资源交易系统“变更公告”或“答疑文件”</w:t>
      </w:r>
      <w:r>
        <w:rPr>
          <w:rFonts w:hint="eastAsia" w:ascii="宋体" w:hAnsi="宋体"/>
          <w:color w:val="auto"/>
          <w:szCs w:val="21"/>
          <w:highlight w:val="none"/>
        </w:rPr>
        <w:t>将修改内容予以发布</w:t>
      </w:r>
      <w:r>
        <w:rPr>
          <w:rFonts w:hint="eastAsia" w:ascii="宋体" w:hAnsi="宋体" w:cs="宋体"/>
          <w:color w:val="auto"/>
          <w:highlight w:val="none"/>
        </w:rPr>
        <w:t>。如果修改的内容可能影响响应文件编制且发出的时间距响应文件递交截止时间不足5天，相应延长响应文件递交截止时间。</w:t>
      </w:r>
    </w:p>
    <w:p w14:paraId="282775FC">
      <w:pPr>
        <w:pageBreakBefore w:val="0"/>
        <w:kinsoku/>
        <w:overflowPunct/>
        <w:bidi w:val="0"/>
        <w:spacing w:line="360" w:lineRule="auto"/>
        <w:ind w:firstLine="0" w:firstLineChars="0"/>
        <w:rPr>
          <w:rFonts w:ascii="宋体" w:hAnsi="宋体"/>
          <w:color w:val="auto"/>
          <w:szCs w:val="21"/>
          <w:highlight w:val="none"/>
        </w:rPr>
      </w:pPr>
      <w:r>
        <w:rPr>
          <w:rFonts w:hint="eastAsia" w:ascii="宋体" w:hAnsi="宋体" w:cs="宋体"/>
          <w:color w:val="auto"/>
          <w:highlight w:val="none"/>
        </w:rPr>
        <w:t>2.3.2当竞争性磋商文件的澄清、修改、补充等在同一内容的表述上不一致时，</w:t>
      </w:r>
      <w:r>
        <w:rPr>
          <w:rFonts w:hint="eastAsia" w:ascii="宋体" w:hAnsi="宋体"/>
          <w:color w:val="auto"/>
          <w:szCs w:val="21"/>
          <w:highlight w:val="none"/>
        </w:rPr>
        <w:t>以最后在信阳市公共资源交易系统发出的文件为准。</w:t>
      </w:r>
    </w:p>
    <w:p w14:paraId="15A26E2C">
      <w:pPr>
        <w:pageBreakBefore w:val="0"/>
        <w:kinsoku/>
        <w:overflowPunct/>
        <w:bidi w:val="0"/>
        <w:spacing w:line="360" w:lineRule="auto"/>
        <w:ind w:firstLine="0" w:firstLineChars="0"/>
        <w:rPr>
          <w:color w:val="auto"/>
          <w:highlight w:val="none"/>
        </w:rPr>
      </w:pPr>
      <w:r>
        <w:rPr>
          <w:rFonts w:hint="eastAsia" w:ascii="宋体" w:hAnsi="宋体" w:cs="宋体"/>
          <w:color w:val="auto"/>
          <w:highlight w:val="none"/>
        </w:rPr>
        <w:t>2.3.3</w:t>
      </w:r>
      <w:r>
        <w:rPr>
          <w:rFonts w:hint="eastAsia" w:ascii="宋体" w:hAnsi="宋体"/>
          <w:color w:val="auto"/>
          <w:szCs w:val="21"/>
          <w:highlight w:val="none"/>
        </w:rPr>
        <w:t>供应商应在响应文件递交截止时间前及时查看修改内容，因供应商未及时查看而造成的后果自负。</w:t>
      </w:r>
    </w:p>
    <w:p w14:paraId="044B1047">
      <w:pPr>
        <w:pStyle w:val="67"/>
        <w:pageBreakBefore w:val="0"/>
        <w:kinsoku/>
        <w:overflowPunct/>
        <w:bidi w:val="0"/>
        <w:spacing w:line="360" w:lineRule="auto"/>
        <w:ind w:firstLine="0" w:firstLineChars="0"/>
        <w:rPr>
          <w:rFonts w:ascii="宋体" w:hAnsi="宋体" w:eastAsia="宋体"/>
          <w:b/>
          <w:bCs/>
          <w:color w:val="auto"/>
          <w:sz w:val="21"/>
          <w:szCs w:val="21"/>
          <w:highlight w:val="none"/>
        </w:rPr>
      </w:pPr>
      <w:bookmarkStart w:id="338" w:name="_Toc4666"/>
      <w:bookmarkStart w:id="339" w:name="_Toc22547"/>
      <w:r>
        <w:rPr>
          <w:rFonts w:hint="eastAsia" w:ascii="宋体" w:hAnsi="宋体" w:eastAsia="宋体"/>
          <w:b/>
          <w:bCs/>
          <w:color w:val="auto"/>
          <w:sz w:val="21"/>
          <w:szCs w:val="21"/>
          <w:highlight w:val="none"/>
        </w:rPr>
        <w:t xml:space="preserve">3. </w:t>
      </w:r>
      <w:bookmarkEnd w:id="328"/>
      <w:bookmarkEnd w:id="329"/>
      <w:bookmarkEnd w:id="330"/>
      <w:r>
        <w:rPr>
          <w:rFonts w:hint="eastAsia" w:ascii="宋体" w:hAnsi="宋体" w:eastAsia="宋体"/>
          <w:b/>
          <w:bCs/>
          <w:color w:val="auto"/>
          <w:sz w:val="21"/>
          <w:szCs w:val="21"/>
          <w:highlight w:val="none"/>
        </w:rPr>
        <w:t>响应文件</w:t>
      </w:r>
      <w:bookmarkEnd w:id="331"/>
      <w:bookmarkEnd w:id="338"/>
      <w:bookmarkEnd w:id="339"/>
    </w:p>
    <w:p w14:paraId="4FE7A86F">
      <w:pPr>
        <w:pStyle w:val="68"/>
        <w:pageBreakBefore w:val="0"/>
        <w:kinsoku/>
        <w:overflowPunct/>
        <w:bidi w:val="0"/>
        <w:spacing w:line="360" w:lineRule="auto"/>
        <w:ind w:firstLine="0" w:firstLineChars="0"/>
        <w:outlineLvl w:val="9"/>
        <w:rPr>
          <w:rFonts w:ascii="宋体" w:hAnsi="宋体" w:eastAsia="宋体"/>
          <w:b/>
          <w:bCs/>
          <w:color w:val="auto"/>
          <w:sz w:val="21"/>
          <w:szCs w:val="21"/>
          <w:highlight w:val="none"/>
        </w:rPr>
      </w:pPr>
      <w:bookmarkStart w:id="340" w:name="_Toc144974515"/>
      <w:bookmarkStart w:id="341" w:name="_Toc490667844"/>
      <w:bookmarkStart w:id="342" w:name="_Toc9273"/>
      <w:bookmarkStart w:id="343" w:name="_Toc318450691"/>
      <w:bookmarkStart w:id="344" w:name="_Toc28231"/>
      <w:bookmarkStart w:id="345" w:name="_Toc10096"/>
      <w:bookmarkStart w:id="346" w:name="_Toc152045547"/>
      <w:bookmarkStart w:id="347" w:name="_Toc15800"/>
      <w:bookmarkStart w:id="348" w:name="_Toc27373"/>
      <w:bookmarkStart w:id="349" w:name="_Toc32410"/>
      <w:bookmarkStart w:id="350" w:name="_Toc16198"/>
      <w:bookmarkStart w:id="351" w:name="_Toc13956"/>
      <w:bookmarkStart w:id="352" w:name="_Toc152042323"/>
      <w:bookmarkStart w:id="353" w:name="_Toc15810"/>
      <w:bookmarkStart w:id="354" w:name="_Toc13674"/>
      <w:bookmarkStart w:id="355" w:name="_Toc24440"/>
      <w:r>
        <w:rPr>
          <w:rFonts w:hint="eastAsia" w:ascii="宋体" w:hAnsi="宋体" w:eastAsia="宋体"/>
          <w:b/>
          <w:bCs/>
          <w:color w:val="auto"/>
          <w:sz w:val="21"/>
          <w:szCs w:val="21"/>
          <w:highlight w:val="none"/>
        </w:rPr>
        <w:t>3.1 响应文件的组成</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4553BF4F">
      <w:pPr>
        <w:pageBreakBefore w:val="0"/>
        <w:widowControl/>
        <w:kinsoku/>
        <w:overflowPunct/>
        <w:bidi w:val="0"/>
        <w:spacing w:line="400" w:lineRule="exact"/>
        <w:ind w:firstLine="0" w:firstLineChars="0"/>
        <w:jc w:val="left"/>
        <w:rPr>
          <w:rFonts w:ascii="宋体" w:hAnsi="宋体" w:eastAsia="宋体" w:cs="宋体"/>
          <w:color w:val="auto"/>
          <w:szCs w:val="21"/>
          <w:highlight w:val="none"/>
        </w:rPr>
      </w:pPr>
      <w:bookmarkStart w:id="356" w:name="_Toc279156232"/>
      <w:bookmarkStart w:id="357" w:name="_Toc152042324"/>
      <w:bookmarkStart w:id="358" w:name="_Toc26291"/>
      <w:bookmarkStart w:id="359" w:name="_Toc318450692"/>
      <w:bookmarkStart w:id="360" w:name="_Toc899"/>
      <w:bookmarkStart w:id="361" w:name="_Toc144974516"/>
      <w:bookmarkStart w:id="362" w:name="_Toc152045548"/>
      <w:r>
        <w:rPr>
          <w:rFonts w:hint="eastAsia" w:ascii="宋体" w:hAnsi="宋体" w:eastAsia="宋体" w:cs="宋体"/>
          <w:color w:val="auto"/>
          <w:szCs w:val="21"/>
          <w:highlight w:val="none"/>
        </w:rPr>
        <w:t>响应文件应包括下列内容</w:t>
      </w:r>
      <w:r>
        <w:rPr>
          <w:rFonts w:hint="eastAsia" w:ascii="宋体" w:hAnsi="宋体" w:eastAsia="宋体" w:cs="宋体"/>
          <w:b/>
          <w:bCs/>
          <w:color w:val="auto"/>
          <w:szCs w:val="21"/>
          <w:highlight w:val="none"/>
        </w:rPr>
        <w:t>：</w:t>
      </w:r>
    </w:p>
    <w:p w14:paraId="74036A87">
      <w:pPr>
        <w:pStyle w:val="28"/>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1）响应函及响应函附录</w:t>
      </w:r>
    </w:p>
    <w:p w14:paraId="71A9E8C4">
      <w:pPr>
        <w:pStyle w:val="28"/>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2）法定代表人（单位负责人）身份证明</w:t>
      </w:r>
    </w:p>
    <w:p w14:paraId="0A91EA3B">
      <w:pPr>
        <w:pStyle w:val="28"/>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3）授权委托书</w:t>
      </w:r>
    </w:p>
    <w:p w14:paraId="34CEBB6E">
      <w:pPr>
        <w:pStyle w:val="28"/>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4）资格审查材料</w:t>
      </w:r>
    </w:p>
    <w:p w14:paraId="2F28DADA">
      <w:pPr>
        <w:pStyle w:val="28"/>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5）技术方案</w:t>
      </w:r>
    </w:p>
    <w:p w14:paraId="187CDD73">
      <w:pPr>
        <w:pStyle w:val="28"/>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6）项目管理机构</w:t>
      </w:r>
    </w:p>
    <w:p w14:paraId="20281D64">
      <w:pPr>
        <w:pStyle w:val="28"/>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7）中小企业声明函</w:t>
      </w:r>
    </w:p>
    <w:p w14:paraId="3079F4F4">
      <w:pPr>
        <w:pStyle w:val="28"/>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8）残疾人福利性单位声明函</w:t>
      </w:r>
    </w:p>
    <w:p w14:paraId="050A2D2A">
      <w:pPr>
        <w:pStyle w:val="28"/>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9）监狱企业证明文件</w:t>
      </w:r>
    </w:p>
    <w:p w14:paraId="7BC3D153">
      <w:pPr>
        <w:pStyle w:val="28"/>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10）反商业贿赂承诺书</w:t>
      </w:r>
    </w:p>
    <w:p w14:paraId="55A8A842">
      <w:pPr>
        <w:pStyle w:val="28"/>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11）采购代理服务费承诺函</w:t>
      </w:r>
    </w:p>
    <w:p w14:paraId="465BE7CE">
      <w:pPr>
        <w:pStyle w:val="28"/>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12）其他材料</w:t>
      </w:r>
    </w:p>
    <w:p w14:paraId="7B279ED9">
      <w:pPr>
        <w:pageBreakBefore w:val="0"/>
        <w:kinsoku/>
        <w:overflowPunct/>
        <w:bidi w:val="0"/>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3.2 磋商报价</w:t>
      </w:r>
      <w:bookmarkEnd w:id="356"/>
      <w:bookmarkEnd w:id="357"/>
      <w:bookmarkEnd w:id="358"/>
      <w:bookmarkEnd w:id="359"/>
      <w:bookmarkEnd w:id="360"/>
      <w:bookmarkEnd w:id="361"/>
      <w:bookmarkEnd w:id="362"/>
    </w:p>
    <w:p w14:paraId="2AA823EA">
      <w:pPr>
        <w:pageBreakBefore w:val="0"/>
        <w:tabs>
          <w:tab w:val="left" w:pos="0"/>
          <w:tab w:val="left" w:pos="1050"/>
        </w:tabs>
        <w:kinsoku/>
        <w:overflowPunct/>
        <w:bidi w:val="0"/>
        <w:spacing w:line="440" w:lineRule="exact"/>
        <w:ind w:firstLine="0" w:firstLineChars="0"/>
        <w:rPr>
          <w:rFonts w:ascii="宋体" w:hAnsi="宋体" w:cs="宋体"/>
          <w:color w:val="auto"/>
          <w:szCs w:val="21"/>
          <w:highlight w:val="none"/>
        </w:rPr>
      </w:pPr>
      <w:bookmarkStart w:id="363" w:name="_Toc12402"/>
      <w:bookmarkStart w:id="364" w:name="_Toc490667846"/>
      <w:bookmarkStart w:id="365" w:name="_Toc29133"/>
      <w:bookmarkStart w:id="366" w:name="_Toc21600"/>
      <w:bookmarkStart w:id="367" w:name="_Toc3624"/>
      <w:bookmarkStart w:id="368" w:name="_Toc466298109"/>
      <w:bookmarkStart w:id="369" w:name="_Toc152045549"/>
      <w:bookmarkStart w:id="370" w:name="_Toc152042325"/>
      <w:bookmarkStart w:id="371" w:name="_Toc7910"/>
      <w:bookmarkStart w:id="372" w:name="_Toc318450693"/>
      <w:bookmarkStart w:id="373" w:name="_Toc11968"/>
      <w:bookmarkStart w:id="374" w:name="_Toc7105"/>
      <w:bookmarkStart w:id="375" w:name="_Toc2425"/>
      <w:bookmarkStart w:id="376" w:name="_Toc21680"/>
      <w:bookmarkStart w:id="377" w:name="_Toc144974517"/>
      <w:bookmarkStart w:id="378" w:name="_Toc455867786"/>
      <w:bookmarkStart w:id="379" w:name="_Toc6105"/>
      <w:bookmarkStart w:id="380" w:name="_Toc25387"/>
      <w:bookmarkStart w:id="381" w:name="_Toc455080126"/>
      <w:r>
        <w:rPr>
          <w:rFonts w:hint="eastAsia" w:ascii="宋体" w:hAnsi="宋体" w:cs="宋体"/>
          <w:color w:val="auto"/>
          <w:szCs w:val="21"/>
          <w:highlight w:val="none"/>
        </w:rPr>
        <w:t>3.2.1本项目的磋商报价应按照竞争性磋商文件、补充通知、答疑纪要、现场情况、承包范围，并充分考虑供货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分二次报价：第一次报价必须按照竞争性磋商文件的报价格式填报，第二次报价在磋商中填报，第二次报价（不得高于第一次报价）即为最终报价</w:t>
      </w:r>
      <w:bookmarkEnd w:id="363"/>
      <w:r>
        <w:rPr>
          <w:rFonts w:hint="eastAsia" w:ascii="宋体" w:hAnsi="宋体" w:cs="宋体"/>
          <w:color w:val="auto"/>
          <w:szCs w:val="21"/>
          <w:highlight w:val="none"/>
        </w:rPr>
        <w:t>。</w:t>
      </w:r>
    </w:p>
    <w:p w14:paraId="0A642B0F">
      <w:pPr>
        <w:pageBreakBefore w:val="0"/>
        <w:tabs>
          <w:tab w:val="left" w:pos="0"/>
          <w:tab w:val="left" w:pos="1050"/>
        </w:tabs>
        <w:kinsoku/>
        <w:overflowPunct/>
        <w:bidi w:val="0"/>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3.2.2供应商应充分了解该项目的总体情况以及影响磋商报价的其它要素，考虑供货期间的价格风险因素，成交价在合同实施期内不得调整，同时也不因市场价格变动而调整。</w:t>
      </w:r>
    </w:p>
    <w:p w14:paraId="56990632">
      <w:pPr>
        <w:pageBreakBefore w:val="0"/>
        <w:tabs>
          <w:tab w:val="left" w:pos="0"/>
          <w:tab w:val="left" w:pos="1050"/>
        </w:tabs>
        <w:kinsoku/>
        <w:overflowPunct/>
        <w:bidi w:val="0"/>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3.2.3 响应报价表中的大写金额和小写金额不一致的，以大写金额为准。</w:t>
      </w:r>
    </w:p>
    <w:p w14:paraId="2AA8EABF">
      <w:pPr>
        <w:pageBreakBefore w:val="0"/>
        <w:tabs>
          <w:tab w:val="left" w:pos="0"/>
          <w:tab w:val="left" w:pos="1050"/>
        </w:tabs>
        <w:kinsoku/>
        <w:overflowPunct/>
        <w:bidi w:val="0"/>
        <w:spacing w:line="440" w:lineRule="exact"/>
        <w:ind w:firstLine="0" w:firstLineChars="0"/>
        <w:rPr>
          <w:rFonts w:ascii="宋体" w:hAnsi="宋体" w:cs="宋体"/>
          <w:b/>
          <w:bCs/>
          <w:color w:val="auto"/>
          <w:szCs w:val="21"/>
          <w:highlight w:val="none"/>
        </w:rPr>
      </w:pPr>
      <w:r>
        <w:rPr>
          <w:rFonts w:hint="eastAsia" w:ascii="宋体" w:hAnsi="宋体" w:cs="宋体"/>
          <w:color w:val="auto"/>
          <w:szCs w:val="21"/>
          <w:highlight w:val="none"/>
        </w:rPr>
        <w:t>3.2.4供应商的报价明显低于其他通过符合性审查供应商的报价，有可能影响产品质量或者不能诚信履约的，磋商委员会应当要求其在磋商现场</w:t>
      </w:r>
      <w:r>
        <w:rPr>
          <w:rFonts w:hint="eastAsia" w:ascii="宋体" w:hAnsi="宋体" w:cs="宋体"/>
          <w:color w:val="auto"/>
          <w:kern w:val="0"/>
          <w:szCs w:val="21"/>
          <w:highlight w:val="none"/>
        </w:rPr>
        <w:t>（或电子交易系统）</w:t>
      </w:r>
      <w:r>
        <w:rPr>
          <w:rFonts w:hint="eastAsia" w:ascii="宋体" w:hAnsi="宋体" w:cs="宋体"/>
          <w:color w:val="auto"/>
          <w:szCs w:val="21"/>
          <w:highlight w:val="none"/>
        </w:rPr>
        <w:t>合理的时间内提供书面说明</w:t>
      </w:r>
      <w:r>
        <w:rPr>
          <w:rFonts w:hint="eastAsia" w:ascii="宋体" w:hAnsi="宋体" w:cs="宋体"/>
          <w:color w:val="auto"/>
          <w:kern w:val="0"/>
          <w:szCs w:val="21"/>
          <w:highlight w:val="none"/>
        </w:rPr>
        <w:t>（或电子澄清说明文件）</w:t>
      </w:r>
      <w:r>
        <w:rPr>
          <w:rFonts w:hint="eastAsia" w:ascii="宋体" w:hAnsi="宋体" w:cs="宋体"/>
          <w:color w:val="auto"/>
          <w:szCs w:val="21"/>
          <w:highlight w:val="none"/>
        </w:rPr>
        <w:t xml:space="preserve">，必要时提交相关证明材料；供应商不能证明其报价合理性的，磋商委员会应当将其作为无效投标处理。 </w:t>
      </w:r>
    </w:p>
    <w:p w14:paraId="5FA45438">
      <w:pPr>
        <w:spacing w:line="400" w:lineRule="exact"/>
        <w:ind w:firstLine="422" w:firstLineChars="200"/>
        <w:outlineLvl w:val="2"/>
        <w:rPr>
          <w:rFonts w:hint="eastAsia" w:ascii="宋体" w:hAnsi="宋体" w:cs="宋体"/>
          <w:b/>
          <w:bCs/>
          <w:color w:val="auto"/>
          <w:szCs w:val="21"/>
          <w:highlight w:val="none"/>
          <w:lang w:val="zh-CN"/>
        </w:rPr>
      </w:pPr>
      <w:bookmarkStart w:id="382" w:name="_Toc19445"/>
      <w:bookmarkStart w:id="383" w:name="_Toc8041"/>
      <w:bookmarkStart w:id="384" w:name="_Toc358"/>
      <w:bookmarkStart w:id="385" w:name="_Toc6786"/>
      <w:bookmarkStart w:id="386" w:name="_Toc22762"/>
      <w:bookmarkStart w:id="387" w:name="_Toc6707"/>
      <w:bookmarkStart w:id="388" w:name="_Toc20443"/>
      <w:bookmarkStart w:id="389" w:name="_Toc3822"/>
      <w:bookmarkStart w:id="390" w:name="_Toc11851"/>
      <w:bookmarkStart w:id="391" w:name="_Toc21628"/>
      <w:bookmarkStart w:id="392" w:name="_Toc22930"/>
      <w:bookmarkStart w:id="393" w:name="_Toc31811"/>
      <w:r>
        <w:rPr>
          <w:rFonts w:hint="eastAsia" w:ascii="宋体" w:hAnsi="宋体" w:cs="宋体"/>
          <w:b/>
          <w:bCs/>
          <w:color w:val="auto"/>
          <w:szCs w:val="21"/>
          <w:highlight w:val="none"/>
        </w:rPr>
        <w:t xml:space="preserve">3.3 </w:t>
      </w:r>
      <w:r>
        <w:rPr>
          <w:rFonts w:hint="eastAsia" w:ascii="宋体" w:hAnsi="宋体" w:cs="宋体"/>
          <w:b/>
          <w:bCs/>
          <w:color w:val="auto"/>
          <w:szCs w:val="21"/>
          <w:highlight w:val="none"/>
          <w:lang w:val="zh-CN"/>
        </w:rPr>
        <w:t>小型微型企业认定及评标价格评审（非专门面向中小企业适用）</w:t>
      </w:r>
      <w:bookmarkEnd w:id="382"/>
      <w:bookmarkEnd w:id="383"/>
      <w:bookmarkEnd w:id="384"/>
      <w:bookmarkEnd w:id="385"/>
      <w:bookmarkEnd w:id="386"/>
      <w:bookmarkEnd w:id="387"/>
      <w:bookmarkEnd w:id="388"/>
      <w:bookmarkEnd w:id="389"/>
    </w:p>
    <w:p w14:paraId="16B7C408">
      <w:pPr>
        <w:pStyle w:val="46"/>
        <w:spacing w:line="400" w:lineRule="exact"/>
        <w:ind w:firstLine="480" w:firstLineChars="200"/>
        <w:rPr>
          <w:rFonts w:hint="eastAsia" w:ascii="宋体" w:hAnsi="宋体" w:cs="宋体"/>
          <w:color w:val="auto"/>
          <w:highlight w:val="none"/>
          <w:lang w:val="zh-CN"/>
        </w:rPr>
      </w:pPr>
    </w:p>
    <w:tbl>
      <w:tblPr>
        <w:tblStyle w:val="30"/>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7275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02CA9245">
            <w:pPr>
              <w:pStyle w:val="10"/>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内容</w:t>
            </w:r>
          </w:p>
        </w:tc>
        <w:tc>
          <w:tcPr>
            <w:tcW w:w="1561" w:type="dxa"/>
            <w:noWrap w:val="0"/>
            <w:vAlign w:val="center"/>
          </w:tcPr>
          <w:p w14:paraId="47F5AC2F">
            <w:pPr>
              <w:pStyle w:val="10"/>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大型企业</w:t>
            </w:r>
          </w:p>
        </w:tc>
        <w:tc>
          <w:tcPr>
            <w:tcW w:w="1492" w:type="dxa"/>
            <w:noWrap w:val="0"/>
            <w:vAlign w:val="center"/>
          </w:tcPr>
          <w:p w14:paraId="17FA40B3">
            <w:pPr>
              <w:pStyle w:val="10"/>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中型企业</w:t>
            </w:r>
          </w:p>
        </w:tc>
        <w:tc>
          <w:tcPr>
            <w:tcW w:w="2273" w:type="dxa"/>
            <w:noWrap w:val="0"/>
            <w:vAlign w:val="center"/>
          </w:tcPr>
          <w:p w14:paraId="27C4715B">
            <w:pPr>
              <w:pStyle w:val="10"/>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小型企业</w:t>
            </w:r>
          </w:p>
        </w:tc>
        <w:tc>
          <w:tcPr>
            <w:tcW w:w="2094" w:type="dxa"/>
            <w:noWrap w:val="0"/>
            <w:vAlign w:val="center"/>
          </w:tcPr>
          <w:p w14:paraId="09193AAB">
            <w:pPr>
              <w:pStyle w:val="10"/>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微型企业</w:t>
            </w:r>
          </w:p>
        </w:tc>
      </w:tr>
      <w:tr w14:paraId="0566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0CBD1D24">
            <w:pPr>
              <w:pStyle w:val="10"/>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价格=</w:t>
            </w:r>
          </w:p>
        </w:tc>
        <w:tc>
          <w:tcPr>
            <w:tcW w:w="1561" w:type="dxa"/>
            <w:noWrap w:val="0"/>
            <w:vAlign w:val="center"/>
          </w:tcPr>
          <w:p w14:paraId="2FF1F85F">
            <w:pPr>
              <w:pStyle w:val="10"/>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报价</w:t>
            </w:r>
          </w:p>
        </w:tc>
        <w:tc>
          <w:tcPr>
            <w:tcW w:w="1492" w:type="dxa"/>
            <w:noWrap w:val="0"/>
            <w:vAlign w:val="center"/>
          </w:tcPr>
          <w:p w14:paraId="4FE4894E">
            <w:pPr>
              <w:pStyle w:val="10"/>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报价</w:t>
            </w:r>
          </w:p>
        </w:tc>
        <w:tc>
          <w:tcPr>
            <w:tcW w:w="2273" w:type="dxa"/>
            <w:noWrap w:val="0"/>
            <w:vAlign w:val="center"/>
          </w:tcPr>
          <w:p w14:paraId="11256B99">
            <w:pPr>
              <w:pStyle w:val="10"/>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报价×（1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val="zh-CN" w:eastAsia="zh-CN"/>
              </w:rPr>
              <w:t>%）</w:t>
            </w:r>
          </w:p>
        </w:tc>
        <w:tc>
          <w:tcPr>
            <w:tcW w:w="2094" w:type="dxa"/>
            <w:noWrap w:val="0"/>
            <w:vAlign w:val="center"/>
          </w:tcPr>
          <w:p w14:paraId="180B53CC">
            <w:pPr>
              <w:pStyle w:val="10"/>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报价×（1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val="zh-CN" w:eastAsia="zh-CN"/>
              </w:rPr>
              <w:t>%）</w:t>
            </w:r>
          </w:p>
        </w:tc>
      </w:tr>
    </w:tbl>
    <w:p w14:paraId="0C79B5E3">
      <w:pPr>
        <w:pStyle w:val="10"/>
        <w:rPr>
          <w:rFonts w:hint="eastAsia" w:ascii="宋体" w:hAnsi="宋体" w:cs="宋体"/>
          <w:color w:val="auto"/>
          <w:highlight w:val="none"/>
        </w:rPr>
      </w:pPr>
      <w:r>
        <w:rPr>
          <w:rFonts w:hint="eastAsia" w:ascii="宋体" w:hAnsi="宋体" w:cs="宋体"/>
          <w:color w:val="auto"/>
          <w:highlight w:val="none"/>
        </w:rPr>
        <w:t>3.3.1</w:t>
      </w:r>
      <w:r>
        <w:rPr>
          <w:rFonts w:hint="eastAsia" w:ascii="宋体" w:hAnsi="宋体" w:cs="宋体"/>
          <w:color w:val="auto"/>
          <w:highlight w:val="none"/>
          <w:lang w:val="zh-CN"/>
        </w:rPr>
        <w:t>根据《政府采购促进中小企业发展管理办法》（财库[20</w:t>
      </w:r>
      <w:r>
        <w:rPr>
          <w:rFonts w:hint="eastAsia" w:ascii="宋体" w:hAnsi="宋体" w:cs="宋体"/>
          <w:color w:val="auto"/>
          <w:highlight w:val="none"/>
        </w:rPr>
        <w:t>20</w:t>
      </w:r>
      <w:r>
        <w:rPr>
          <w:rFonts w:hint="eastAsia" w:ascii="宋体" w:hAnsi="宋体" w:cs="宋体"/>
          <w:color w:val="auto"/>
          <w:highlight w:val="none"/>
          <w:lang w:val="zh-CN"/>
        </w:rPr>
        <w:t>]</w:t>
      </w:r>
      <w:r>
        <w:rPr>
          <w:rFonts w:hint="eastAsia" w:ascii="宋体" w:hAnsi="宋体" w:cs="宋体"/>
          <w:color w:val="auto"/>
          <w:highlight w:val="none"/>
        </w:rPr>
        <w:t>46</w:t>
      </w:r>
      <w:r>
        <w:rPr>
          <w:rFonts w:hint="eastAsia" w:ascii="宋体" w:hAnsi="宋体" w:cs="宋体"/>
          <w:color w:val="auto"/>
          <w:highlight w:val="none"/>
          <w:lang w:val="zh-CN"/>
        </w:rPr>
        <w:t>号）的规定、《工业和信息化部、国家统计局、国家发展和改革委员会、财政部关于印发中小企业划型标准规定的通知》（工信部联企业[</w:t>
      </w:r>
      <w:r>
        <w:rPr>
          <w:rFonts w:hint="eastAsia" w:ascii="宋体" w:hAnsi="宋体" w:cs="宋体"/>
          <w:color w:val="auto"/>
          <w:highlight w:val="none"/>
        </w:rPr>
        <w:t>20</w:t>
      </w:r>
      <w:r>
        <w:rPr>
          <w:rFonts w:hint="eastAsia" w:ascii="宋体" w:hAnsi="宋体" w:cs="宋体"/>
          <w:color w:val="auto"/>
          <w:highlight w:val="none"/>
          <w:lang w:val="zh-CN"/>
        </w:rPr>
        <w:t>11]300号）、河南省财政厅 河南省工业和信息化厅《关于政府采购促进小型微型企业发展的实施意见》（豫财购[</w:t>
      </w:r>
      <w:r>
        <w:rPr>
          <w:rFonts w:hint="eastAsia" w:ascii="宋体" w:hAnsi="宋体" w:cs="宋体"/>
          <w:color w:val="auto"/>
          <w:highlight w:val="none"/>
        </w:rPr>
        <w:t>20</w:t>
      </w:r>
      <w:r>
        <w:rPr>
          <w:rFonts w:hint="eastAsia" w:ascii="宋体" w:hAnsi="宋体" w:cs="宋体"/>
          <w:color w:val="auto"/>
          <w:highlight w:val="none"/>
          <w:lang w:val="zh-CN"/>
        </w:rPr>
        <w:t>13]14号）文件规定，对小型和微型企业产品的价格给予</w:t>
      </w:r>
      <w:r>
        <w:rPr>
          <w:rFonts w:hint="eastAsia" w:ascii="宋体" w:hAnsi="宋体" w:cs="宋体"/>
          <w:color w:val="auto"/>
          <w:highlight w:val="none"/>
          <w:lang w:val="en-US" w:eastAsia="zh-CN"/>
        </w:rPr>
        <w:t>20</w:t>
      </w:r>
      <w:r>
        <w:rPr>
          <w:rFonts w:hint="eastAsia" w:ascii="宋体" w:hAnsi="宋体" w:cs="宋体"/>
          <w:color w:val="auto"/>
          <w:highlight w:val="none"/>
          <w:lang w:val="zh-CN"/>
        </w:rPr>
        <w:t>%的扣除，用扣除后的价格参与评审。</w:t>
      </w:r>
    </w:p>
    <w:p w14:paraId="2A4AC790">
      <w:pPr>
        <w:pStyle w:val="10"/>
        <w:rPr>
          <w:rFonts w:hint="eastAsia" w:ascii="宋体" w:hAnsi="宋体" w:cs="宋体"/>
          <w:color w:val="auto"/>
          <w:highlight w:val="none"/>
        </w:rPr>
      </w:pPr>
      <w:r>
        <w:rPr>
          <w:rFonts w:hint="eastAsia" w:ascii="宋体" w:hAnsi="宋体" w:cs="宋体"/>
          <w:color w:val="auto"/>
          <w:highlight w:val="none"/>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14:paraId="075D48AC">
      <w:pPr>
        <w:pStyle w:val="10"/>
        <w:rPr>
          <w:rFonts w:hint="eastAsia" w:ascii="宋体" w:hAnsi="宋体" w:cs="宋体"/>
          <w:color w:val="auto"/>
          <w:highlight w:val="none"/>
        </w:rPr>
      </w:pPr>
      <w:r>
        <w:rPr>
          <w:rFonts w:hint="eastAsia" w:ascii="宋体" w:hAnsi="宋体" w:cs="宋体"/>
          <w:color w:val="auto"/>
          <w:highlight w:val="none"/>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14:paraId="7BFB49A2">
      <w:pPr>
        <w:pStyle w:val="10"/>
        <w:ind w:firstLine="422"/>
        <w:rPr>
          <w:rFonts w:hint="eastAsia" w:ascii="宋体" w:hAnsi="宋体" w:cs="宋体"/>
          <w:b/>
          <w:bCs/>
          <w:color w:val="auto"/>
          <w:highlight w:val="none"/>
        </w:rPr>
      </w:pPr>
      <w:r>
        <w:rPr>
          <w:rFonts w:hint="eastAsia" w:ascii="宋体" w:hAnsi="宋体" w:cs="宋体"/>
          <w:b/>
          <w:bCs/>
          <w:color w:val="auto"/>
          <w:highlight w:val="none"/>
        </w:rPr>
        <w:t>注：投标价格为含税价。</w:t>
      </w:r>
    </w:p>
    <w:p w14:paraId="17CA09D7">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394" w:name="_Toc13240"/>
      <w:r>
        <w:rPr>
          <w:rFonts w:hint="eastAsia" w:ascii="宋体" w:hAnsi="宋体" w:eastAsia="宋体"/>
          <w:b/>
          <w:bCs/>
          <w:color w:val="auto"/>
          <w:sz w:val="21"/>
          <w:szCs w:val="21"/>
          <w:highlight w:val="none"/>
        </w:rPr>
        <w:t>3.3 磋商有效期</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90"/>
      <w:bookmarkEnd w:id="391"/>
      <w:bookmarkEnd w:id="392"/>
      <w:bookmarkEnd w:id="393"/>
      <w:bookmarkEnd w:id="394"/>
    </w:p>
    <w:p w14:paraId="73C40523">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3.3.1 在供应商须知前附表规定的磋商有效期内，供应商不得要求撤销或修改其响应文件。</w:t>
      </w:r>
    </w:p>
    <w:p w14:paraId="1A32DC96">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42C9DC25">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395" w:name="_Toc144974518"/>
      <w:bookmarkStart w:id="396" w:name="_Toc455080127"/>
      <w:bookmarkStart w:id="397" w:name="_Toc152042326"/>
      <w:bookmarkStart w:id="398" w:name="_Toc2505"/>
      <w:bookmarkStart w:id="399" w:name="_Toc318450694"/>
      <w:bookmarkStart w:id="400" w:name="_Toc10370"/>
      <w:bookmarkStart w:id="401" w:name="_Toc455867787"/>
      <w:bookmarkStart w:id="402" w:name="_Toc4165"/>
      <w:bookmarkStart w:id="403" w:name="_Toc152045550"/>
      <w:bookmarkStart w:id="404" w:name="_Toc7973"/>
      <w:bookmarkStart w:id="405" w:name="_Toc7618"/>
      <w:bookmarkStart w:id="406" w:name="_Toc30697"/>
      <w:bookmarkStart w:id="407" w:name="_Toc22634"/>
      <w:bookmarkStart w:id="408" w:name="_Toc7057"/>
      <w:bookmarkStart w:id="409" w:name="_Toc490667847"/>
      <w:bookmarkStart w:id="410" w:name="_Toc466298110"/>
      <w:bookmarkStart w:id="411" w:name="_Toc8406"/>
      <w:bookmarkStart w:id="412" w:name="_Toc7436"/>
      <w:bookmarkStart w:id="413" w:name="_Toc13403"/>
      <w:bookmarkStart w:id="414" w:name="_Toc11372"/>
      <w:bookmarkStart w:id="415" w:name="_Toc24281"/>
      <w:bookmarkStart w:id="416" w:name="_Toc13921"/>
      <w:bookmarkStart w:id="417" w:name="_Toc24456"/>
      <w:r>
        <w:rPr>
          <w:rFonts w:hint="eastAsia" w:ascii="宋体" w:hAnsi="宋体" w:eastAsia="宋体"/>
          <w:b/>
          <w:bCs/>
          <w:color w:val="auto"/>
          <w:sz w:val="21"/>
          <w:szCs w:val="21"/>
          <w:highlight w:val="none"/>
        </w:rPr>
        <w:t>3.4 磋商保证金</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Start w:id="418" w:name="_Toc152042328"/>
      <w:bookmarkStart w:id="419" w:name="_Toc144974520"/>
      <w:bookmarkStart w:id="420" w:name="_Toc152045552"/>
      <w:bookmarkStart w:id="421" w:name="_Toc318450695"/>
      <w:r>
        <w:rPr>
          <w:rFonts w:hint="eastAsia" w:ascii="宋体" w:hAnsi="宋体" w:eastAsia="宋体"/>
          <w:b/>
          <w:bCs/>
          <w:color w:val="auto"/>
          <w:sz w:val="21"/>
          <w:szCs w:val="21"/>
          <w:highlight w:val="none"/>
        </w:rPr>
        <w:t>：无。</w:t>
      </w:r>
      <w:bookmarkEnd w:id="412"/>
      <w:bookmarkEnd w:id="413"/>
      <w:bookmarkEnd w:id="414"/>
      <w:bookmarkEnd w:id="415"/>
      <w:bookmarkEnd w:id="416"/>
      <w:bookmarkEnd w:id="417"/>
    </w:p>
    <w:p w14:paraId="58E574FC">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422" w:name="_Toc455867788"/>
      <w:bookmarkStart w:id="423" w:name="_Toc17148"/>
      <w:bookmarkStart w:id="424" w:name="_Toc11077"/>
      <w:bookmarkStart w:id="425" w:name="_Toc466298111"/>
      <w:bookmarkStart w:id="426" w:name="_Toc27579"/>
      <w:bookmarkStart w:id="427" w:name="_Toc30696"/>
      <w:bookmarkStart w:id="428" w:name="_Toc17153"/>
      <w:bookmarkStart w:id="429" w:name="_Toc20328"/>
      <w:bookmarkStart w:id="430" w:name="_Toc15547"/>
      <w:bookmarkStart w:id="431" w:name="_Toc2794"/>
      <w:bookmarkStart w:id="432" w:name="_Toc29082"/>
      <w:bookmarkStart w:id="433" w:name="_Toc23136"/>
      <w:bookmarkStart w:id="434" w:name="_Toc22384"/>
      <w:bookmarkStart w:id="435" w:name="_Toc31935"/>
      <w:bookmarkStart w:id="436" w:name="_Toc13680"/>
      <w:bookmarkStart w:id="437" w:name="_Toc455080128"/>
      <w:bookmarkStart w:id="438" w:name="_Toc490667848"/>
      <w:bookmarkStart w:id="439" w:name="_Toc16747"/>
      <w:bookmarkStart w:id="440" w:name="_Toc22527"/>
      <w:r>
        <w:rPr>
          <w:rFonts w:hint="eastAsia" w:ascii="宋体" w:hAnsi="宋体" w:eastAsia="宋体"/>
          <w:b/>
          <w:bCs/>
          <w:color w:val="auto"/>
          <w:sz w:val="21"/>
          <w:szCs w:val="21"/>
          <w:highlight w:val="none"/>
        </w:rPr>
        <w:t>3.5资格审查资料</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25193234">
      <w:pPr>
        <w:pStyle w:val="68"/>
        <w:pageBreakBefore w:val="0"/>
        <w:kinsoku/>
        <w:overflowPunct/>
        <w:bidi w:val="0"/>
        <w:spacing w:line="360" w:lineRule="auto"/>
        <w:ind w:firstLine="0" w:firstLineChars="0"/>
        <w:outlineLvl w:val="0"/>
        <w:rPr>
          <w:rFonts w:ascii="宋体" w:hAnsi="宋体" w:eastAsia="宋体"/>
          <w:color w:val="auto"/>
          <w:sz w:val="21"/>
          <w:szCs w:val="21"/>
          <w:highlight w:val="none"/>
        </w:rPr>
      </w:pPr>
      <w:bookmarkStart w:id="441" w:name="_Toc13787"/>
      <w:bookmarkStart w:id="442" w:name="_Toc20557"/>
      <w:bookmarkStart w:id="443" w:name="_Toc933"/>
      <w:bookmarkStart w:id="444" w:name="_Toc10160"/>
      <w:bookmarkStart w:id="445" w:name="_Toc4586"/>
      <w:bookmarkStart w:id="446" w:name="_Toc1848"/>
      <w:bookmarkStart w:id="447" w:name="_Toc455867789"/>
      <w:bookmarkStart w:id="448" w:name="_Toc1228"/>
      <w:bookmarkStart w:id="449" w:name="_Toc318450696"/>
      <w:bookmarkStart w:id="450" w:name="_Toc466298112"/>
      <w:bookmarkStart w:id="451" w:name="_Toc11694"/>
      <w:bookmarkStart w:id="452" w:name="_Toc3286"/>
      <w:bookmarkStart w:id="453" w:name="_Toc26258"/>
      <w:bookmarkStart w:id="454" w:name="_Toc152045553"/>
      <w:bookmarkStart w:id="455" w:name="_Toc19724"/>
      <w:bookmarkStart w:id="456" w:name="_Toc152042329"/>
      <w:bookmarkStart w:id="457" w:name="_Toc490667849"/>
      <w:bookmarkStart w:id="458" w:name="_Toc455080129"/>
      <w:bookmarkStart w:id="459" w:name="_Toc18915"/>
      <w:bookmarkStart w:id="460" w:name="_Toc5132"/>
      <w:bookmarkStart w:id="461" w:name="_Toc9015"/>
      <w:bookmarkStart w:id="462" w:name="_Toc144974521"/>
      <w:bookmarkStart w:id="463" w:name="_Toc30442"/>
      <w:r>
        <w:rPr>
          <w:rFonts w:hint="eastAsia" w:ascii="宋体" w:hAnsi="宋体" w:eastAsia="宋体"/>
          <w:color w:val="auto"/>
          <w:sz w:val="21"/>
          <w:szCs w:val="21"/>
          <w:highlight w:val="none"/>
        </w:rPr>
        <w:t>按照第二章供应商须知表“供应商须知前附表”1.5.1要求，提供其他相关材料。</w:t>
      </w:r>
      <w:bookmarkEnd w:id="441"/>
      <w:bookmarkEnd w:id="442"/>
      <w:bookmarkEnd w:id="443"/>
      <w:bookmarkEnd w:id="444"/>
      <w:bookmarkEnd w:id="445"/>
      <w:bookmarkEnd w:id="446"/>
    </w:p>
    <w:p w14:paraId="73A37488">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464" w:name="_Toc24976"/>
      <w:bookmarkStart w:id="465" w:name="_Toc2472"/>
      <w:bookmarkStart w:id="466" w:name="_Toc3034"/>
      <w:bookmarkStart w:id="467" w:name="_Toc27283"/>
      <w:bookmarkStart w:id="468" w:name="_Toc9338"/>
      <w:bookmarkStart w:id="469" w:name="_Toc24859"/>
      <w:r>
        <w:rPr>
          <w:rFonts w:hint="eastAsia" w:ascii="宋体" w:hAnsi="宋体" w:eastAsia="宋体"/>
          <w:b/>
          <w:bCs/>
          <w:color w:val="auto"/>
          <w:sz w:val="21"/>
          <w:szCs w:val="21"/>
          <w:highlight w:val="none"/>
        </w:rPr>
        <w:t>3.6 备选方案</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4C2B813D">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除供应商须知前附表另有规定外，供应商不得递交备选磋商方案。</w:t>
      </w:r>
    </w:p>
    <w:p w14:paraId="10806E1F">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470" w:name="_Toc5516"/>
      <w:bookmarkStart w:id="471" w:name="_Toc18912"/>
      <w:bookmarkStart w:id="472" w:name="_Toc152042330"/>
      <w:bookmarkStart w:id="473" w:name="_Toc455867790"/>
      <w:bookmarkStart w:id="474" w:name="_Toc6323"/>
      <w:bookmarkStart w:id="475" w:name="_Toc490667850"/>
      <w:bookmarkStart w:id="476" w:name="_Toc466298113"/>
      <w:bookmarkStart w:id="477" w:name="_Toc318450697"/>
      <w:bookmarkStart w:id="478" w:name="_Toc22454"/>
      <w:bookmarkStart w:id="479" w:name="_Toc17697"/>
      <w:bookmarkStart w:id="480" w:name="_Toc455080130"/>
      <w:bookmarkStart w:id="481" w:name="_Toc152045554"/>
      <w:bookmarkStart w:id="482" w:name="_Toc7626"/>
      <w:bookmarkStart w:id="483" w:name="_Toc144974522"/>
      <w:bookmarkStart w:id="484" w:name="_Toc18141"/>
      <w:bookmarkStart w:id="485" w:name="_Toc7966"/>
      <w:bookmarkStart w:id="486" w:name="_Toc12275"/>
      <w:bookmarkStart w:id="487" w:name="_Toc10246"/>
      <w:bookmarkStart w:id="488" w:name="_Toc12541"/>
      <w:bookmarkStart w:id="489" w:name="_Toc25620"/>
      <w:bookmarkStart w:id="490" w:name="_Toc28656"/>
      <w:bookmarkStart w:id="491" w:name="_Toc8143"/>
      <w:bookmarkStart w:id="492" w:name="_Toc1358"/>
      <w:r>
        <w:rPr>
          <w:rFonts w:hint="eastAsia" w:ascii="宋体" w:hAnsi="宋体" w:eastAsia="宋体"/>
          <w:b/>
          <w:bCs/>
          <w:color w:val="auto"/>
          <w:sz w:val="21"/>
          <w:szCs w:val="21"/>
          <w:highlight w:val="none"/>
        </w:rPr>
        <w:t>3.7 响应文件的编制</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70B1C43E">
      <w:pPr>
        <w:pageBreakBefore w:val="0"/>
        <w:kinsoku/>
        <w:overflowPunct/>
        <w:bidi w:val="0"/>
        <w:spacing w:line="360" w:lineRule="auto"/>
        <w:ind w:firstLine="0" w:firstLineChars="0"/>
        <w:rPr>
          <w:rFonts w:ascii="宋体" w:hAnsi="宋体" w:cs="宋体"/>
          <w:color w:val="auto"/>
          <w:szCs w:val="21"/>
          <w:highlight w:val="none"/>
        </w:rPr>
      </w:pPr>
      <w:bookmarkStart w:id="493" w:name="_Toc152042331"/>
      <w:bookmarkStart w:id="494" w:name="_Toc455080131"/>
      <w:bookmarkStart w:id="495" w:name="_Toc152045555"/>
      <w:bookmarkStart w:id="496" w:name="_Toc144974523"/>
      <w:r>
        <w:rPr>
          <w:rFonts w:hint="eastAsia" w:ascii="宋体" w:hAnsi="宋体" w:cs="宋体"/>
          <w:color w:val="auto"/>
          <w:szCs w:val="21"/>
          <w:highlight w:val="none"/>
        </w:rPr>
        <w:t>3.7.1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06A8FAD0">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3.7.2 响应文件应当对竞争性磋商文件有关交货期、磋商有效期、质量要求、磋商内容作出响应。</w:t>
      </w:r>
    </w:p>
    <w:p w14:paraId="1B9239A6">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3.7.3响应文件应使用信阳市公共资源交易系统投标文件制作专用工具软件编制，竞争性磋商响应文件格式为“*.XYTF”。电子响应文件签字或盖章的具体要求见供应商须知前附表。）供应商须在响应文件递交截止时间前制作并提交。</w:t>
      </w:r>
    </w:p>
    <w:p w14:paraId="752EF5F7">
      <w:pPr>
        <w:pageBreakBefore w:val="0"/>
        <w:kinsoku/>
        <w:overflowPunct/>
        <w:bidi w:val="0"/>
        <w:spacing w:line="360" w:lineRule="auto"/>
        <w:ind w:firstLine="0" w:firstLineChars="0"/>
        <w:rPr>
          <w:rFonts w:ascii="宋体" w:hAnsi="宋体" w:cs="宋体"/>
          <w:color w:val="auto"/>
          <w:highlight w:val="none"/>
        </w:rPr>
      </w:pPr>
      <w:r>
        <w:rPr>
          <w:rFonts w:hint="eastAsia" w:ascii="宋体" w:hAnsi="宋体" w:cs="宋体"/>
          <w:color w:val="auto"/>
          <w:szCs w:val="21"/>
          <w:highlight w:val="none"/>
        </w:rPr>
        <w:t xml:space="preserve"> 3.7.4 响应文件份数见供应商须知前附表。</w:t>
      </w:r>
    </w:p>
    <w:p w14:paraId="18BAA953">
      <w:pPr>
        <w:pStyle w:val="67"/>
        <w:pageBreakBefore w:val="0"/>
        <w:kinsoku/>
        <w:overflowPunct/>
        <w:bidi w:val="0"/>
        <w:spacing w:line="360" w:lineRule="auto"/>
        <w:ind w:firstLine="0" w:firstLineChars="0"/>
        <w:rPr>
          <w:rFonts w:ascii="宋体" w:hAnsi="宋体" w:eastAsia="宋体"/>
          <w:b/>
          <w:bCs/>
          <w:color w:val="auto"/>
          <w:sz w:val="21"/>
          <w:szCs w:val="21"/>
          <w:highlight w:val="none"/>
        </w:rPr>
      </w:pPr>
      <w:bookmarkStart w:id="497" w:name="_Toc18951"/>
      <w:bookmarkStart w:id="498" w:name="_Toc19433"/>
      <w:r>
        <w:rPr>
          <w:rFonts w:hint="eastAsia" w:ascii="宋体" w:hAnsi="宋体" w:eastAsia="宋体"/>
          <w:b/>
          <w:bCs/>
          <w:color w:val="auto"/>
          <w:sz w:val="21"/>
          <w:szCs w:val="21"/>
          <w:highlight w:val="none"/>
        </w:rPr>
        <w:t xml:space="preserve">4. </w:t>
      </w:r>
      <w:bookmarkEnd w:id="493"/>
      <w:bookmarkEnd w:id="494"/>
      <w:bookmarkEnd w:id="495"/>
      <w:bookmarkEnd w:id="496"/>
      <w:r>
        <w:rPr>
          <w:rFonts w:hint="eastAsia" w:ascii="宋体" w:hAnsi="宋体" w:eastAsia="宋体"/>
          <w:b/>
          <w:bCs/>
          <w:color w:val="auto"/>
          <w:sz w:val="21"/>
          <w:szCs w:val="21"/>
          <w:highlight w:val="none"/>
        </w:rPr>
        <w:t>磋商</w:t>
      </w:r>
      <w:bookmarkEnd w:id="497"/>
      <w:bookmarkEnd w:id="498"/>
    </w:p>
    <w:p w14:paraId="5A75B5BF">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499" w:name="_Toc455867792"/>
      <w:bookmarkStart w:id="500" w:name="_Toc26583"/>
      <w:bookmarkStart w:id="501" w:name="_Toc455080132"/>
      <w:bookmarkStart w:id="502" w:name="_Toc144974524"/>
      <w:bookmarkStart w:id="503" w:name="_Toc16344"/>
      <w:bookmarkStart w:id="504" w:name="_Toc11243"/>
      <w:bookmarkStart w:id="505" w:name="_Toc22961"/>
      <w:bookmarkStart w:id="506" w:name="_Toc466298115"/>
      <w:bookmarkStart w:id="507" w:name="_Toc16962"/>
      <w:bookmarkStart w:id="508" w:name="_Toc490667852"/>
      <w:bookmarkStart w:id="509" w:name="_Toc16783"/>
      <w:bookmarkStart w:id="510" w:name="_Toc18820"/>
      <w:bookmarkStart w:id="511" w:name="_Toc31492"/>
      <w:bookmarkStart w:id="512" w:name="_Toc152042332"/>
      <w:bookmarkStart w:id="513" w:name="_Toc26550"/>
      <w:bookmarkStart w:id="514" w:name="_Toc318450699"/>
      <w:bookmarkStart w:id="515" w:name="_Toc152045556"/>
      <w:bookmarkStart w:id="516" w:name="_Toc7666"/>
      <w:bookmarkStart w:id="517" w:name="_Toc24560"/>
      <w:bookmarkStart w:id="518" w:name="_Toc25812"/>
      <w:bookmarkStart w:id="519" w:name="_Toc9644"/>
      <w:bookmarkStart w:id="520" w:name="_Toc29366"/>
      <w:bookmarkStart w:id="521" w:name="_Toc21145"/>
      <w:r>
        <w:rPr>
          <w:rFonts w:hint="eastAsia" w:ascii="宋体" w:hAnsi="宋体" w:eastAsia="宋体"/>
          <w:b/>
          <w:bCs/>
          <w:color w:val="auto"/>
          <w:sz w:val="21"/>
          <w:szCs w:val="21"/>
          <w:highlight w:val="none"/>
        </w:rPr>
        <w:t>4.1 响应文件的</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Pr>
          <w:rFonts w:hint="eastAsia" w:ascii="宋体" w:hAnsi="宋体" w:eastAsia="宋体"/>
          <w:b/>
          <w:bCs/>
          <w:color w:val="auto"/>
          <w:sz w:val="21"/>
          <w:szCs w:val="21"/>
          <w:highlight w:val="none"/>
        </w:rPr>
        <w:t>上传</w:t>
      </w:r>
      <w:bookmarkEnd w:id="516"/>
      <w:bookmarkEnd w:id="517"/>
      <w:bookmarkEnd w:id="518"/>
      <w:bookmarkEnd w:id="519"/>
      <w:bookmarkEnd w:id="520"/>
      <w:bookmarkEnd w:id="521"/>
    </w:p>
    <w:p w14:paraId="15525FEA">
      <w:pPr>
        <w:pageBreakBefore w:val="0"/>
        <w:kinsoku/>
        <w:overflowPunct/>
        <w:bidi w:val="0"/>
        <w:spacing w:line="360" w:lineRule="auto"/>
        <w:ind w:firstLine="0" w:firstLineChars="0"/>
        <w:rPr>
          <w:rFonts w:ascii="宋体" w:hAnsi="宋体"/>
          <w:color w:val="auto"/>
          <w:szCs w:val="21"/>
          <w:highlight w:val="none"/>
        </w:rPr>
      </w:pPr>
      <w:r>
        <w:rPr>
          <w:rFonts w:hint="eastAsia" w:ascii="宋体" w:hAnsi="宋体" w:cs="宋体"/>
          <w:color w:val="auto"/>
          <w:szCs w:val="21"/>
          <w:highlight w:val="none"/>
        </w:rPr>
        <w:t>4.1.1网上上传的电子响应文件应使用供应商数字证书认证并加密</w:t>
      </w:r>
      <w:r>
        <w:rPr>
          <w:rFonts w:hint="eastAsia" w:ascii="宋体" w:hAnsi="宋体"/>
          <w:color w:val="auto"/>
          <w:szCs w:val="21"/>
          <w:highlight w:val="none"/>
        </w:rPr>
        <w:t>。</w:t>
      </w:r>
    </w:p>
    <w:p w14:paraId="1100BA7C">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522" w:name="_Toc20259"/>
      <w:bookmarkStart w:id="523" w:name="_Toc7663"/>
      <w:bookmarkStart w:id="524" w:name="_Toc4767"/>
      <w:bookmarkStart w:id="525" w:name="_Toc21072"/>
      <w:bookmarkStart w:id="526" w:name="_Toc22202"/>
      <w:bookmarkStart w:id="527" w:name="_Toc15488"/>
      <w:bookmarkStart w:id="528" w:name="_Toc28929"/>
      <w:bookmarkStart w:id="529" w:name="_Toc152045557"/>
      <w:bookmarkStart w:id="530" w:name="_Toc16976"/>
      <w:bookmarkStart w:id="531" w:name="_Toc27132"/>
      <w:bookmarkStart w:id="532" w:name="_Toc28272"/>
      <w:bookmarkStart w:id="533" w:name="_Toc16832"/>
      <w:bookmarkStart w:id="534" w:name="_Toc152042333"/>
      <w:bookmarkStart w:id="535" w:name="_Toc466298116"/>
      <w:bookmarkStart w:id="536" w:name="_Toc144974525"/>
      <w:bookmarkStart w:id="537" w:name="_Toc455080133"/>
      <w:bookmarkStart w:id="538" w:name="_Toc16394"/>
      <w:bookmarkStart w:id="539" w:name="_Toc462"/>
      <w:bookmarkStart w:id="540" w:name="_Toc318450700"/>
      <w:bookmarkStart w:id="541" w:name="_Toc455867793"/>
      <w:bookmarkStart w:id="542" w:name="_Toc490667853"/>
      <w:bookmarkStart w:id="543" w:name="_Toc8754"/>
      <w:bookmarkStart w:id="544" w:name="_Toc21897"/>
      <w:r>
        <w:rPr>
          <w:rFonts w:hint="eastAsia" w:ascii="宋体" w:hAnsi="宋体" w:eastAsia="宋体"/>
          <w:b/>
          <w:bCs/>
          <w:color w:val="auto"/>
          <w:sz w:val="21"/>
          <w:szCs w:val="21"/>
          <w:highlight w:val="none"/>
        </w:rPr>
        <w:t>4.2 响应文件的递交</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2CE4EA26">
      <w:pPr>
        <w:pageBreakBefore w:val="0"/>
        <w:kinsoku/>
        <w:overflowPunct/>
        <w:bidi w:val="0"/>
        <w:spacing w:line="400" w:lineRule="exact"/>
        <w:ind w:firstLine="0" w:firstLineChars="0"/>
        <w:rPr>
          <w:rFonts w:ascii="宋体" w:hAnsi="宋体" w:cs="宋体"/>
          <w:color w:val="auto"/>
          <w:highlight w:val="none"/>
        </w:rPr>
      </w:pPr>
      <w:bookmarkStart w:id="545" w:name="_Toc21890"/>
      <w:bookmarkStart w:id="546" w:name="_Toc11817"/>
      <w:bookmarkStart w:id="547" w:name="_Toc466298117"/>
      <w:bookmarkStart w:id="548" w:name="_Toc144974526"/>
      <w:bookmarkStart w:id="549" w:name="_Toc455867794"/>
      <w:bookmarkStart w:id="550" w:name="_Toc19951"/>
      <w:bookmarkStart w:id="551" w:name="_Toc2952"/>
      <w:bookmarkStart w:id="552" w:name="_Toc30860"/>
      <w:bookmarkStart w:id="553" w:name="_Toc490667854"/>
      <w:bookmarkStart w:id="554" w:name="_Toc5102"/>
      <w:bookmarkStart w:id="555" w:name="_Toc455080134"/>
      <w:bookmarkStart w:id="556" w:name="_Toc318450701"/>
      <w:bookmarkStart w:id="557" w:name="_Toc20281"/>
      <w:bookmarkStart w:id="558" w:name="_Toc152045558"/>
      <w:bookmarkStart w:id="559" w:name="_Toc26684"/>
      <w:bookmarkStart w:id="560" w:name="_Toc17161"/>
      <w:bookmarkStart w:id="561" w:name="_Toc152042334"/>
      <w:r>
        <w:rPr>
          <w:rFonts w:hint="eastAsia" w:ascii="宋体" w:hAnsi="宋体" w:cs="宋体"/>
          <w:color w:val="auto"/>
          <w:highlight w:val="none"/>
        </w:rPr>
        <w:t>4.2.1电子响应文件的递交</w:t>
      </w:r>
    </w:p>
    <w:p w14:paraId="72A390E7">
      <w:pPr>
        <w:pageBreakBefore w:val="0"/>
        <w:kinsoku/>
        <w:overflowPunct/>
        <w:bidi w:val="0"/>
        <w:spacing w:line="400" w:lineRule="exact"/>
        <w:ind w:firstLine="0" w:firstLineChars="0"/>
        <w:rPr>
          <w:rFonts w:ascii="宋体" w:hAnsi="宋体" w:cs="宋体"/>
          <w:color w:val="auto"/>
          <w:highlight w:val="none"/>
        </w:rPr>
      </w:pPr>
      <w:r>
        <w:rPr>
          <w:rFonts w:hint="eastAsia" w:ascii="宋体" w:hAnsi="宋体" w:cs="宋体"/>
          <w:color w:val="auto"/>
          <w:highlight w:val="none"/>
        </w:rPr>
        <w:t>各供应商应在响应文件提交截止时间前上传加密的电子响应文件（*.XYTF）到会员系统的指定位置。上传的电子响应文件应使用供应商CA数字证书认证并加密。上传时必须得到交易系统“上传成功”的确认回复后方为上传成功。请供应商在上传前务必认真检查上传响应文件是否完整、正确。</w:t>
      </w:r>
    </w:p>
    <w:p w14:paraId="0E548BF7">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562" w:name="_Toc21902"/>
      <w:bookmarkStart w:id="563" w:name="_Toc12093"/>
      <w:bookmarkStart w:id="564" w:name="_Toc15897"/>
      <w:bookmarkStart w:id="565" w:name="_Toc11973"/>
      <w:bookmarkStart w:id="566" w:name="_Toc1790"/>
      <w:bookmarkStart w:id="567" w:name="_Toc19985"/>
      <w:r>
        <w:rPr>
          <w:rFonts w:hint="eastAsia" w:ascii="宋体" w:hAnsi="宋体" w:eastAsia="宋体"/>
          <w:b/>
          <w:bCs/>
          <w:color w:val="auto"/>
          <w:sz w:val="21"/>
          <w:szCs w:val="21"/>
          <w:highlight w:val="none"/>
        </w:rPr>
        <w:t>4.3 响应文件的修改与撤回</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12E5654A">
      <w:pPr>
        <w:pageBreakBefore w:val="0"/>
        <w:kinsoku/>
        <w:overflowPunct/>
        <w:bidi w:val="0"/>
        <w:spacing w:line="400" w:lineRule="exact"/>
        <w:ind w:firstLine="0" w:firstLineChars="0"/>
        <w:rPr>
          <w:rFonts w:ascii="宋体" w:hAnsi="宋体" w:cs="宋体"/>
          <w:color w:val="auto"/>
          <w:szCs w:val="21"/>
          <w:highlight w:val="none"/>
        </w:rPr>
      </w:pPr>
      <w:bookmarkStart w:id="568" w:name="_Toc152042335"/>
      <w:bookmarkStart w:id="569" w:name="_Toc152045559"/>
      <w:bookmarkStart w:id="570" w:name="_Toc144974527"/>
      <w:bookmarkStart w:id="571" w:name="_Toc455080135"/>
      <w:r>
        <w:rPr>
          <w:rFonts w:hint="eastAsia" w:ascii="宋体" w:hAnsi="宋体" w:cs="宋体"/>
          <w:color w:val="auto"/>
          <w:szCs w:val="21"/>
          <w:highlight w:val="none"/>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0F8BF4B8">
      <w:pPr>
        <w:pageBreakBefore w:val="0"/>
        <w:kinsoku/>
        <w:overflowPunct/>
        <w:bidi w:val="0"/>
        <w:spacing w:line="40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4.3.2修改的响应文件应按照本章第3.7条、第4.2条规定进行编制和递交。</w:t>
      </w:r>
    </w:p>
    <w:bookmarkEnd w:id="568"/>
    <w:bookmarkEnd w:id="569"/>
    <w:bookmarkEnd w:id="570"/>
    <w:p w14:paraId="58C88306">
      <w:pPr>
        <w:pageBreakBefore w:val="0"/>
        <w:kinsoku/>
        <w:overflowPunct/>
        <w:bidi w:val="0"/>
        <w:spacing w:line="400" w:lineRule="exact"/>
        <w:ind w:firstLine="0" w:firstLineChars="0"/>
        <w:outlineLvl w:val="1"/>
        <w:rPr>
          <w:rFonts w:ascii="宋体" w:hAnsi="宋体"/>
          <w:b/>
          <w:bCs/>
          <w:color w:val="auto"/>
          <w:szCs w:val="21"/>
          <w:highlight w:val="none"/>
        </w:rPr>
      </w:pPr>
      <w:bookmarkStart w:id="572" w:name="_Toc7480"/>
      <w:bookmarkStart w:id="573" w:name="_Toc14969"/>
      <w:r>
        <w:rPr>
          <w:rFonts w:hint="eastAsia" w:ascii="宋体" w:hAnsi="宋体"/>
          <w:b/>
          <w:bCs/>
          <w:color w:val="auto"/>
          <w:szCs w:val="21"/>
          <w:highlight w:val="none"/>
        </w:rPr>
        <w:t>5.磋商开始</w:t>
      </w:r>
      <w:bookmarkEnd w:id="571"/>
      <w:bookmarkEnd w:id="572"/>
      <w:bookmarkEnd w:id="573"/>
      <w:bookmarkStart w:id="574" w:name="_Toc455867796"/>
      <w:bookmarkStart w:id="575" w:name="_Toc14"/>
      <w:bookmarkStart w:id="576" w:name="_Toc490667856"/>
      <w:bookmarkStart w:id="577" w:name="_Toc9969"/>
      <w:bookmarkStart w:id="578" w:name="_Toc26426"/>
      <w:bookmarkStart w:id="579" w:name="_Toc144974528"/>
      <w:bookmarkStart w:id="580" w:name="_Toc25533"/>
      <w:bookmarkStart w:id="581" w:name="_Toc25809"/>
      <w:bookmarkStart w:id="582" w:name="_Toc20660"/>
      <w:bookmarkStart w:id="583" w:name="_Toc318450703"/>
      <w:bookmarkStart w:id="584" w:name="_Toc20333"/>
      <w:bookmarkStart w:id="585" w:name="_Toc152042336"/>
      <w:bookmarkStart w:id="586" w:name="_Toc455080136"/>
      <w:bookmarkStart w:id="587" w:name="_Toc152045560"/>
      <w:bookmarkStart w:id="588" w:name="_Toc466298119"/>
      <w:bookmarkStart w:id="589" w:name="_Toc16040"/>
      <w:bookmarkStart w:id="590" w:name="_Toc6763"/>
    </w:p>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14:paraId="6028B534">
      <w:pPr>
        <w:pageBreakBefore w:val="0"/>
        <w:kinsoku/>
        <w:overflowPunct/>
        <w:bidi w:val="0"/>
        <w:spacing w:line="440" w:lineRule="exact"/>
        <w:ind w:firstLine="0" w:firstLineChars="0"/>
        <w:rPr>
          <w:rFonts w:ascii="宋体" w:hAnsi="宋体"/>
          <w:b/>
          <w:bCs/>
          <w:color w:val="auto"/>
          <w:szCs w:val="21"/>
          <w:highlight w:val="none"/>
        </w:rPr>
      </w:pPr>
      <w:bookmarkStart w:id="591" w:name="_Toc30792"/>
      <w:bookmarkStart w:id="592" w:name="_Toc17491"/>
      <w:bookmarkStart w:id="593" w:name="_Toc455867797"/>
      <w:bookmarkStart w:id="594" w:name="_Toc30965"/>
      <w:bookmarkStart w:id="595" w:name="_Toc144974529"/>
      <w:bookmarkStart w:id="596" w:name="_Toc466298120"/>
      <w:bookmarkStart w:id="597" w:name="_Toc318450704"/>
      <w:bookmarkStart w:id="598" w:name="_Toc18582"/>
      <w:bookmarkStart w:id="599" w:name="_Toc30074"/>
      <w:bookmarkStart w:id="600" w:name="_Toc455080137"/>
      <w:bookmarkStart w:id="601" w:name="_Toc3865"/>
      <w:bookmarkStart w:id="602" w:name="_Toc25911"/>
      <w:bookmarkStart w:id="603" w:name="_Toc152042337"/>
      <w:bookmarkStart w:id="604" w:name="_Toc747"/>
      <w:bookmarkStart w:id="605" w:name="_Toc9328"/>
      <w:bookmarkStart w:id="606" w:name="_Toc490667857"/>
      <w:bookmarkStart w:id="607" w:name="_Toc152045561"/>
      <w:bookmarkStart w:id="608" w:name="_Toc11148"/>
      <w:r>
        <w:rPr>
          <w:rFonts w:hint="eastAsia" w:ascii="宋体" w:hAnsi="宋体"/>
          <w:b/>
          <w:bCs/>
          <w:color w:val="auto"/>
          <w:szCs w:val="21"/>
          <w:highlight w:val="none"/>
        </w:rPr>
        <w:t>5.1 磋商时间和地点</w:t>
      </w:r>
    </w:p>
    <w:p w14:paraId="256AE20E">
      <w:pPr>
        <w:pageBreakBefore w:val="0"/>
        <w:kinsoku/>
        <w:overflowPunct/>
        <w:bidi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5.1.1 采购人在本章规定的投标截止时间（开标时间）和供应商须知前附表规定的地点开标。</w:t>
      </w:r>
    </w:p>
    <w:p w14:paraId="78A08B42">
      <w:pPr>
        <w:pageBreakBefore w:val="0"/>
        <w:kinsoku/>
        <w:overflowPunct/>
        <w:bidi w:val="0"/>
        <w:spacing w:line="440" w:lineRule="exact"/>
        <w:ind w:firstLine="0" w:firstLineChars="0"/>
        <w:rPr>
          <w:rFonts w:ascii="宋体" w:hAnsi="宋体"/>
          <w:b/>
          <w:bCs/>
          <w:color w:val="auto"/>
          <w:szCs w:val="21"/>
          <w:highlight w:val="none"/>
        </w:rPr>
      </w:pPr>
      <w:r>
        <w:rPr>
          <w:rFonts w:hint="eastAsia" w:ascii="宋体" w:hAnsi="宋体"/>
          <w:b/>
          <w:bCs/>
          <w:color w:val="auto"/>
          <w:szCs w:val="21"/>
          <w:highlight w:val="none"/>
        </w:rPr>
        <w:t xml:space="preserve">5.1.2 本项目采用“不见面开标”交易方式，不见面开标大厅网址为 </w:t>
      </w:r>
      <w:r>
        <w:rPr>
          <w:color w:val="auto"/>
          <w:highlight w:val="none"/>
        </w:rPr>
        <w:fldChar w:fldCharType="begin"/>
      </w:r>
      <w:r>
        <w:rPr>
          <w:color w:val="auto"/>
          <w:highlight w:val="none"/>
        </w:rPr>
        <w:instrText xml:space="preserve"> HYPERLINK "http://117.158.91.68:8095/xxhy，投标人无需寄送和递交非加密的电子投标文件，无需到现场参加开标会议，无需到达现场提交原件资料。" </w:instrText>
      </w:r>
      <w:r>
        <w:rPr>
          <w:color w:val="auto"/>
          <w:highlight w:val="none"/>
        </w:rPr>
        <w:fldChar w:fldCharType="separate"/>
      </w:r>
      <w:r>
        <w:rPr>
          <w:rFonts w:hint="eastAsia" w:ascii="宋体" w:hAnsi="宋体"/>
          <w:b/>
          <w:bCs/>
          <w:color w:val="auto"/>
          <w:szCs w:val="21"/>
          <w:highlight w:val="none"/>
          <w:lang w:eastAsia="zh-CN"/>
        </w:rPr>
        <w:t>https://ggzyjy.xinyang.gov.cn/BidOpening/bidhall/xinyang/login.html</w:t>
      </w:r>
      <w:r>
        <w:rPr>
          <w:rFonts w:hint="eastAsia" w:ascii="宋体" w:hAnsi="宋体"/>
          <w:b/>
          <w:bCs/>
          <w:color w:val="auto"/>
          <w:szCs w:val="21"/>
          <w:highlight w:val="none"/>
        </w:rPr>
        <w:t>，供应商无需寄送和递交非加密的电子响应文件，无需到现场参加开标会议，无需到达现场提交原件资料。</w:t>
      </w:r>
      <w:r>
        <w:rPr>
          <w:rFonts w:hint="eastAsia" w:ascii="宋体" w:hAnsi="宋体"/>
          <w:b/>
          <w:bCs/>
          <w:color w:val="auto"/>
          <w:szCs w:val="21"/>
          <w:highlight w:val="none"/>
        </w:rPr>
        <w:fldChar w:fldCharType="end"/>
      </w:r>
    </w:p>
    <w:p w14:paraId="60FBA4A2">
      <w:pPr>
        <w:pageBreakBefore w:val="0"/>
        <w:kinsoku/>
        <w:overflowPunct/>
        <w:bidi w:val="0"/>
        <w:spacing w:line="440" w:lineRule="exact"/>
        <w:ind w:firstLine="0" w:firstLineChars="0"/>
        <w:rPr>
          <w:rFonts w:ascii="宋体" w:hAnsi="宋体"/>
          <w:b/>
          <w:bCs/>
          <w:color w:val="auto"/>
          <w:szCs w:val="21"/>
          <w:highlight w:val="none"/>
        </w:rPr>
      </w:pPr>
      <w:r>
        <w:rPr>
          <w:rFonts w:hint="eastAsia" w:ascii="宋体" w:hAnsi="宋体"/>
          <w:b/>
          <w:bCs/>
          <w:color w:val="auto"/>
          <w:szCs w:val="21"/>
          <w:highlight w:val="none"/>
        </w:rPr>
        <w:t>供应商应当在响应文件提交截止时间前，使用供应商CA数字证书登录不见面开标大厅，在线签到并准时参加开标活动，并在规定时间内完成响应文件解密、答疑澄清等。</w:t>
      </w:r>
    </w:p>
    <w:p w14:paraId="406D8F3B">
      <w:pPr>
        <w:pageBreakBefore w:val="0"/>
        <w:kinsoku/>
        <w:overflowPunct/>
        <w:bidi w:val="0"/>
        <w:spacing w:line="440" w:lineRule="exact"/>
        <w:ind w:firstLine="0" w:firstLineChars="0"/>
        <w:rPr>
          <w:rFonts w:ascii="宋体" w:hAnsi="宋体"/>
          <w:b/>
          <w:bCs/>
          <w:color w:val="auto"/>
          <w:szCs w:val="21"/>
          <w:highlight w:val="none"/>
        </w:rPr>
      </w:pPr>
      <w:r>
        <w:rPr>
          <w:rFonts w:hint="eastAsia" w:ascii="宋体" w:hAnsi="宋体"/>
          <w:b/>
          <w:bCs/>
          <w:color w:val="auto"/>
          <w:szCs w:val="21"/>
          <w:highlight w:val="none"/>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03160B05">
      <w:pPr>
        <w:pageBreakBefore w:val="0"/>
        <w:kinsoku/>
        <w:overflowPunct/>
        <w:bidi w:val="0"/>
        <w:spacing w:line="440" w:lineRule="exact"/>
        <w:ind w:firstLine="0" w:firstLineChars="0"/>
        <w:rPr>
          <w:rFonts w:ascii="宋体" w:hAnsi="宋体"/>
          <w:b/>
          <w:bCs/>
          <w:color w:val="auto"/>
          <w:szCs w:val="21"/>
          <w:highlight w:val="none"/>
        </w:rPr>
      </w:pPr>
      <w:r>
        <w:rPr>
          <w:rFonts w:hint="eastAsia" w:ascii="宋体" w:hAnsi="宋体"/>
          <w:b/>
          <w:bCs/>
          <w:color w:val="auto"/>
          <w:szCs w:val="21"/>
          <w:highlight w:val="none"/>
        </w:rPr>
        <w:t>不见面开标服务的具体事宜，请查阅信阳市公共资源交易中心网站首页—下载中心—信阳市不见面开标大厅系统操作手册 。</w:t>
      </w:r>
    </w:p>
    <w:p w14:paraId="07E2F1BD">
      <w:pPr>
        <w:pageBreakBefore w:val="0"/>
        <w:kinsoku/>
        <w:overflowPunct/>
        <w:bidi w:val="0"/>
        <w:spacing w:line="440" w:lineRule="exact"/>
        <w:ind w:firstLine="0" w:firstLineChars="0"/>
        <w:rPr>
          <w:rFonts w:ascii="宋体" w:hAnsi="宋体"/>
          <w:b/>
          <w:bCs/>
          <w:color w:val="auto"/>
          <w:szCs w:val="21"/>
          <w:highlight w:val="none"/>
        </w:rPr>
      </w:pPr>
      <w:r>
        <w:rPr>
          <w:rFonts w:hint="eastAsia" w:ascii="宋体" w:hAnsi="宋体"/>
          <w:b/>
          <w:bCs/>
          <w:color w:val="auto"/>
          <w:szCs w:val="21"/>
          <w:highlight w:val="none"/>
        </w:rPr>
        <w:t xml:space="preserve">开标过程中，供应商如有异议，须在开标结束前通过系统提出，否则视同认可开标记录。开标结束后，对开标记录的任何异议不再接受。 </w:t>
      </w:r>
    </w:p>
    <w:p w14:paraId="1858C99A">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609" w:name="_Toc28600"/>
      <w:bookmarkStart w:id="610" w:name="_Toc26637"/>
      <w:bookmarkStart w:id="611" w:name="_Toc21144"/>
      <w:bookmarkStart w:id="612" w:name="_Toc4518"/>
      <w:bookmarkStart w:id="613" w:name="_Toc24353"/>
      <w:r>
        <w:rPr>
          <w:rFonts w:hint="eastAsia" w:ascii="宋体" w:hAnsi="宋体" w:eastAsia="宋体"/>
          <w:b/>
          <w:bCs/>
          <w:color w:val="auto"/>
          <w:sz w:val="21"/>
          <w:szCs w:val="21"/>
          <w:highlight w:val="none"/>
        </w:rPr>
        <w:t>5.2 磋商程序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1B892A2E">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614" w:name="_Toc27540"/>
      <w:bookmarkStart w:id="615" w:name="_Toc1467"/>
      <w:bookmarkStart w:id="616" w:name="_Toc11770"/>
      <w:bookmarkStart w:id="617" w:name="_Toc26086"/>
      <w:bookmarkStart w:id="618" w:name="_Toc8008"/>
      <w:bookmarkStart w:id="619" w:name="_Toc30403"/>
      <w:r>
        <w:rPr>
          <w:rFonts w:hint="eastAsia" w:ascii="宋体" w:hAnsi="宋体" w:eastAsia="宋体"/>
          <w:color w:val="auto"/>
          <w:sz w:val="21"/>
          <w:szCs w:val="21"/>
          <w:highlight w:val="none"/>
        </w:rPr>
        <w:t>5.2.1磋商小组对竞争性磋商文件进行熟悉确认。</w:t>
      </w:r>
      <w:bookmarkEnd w:id="614"/>
      <w:bookmarkEnd w:id="615"/>
      <w:bookmarkEnd w:id="616"/>
      <w:bookmarkEnd w:id="617"/>
      <w:bookmarkEnd w:id="618"/>
      <w:bookmarkEnd w:id="619"/>
    </w:p>
    <w:p w14:paraId="338C7A14">
      <w:pPr>
        <w:pageBreakBefore w:val="0"/>
        <w:kinsoku/>
        <w:overflowPunct/>
        <w:bidi w:val="0"/>
        <w:spacing w:line="360" w:lineRule="auto"/>
        <w:ind w:firstLine="0" w:firstLineChars="0"/>
        <w:rPr>
          <w:rFonts w:ascii="宋体" w:hAnsi="宋体" w:cs="宋体"/>
          <w:color w:val="auto"/>
          <w:szCs w:val="21"/>
          <w:highlight w:val="none"/>
        </w:rPr>
      </w:pPr>
      <w:bookmarkStart w:id="620" w:name="_Toc152045562"/>
      <w:bookmarkStart w:id="621" w:name="_Toc152042338"/>
      <w:bookmarkStart w:id="622" w:name="_Toc144974530"/>
      <w:r>
        <w:rPr>
          <w:rFonts w:hint="eastAsia" w:ascii="宋体" w:hAnsi="宋体" w:cs="宋体"/>
          <w:color w:val="auto"/>
          <w:szCs w:val="21"/>
          <w:highlight w:val="none"/>
        </w:rPr>
        <w:t>5.2.2磋商小组推选组长，讨论、通过磋商工作流程和磋商要点。</w:t>
      </w:r>
    </w:p>
    <w:p w14:paraId="47A17FED">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5.2.3资格评审审查：采购人依据竞争性磋商文件规定，对供应商进行审查，以确定磋商供应商是否具备参与磋商的资格。</w:t>
      </w:r>
    </w:p>
    <w:p w14:paraId="28EEEF7C">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5.2.4符合性评审审查：磋商开始后，磋商小组依据竞争性磋商文件规定，对通过资格评审的供应商进行审查，以确定磋商供应商是否具备参与磋商的资格。</w:t>
      </w:r>
    </w:p>
    <w:p w14:paraId="7AC9F416">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5.2.5磋商小组对通过资格性和符合性审查的响应文件进行评估，确定与各竞标人磋商的具体内容。</w:t>
      </w:r>
    </w:p>
    <w:p w14:paraId="7E348D46">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 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762911A7">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5.2.7磋商小组对符合招标需求的供应商进行两轮报价；供应商只有通过资格评审及符合性评审后方可进入下一轮报价，在规定的时间内同时提交报价，最终报价不得超过响应文件中报价。</w:t>
      </w:r>
    </w:p>
    <w:p w14:paraId="1F5C18B8">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5.2.8经磋商确定最终招标需求，由磋商小组采用综合评分法对通过初步评审的供应商的响应文件进行综合评分。</w:t>
      </w:r>
    </w:p>
    <w:p w14:paraId="366FC8C8">
      <w:pPr>
        <w:pStyle w:val="67"/>
        <w:pageBreakBefore w:val="0"/>
        <w:kinsoku/>
        <w:overflowPunct/>
        <w:bidi w:val="0"/>
        <w:spacing w:line="360" w:lineRule="auto"/>
        <w:ind w:firstLine="0" w:firstLineChars="0"/>
        <w:rPr>
          <w:rFonts w:ascii="宋体" w:hAnsi="宋体" w:eastAsia="宋体"/>
          <w:b/>
          <w:bCs/>
          <w:color w:val="auto"/>
          <w:sz w:val="21"/>
          <w:szCs w:val="21"/>
          <w:highlight w:val="none"/>
        </w:rPr>
      </w:pPr>
      <w:bookmarkStart w:id="623" w:name="_Toc455080138"/>
      <w:bookmarkStart w:id="624" w:name="_Toc14039"/>
      <w:bookmarkStart w:id="625" w:name="_Toc24508"/>
      <w:r>
        <w:rPr>
          <w:rFonts w:hint="eastAsia" w:ascii="宋体" w:hAnsi="宋体" w:eastAsia="宋体"/>
          <w:b/>
          <w:bCs/>
          <w:color w:val="auto"/>
          <w:sz w:val="21"/>
          <w:szCs w:val="21"/>
          <w:highlight w:val="none"/>
        </w:rPr>
        <w:t xml:space="preserve">6. </w:t>
      </w:r>
      <w:bookmarkEnd w:id="620"/>
      <w:bookmarkEnd w:id="621"/>
      <w:bookmarkEnd w:id="622"/>
      <w:r>
        <w:rPr>
          <w:rFonts w:hint="eastAsia" w:ascii="宋体" w:hAnsi="宋体" w:eastAsia="宋体"/>
          <w:b/>
          <w:bCs/>
          <w:color w:val="auto"/>
          <w:sz w:val="21"/>
          <w:szCs w:val="21"/>
          <w:highlight w:val="none"/>
        </w:rPr>
        <w:t>磋商</w:t>
      </w:r>
      <w:bookmarkEnd w:id="623"/>
      <w:r>
        <w:rPr>
          <w:rFonts w:hint="eastAsia" w:ascii="宋体" w:hAnsi="宋体" w:eastAsia="宋体"/>
          <w:b/>
          <w:bCs/>
          <w:color w:val="auto"/>
          <w:sz w:val="21"/>
          <w:szCs w:val="21"/>
          <w:highlight w:val="none"/>
        </w:rPr>
        <w:t>小组</w:t>
      </w:r>
      <w:bookmarkEnd w:id="624"/>
      <w:bookmarkEnd w:id="625"/>
    </w:p>
    <w:p w14:paraId="79BC8674">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626" w:name="_Toc9808"/>
      <w:bookmarkStart w:id="627" w:name="_Toc144974531"/>
      <w:bookmarkStart w:id="628" w:name="_Toc152042339"/>
      <w:bookmarkStart w:id="629" w:name="_Toc26098"/>
      <w:bookmarkStart w:id="630" w:name="_Toc22250"/>
      <w:bookmarkStart w:id="631" w:name="_Toc152045563"/>
      <w:bookmarkStart w:id="632" w:name="_Toc318450706"/>
      <w:bookmarkStart w:id="633" w:name="_Toc21542"/>
      <w:bookmarkStart w:id="634" w:name="_Toc23775"/>
      <w:bookmarkStart w:id="635" w:name="_Toc11499"/>
      <w:bookmarkStart w:id="636" w:name="_Toc1546"/>
      <w:bookmarkStart w:id="637" w:name="_Toc23138"/>
      <w:bookmarkStart w:id="638" w:name="_Toc109"/>
      <w:bookmarkStart w:id="639" w:name="_Toc466298122"/>
      <w:bookmarkStart w:id="640" w:name="_Toc455080139"/>
      <w:bookmarkStart w:id="641" w:name="_Toc13978"/>
      <w:bookmarkStart w:id="642" w:name="_Toc8157"/>
      <w:bookmarkStart w:id="643" w:name="_Toc455867799"/>
      <w:bookmarkStart w:id="644" w:name="_Toc23866"/>
      <w:bookmarkStart w:id="645" w:name="_Toc1574"/>
      <w:bookmarkStart w:id="646" w:name="_Toc490667859"/>
      <w:bookmarkStart w:id="647" w:name="_Toc8725"/>
      <w:bookmarkStart w:id="648" w:name="_Toc18985"/>
      <w:r>
        <w:rPr>
          <w:rFonts w:hint="eastAsia" w:ascii="宋体" w:hAnsi="宋体" w:eastAsia="宋体"/>
          <w:b/>
          <w:bCs/>
          <w:color w:val="auto"/>
          <w:sz w:val="21"/>
          <w:szCs w:val="21"/>
          <w:highlight w:val="none"/>
        </w:rPr>
        <w:t>6.1</w:t>
      </w:r>
      <w:bookmarkEnd w:id="626"/>
      <w:bookmarkEnd w:id="627"/>
      <w:bookmarkEnd w:id="628"/>
      <w:bookmarkEnd w:id="629"/>
      <w:bookmarkEnd w:id="630"/>
      <w:bookmarkEnd w:id="631"/>
      <w:bookmarkEnd w:id="632"/>
      <w:r>
        <w:rPr>
          <w:rFonts w:hint="eastAsia" w:ascii="宋体" w:hAnsi="宋体" w:eastAsia="宋体"/>
          <w:b/>
          <w:bCs/>
          <w:color w:val="auto"/>
          <w:sz w:val="21"/>
          <w:szCs w:val="21"/>
          <w:highlight w:val="none"/>
        </w:rPr>
        <w:t>磋商小组</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7B438CC2">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磋商由采购人依法组建的磋商小组负责。磋商小组由采购人代表以及有关技术、经济等方面的专家组成。磋商小组成员人数以及技术、经济等方面专家的确定方式见供应商须知前附表。</w:t>
      </w:r>
    </w:p>
    <w:p w14:paraId="409C3CB5">
      <w:pPr>
        <w:pStyle w:val="68"/>
        <w:pageBreakBefore w:val="0"/>
        <w:tabs>
          <w:tab w:val="left" w:pos="2620"/>
        </w:tabs>
        <w:kinsoku/>
        <w:overflowPunct/>
        <w:bidi w:val="0"/>
        <w:spacing w:line="360" w:lineRule="auto"/>
        <w:ind w:firstLine="0" w:firstLineChars="0"/>
        <w:outlineLvl w:val="0"/>
        <w:rPr>
          <w:rFonts w:ascii="宋体" w:hAnsi="宋体" w:eastAsia="宋体"/>
          <w:b/>
          <w:bCs/>
          <w:color w:val="auto"/>
          <w:sz w:val="21"/>
          <w:szCs w:val="21"/>
          <w:highlight w:val="none"/>
        </w:rPr>
      </w:pPr>
      <w:bookmarkStart w:id="649" w:name="_Toc490667860"/>
      <w:bookmarkStart w:id="650" w:name="_Toc455867800"/>
      <w:bookmarkStart w:id="651" w:name="_Toc13368"/>
      <w:bookmarkStart w:id="652" w:name="_Toc144974532"/>
      <w:bookmarkStart w:id="653" w:name="_Toc22143"/>
      <w:bookmarkStart w:id="654" w:name="_Toc8248"/>
      <w:bookmarkStart w:id="655" w:name="_Toc6050"/>
      <w:bookmarkStart w:id="656" w:name="_Toc9532"/>
      <w:bookmarkStart w:id="657" w:name="_Toc466298123"/>
      <w:bookmarkStart w:id="658" w:name="_Toc5376"/>
      <w:bookmarkStart w:id="659" w:name="_Toc21102"/>
      <w:bookmarkStart w:id="660" w:name="_Toc27035"/>
      <w:bookmarkStart w:id="661" w:name="_Toc32608"/>
      <w:bookmarkStart w:id="662" w:name="_Toc152042340"/>
      <w:bookmarkStart w:id="663" w:name="_Toc318450707"/>
      <w:bookmarkStart w:id="664" w:name="_Toc31227"/>
      <w:bookmarkStart w:id="665" w:name="_Toc4435"/>
      <w:bookmarkStart w:id="666" w:name="_Toc8240"/>
      <w:bookmarkStart w:id="667" w:name="_Toc152045564"/>
      <w:bookmarkStart w:id="668" w:name="_Toc31961"/>
      <w:bookmarkStart w:id="669" w:name="_Toc7286"/>
      <w:bookmarkStart w:id="670" w:name="_Toc25721"/>
      <w:bookmarkStart w:id="671" w:name="_Toc455080140"/>
      <w:r>
        <w:rPr>
          <w:rFonts w:hint="eastAsia" w:ascii="宋体" w:hAnsi="宋体" w:eastAsia="宋体"/>
          <w:b/>
          <w:bCs/>
          <w:color w:val="auto"/>
          <w:sz w:val="21"/>
          <w:szCs w:val="21"/>
          <w:highlight w:val="none"/>
        </w:rPr>
        <w:t>6.2 磋商原则</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684D2C9B">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磋商活动遵循公平、公正、科学和择优的原则。</w:t>
      </w:r>
    </w:p>
    <w:p w14:paraId="4842D372">
      <w:pPr>
        <w:pStyle w:val="68"/>
        <w:pageBreakBefore w:val="0"/>
        <w:kinsoku/>
        <w:overflowPunct/>
        <w:bidi w:val="0"/>
        <w:spacing w:line="360" w:lineRule="auto"/>
        <w:ind w:firstLine="0" w:firstLineChars="0"/>
        <w:outlineLvl w:val="0"/>
        <w:rPr>
          <w:rFonts w:ascii="宋体" w:hAnsi="宋体" w:eastAsia="宋体"/>
          <w:color w:val="auto"/>
          <w:sz w:val="21"/>
          <w:szCs w:val="21"/>
          <w:highlight w:val="none"/>
        </w:rPr>
      </w:pPr>
      <w:bookmarkStart w:id="672" w:name="_Toc152045565"/>
      <w:bookmarkStart w:id="673" w:name="_Toc318450708"/>
      <w:bookmarkStart w:id="674" w:name="_Toc144974533"/>
      <w:bookmarkStart w:id="675" w:name="_Toc15595"/>
      <w:bookmarkStart w:id="676" w:name="_Toc152042341"/>
      <w:bookmarkStart w:id="677" w:name="_Toc8705"/>
      <w:bookmarkStart w:id="678" w:name="_Toc16725"/>
      <w:bookmarkStart w:id="679" w:name="_Toc455867801"/>
      <w:bookmarkStart w:id="680" w:name="_Toc11010"/>
      <w:bookmarkStart w:id="681" w:name="_Toc18756"/>
      <w:bookmarkStart w:id="682" w:name="_Toc466298124"/>
      <w:bookmarkStart w:id="683" w:name="_Toc27036"/>
      <w:bookmarkStart w:id="684" w:name="_Toc1768"/>
      <w:bookmarkStart w:id="685" w:name="_Toc28734"/>
      <w:bookmarkStart w:id="686" w:name="_Toc24358"/>
      <w:bookmarkStart w:id="687" w:name="_Toc11018"/>
      <w:bookmarkStart w:id="688" w:name="_Toc3606"/>
      <w:bookmarkStart w:id="689" w:name="_Toc490667861"/>
      <w:bookmarkStart w:id="690" w:name="_Toc28882"/>
      <w:bookmarkStart w:id="691" w:name="_Toc915"/>
      <w:bookmarkStart w:id="692" w:name="_Toc20062"/>
      <w:bookmarkStart w:id="693" w:name="_Toc7890"/>
      <w:bookmarkStart w:id="694" w:name="_Toc455080141"/>
      <w:r>
        <w:rPr>
          <w:rFonts w:hint="eastAsia" w:ascii="宋体" w:hAnsi="宋体" w:eastAsia="宋体"/>
          <w:b/>
          <w:bCs/>
          <w:color w:val="auto"/>
          <w:sz w:val="21"/>
          <w:szCs w:val="21"/>
          <w:highlight w:val="none"/>
        </w:rPr>
        <w:t xml:space="preserve">6.3 </w:t>
      </w:r>
      <w:bookmarkEnd w:id="672"/>
      <w:bookmarkEnd w:id="673"/>
      <w:bookmarkEnd w:id="674"/>
      <w:bookmarkEnd w:id="675"/>
      <w:bookmarkEnd w:id="676"/>
      <w:bookmarkEnd w:id="677"/>
      <w:bookmarkEnd w:id="678"/>
      <w:r>
        <w:rPr>
          <w:rFonts w:hint="eastAsia" w:ascii="宋体" w:hAnsi="宋体" w:eastAsia="宋体"/>
          <w:b/>
          <w:bCs/>
          <w:color w:val="auto"/>
          <w:sz w:val="21"/>
          <w:szCs w:val="21"/>
          <w:highlight w:val="none"/>
        </w:rPr>
        <w:t>磋商</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25501651">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磋商小组按照第三章“评审办法”规定的方法、评审因素、标准和程序对响应文件进行评审。第三章“评审办法”没有规定的方法、评审因素和标准，不作为评标依据。</w:t>
      </w:r>
    </w:p>
    <w:p w14:paraId="0C8F4635">
      <w:pPr>
        <w:pStyle w:val="67"/>
        <w:pageBreakBefore w:val="0"/>
        <w:kinsoku/>
        <w:overflowPunct/>
        <w:bidi w:val="0"/>
        <w:spacing w:line="360" w:lineRule="auto"/>
        <w:ind w:firstLine="0" w:firstLineChars="0"/>
        <w:rPr>
          <w:rFonts w:ascii="宋体" w:hAnsi="宋体" w:eastAsia="宋体"/>
          <w:b/>
          <w:bCs/>
          <w:color w:val="auto"/>
          <w:sz w:val="21"/>
          <w:szCs w:val="21"/>
          <w:highlight w:val="none"/>
        </w:rPr>
      </w:pPr>
      <w:bookmarkStart w:id="695" w:name="_Toc9522"/>
      <w:bookmarkStart w:id="696" w:name="_Toc455080142"/>
      <w:bookmarkStart w:id="697" w:name="_Toc152042342"/>
      <w:bookmarkStart w:id="698" w:name="_Toc144974534"/>
      <w:bookmarkStart w:id="699" w:name="_Toc152045566"/>
      <w:bookmarkStart w:id="700" w:name="_Toc3578"/>
      <w:r>
        <w:rPr>
          <w:rFonts w:hint="eastAsia" w:ascii="宋体" w:hAnsi="宋体" w:eastAsia="宋体"/>
          <w:b/>
          <w:bCs/>
          <w:color w:val="auto"/>
          <w:sz w:val="21"/>
          <w:szCs w:val="21"/>
          <w:highlight w:val="none"/>
        </w:rPr>
        <w:t>7. 合同授予</w:t>
      </w:r>
      <w:bookmarkEnd w:id="695"/>
      <w:bookmarkEnd w:id="696"/>
      <w:bookmarkEnd w:id="697"/>
      <w:bookmarkEnd w:id="698"/>
      <w:bookmarkEnd w:id="699"/>
      <w:bookmarkEnd w:id="700"/>
    </w:p>
    <w:p w14:paraId="65C6EA5B">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701" w:name="_Toc152042343"/>
      <w:bookmarkStart w:id="702" w:name="_Toc490667863"/>
      <w:bookmarkStart w:id="703" w:name="_Toc25316"/>
      <w:bookmarkStart w:id="704" w:name="_Toc4262"/>
      <w:bookmarkStart w:id="705" w:name="_Toc22461"/>
      <w:bookmarkStart w:id="706" w:name="_Toc28919"/>
      <w:bookmarkStart w:id="707" w:name="_Toc11409"/>
      <w:bookmarkStart w:id="708" w:name="_Toc29686"/>
      <w:bookmarkStart w:id="709" w:name="_Toc152045567"/>
      <w:bookmarkStart w:id="710" w:name="_Toc455080143"/>
      <w:bookmarkStart w:id="711" w:name="_Toc144974535"/>
      <w:bookmarkStart w:id="712" w:name="_Toc318450710"/>
      <w:bookmarkStart w:id="713" w:name="_Toc7358"/>
      <w:bookmarkStart w:id="714" w:name="_Toc552"/>
      <w:bookmarkStart w:id="715" w:name="_Toc17667"/>
      <w:bookmarkStart w:id="716" w:name="_Toc455867803"/>
      <w:bookmarkStart w:id="717" w:name="_Toc20777"/>
      <w:bookmarkStart w:id="718" w:name="_Toc14528"/>
      <w:bookmarkStart w:id="719" w:name="_Toc11008"/>
      <w:bookmarkStart w:id="720" w:name="_Toc24041"/>
      <w:bookmarkStart w:id="721" w:name="_Toc466298126"/>
      <w:bookmarkStart w:id="722" w:name="_Toc17660"/>
      <w:bookmarkStart w:id="723" w:name="_Toc29664"/>
      <w:r>
        <w:rPr>
          <w:rFonts w:hint="eastAsia" w:ascii="宋体" w:hAnsi="宋体" w:eastAsia="宋体"/>
          <w:b/>
          <w:bCs/>
          <w:color w:val="auto"/>
          <w:sz w:val="21"/>
          <w:szCs w:val="21"/>
          <w:highlight w:val="none"/>
        </w:rPr>
        <w:t>7.1 定标方式</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404F244">
      <w:pPr>
        <w:pageBreakBefore w:val="0"/>
        <w:kinsoku/>
        <w:overflowPunct/>
        <w:bidi w:val="0"/>
        <w:spacing w:line="360" w:lineRule="auto"/>
        <w:ind w:firstLine="0" w:firstLineChars="0"/>
        <w:rPr>
          <w:rFonts w:ascii="宋体" w:hAnsi="宋体" w:cs="宋体"/>
          <w:color w:val="auto"/>
          <w:szCs w:val="21"/>
          <w:highlight w:val="none"/>
        </w:rPr>
      </w:pPr>
      <w:bookmarkStart w:id="724" w:name="_Toc318450711"/>
      <w:bookmarkStart w:id="725" w:name="_Toc7066"/>
      <w:bookmarkStart w:id="726" w:name="_Toc152042344"/>
      <w:bookmarkStart w:id="727" w:name="_Toc144974536"/>
      <w:bookmarkStart w:id="728" w:name="_Toc10868"/>
      <w:bookmarkStart w:id="729" w:name="_Toc152045568"/>
      <w:bookmarkStart w:id="730" w:name="_Toc28254"/>
      <w:r>
        <w:rPr>
          <w:rFonts w:hint="eastAsia" w:ascii="宋体" w:hAnsi="宋体" w:cs="宋体"/>
          <w:color w:val="auto"/>
          <w:szCs w:val="21"/>
          <w:highlight w:val="none"/>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045FE5B2">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731" w:name="_Toc21229"/>
      <w:bookmarkStart w:id="732" w:name="_Toc9897"/>
      <w:bookmarkStart w:id="733" w:name="_Toc28177"/>
      <w:bookmarkStart w:id="734" w:name="_Toc25515"/>
      <w:bookmarkStart w:id="735" w:name="_Toc15825"/>
      <w:bookmarkStart w:id="736" w:name="_Toc466298127"/>
      <w:bookmarkStart w:id="737" w:name="_Toc8133"/>
      <w:bookmarkStart w:id="738" w:name="_Toc5428"/>
      <w:bookmarkStart w:id="739" w:name="_Toc490667864"/>
      <w:bookmarkStart w:id="740" w:name="_Toc14331"/>
      <w:bookmarkStart w:id="741" w:name="_Toc7337"/>
      <w:bookmarkStart w:id="742" w:name="_Toc455080144"/>
      <w:bookmarkStart w:id="743" w:name="_Toc16163"/>
      <w:bookmarkStart w:id="744" w:name="_Toc5668"/>
      <w:bookmarkStart w:id="745" w:name="_Toc9775"/>
      <w:bookmarkStart w:id="746" w:name="_Toc455867804"/>
      <w:r>
        <w:rPr>
          <w:rFonts w:hint="eastAsia" w:ascii="宋体" w:hAnsi="宋体" w:eastAsia="宋体"/>
          <w:b/>
          <w:bCs/>
          <w:color w:val="auto"/>
          <w:sz w:val="21"/>
          <w:szCs w:val="21"/>
          <w:highlight w:val="none"/>
        </w:rPr>
        <w:t>7.2 成交通知</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782FB9A4">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在本章第3.3.1款规定的磋商有效期内，采购人以书面形式向成交人发出成交通知书，同时将成交结果通知未成交的供应商。</w:t>
      </w:r>
    </w:p>
    <w:p w14:paraId="509F777C">
      <w:pPr>
        <w:pageBreakBefore w:val="0"/>
        <w:kinsoku/>
        <w:overflowPunct/>
        <w:bidi w:val="0"/>
        <w:spacing w:line="400" w:lineRule="exact"/>
        <w:ind w:firstLine="0" w:firstLineChars="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7.3 履约保证金</w:t>
      </w:r>
    </w:p>
    <w:p w14:paraId="2D2548C2">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747" w:name="_Toc9509"/>
      <w:bookmarkStart w:id="748" w:name="_Toc10489"/>
      <w:bookmarkStart w:id="749" w:name="_Toc24659"/>
      <w:bookmarkStart w:id="750" w:name="_Toc5993"/>
      <w:bookmarkStart w:id="751" w:name="_Toc27005"/>
      <w:bookmarkStart w:id="752" w:name="_Toc8886"/>
      <w:bookmarkStart w:id="753" w:name="_Toc455080145"/>
      <w:bookmarkStart w:id="754" w:name="_Toc24026"/>
      <w:bookmarkStart w:id="755" w:name="_Toc15458"/>
      <w:bookmarkStart w:id="756" w:name="_Toc318450712"/>
      <w:bookmarkStart w:id="757" w:name="_Toc21271"/>
      <w:bookmarkStart w:id="758" w:name="_Toc26760"/>
      <w:bookmarkStart w:id="759" w:name="_Toc10082"/>
      <w:bookmarkStart w:id="760" w:name="_Toc13147"/>
      <w:bookmarkStart w:id="761" w:name="_Toc144974538"/>
      <w:bookmarkStart w:id="762" w:name="_Toc12663"/>
      <w:bookmarkStart w:id="763" w:name="_Toc455867805"/>
      <w:bookmarkStart w:id="764" w:name="_Toc152045570"/>
      <w:bookmarkStart w:id="765" w:name="_Toc490667865"/>
      <w:bookmarkStart w:id="766" w:name="_Toc466298128"/>
      <w:bookmarkStart w:id="767" w:name="_Toc26915"/>
      <w:bookmarkStart w:id="768" w:name="_Toc152042346"/>
      <w:bookmarkStart w:id="769" w:name="_Toc26655"/>
      <w:r>
        <w:rPr>
          <w:rFonts w:hint="eastAsia" w:ascii="宋体" w:hAnsi="宋体" w:eastAsia="宋体"/>
          <w:b/>
          <w:bCs/>
          <w:color w:val="auto"/>
          <w:sz w:val="21"/>
          <w:szCs w:val="21"/>
          <w:highlight w:val="none"/>
        </w:rPr>
        <w:t>免收履约保证金</w:t>
      </w:r>
      <w:bookmarkEnd w:id="747"/>
      <w:bookmarkEnd w:id="748"/>
      <w:bookmarkEnd w:id="749"/>
      <w:bookmarkEnd w:id="750"/>
      <w:bookmarkEnd w:id="751"/>
    </w:p>
    <w:p w14:paraId="19EC661C">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770" w:name="_Toc27919"/>
      <w:bookmarkStart w:id="771" w:name="_Toc27033"/>
      <w:bookmarkStart w:id="772" w:name="_Toc21220"/>
      <w:bookmarkStart w:id="773" w:name="_Toc27441"/>
      <w:bookmarkStart w:id="774" w:name="_Toc1041"/>
      <w:r>
        <w:rPr>
          <w:rFonts w:hint="eastAsia" w:ascii="宋体" w:hAnsi="宋体" w:eastAsia="宋体"/>
          <w:b/>
          <w:bCs/>
          <w:color w:val="auto"/>
          <w:sz w:val="21"/>
          <w:szCs w:val="21"/>
          <w:highlight w:val="none"/>
        </w:rPr>
        <w:t>7.4 签订合同</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750B6607">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7.4.1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 </w:t>
      </w:r>
    </w:p>
    <w:p w14:paraId="75736E14">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7.4.2 发出成交通知书后，采购人无正当理由拒签合同的，采购人向成交人退还磋商保证金；给成交人造成损失的，还应当赔偿损失。 </w:t>
      </w:r>
      <w:bookmarkStart w:id="775" w:name="_Toc152042350"/>
      <w:bookmarkStart w:id="776" w:name="_Toc144974542"/>
      <w:bookmarkStart w:id="777" w:name="_Toc152045574"/>
    </w:p>
    <w:p w14:paraId="777C334D">
      <w:pPr>
        <w:pStyle w:val="67"/>
        <w:pageBreakBefore w:val="0"/>
        <w:kinsoku/>
        <w:overflowPunct/>
        <w:bidi w:val="0"/>
        <w:spacing w:line="360" w:lineRule="auto"/>
        <w:ind w:firstLine="0" w:firstLineChars="0"/>
        <w:rPr>
          <w:rFonts w:ascii="宋体" w:hAnsi="宋体" w:eastAsia="宋体"/>
          <w:b/>
          <w:bCs/>
          <w:color w:val="auto"/>
          <w:sz w:val="21"/>
          <w:szCs w:val="21"/>
          <w:highlight w:val="none"/>
        </w:rPr>
      </w:pPr>
      <w:bookmarkStart w:id="778" w:name="_Toc18918"/>
      <w:bookmarkStart w:id="779" w:name="_Toc16866"/>
      <w:bookmarkStart w:id="780" w:name="_Toc455080146"/>
      <w:r>
        <w:rPr>
          <w:rFonts w:hint="eastAsia" w:ascii="宋体" w:hAnsi="宋体" w:eastAsia="宋体"/>
          <w:b/>
          <w:bCs/>
          <w:color w:val="auto"/>
          <w:sz w:val="21"/>
          <w:szCs w:val="21"/>
          <w:highlight w:val="none"/>
        </w:rPr>
        <w:t>8.重新招标</w:t>
      </w:r>
      <w:bookmarkEnd w:id="778"/>
      <w:bookmarkEnd w:id="779"/>
      <w:bookmarkEnd w:id="780"/>
    </w:p>
    <w:p w14:paraId="6634ECE6">
      <w:pPr>
        <w:pageBreakBefore w:val="0"/>
        <w:kinsoku/>
        <w:overflowPunct/>
        <w:bidi w:val="0"/>
        <w:spacing w:line="360" w:lineRule="auto"/>
        <w:ind w:firstLine="0" w:firstLineChars="0"/>
        <w:rPr>
          <w:rFonts w:ascii="宋体" w:hAnsi="宋体"/>
          <w:color w:val="auto"/>
          <w:szCs w:val="21"/>
          <w:highlight w:val="none"/>
        </w:rPr>
      </w:pPr>
      <w:bookmarkStart w:id="781" w:name="_Toc16556"/>
      <w:r>
        <w:rPr>
          <w:rFonts w:hint="eastAsia" w:ascii="宋体" w:hAnsi="宋体"/>
          <w:b/>
          <w:bCs/>
          <w:color w:val="auto"/>
          <w:szCs w:val="21"/>
          <w:highlight w:val="none"/>
        </w:rPr>
        <w:t>8.1 重新招标</w:t>
      </w:r>
      <w:bookmarkEnd w:id="781"/>
    </w:p>
    <w:p w14:paraId="0EC70171">
      <w:pPr>
        <w:pageBreakBefore w:val="0"/>
        <w:kinsoku/>
        <w:overflowPunct/>
        <w:bidi w:val="0"/>
        <w:spacing w:line="360" w:lineRule="auto"/>
        <w:ind w:firstLine="0" w:firstLineChars="0"/>
        <w:rPr>
          <w:rFonts w:ascii="宋体" w:hAnsi="宋体"/>
          <w:color w:val="auto"/>
          <w:szCs w:val="21"/>
          <w:highlight w:val="none"/>
        </w:rPr>
      </w:pPr>
      <w:bookmarkStart w:id="782" w:name="_Toc9985"/>
      <w:r>
        <w:rPr>
          <w:rFonts w:hint="eastAsia" w:ascii="宋体" w:hAnsi="宋体"/>
          <w:color w:val="auto"/>
          <w:szCs w:val="21"/>
          <w:highlight w:val="none"/>
        </w:rPr>
        <w:t>有下列情形之一的，采购人将重新招标：</w:t>
      </w:r>
      <w:bookmarkEnd w:id="782"/>
    </w:p>
    <w:p w14:paraId="27CC1B4A">
      <w:pPr>
        <w:pageBreakBefore w:val="0"/>
        <w:kinsoku/>
        <w:overflowPunct/>
        <w:bidi w:val="0"/>
        <w:spacing w:line="360" w:lineRule="auto"/>
        <w:ind w:firstLine="0" w:firstLineChars="0"/>
        <w:rPr>
          <w:rFonts w:ascii="宋体" w:hAnsi="宋体"/>
          <w:color w:val="auto"/>
          <w:szCs w:val="21"/>
          <w:highlight w:val="none"/>
        </w:rPr>
      </w:pPr>
      <w:bookmarkStart w:id="783" w:name="_Toc25063"/>
      <w:r>
        <w:rPr>
          <w:rFonts w:hint="eastAsia" w:ascii="宋体" w:hAnsi="宋体"/>
          <w:color w:val="auto"/>
          <w:szCs w:val="21"/>
          <w:highlight w:val="none"/>
        </w:rPr>
        <w:t xml:space="preserve">   （1）提交响应文件截止时间止，供应商少于3个的；</w:t>
      </w:r>
      <w:bookmarkEnd w:id="783"/>
    </w:p>
    <w:p w14:paraId="0B67BF26">
      <w:pPr>
        <w:pageBreakBefore w:val="0"/>
        <w:kinsoku/>
        <w:overflowPunct/>
        <w:bidi w:val="0"/>
        <w:spacing w:line="360" w:lineRule="auto"/>
        <w:ind w:firstLine="0" w:firstLineChars="0"/>
        <w:rPr>
          <w:rFonts w:ascii="宋体" w:hAnsi="宋体"/>
          <w:color w:val="auto"/>
          <w:szCs w:val="21"/>
          <w:highlight w:val="none"/>
        </w:rPr>
      </w:pPr>
      <w:bookmarkStart w:id="784" w:name="_Toc17911"/>
      <w:r>
        <w:rPr>
          <w:rFonts w:hint="eastAsia" w:ascii="宋体" w:hAnsi="宋体"/>
          <w:color w:val="auto"/>
          <w:szCs w:val="21"/>
          <w:highlight w:val="none"/>
        </w:rPr>
        <w:t>（2）经磋商小组评审后否决所有响应文件的。</w:t>
      </w:r>
      <w:bookmarkEnd w:id="784"/>
    </w:p>
    <w:p w14:paraId="0BF9F94E">
      <w:pPr>
        <w:pStyle w:val="67"/>
        <w:pageBreakBefore w:val="0"/>
        <w:kinsoku/>
        <w:overflowPunct/>
        <w:bidi w:val="0"/>
        <w:spacing w:line="360" w:lineRule="auto"/>
        <w:ind w:firstLine="0" w:firstLineChars="0"/>
        <w:rPr>
          <w:rFonts w:ascii="宋体" w:hAnsi="宋体" w:eastAsia="宋体"/>
          <w:b/>
          <w:bCs/>
          <w:color w:val="auto"/>
          <w:sz w:val="21"/>
          <w:szCs w:val="21"/>
          <w:highlight w:val="none"/>
        </w:rPr>
      </w:pPr>
      <w:bookmarkStart w:id="785" w:name="_Toc2509"/>
      <w:bookmarkStart w:id="786" w:name="_Toc9996"/>
      <w:bookmarkStart w:id="787" w:name="_Toc455080147"/>
      <w:r>
        <w:rPr>
          <w:rFonts w:hint="eastAsia" w:ascii="宋体" w:hAnsi="宋体" w:eastAsia="宋体"/>
          <w:b/>
          <w:bCs/>
          <w:color w:val="auto"/>
          <w:sz w:val="21"/>
          <w:szCs w:val="21"/>
          <w:highlight w:val="none"/>
        </w:rPr>
        <w:t>9.纪律和监督</w:t>
      </w:r>
      <w:bookmarkEnd w:id="775"/>
      <w:bookmarkEnd w:id="776"/>
      <w:bookmarkEnd w:id="777"/>
      <w:bookmarkEnd w:id="785"/>
      <w:bookmarkEnd w:id="786"/>
      <w:bookmarkEnd w:id="787"/>
    </w:p>
    <w:p w14:paraId="69D1C55D">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788" w:name="_Toc15592"/>
      <w:bookmarkStart w:id="789" w:name="_Toc12992"/>
      <w:bookmarkStart w:id="790" w:name="_Toc8381"/>
      <w:bookmarkStart w:id="791" w:name="_Toc31857"/>
      <w:bookmarkStart w:id="792" w:name="_Toc144974543"/>
      <w:bookmarkStart w:id="793" w:name="_Toc152042351"/>
      <w:bookmarkStart w:id="794" w:name="_Toc490667868"/>
      <w:bookmarkStart w:id="795" w:name="_Toc15769"/>
      <w:bookmarkStart w:id="796" w:name="_Toc697"/>
      <w:bookmarkStart w:id="797" w:name="_Toc27836"/>
      <w:bookmarkStart w:id="798" w:name="_Toc20009"/>
      <w:bookmarkStart w:id="799" w:name="_Toc318450714"/>
      <w:bookmarkStart w:id="800" w:name="_Toc455867808"/>
      <w:bookmarkStart w:id="801" w:name="_Toc14614"/>
      <w:bookmarkStart w:id="802" w:name="_Toc466298131"/>
      <w:bookmarkStart w:id="803" w:name="_Toc24482"/>
      <w:bookmarkStart w:id="804" w:name="_Toc13970"/>
      <w:bookmarkStart w:id="805" w:name="_Toc152045575"/>
      <w:bookmarkStart w:id="806" w:name="_Toc269"/>
      <w:bookmarkStart w:id="807" w:name="_Toc1282"/>
      <w:bookmarkStart w:id="808" w:name="_Toc455080148"/>
      <w:bookmarkStart w:id="809" w:name="_Toc19159"/>
      <w:bookmarkStart w:id="810" w:name="_Toc14620"/>
      <w:r>
        <w:rPr>
          <w:rFonts w:hint="eastAsia" w:ascii="宋体" w:hAnsi="宋体" w:eastAsia="宋体"/>
          <w:b/>
          <w:bCs/>
          <w:color w:val="auto"/>
          <w:sz w:val="21"/>
          <w:szCs w:val="21"/>
          <w:highlight w:val="none"/>
        </w:rPr>
        <w:t>9.1 对采购人的纪律要求</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3E503B02">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采购人不得泄漏磋商活动中应当保密的情况和资料，不得与供应商串通损害国家利益、社会公共利益或者他人合法权益。</w:t>
      </w:r>
    </w:p>
    <w:p w14:paraId="37A3C402">
      <w:pPr>
        <w:pStyle w:val="68"/>
        <w:pageBreakBefore w:val="0"/>
        <w:kinsoku/>
        <w:overflowPunct/>
        <w:bidi w:val="0"/>
        <w:spacing w:line="360" w:lineRule="auto"/>
        <w:ind w:firstLine="0" w:firstLineChars="0"/>
        <w:outlineLvl w:val="0"/>
        <w:rPr>
          <w:rFonts w:ascii="宋体" w:hAnsi="宋体" w:eastAsia="宋体"/>
          <w:color w:val="auto"/>
          <w:sz w:val="21"/>
          <w:szCs w:val="21"/>
          <w:highlight w:val="none"/>
        </w:rPr>
      </w:pPr>
      <w:bookmarkStart w:id="811" w:name="_Toc490667869"/>
      <w:bookmarkStart w:id="812" w:name="_Toc455080149"/>
      <w:bookmarkStart w:id="813" w:name="_Toc3089"/>
      <w:bookmarkStart w:id="814" w:name="_Toc20261"/>
      <w:bookmarkStart w:id="815" w:name="_Toc144974544"/>
      <w:bookmarkStart w:id="816" w:name="_Toc13753"/>
      <w:bookmarkStart w:id="817" w:name="_Toc1743"/>
      <w:bookmarkStart w:id="818" w:name="_Toc152045576"/>
      <w:bookmarkStart w:id="819" w:name="_Toc18204"/>
      <w:bookmarkStart w:id="820" w:name="_Toc466298132"/>
      <w:bookmarkStart w:id="821" w:name="_Toc7572"/>
      <w:bookmarkStart w:id="822" w:name="_Toc3220"/>
      <w:bookmarkStart w:id="823" w:name="_Toc455867809"/>
      <w:bookmarkStart w:id="824" w:name="_Toc21646"/>
      <w:bookmarkStart w:id="825" w:name="_Toc318450715"/>
      <w:bookmarkStart w:id="826" w:name="_Toc3375"/>
      <w:bookmarkStart w:id="827" w:name="_Toc23415"/>
      <w:bookmarkStart w:id="828" w:name="_Toc9058"/>
      <w:bookmarkStart w:id="829" w:name="_Toc19167"/>
      <w:bookmarkStart w:id="830" w:name="_Toc27698"/>
      <w:bookmarkStart w:id="831" w:name="_Toc17040"/>
      <w:bookmarkStart w:id="832" w:name="_Toc152042352"/>
      <w:bookmarkStart w:id="833" w:name="_Toc18604"/>
      <w:r>
        <w:rPr>
          <w:rFonts w:hint="eastAsia" w:ascii="宋体" w:hAnsi="宋体" w:eastAsia="宋体"/>
          <w:b/>
          <w:bCs/>
          <w:color w:val="auto"/>
          <w:sz w:val="21"/>
          <w:szCs w:val="21"/>
          <w:highlight w:val="none"/>
        </w:rPr>
        <w:t>9.2 对供应商的纪律要求</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354CE39E">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供应商不得相互串通或者与采购人串通，不得向采购人或者谈判小组行贿谋取成交，不得以他人名义或者以其他方式弄虚作假骗取成交；供应商不得以任何方式干扰、影响评审工作。</w:t>
      </w:r>
    </w:p>
    <w:p w14:paraId="6393832A">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834" w:name="_Toc455080150"/>
      <w:bookmarkStart w:id="835" w:name="_Toc318450716"/>
      <w:bookmarkStart w:id="836" w:name="_Toc152042353"/>
      <w:bookmarkStart w:id="837" w:name="_Toc1928"/>
      <w:bookmarkStart w:id="838" w:name="_Toc30153"/>
      <w:bookmarkStart w:id="839" w:name="_Toc19086"/>
      <w:bookmarkStart w:id="840" w:name="_Toc31001"/>
      <w:bookmarkStart w:id="841" w:name="_Toc144974545"/>
      <w:bookmarkStart w:id="842" w:name="_Toc25241"/>
      <w:bookmarkStart w:id="843" w:name="_Toc7439"/>
      <w:bookmarkStart w:id="844" w:name="_Toc9247"/>
      <w:bookmarkStart w:id="845" w:name="_Toc12177"/>
      <w:bookmarkStart w:id="846" w:name="_Toc2199"/>
      <w:bookmarkStart w:id="847" w:name="_Toc25211"/>
      <w:bookmarkStart w:id="848" w:name="_Toc28813"/>
      <w:bookmarkStart w:id="849" w:name="_Toc466298133"/>
      <w:bookmarkStart w:id="850" w:name="_Toc32320"/>
      <w:bookmarkStart w:id="851" w:name="_Toc490667870"/>
      <w:bookmarkStart w:id="852" w:name="_Toc152045577"/>
      <w:bookmarkStart w:id="853" w:name="_Toc2542"/>
      <w:bookmarkStart w:id="854" w:name="_Toc455867810"/>
      <w:bookmarkStart w:id="855" w:name="_Toc19965"/>
      <w:bookmarkStart w:id="856" w:name="_Toc7107"/>
      <w:r>
        <w:rPr>
          <w:rFonts w:hint="eastAsia" w:ascii="宋体" w:hAnsi="宋体" w:eastAsia="宋体"/>
          <w:b/>
          <w:bCs/>
          <w:color w:val="auto"/>
          <w:sz w:val="21"/>
          <w:szCs w:val="21"/>
          <w:highlight w:val="none"/>
        </w:rPr>
        <w:t>9.3 对磋商小组成员的纪律要求</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4FAF2A5A">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799368E0">
      <w:pPr>
        <w:pStyle w:val="68"/>
        <w:pageBreakBefore w:val="0"/>
        <w:kinsoku/>
        <w:overflowPunct/>
        <w:bidi w:val="0"/>
        <w:spacing w:line="360" w:lineRule="auto"/>
        <w:ind w:firstLine="0" w:firstLineChars="0"/>
        <w:outlineLvl w:val="0"/>
        <w:rPr>
          <w:rFonts w:ascii="宋体" w:hAnsi="宋体" w:eastAsia="宋体"/>
          <w:color w:val="auto"/>
          <w:sz w:val="21"/>
          <w:szCs w:val="21"/>
          <w:highlight w:val="none"/>
        </w:rPr>
      </w:pPr>
      <w:bookmarkStart w:id="857" w:name="_Toc19485"/>
      <w:bookmarkStart w:id="858" w:name="_Toc23717"/>
      <w:bookmarkStart w:id="859" w:name="_Toc27559"/>
      <w:bookmarkStart w:id="860" w:name="_Toc152045578"/>
      <w:bookmarkStart w:id="861" w:name="_Toc466298134"/>
      <w:bookmarkStart w:id="862" w:name="_Toc7368"/>
      <w:bookmarkStart w:id="863" w:name="_Toc24733"/>
      <w:bookmarkStart w:id="864" w:name="_Toc8677"/>
      <w:bookmarkStart w:id="865" w:name="_Toc318450717"/>
      <w:bookmarkStart w:id="866" w:name="_Toc24"/>
      <w:bookmarkStart w:id="867" w:name="_Toc455867811"/>
      <w:bookmarkStart w:id="868" w:name="_Toc8952"/>
      <w:bookmarkStart w:id="869" w:name="_Toc490667871"/>
      <w:bookmarkStart w:id="870" w:name="_Toc26462"/>
      <w:bookmarkStart w:id="871" w:name="_Toc32632"/>
      <w:bookmarkStart w:id="872" w:name="_Toc152042354"/>
      <w:bookmarkStart w:id="873" w:name="_Toc15116"/>
      <w:bookmarkStart w:id="874" w:name="_Toc455080151"/>
      <w:bookmarkStart w:id="875" w:name="_Toc1295"/>
      <w:bookmarkStart w:id="876" w:name="_Toc20546"/>
      <w:bookmarkStart w:id="877" w:name="_Toc235"/>
      <w:bookmarkStart w:id="878" w:name="_Toc9063"/>
      <w:bookmarkStart w:id="879" w:name="_Toc144974546"/>
      <w:r>
        <w:rPr>
          <w:rFonts w:hint="eastAsia" w:ascii="宋体" w:hAnsi="宋体" w:eastAsia="宋体"/>
          <w:b/>
          <w:bCs/>
          <w:color w:val="auto"/>
          <w:sz w:val="21"/>
          <w:szCs w:val="21"/>
          <w:highlight w:val="none"/>
        </w:rPr>
        <w:t>9.4 对与评标活动有关的工作人员的纪律要求</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6C3D5F6C">
      <w:pPr>
        <w:pageBreakBefore w:val="0"/>
        <w:kinsoku/>
        <w:overflowPunct/>
        <w:bidi w:val="0"/>
        <w:spacing w:line="360" w:lineRule="auto"/>
        <w:ind w:firstLine="0" w:firstLineChars="0"/>
        <w:rPr>
          <w:rFonts w:ascii="宋体" w:hAnsi="宋体" w:cs="宋体"/>
          <w:color w:val="auto"/>
          <w:szCs w:val="21"/>
          <w:highlight w:val="none"/>
        </w:rPr>
      </w:pPr>
      <w:bookmarkStart w:id="880" w:name="_Toc152042355"/>
      <w:r>
        <w:rPr>
          <w:rFonts w:hint="eastAsia" w:ascii="宋体" w:hAnsi="宋体" w:cs="宋体"/>
          <w:color w:val="auto"/>
          <w:szCs w:val="21"/>
          <w:highlight w:val="none"/>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880"/>
    </w:p>
    <w:p w14:paraId="28E311E8">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881" w:name="_Toc1820"/>
      <w:bookmarkStart w:id="882" w:name="_Toc466298135"/>
      <w:bookmarkStart w:id="883" w:name="_Toc31609"/>
      <w:bookmarkStart w:id="884" w:name="_Toc18178"/>
      <w:bookmarkStart w:id="885" w:name="_Toc32675"/>
      <w:bookmarkStart w:id="886" w:name="_Toc7556"/>
      <w:bookmarkStart w:id="887" w:name="_Toc8074"/>
      <w:bookmarkStart w:id="888" w:name="_Toc31010"/>
      <w:bookmarkStart w:id="889" w:name="_Toc455867812"/>
      <w:bookmarkStart w:id="890" w:name="_Toc17735"/>
      <w:bookmarkStart w:id="891" w:name="_Toc25751"/>
      <w:bookmarkStart w:id="892" w:name="_Toc318450718"/>
      <w:bookmarkStart w:id="893" w:name="_Toc11924"/>
      <w:bookmarkStart w:id="894" w:name="_Toc32064"/>
      <w:bookmarkStart w:id="895" w:name="_Toc3617"/>
      <w:bookmarkStart w:id="896" w:name="_Toc152042356"/>
      <w:bookmarkStart w:id="897" w:name="_Toc152045579"/>
      <w:bookmarkStart w:id="898" w:name="_Toc490667872"/>
      <w:bookmarkStart w:id="899" w:name="_Toc3303"/>
      <w:bookmarkStart w:id="900" w:name="_Toc6199"/>
      <w:bookmarkStart w:id="901" w:name="_Toc455080152"/>
      <w:bookmarkStart w:id="902" w:name="_Toc5504"/>
      <w:r>
        <w:rPr>
          <w:rFonts w:hint="eastAsia" w:ascii="宋体" w:hAnsi="宋体" w:eastAsia="宋体"/>
          <w:b/>
          <w:bCs/>
          <w:color w:val="auto"/>
          <w:sz w:val="21"/>
          <w:szCs w:val="21"/>
          <w:highlight w:val="none"/>
        </w:rPr>
        <w:t>9.5 投诉</w:t>
      </w:r>
      <w:bookmarkEnd w:id="879"/>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40FEB508">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供应商和其他利害关系人认为本次磋商活动违反法律、法规和规章规定的，有权向有关行政监督部门投诉。</w:t>
      </w:r>
    </w:p>
    <w:p w14:paraId="2007883B">
      <w:pPr>
        <w:pStyle w:val="67"/>
        <w:pageBreakBefore w:val="0"/>
        <w:kinsoku/>
        <w:overflowPunct/>
        <w:bidi w:val="0"/>
        <w:spacing w:line="360" w:lineRule="auto"/>
        <w:ind w:firstLine="0" w:firstLineChars="0"/>
        <w:rPr>
          <w:rFonts w:ascii="宋体" w:hAnsi="宋体" w:eastAsia="宋体"/>
          <w:b/>
          <w:bCs/>
          <w:color w:val="auto"/>
          <w:sz w:val="21"/>
          <w:szCs w:val="21"/>
          <w:highlight w:val="none"/>
        </w:rPr>
      </w:pPr>
      <w:bookmarkStart w:id="903" w:name="_Toc26468"/>
      <w:bookmarkStart w:id="904" w:name="_Toc152042357"/>
      <w:bookmarkStart w:id="905" w:name="_Toc455080153"/>
      <w:bookmarkStart w:id="906" w:name="_Toc152045580"/>
      <w:bookmarkStart w:id="907" w:name="_Toc14221"/>
      <w:bookmarkStart w:id="908" w:name="_Toc144974547"/>
      <w:r>
        <w:rPr>
          <w:rFonts w:hint="eastAsia" w:ascii="宋体" w:hAnsi="宋体" w:eastAsia="宋体"/>
          <w:b/>
          <w:bCs/>
          <w:color w:val="auto"/>
          <w:sz w:val="21"/>
          <w:szCs w:val="21"/>
          <w:highlight w:val="none"/>
        </w:rPr>
        <w:t>10. 需要补充的其他内容</w:t>
      </w:r>
      <w:bookmarkEnd w:id="903"/>
      <w:bookmarkEnd w:id="904"/>
      <w:bookmarkEnd w:id="905"/>
      <w:bookmarkEnd w:id="906"/>
      <w:bookmarkEnd w:id="907"/>
      <w:bookmarkEnd w:id="908"/>
    </w:p>
    <w:p w14:paraId="2D49C1A0">
      <w:pPr>
        <w:pageBreakBefore w:val="0"/>
        <w:kinsoku/>
        <w:overflowPunct/>
        <w:bidi w:val="0"/>
        <w:ind w:firstLine="0" w:firstLineChars="0"/>
        <w:outlineLvl w:val="0"/>
        <w:rPr>
          <w:rFonts w:ascii="宋体" w:hAnsi="宋体" w:cs="宋体"/>
          <w:b/>
          <w:color w:val="auto"/>
          <w:kern w:val="44"/>
          <w:sz w:val="28"/>
          <w:szCs w:val="28"/>
          <w:highlight w:val="none"/>
        </w:rPr>
      </w:pPr>
      <w:bookmarkStart w:id="909" w:name="_Toc455080154"/>
      <w:bookmarkStart w:id="910" w:name="_Toc455867814"/>
      <w:bookmarkStart w:id="911" w:name="_Toc466298137"/>
      <w:bookmarkStart w:id="912" w:name="_Toc152042375"/>
      <w:bookmarkStart w:id="913" w:name="_Toc144974565"/>
      <w:bookmarkStart w:id="914" w:name="_Toc152045598"/>
    </w:p>
    <w:p w14:paraId="1E9704B5">
      <w:pPr>
        <w:pageBreakBefore w:val="0"/>
        <w:kinsoku/>
        <w:overflowPunct/>
        <w:bidi w:val="0"/>
        <w:ind w:firstLine="0" w:firstLineChars="0"/>
        <w:outlineLvl w:val="0"/>
        <w:rPr>
          <w:rFonts w:ascii="宋体" w:hAnsi="宋体" w:cs="宋体"/>
          <w:b/>
          <w:color w:val="auto"/>
          <w:kern w:val="44"/>
          <w:sz w:val="32"/>
          <w:szCs w:val="32"/>
          <w:highlight w:val="none"/>
        </w:rPr>
      </w:pPr>
      <w:bookmarkStart w:id="915" w:name="_Toc6192"/>
    </w:p>
    <w:p w14:paraId="3966C844">
      <w:pPr>
        <w:pageBreakBefore w:val="0"/>
        <w:kinsoku/>
        <w:overflowPunct/>
        <w:bidi w:val="0"/>
        <w:ind w:firstLine="0" w:firstLineChars="0"/>
        <w:outlineLvl w:val="0"/>
        <w:rPr>
          <w:rFonts w:ascii="宋体" w:hAnsi="宋体" w:cs="宋体"/>
          <w:b/>
          <w:color w:val="auto"/>
          <w:kern w:val="44"/>
          <w:sz w:val="32"/>
          <w:szCs w:val="32"/>
          <w:highlight w:val="none"/>
        </w:rPr>
      </w:pPr>
    </w:p>
    <w:p w14:paraId="7FD2E380">
      <w:pPr>
        <w:pageBreakBefore w:val="0"/>
        <w:kinsoku/>
        <w:overflowPunct/>
        <w:bidi w:val="0"/>
        <w:ind w:firstLine="0" w:firstLineChars="0"/>
        <w:outlineLvl w:val="0"/>
        <w:rPr>
          <w:rFonts w:ascii="宋体" w:hAnsi="宋体" w:cs="宋体"/>
          <w:b/>
          <w:color w:val="auto"/>
          <w:kern w:val="44"/>
          <w:sz w:val="32"/>
          <w:szCs w:val="32"/>
          <w:highlight w:val="none"/>
        </w:rPr>
      </w:pPr>
    </w:p>
    <w:p w14:paraId="5E1F04A4">
      <w:pPr>
        <w:pageBreakBefore w:val="0"/>
        <w:kinsoku/>
        <w:overflowPunct/>
        <w:bidi w:val="0"/>
        <w:ind w:firstLine="0" w:firstLineChars="0"/>
        <w:outlineLvl w:val="0"/>
        <w:rPr>
          <w:rFonts w:ascii="宋体" w:hAnsi="宋体" w:cs="宋体"/>
          <w:b/>
          <w:color w:val="auto"/>
          <w:kern w:val="44"/>
          <w:sz w:val="32"/>
          <w:szCs w:val="32"/>
          <w:highlight w:val="none"/>
        </w:rPr>
      </w:pPr>
    </w:p>
    <w:p w14:paraId="64284DFB">
      <w:pPr>
        <w:pageBreakBefore w:val="0"/>
        <w:kinsoku/>
        <w:overflowPunct/>
        <w:bidi w:val="0"/>
        <w:ind w:firstLine="0" w:firstLineChars="0"/>
        <w:outlineLvl w:val="0"/>
        <w:rPr>
          <w:rFonts w:ascii="宋体" w:hAnsi="宋体" w:cs="宋体"/>
          <w:b/>
          <w:color w:val="auto"/>
          <w:kern w:val="44"/>
          <w:sz w:val="32"/>
          <w:szCs w:val="32"/>
          <w:highlight w:val="none"/>
        </w:rPr>
      </w:pPr>
    </w:p>
    <w:p w14:paraId="19272F26">
      <w:pPr>
        <w:pageBreakBefore w:val="0"/>
        <w:kinsoku/>
        <w:overflowPunct/>
        <w:bidi w:val="0"/>
        <w:ind w:firstLine="0" w:firstLineChars="0"/>
        <w:jc w:val="center"/>
        <w:outlineLvl w:val="0"/>
        <w:rPr>
          <w:rFonts w:ascii="宋体" w:hAnsi="宋体" w:cs="宋体"/>
          <w:bCs/>
          <w:color w:val="auto"/>
          <w:sz w:val="32"/>
          <w:szCs w:val="32"/>
          <w:highlight w:val="none"/>
        </w:rPr>
      </w:pPr>
      <w:bookmarkStart w:id="916" w:name="_Toc22014"/>
      <w:r>
        <w:rPr>
          <w:rFonts w:hint="eastAsia" w:ascii="宋体" w:hAnsi="宋体" w:cs="宋体"/>
          <w:b/>
          <w:color w:val="auto"/>
          <w:kern w:val="44"/>
          <w:sz w:val="32"/>
          <w:szCs w:val="32"/>
          <w:highlight w:val="none"/>
        </w:rPr>
        <w:t>第三章  评审办法（综合评分法）</w:t>
      </w:r>
      <w:bookmarkEnd w:id="909"/>
      <w:bookmarkEnd w:id="910"/>
      <w:bookmarkEnd w:id="911"/>
      <w:bookmarkEnd w:id="915"/>
      <w:bookmarkEnd w:id="916"/>
    </w:p>
    <w:bookmarkEnd w:id="912"/>
    <w:bookmarkEnd w:id="913"/>
    <w:bookmarkEnd w:id="914"/>
    <w:p w14:paraId="63368AB9">
      <w:pPr>
        <w:pageBreakBefore w:val="0"/>
        <w:kinsoku/>
        <w:overflowPunct/>
        <w:bidi w:val="0"/>
        <w:ind w:firstLine="0" w:firstLineChars="0"/>
        <w:jc w:val="center"/>
        <w:outlineLvl w:val="1"/>
        <w:rPr>
          <w:rFonts w:ascii="宋体" w:hAnsi="宋体"/>
          <w:color w:val="auto"/>
          <w:sz w:val="24"/>
          <w:highlight w:val="none"/>
        </w:rPr>
      </w:pPr>
      <w:bookmarkStart w:id="917" w:name="_Toc455080156"/>
      <w:bookmarkStart w:id="918" w:name="_Toc152042376"/>
      <w:bookmarkStart w:id="919" w:name="_Toc152045599"/>
      <w:bookmarkStart w:id="920" w:name="_Toc27806"/>
      <w:bookmarkStart w:id="921" w:name="_Toc25472"/>
      <w:bookmarkStart w:id="922" w:name="_Toc28069"/>
      <w:bookmarkStart w:id="923" w:name="_Toc466298139"/>
      <w:bookmarkStart w:id="924" w:name="_Toc455867816"/>
      <w:bookmarkStart w:id="925" w:name="_Toc144974566"/>
      <w:bookmarkStart w:id="926" w:name="_Toc318450721"/>
      <w:bookmarkStart w:id="927" w:name="_Toc11491"/>
      <w:bookmarkStart w:id="928" w:name="_Toc31647"/>
      <w:bookmarkStart w:id="929" w:name="_Toc281405527"/>
      <w:r>
        <w:rPr>
          <w:rFonts w:hint="eastAsia" w:ascii="宋体" w:hAnsi="宋体"/>
          <w:color w:val="auto"/>
          <w:sz w:val="24"/>
          <w:highlight w:val="none"/>
        </w:rPr>
        <w:t>评审办法前附表</w:t>
      </w:r>
      <w:bookmarkEnd w:id="917"/>
      <w:bookmarkEnd w:id="918"/>
      <w:bookmarkEnd w:id="919"/>
      <w:bookmarkEnd w:id="920"/>
      <w:bookmarkEnd w:id="921"/>
      <w:bookmarkEnd w:id="922"/>
      <w:bookmarkEnd w:id="923"/>
      <w:bookmarkEnd w:id="924"/>
      <w:bookmarkEnd w:id="925"/>
      <w:bookmarkEnd w:id="926"/>
      <w:bookmarkEnd w:id="927"/>
      <w:bookmarkEnd w:id="928"/>
      <w:bookmarkEnd w:id="929"/>
    </w:p>
    <w:p w14:paraId="1D4893F3">
      <w:pPr>
        <w:pageBreakBefore w:val="0"/>
        <w:kinsoku/>
        <w:overflowPunct/>
        <w:bidi w:val="0"/>
        <w:ind w:firstLine="0" w:firstLineChars="0"/>
        <w:jc w:val="center"/>
        <w:outlineLvl w:val="1"/>
        <w:rPr>
          <w:rFonts w:ascii="宋体" w:hAnsi="宋体"/>
          <w:color w:val="auto"/>
          <w:sz w:val="24"/>
          <w:highlight w:val="none"/>
        </w:rPr>
      </w:pPr>
    </w:p>
    <w:tbl>
      <w:tblPr>
        <w:tblStyle w:val="30"/>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5"/>
        <w:gridCol w:w="2399"/>
        <w:gridCol w:w="5107"/>
      </w:tblGrid>
      <w:tr w14:paraId="0A8B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032" w:type="dxa"/>
            <w:gridSpan w:val="2"/>
            <w:noWrap/>
            <w:vAlign w:val="center"/>
          </w:tcPr>
          <w:p w14:paraId="1F9BD7B8">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2399" w:type="dxa"/>
            <w:noWrap/>
            <w:vAlign w:val="center"/>
          </w:tcPr>
          <w:p w14:paraId="405F2446">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5107" w:type="dxa"/>
            <w:noWrap/>
            <w:vAlign w:val="center"/>
          </w:tcPr>
          <w:p w14:paraId="2CA2550A">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评审标准</w:t>
            </w:r>
          </w:p>
        </w:tc>
      </w:tr>
      <w:tr w14:paraId="5332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97" w:type="dxa"/>
            <w:vMerge w:val="restart"/>
            <w:noWrap/>
            <w:vAlign w:val="center"/>
          </w:tcPr>
          <w:p w14:paraId="7277F681">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1235" w:type="dxa"/>
            <w:vMerge w:val="restart"/>
            <w:noWrap/>
            <w:vAlign w:val="center"/>
          </w:tcPr>
          <w:p w14:paraId="61C5DB3D">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资格评审</w:t>
            </w:r>
          </w:p>
          <w:p w14:paraId="173087CB">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  准</w:t>
            </w:r>
          </w:p>
        </w:tc>
        <w:tc>
          <w:tcPr>
            <w:tcW w:w="2399" w:type="dxa"/>
            <w:noWrap/>
            <w:vAlign w:val="center"/>
          </w:tcPr>
          <w:p w14:paraId="0D98E659">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jc w:val="center"/>
              <w:textAlignment w:val="auto"/>
              <w:rPr>
                <w:rFonts w:ascii="宋体" w:hAnsi="宋体" w:eastAsia="宋体" w:cs="宋体"/>
                <w:color w:val="auto"/>
                <w:szCs w:val="21"/>
                <w:highlight w:val="none"/>
              </w:rPr>
            </w:pPr>
            <w:r>
              <w:rPr>
                <w:rFonts w:hint="eastAsia" w:ascii="宋体" w:hAnsi="宋体" w:eastAsia="宋体" w:cs="宋体"/>
                <w:color w:val="auto"/>
                <w:sz w:val="21"/>
                <w:szCs w:val="21"/>
                <w:highlight w:val="none"/>
              </w:rPr>
              <w:t>符合《中华人民共和国政府采购法》第22条规定</w:t>
            </w:r>
          </w:p>
        </w:tc>
        <w:tc>
          <w:tcPr>
            <w:tcW w:w="5107" w:type="dxa"/>
            <w:noWrap/>
            <w:vAlign w:val="center"/>
          </w:tcPr>
          <w:p w14:paraId="12488BB0">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.1项规定</w:t>
            </w:r>
          </w:p>
        </w:tc>
      </w:tr>
      <w:tr w14:paraId="0165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97" w:type="dxa"/>
            <w:vMerge w:val="continue"/>
            <w:noWrap/>
            <w:vAlign w:val="center"/>
          </w:tcPr>
          <w:p w14:paraId="3A8BF4FA">
            <w:pPr>
              <w:pageBreakBefore w:val="0"/>
              <w:kinsoku/>
              <w:overflowPunct/>
              <w:bidi w:val="0"/>
              <w:spacing w:line="440" w:lineRule="exact"/>
              <w:ind w:firstLine="0" w:firstLineChars="0"/>
              <w:rPr>
                <w:rFonts w:ascii="宋体" w:hAnsi="宋体" w:eastAsia="宋体" w:cs="宋体"/>
                <w:color w:val="auto"/>
                <w:szCs w:val="21"/>
                <w:highlight w:val="none"/>
              </w:rPr>
            </w:pPr>
          </w:p>
        </w:tc>
        <w:tc>
          <w:tcPr>
            <w:tcW w:w="1235" w:type="dxa"/>
            <w:vMerge w:val="continue"/>
            <w:noWrap/>
            <w:vAlign w:val="center"/>
          </w:tcPr>
          <w:p w14:paraId="7CD58666">
            <w:pPr>
              <w:pageBreakBefore w:val="0"/>
              <w:kinsoku/>
              <w:overflowPunct/>
              <w:bidi w:val="0"/>
              <w:spacing w:line="440" w:lineRule="exact"/>
              <w:ind w:firstLine="0" w:firstLineChars="0"/>
              <w:jc w:val="center"/>
              <w:rPr>
                <w:rFonts w:ascii="宋体" w:hAnsi="宋体" w:eastAsia="宋体" w:cs="宋体"/>
                <w:color w:val="auto"/>
                <w:szCs w:val="21"/>
                <w:highlight w:val="none"/>
              </w:rPr>
            </w:pPr>
          </w:p>
        </w:tc>
        <w:tc>
          <w:tcPr>
            <w:tcW w:w="2399" w:type="dxa"/>
            <w:noWrap/>
            <w:vAlign w:val="center"/>
          </w:tcPr>
          <w:p w14:paraId="2D586961">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jc w:val="center"/>
              <w:textAlignment w:val="auto"/>
              <w:rPr>
                <w:rFonts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落实政府采购政策</w:t>
            </w:r>
          </w:p>
        </w:tc>
        <w:tc>
          <w:tcPr>
            <w:tcW w:w="5107" w:type="dxa"/>
            <w:noWrap/>
            <w:vAlign w:val="center"/>
          </w:tcPr>
          <w:p w14:paraId="6BF2E126">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.1项规定</w:t>
            </w:r>
          </w:p>
        </w:tc>
      </w:tr>
      <w:tr w14:paraId="3834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97" w:type="dxa"/>
            <w:vMerge w:val="continue"/>
            <w:noWrap/>
            <w:vAlign w:val="center"/>
          </w:tcPr>
          <w:p w14:paraId="30E702CD">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1235" w:type="dxa"/>
            <w:vMerge w:val="continue"/>
            <w:noWrap/>
            <w:vAlign w:val="center"/>
          </w:tcPr>
          <w:p w14:paraId="2071E4CB">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2399" w:type="dxa"/>
            <w:noWrap/>
            <w:vAlign w:val="center"/>
          </w:tcPr>
          <w:p w14:paraId="36F5CEE2">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eastAsia="zh-CN"/>
              </w:rPr>
              <w:t>特定资格要求</w:t>
            </w:r>
          </w:p>
        </w:tc>
        <w:tc>
          <w:tcPr>
            <w:tcW w:w="5107" w:type="dxa"/>
            <w:noWrap/>
            <w:vAlign w:val="center"/>
          </w:tcPr>
          <w:p w14:paraId="0EA63C00">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.1项规定</w:t>
            </w:r>
          </w:p>
        </w:tc>
      </w:tr>
      <w:tr w14:paraId="07D0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97" w:type="dxa"/>
            <w:vMerge w:val="restart"/>
            <w:noWrap/>
            <w:vAlign w:val="center"/>
          </w:tcPr>
          <w:p w14:paraId="7B1FA40D">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1235" w:type="dxa"/>
            <w:vMerge w:val="restart"/>
            <w:noWrap/>
            <w:vAlign w:val="center"/>
          </w:tcPr>
          <w:p w14:paraId="5188D754">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符合性</w:t>
            </w:r>
          </w:p>
          <w:p w14:paraId="6BAADE55">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评审标准</w:t>
            </w:r>
          </w:p>
        </w:tc>
        <w:tc>
          <w:tcPr>
            <w:tcW w:w="2399" w:type="dxa"/>
            <w:noWrap/>
            <w:vAlign w:val="center"/>
          </w:tcPr>
          <w:p w14:paraId="4465931C">
            <w:pPr>
              <w:pageBreakBefore w:val="0"/>
              <w:kinsoku/>
              <w:overflowPunct/>
              <w:bidi w:val="0"/>
              <w:spacing w:line="44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5107" w:type="dxa"/>
            <w:tcBorders/>
            <w:noWrap/>
            <w:vAlign w:val="center"/>
          </w:tcPr>
          <w:p w14:paraId="5E8A260E">
            <w:pPr>
              <w:pageBreakBefore w:val="0"/>
              <w:kinsoku/>
              <w:overflowPunct/>
              <w:bidi w:val="0"/>
              <w:spacing w:line="44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与营业执照</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eastAsia="zh-CN"/>
              </w:rPr>
              <w:t>其他组织的证明材料</w:t>
            </w:r>
            <w:r>
              <w:rPr>
                <w:rFonts w:hint="eastAsia" w:ascii="宋体" w:hAnsi="宋体" w:eastAsia="宋体" w:cs="宋体"/>
                <w:color w:val="auto"/>
                <w:szCs w:val="21"/>
                <w:highlight w:val="none"/>
              </w:rPr>
              <w:t>一致</w:t>
            </w:r>
          </w:p>
        </w:tc>
      </w:tr>
      <w:tr w14:paraId="405F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7" w:type="dxa"/>
            <w:vMerge w:val="continue"/>
            <w:noWrap/>
            <w:vAlign w:val="center"/>
          </w:tcPr>
          <w:p w14:paraId="630DCF43">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1235" w:type="dxa"/>
            <w:vMerge w:val="continue"/>
            <w:noWrap/>
            <w:vAlign w:val="center"/>
          </w:tcPr>
          <w:p w14:paraId="2B1DD0A2">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2399" w:type="dxa"/>
            <w:noWrap/>
            <w:vAlign w:val="center"/>
          </w:tcPr>
          <w:p w14:paraId="7A4CEC79">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响应函签</w:t>
            </w:r>
            <w:bookmarkStart w:id="1326" w:name="_GoBack"/>
            <w:bookmarkEnd w:id="1326"/>
            <w:r>
              <w:rPr>
                <w:rFonts w:hint="eastAsia" w:ascii="宋体" w:hAnsi="宋体" w:eastAsia="宋体" w:cs="宋体"/>
                <w:color w:val="auto"/>
                <w:szCs w:val="21"/>
                <w:highlight w:val="none"/>
              </w:rPr>
              <w:t>字盖章</w:t>
            </w:r>
          </w:p>
        </w:tc>
        <w:tc>
          <w:tcPr>
            <w:tcW w:w="5107" w:type="dxa"/>
            <w:noWrap/>
            <w:vAlign w:val="center"/>
          </w:tcPr>
          <w:p w14:paraId="415CA98C">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pacing w:val="-6"/>
                <w:szCs w:val="21"/>
                <w:highlight w:val="none"/>
              </w:rPr>
              <w:t>符合第六章“竞争性磋商响应文件格式”响应函签字盖章的要求</w:t>
            </w:r>
          </w:p>
        </w:tc>
      </w:tr>
      <w:tr w14:paraId="091B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7" w:type="dxa"/>
            <w:vMerge w:val="continue"/>
            <w:noWrap/>
            <w:vAlign w:val="center"/>
          </w:tcPr>
          <w:p w14:paraId="066A459D">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1235" w:type="dxa"/>
            <w:vMerge w:val="continue"/>
            <w:noWrap/>
            <w:vAlign w:val="center"/>
          </w:tcPr>
          <w:p w14:paraId="119006E9">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2399" w:type="dxa"/>
            <w:noWrap/>
            <w:vAlign w:val="center"/>
          </w:tcPr>
          <w:p w14:paraId="769CD219">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响应文件格式</w:t>
            </w:r>
          </w:p>
        </w:tc>
        <w:tc>
          <w:tcPr>
            <w:tcW w:w="5107" w:type="dxa"/>
            <w:noWrap/>
            <w:vAlign w:val="center"/>
          </w:tcPr>
          <w:p w14:paraId="4FD00639">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符合第六章“竞争性磋商响应文件格式”的要求</w:t>
            </w:r>
          </w:p>
        </w:tc>
      </w:tr>
      <w:tr w14:paraId="0A3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97" w:type="dxa"/>
            <w:vMerge w:val="continue"/>
            <w:noWrap/>
            <w:vAlign w:val="center"/>
          </w:tcPr>
          <w:p w14:paraId="0BC3EB6F">
            <w:pPr>
              <w:pageBreakBefore w:val="0"/>
              <w:kinsoku/>
              <w:overflowPunct/>
              <w:bidi w:val="0"/>
              <w:spacing w:line="440" w:lineRule="exact"/>
              <w:ind w:firstLine="0" w:firstLineChars="0"/>
              <w:rPr>
                <w:rFonts w:ascii="宋体" w:hAnsi="宋体" w:eastAsia="宋体" w:cs="宋体"/>
                <w:color w:val="auto"/>
                <w:szCs w:val="21"/>
                <w:highlight w:val="none"/>
              </w:rPr>
            </w:pPr>
          </w:p>
        </w:tc>
        <w:tc>
          <w:tcPr>
            <w:tcW w:w="1235" w:type="dxa"/>
            <w:vMerge w:val="continue"/>
            <w:noWrap/>
            <w:vAlign w:val="center"/>
          </w:tcPr>
          <w:p w14:paraId="78A67AA7">
            <w:pPr>
              <w:pageBreakBefore w:val="0"/>
              <w:kinsoku/>
              <w:overflowPunct/>
              <w:bidi w:val="0"/>
              <w:spacing w:line="440" w:lineRule="exact"/>
              <w:ind w:firstLine="0" w:firstLineChars="0"/>
              <w:jc w:val="center"/>
              <w:rPr>
                <w:rFonts w:ascii="宋体" w:hAnsi="宋体" w:eastAsia="宋体" w:cs="宋体"/>
                <w:color w:val="auto"/>
                <w:szCs w:val="21"/>
                <w:highlight w:val="none"/>
              </w:rPr>
            </w:pPr>
          </w:p>
        </w:tc>
        <w:tc>
          <w:tcPr>
            <w:tcW w:w="2399" w:type="dxa"/>
            <w:noWrap/>
            <w:vAlign w:val="center"/>
          </w:tcPr>
          <w:p w14:paraId="00D58323">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响应内容</w:t>
            </w:r>
          </w:p>
        </w:tc>
        <w:tc>
          <w:tcPr>
            <w:tcW w:w="5107" w:type="dxa"/>
            <w:noWrap/>
            <w:vAlign w:val="center"/>
          </w:tcPr>
          <w:p w14:paraId="3F7361F6">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符合第二章“供应商须知”第1.4.1项规定</w:t>
            </w:r>
          </w:p>
        </w:tc>
      </w:tr>
      <w:tr w14:paraId="2C32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97" w:type="dxa"/>
            <w:vMerge w:val="continue"/>
            <w:noWrap/>
            <w:vAlign w:val="center"/>
          </w:tcPr>
          <w:p w14:paraId="604FF1A9">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1235" w:type="dxa"/>
            <w:vMerge w:val="continue"/>
            <w:noWrap/>
            <w:vAlign w:val="center"/>
          </w:tcPr>
          <w:p w14:paraId="4A5CD100">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2399" w:type="dxa"/>
            <w:noWrap/>
            <w:vAlign w:val="center"/>
          </w:tcPr>
          <w:p w14:paraId="2EFA971A">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5107" w:type="dxa"/>
            <w:noWrap/>
            <w:vAlign w:val="center"/>
          </w:tcPr>
          <w:p w14:paraId="615F9D69">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符合第二章“供应商须知”第1.4.2项规定</w:t>
            </w:r>
          </w:p>
        </w:tc>
      </w:tr>
      <w:tr w14:paraId="63C0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7" w:type="dxa"/>
            <w:vMerge w:val="continue"/>
            <w:noWrap/>
            <w:vAlign w:val="center"/>
          </w:tcPr>
          <w:p w14:paraId="715741C3">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1235" w:type="dxa"/>
            <w:vMerge w:val="continue"/>
            <w:noWrap/>
            <w:vAlign w:val="center"/>
          </w:tcPr>
          <w:p w14:paraId="55F305D7">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2399" w:type="dxa"/>
            <w:noWrap/>
            <w:vAlign w:val="center"/>
          </w:tcPr>
          <w:p w14:paraId="3302BE7C">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质量要求</w:t>
            </w:r>
          </w:p>
        </w:tc>
        <w:tc>
          <w:tcPr>
            <w:tcW w:w="5107" w:type="dxa"/>
            <w:noWrap/>
            <w:vAlign w:val="center"/>
          </w:tcPr>
          <w:p w14:paraId="1CAE6D1A">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符合第二章“供应商须知”第1.4.4项规定</w:t>
            </w:r>
          </w:p>
        </w:tc>
      </w:tr>
      <w:tr w14:paraId="473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97" w:type="dxa"/>
            <w:vMerge w:val="continue"/>
            <w:noWrap/>
            <w:vAlign w:val="center"/>
          </w:tcPr>
          <w:p w14:paraId="31ED2B6C">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1235" w:type="dxa"/>
            <w:vMerge w:val="continue"/>
            <w:noWrap/>
            <w:vAlign w:val="center"/>
          </w:tcPr>
          <w:p w14:paraId="6E461BD0">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2399" w:type="dxa"/>
            <w:noWrap/>
            <w:vAlign w:val="center"/>
          </w:tcPr>
          <w:p w14:paraId="5B783C62">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磋商有效期</w:t>
            </w:r>
          </w:p>
        </w:tc>
        <w:tc>
          <w:tcPr>
            <w:tcW w:w="5107" w:type="dxa"/>
            <w:noWrap/>
            <w:vAlign w:val="center"/>
          </w:tcPr>
          <w:p w14:paraId="2EA3BD76">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符合第二章“供应商须知”第3.3.1项规定</w:t>
            </w:r>
          </w:p>
        </w:tc>
      </w:tr>
      <w:tr w14:paraId="1A12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97" w:type="dxa"/>
            <w:vMerge w:val="continue"/>
            <w:noWrap/>
            <w:vAlign w:val="center"/>
          </w:tcPr>
          <w:p w14:paraId="7E908227">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1235" w:type="dxa"/>
            <w:vMerge w:val="continue"/>
            <w:noWrap/>
            <w:vAlign w:val="center"/>
          </w:tcPr>
          <w:p w14:paraId="2E46126D">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2399" w:type="dxa"/>
            <w:noWrap/>
            <w:vAlign w:val="center"/>
          </w:tcPr>
          <w:p w14:paraId="6A05774E">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磋商报价</w:t>
            </w:r>
          </w:p>
        </w:tc>
        <w:tc>
          <w:tcPr>
            <w:tcW w:w="5107" w:type="dxa"/>
            <w:noWrap/>
            <w:vAlign w:val="center"/>
          </w:tcPr>
          <w:p w14:paraId="7403F155">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报价不超过预算价（最高限价）</w:t>
            </w:r>
          </w:p>
        </w:tc>
      </w:tr>
      <w:tr w14:paraId="3F2D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2" w:type="dxa"/>
            <w:gridSpan w:val="2"/>
            <w:noWrap/>
            <w:vAlign w:val="center"/>
          </w:tcPr>
          <w:p w14:paraId="74F6F957">
            <w:pPr>
              <w:pageBreakBefore w:val="0"/>
              <w:kinsoku/>
              <w:overflowPunct/>
              <w:bidi w:val="0"/>
              <w:spacing w:line="400" w:lineRule="exact"/>
              <w:ind w:firstLine="0" w:firstLineChars="0"/>
              <w:jc w:val="center"/>
              <w:rPr>
                <w:rFonts w:ascii="宋体" w:hAnsi="宋体" w:eastAsia="宋体" w:cs="宋体"/>
                <w:color w:val="auto"/>
                <w:szCs w:val="21"/>
                <w:highlight w:val="none"/>
              </w:rPr>
            </w:pPr>
            <w:bookmarkStart w:id="930" w:name="_Toc318450722"/>
            <w:bookmarkStart w:id="931" w:name="_Toc144974567"/>
            <w:bookmarkStart w:id="932" w:name="_Toc281405528"/>
            <w:bookmarkStart w:id="933" w:name="_Toc152042377"/>
            <w:bookmarkStart w:id="934" w:name="_Toc152045600"/>
            <w:bookmarkStart w:id="935" w:name="_Toc31578"/>
            <w:r>
              <w:rPr>
                <w:rFonts w:hint="eastAsia" w:ascii="宋体" w:hAnsi="宋体" w:eastAsia="宋体" w:cs="宋体"/>
                <w:color w:val="auto"/>
                <w:szCs w:val="21"/>
                <w:highlight w:val="none"/>
              </w:rPr>
              <w:t>2.2</w:t>
            </w:r>
          </w:p>
        </w:tc>
        <w:tc>
          <w:tcPr>
            <w:tcW w:w="2399" w:type="dxa"/>
            <w:noWrap/>
            <w:vAlign w:val="center"/>
          </w:tcPr>
          <w:p w14:paraId="1D6D8229">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分值构成（100分）</w:t>
            </w:r>
          </w:p>
        </w:tc>
        <w:tc>
          <w:tcPr>
            <w:tcW w:w="5107" w:type="dxa"/>
            <w:noWrap/>
            <w:vAlign w:val="center"/>
          </w:tcPr>
          <w:p w14:paraId="29D8531D">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商务部分：</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 xml:space="preserve">分 </w:t>
            </w:r>
          </w:p>
          <w:p w14:paraId="57E7ED28">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技术部分：</w:t>
            </w: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rPr>
              <w:t xml:space="preserve">分 </w:t>
            </w:r>
          </w:p>
          <w:p w14:paraId="2F961F53">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综合部分：</w:t>
            </w: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分</w:t>
            </w:r>
          </w:p>
        </w:tc>
      </w:tr>
      <w:tr w14:paraId="395C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032" w:type="dxa"/>
            <w:gridSpan w:val="2"/>
            <w:noWrap/>
            <w:vAlign w:val="center"/>
          </w:tcPr>
          <w:p w14:paraId="4FACE0AF">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2399" w:type="dxa"/>
            <w:noWrap/>
            <w:vAlign w:val="center"/>
          </w:tcPr>
          <w:p w14:paraId="15D88CB1">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5107" w:type="dxa"/>
            <w:noWrap/>
            <w:vAlign w:val="center"/>
          </w:tcPr>
          <w:p w14:paraId="2ADB14C7">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评分标准</w:t>
            </w:r>
          </w:p>
        </w:tc>
      </w:tr>
      <w:tr w14:paraId="079B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797" w:type="dxa"/>
            <w:noWrap/>
            <w:vAlign w:val="center"/>
          </w:tcPr>
          <w:p w14:paraId="576D27E8">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235" w:type="dxa"/>
            <w:noWrap/>
            <w:vAlign w:val="center"/>
          </w:tcPr>
          <w:p w14:paraId="2300D3FA">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商务标</w:t>
            </w:r>
          </w:p>
          <w:p w14:paraId="396AECC3">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tc>
        <w:tc>
          <w:tcPr>
            <w:tcW w:w="2399" w:type="dxa"/>
            <w:noWrap/>
            <w:vAlign w:val="center"/>
          </w:tcPr>
          <w:p w14:paraId="119E7B10">
            <w:pPr>
              <w:pageBreakBefore w:val="0"/>
              <w:kinsoku/>
              <w:overflowPunct/>
              <w:bidi w:val="0"/>
              <w:spacing w:line="400" w:lineRule="exact"/>
              <w:ind w:firstLine="0" w:firstLineChars="0"/>
              <w:jc w:val="center"/>
              <w:rPr>
                <w:rFonts w:ascii="宋体" w:hAnsi="宋体" w:eastAsia="宋体" w:cs="宋体"/>
                <w:color w:val="auto"/>
                <w:szCs w:val="21"/>
                <w:highlight w:val="none"/>
              </w:rPr>
            </w:pPr>
          </w:p>
          <w:p w14:paraId="348AFE1B">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磋商最终报价得分</w:t>
            </w:r>
          </w:p>
          <w:p w14:paraId="44079CB8">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w:t>
            </w:r>
          </w:p>
          <w:p w14:paraId="5A7DACB3">
            <w:pPr>
              <w:pageBreakBefore w:val="0"/>
              <w:kinsoku/>
              <w:overflowPunct/>
              <w:bidi w:val="0"/>
              <w:spacing w:line="400" w:lineRule="exact"/>
              <w:ind w:firstLine="0" w:firstLineChars="0"/>
              <w:jc w:val="center"/>
              <w:rPr>
                <w:rFonts w:ascii="宋体" w:hAnsi="宋体" w:eastAsia="宋体" w:cs="宋体"/>
                <w:color w:val="auto"/>
                <w:szCs w:val="21"/>
                <w:highlight w:val="none"/>
              </w:rPr>
            </w:pPr>
          </w:p>
        </w:tc>
        <w:tc>
          <w:tcPr>
            <w:tcW w:w="5107" w:type="dxa"/>
            <w:noWrap/>
            <w:vAlign w:val="center"/>
          </w:tcPr>
          <w:p w14:paraId="354BA840">
            <w:pPr>
              <w:pageBreakBefore w:val="0"/>
              <w:kinsoku/>
              <w:overflowPunct/>
              <w:bidi w:val="0"/>
              <w:spacing w:line="40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价格分统一采用低价优先法计算，即满足竞争性磋商文件要求且最终报价最低的最终报价为评标基准价，其价格分满分</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分。其他供应商的价格分统一按照下列公式计算：</w:t>
            </w:r>
          </w:p>
          <w:p w14:paraId="7B8DD825">
            <w:pPr>
              <w:pageBreakBefore w:val="0"/>
              <w:kinsoku/>
              <w:overflowPunct/>
              <w:bidi w:val="0"/>
              <w:spacing w:line="400" w:lineRule="exact"/>
              <w:ind w:firstLine="0" w:firstLineChars="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最终报价得分=（评标基准价/最终报价）×</w:t>
            </w:r>
            <w:r>
              <w:rPr>
                <w:rFonts w:hint="eastAsia" w:ascii="宋体" w:hAnsi="宋体" w:eastAsia="宋体" w:cs="宋体"/>
                <w:color w:val="auto"/>
                <w:szCs w:val="21"/>
                <w:highlight w:val="none"/>
                <w:lang w:val="en-US" w:eastAsia="zh-CN"/>
              </w:rPr>
              <w:t>20</w:t>
            </w:r>
          </w:p>
          <w:p w14:paraId="695F9CF2">
            <w:pPr>
              <w:pageBreakBefore w:val="0"/>
              <w:kinsoku/>
              <w:overflowPunct/>
              <w:bidi w:val="0"/>
              <w:spacing w:line="400" w:lineRule="exact"/>
              <w:ind w:firstLine="0" w:firstLineChars="0"/>
              <w:jc w:val="left"/>
              <w:rPr>
                <w:rFonts w:ascii="宋体" w:hAnsi="宋体" w:eastAsia="宋体" w:cs="宋体"/>
                <w:color w:val="auto"/>
                <w:szCs w:val="21"/>
                <w:highlight w:val="none"/>
              </w:rPr>
            </w:pPr>
            <w:r>
              <w:rPr>
                <w:rFonts w:ascii="宋体" w:hAnsi="宋体" w:cs="宋体"/>
                <w:color w:val="auto"/>
                <w:szCs w:val="21"/>
              </w:rPr>
              <w:t>注：</w:t>
            </w:r>
            <w:r>
              <w:rPr>
                <w:rFonts w:hint="eastAsia" w:ascii="宋体" w:hAnsi="宋体" w:eastAsia="宋体"/>
                <w:color w:val="auto"/>
                <w:kern w:val="2"/>
                <w:sz w:val="21"/>
                <w:szCs w:val="21"/>
              </w:rPr>
              <w:t>供应商的报价明显低于其他通过符合性审查供应商的报价，有可能影响</w:t>
            </w:r>
            <w:r>
              <w:rPr>
                <w:rFonts w:hint="eastAsia" w:ascii="宋体" w:hAnsi="宋体" w:eastAsia="宋体"/>
                <w:color w:val="auto"/>
                <w:kern w:val="2"/>
                <w:sz w:val="21"/>
                <w:szCs w:val="21"/>
                <w:lang w:val="en-US" w:eastAsia="zh-CN"/>
              </w:rPr>
              <w:t>项目</w:t>
            </w:r>
            <w:r>
              <w:rPr>
                <w:rFonts w:hint="eastAsia" w:ascii="宋体" w:hAnsi="宋体" w:eastAsia="宋体"/>
                <w:color w:val="auto"/>
                <w:kern w:val="2"/>
                <w:sz w:val="21"/>
                <w:szCs w:val="21"/>
              </w:rPr>
              <w:t>质量或者不能诚信履约的，</w:t>
            </w:r>
            <w:r>
              <w:rPr>
                <w:rFonts w:hint="eastAsia" w:ascii="宋体" w:hAnsi="宋体" w:eastAsia="宋体"/>
                <w:color w:val="auto"/>
                <w:kern w:val="2"/>
                <w:sz w:val="21"/>
                <w:szCs w:val="21"/>
                <w:lang w:val="en-US" w:eastAsia="zh-CN"/>
              </w:rPr>
              <w:t>评标</w:t>
            </w:r>
            <w:r>
              <w:rPr>
                <w:rFonts w:hint="eastAsia" w:ascii="宋体" w:hAnsi="宋体" w:eastAsia="宋体"/>
                <w:color w:val="auto"/>
                <w:kern w:val="2"/>
                <w:sz w:val="21"/>
                <w:szCs w:val="21"/>
              </w:rPr>
              <w:t>委员会应当要求其在磋商现场合理的时间内提供书面说明，必要时提交相关证明材料；供应商不能证明其报价合理性的，</w:t>
            </w:r>
            <w:r>
              <w:rPr>
                <w:rFonts w:hint="eastAsia" w:ascii="宋体" w:hAnsi="宋体" w:eastAsia="宋体"/>
                <w:color w:val="auto"/>
                <w:kern w:val="2"/>
                <w:sz w:val="21"/>
                <w:szCs w:val="21"/>
                <w:lang w:val="en-US" w:eastAsia="zh-CN"/>
              </w:rPr>
              <w:t>评标</w:t>
            </w:r>
            <w:r>
              <w:rPr>
                <w:rFonts w:hint="eastAsia" w:ascii="宋体" w:hAnsi="宋体" w:eastAsia="宋体"/>
                <w:color w:val="auto"/>
                <w:kern w:val="2"/>
                <w:sz w:val="21"/>
                <w:szCs w:val="21"/>
              </w:rPr>
              <w:t>委员会应当将其作为无效投标处理</w:t>
            </w:r>
            <w:r>
              <w:rPr>
                <w:rFonts w:hint="eastAsia" w:ascii="宋体" w:hAnsi="宋体" w:eastAsia="宋体"/>
                <w:color w:val="auto"/>
                <w:kern w:val="2"/>
                <w:sz w:val="21"/>
                <w:szCs w:val="21"/>
                <w:lang w:eastAsia="zh-CN"/>
              </w:rPr>
              <w:t>。</w:t>
            </w:r>
          </w:p>
        </w:tc>
      </w:tr>
      <w:tr w14:paraId="184C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vMerge w:val="restart"/>
            <w:noWrap/>
            <w:vAlign w:val="center"/>
          </w:tcPr>
          <w:p w14:paraId="594EB3D7">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235" w:type="dxa"/>
            <w:vMerge w:val="restart"/>
            <w:noWrap/>
            <w:vAlign w:val="center"/>
          </w:tcPr>
          <w:p w14:paraId="64199611">
            <w:pPr>
              <w:pageBreakBefore w:val="0"/>
              <w:kinsoku/>
              <w:overflowPunct/>
              <w:bidi w:val="0"/>
              <w:spacing w:line="400" w:lineRule="exact"/>
              <w:ind w:firstLine="0" w:firstLineChars="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技术标</w:t>
            </w:r>
          </w:p>
          <w:p w14:paraId="6BDC7608">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lang w:val="en-US" w:eastAsia="zh-CN"/>
              </w:rPr>
              <w:t>42</w:t>
            </w:r>
            <w:r>
              <w:rPr>
                <w:rFonts w:hint="eastAsia" w:ascii="宋体" w:hAnsi="宋体" w:eastAsia="宋体" w:cs="宋体"/>
                <w:bCs/>
                <w:color w:val="auto"/>
                <w:szCs w:val="21"/>
                <w:highlight w:val="none"/>
              </w:rPr>
              <w:t>分）</w:t>
            </w:r>
          </w:p>
        </w:tc>
        <w:tc>
          <w:tcPr>
            <w:tcW w:w="2399" w:type="dxa"/>
            <w:vMerge w:val="restart"/>
            <w:noWrap/>
            <w:vAlign w:val="center"/>
          </w:tcPr>
          <w:p w14:paraId="3837C39A">
            <w:pPr>
              <w:snapToGrid w:val="0"/>
              <w:spacing w:line="340" w:lineRule="exact"/>
              <w:ind w:left="57" w:leftChars="0" w:right="57" w:rightChars="0" w:firstLine="840" w:firstLineChars="4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服务组织</w:t>
            </w:r>
          </w:p>
          <w:p w14:paraId="2BDD772C">
            <w:pPr>
              <w:snapToGrid w:val="0"/>
              <w:spacing w:line="340" w:lineRule="exact"/>
              <w:ind w:left="57" w:leftChars="0" w:right="57" w:rightChars="0" w:firstLine="420" w:firstLineChars="20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方案内容</w:t>
            </w:r>
          </w:p>
          <w:p w14:paraId="17E31C5C">
            <w:pPr>
              <w:snapToGrid w:val="0"/>
              <w:spacing w:line="340" w:lineRule="exact"/>
              <w:ind w:left="57" w:leftChars="0" w:right="57" w:rightChars="0" w:firstLine="420" w:firstLineChars="20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32分</w:t>
            </w:r>
            <w:r>
              <w:rPr>
                <w:rFonts w:hint="eastAsia" w:ascii="宋体" w:hAnsi="宋体" w:eastAsia="宋体" w:cs="宋体"/>
                <w:color w:val="auto"/>
                <w:szCs w:val="21"/>
                <w:highlight w:val="none"/>
                <w:lang w:eastAsia="zh-CN"/>
              </w:rPr>
              <w:t>）</w:t>
            </w:r>
          </w:p>
        </w:tc>
        <w:tc>
          <w:tcPr>
            <w:tcW w:w="5107" w:type="dxa"/>
            <w:noWrap/>
            <w:vAlign w:val="center"/>
          </w:tcPr>
          <w:p w14:paraId="7BBA7A54">
            <w:pPr>
              <w:snapToGrid w:val="0"/>
              <w:spacing w:line="340" w:lineRule="exact"/>
              <w:ind w:left="0" w:leftChars="0" w:right="57" w:rightChars="0" w:firstLine="0" w:firstLineChars="0"/>
              <w:jc w:val="both"/>
              <w:rPr>
                <w:rFonts w:hint="eastAsia" w:ascii="宋体" w:hAnsi="宋体" w:cs="宋体"/>
                <w:szCs w:val="21"/>
              </w:rPr>
            </w:pPr>
            <w:r>
              <w:rPr>
                <w:rFonts w:hint="eastAsia" w:ascii="宋体" w:hAnsi="宋体" w:cs="宋体"/>
                <w:szCs w:val="21"/>
              </w:rPr>
              <w:t>服务进度保障措施</w:t>
            </w:r>
            <w:r>
              <w:rPr>
                <w:rFonts w:hint="eastAsia" w:ascii="宋体" w:hAnsi="宋体" w:cs="宋体"/>
                <w:szCs w:val="21"/>
                <w:lang w:eastAsia="zh-CN"/>
              </w:rPr>
              <w:t>（</w:t>
            </w:r>
            <w:r>
              <w:rPr>
                <w:rFonts w:hint="eastAsia" w:ascii="宋体" w:hAnsi="宋体" w:cs="宋体"/>
                <w:szCs w:val="21"/>
                <w:lang w:val="en-US" w:eastAsia="zh-CN"/>
              </w:rPr>
              <w:t>6分</w:t>
            </w:r>
            <w:r>
              <w:rPr>
                <w:rFonts w:hint="eastAsia" w:ascii="宋体" w:hAnsi="宋体" w:cs="宋体"/>
                <w:szCs w:val="21"/>
                <w:lang w:eastAsia="zh-CN"/>
              </w:rPr>
              <w:t>）</w:t>
            </w:r>
          </w:p>
          <w:p w14:paraId="379C5518">
            <w:pPr>
              <w:adjustRightInd w:val="0"/>
              <w:snapToGrid w:val="0"/>
              <w:spacing w:line="340" w:lineRule="exact"/>
              <w:ind w:left="0" w:leftChars="0" w:firstLine="0" w:firstLineChars="0"/>
              <w:jc w:val="left"/>
              <w:rPr>
                <w:rFonts w:ascii="宋体" w:hAnsi="宋体" w:eastAsia="宋体" w:cs="宋体"/>
                <w:color w:val="auto"/>
                <w:szCs w:val="21"/>
                <w:highlight w:val="none"/>
              </w:rPr>
            </w:pPr>
            <w:r>
              <w:rPr>
                <w:rFonts w:hint="eastAsia" w:ascii="宋体" w:hAnsi="宋体" w:cs="宋体"/>
                <w:szCs w:val="21"/>
              </w:rPr>
              <w:t>未提供措施或者措施不可行或不符合项目需求的得0分。</w:t>
            </w:r>
          </w:p>
        </w:tc>
      </w:tr>
      <w:tr w14:paraId="7B2B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97" w:type="dxa"/>
            <w:vMerge w:val="continue"/>
            <w:noWrap/>
            <w:vAlign w:val="center"/>
          </w:tcPr>
          <w:p w14:paraId="65557399">
            <w:pPr>
              <w:pageBreakBefore w:val="0"/>
              <w:kinsoku/>
              <w:overflowPunct/>
              <w:bidi w:val="0"/>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14:paraId="008842A9">
            <w:pPr>
              <w:pageBreakBefore w:val="0"/>
              <w:kinsoku/>
              <w:overflowPunct/>
              <w:bidi w:val="0"/>
              <w:spacing w:line="400" w:lineRule="exact"/>
              <w:ind w:firstLine="0" w:firstLineChars="0"/>
              <w:jc w:val="center"/>
              <w:rPr>
                <w:rFonts w:ascii="宋体" w:hAnsi="宋体" w:eastAsia="宋体" w:cs="宋体"/>
                <w:bCs/>
                <w:color w:val="auto"/>
                <w:szCs w:val="21"/>
                <w:highlight w:val="none"/>
              </w:rPr>
            </w:pPr>
          </w:p>
        </w:tc>
        <w:tc>
          <w:tcPr>
            <w:tcW w:w="2399" w:type="dxa"/>
            <w:vMerge w:val="continue"/>
            <w:noWrap/>
            <w:vAlign w:val="center"/>
          </w:tcPr>
          <w:p w14:paraId="1710F38B">
            <w:pPr>
              <w:snapToGrid w:val="0"/>
              <w:spacing w:line="340" w:lineRule="exact"/>
              <w:ind w:left="57" w:leftChars="0" w:right="57" w:rightChars="0" w:firstLine="420" w:firstLineChars="200"/>
              <w:jc w:val="center"/>
              <w:rPr>
                <w:rFonts w:hint="eastAsia" w:ascii="宋体" w:hAnsi="宋体" w:cs="宋体"/>
                <w:szCs w:val="21"/>
              </w:rPr>
            </w:pPr>
          </w:p>
        </w:tc>
        <w:tc>
          <w:tcPr>
            <w:tcW w:w="5107" w:type="dxa"/>
            <w:noWrap/>
            <w:vAlign w:val="center"/>
          </w:tcPr>
          <w:p w14:paraId="411A8025">
            <w:pPr>
              <w:adjustRightInd w:val="0"/>
              <w:snapToGrid w:val="0"/>
              <w:spacing w:line="340" w:lineRule="exact"/>
              <w:ind w:left="0" w:leftChars="0" w:firstLine="0" w:firstLineChars="0"/>
              <w:jc w:val="left"/>
              <w:rPr>
                <w:rFonts w:ascii="宋体" w:hAnsi="宋体" w:cs="宋体"/>
                <w:szCs w:val="21"/>
              </w:rPr>
            </w:pPr>
            <w:r>
              <w:rPr>
                <w:rFonts w:hint="eastAsia" w:ascii="宋体" w:hAnsi="宋体" w:cs="宋体"/>
                <w:szCs w:val="21"/>
              </w:rPr>
              <w:t>服务质量保障措施</w:t>
            </w:r>
            <w:r>
              <w:rPr>
                <w:rFonts w:hint="eastAsia" w:ascii="宋体" w:hAnsi="宋体" w:cs="宋体"/>
                <w:szCs w:val="21"/>
                <w:lang w:eastAsia="zh-CN"/>
              </w:rPr>
              <w:t>（</w:t>
            </w:r>
            <w:r>
              <w:rPr>
                <w:rFonts w:hint="eastAsia" w:ascii="宋体" w:hAnsi="宋体" w:cs="宋体"/>
                <w:szCs w:val="21"/>
                <w:lang w:val="en-US" w:eastAsia="zh-CN"/>
              </w:rPr>
              <w:t>6分</w:t>
            </w:r>
            <w:r>
              <w:rPr>
                <w:rFonts w:hint="eastAsia" w:ascii="宋体" w:hAnsi="宋体" w:cs="宋体"/>
                <w:szCs w:val="21"/>
                <w:lang w:eastAsia="zh-CN"/>
              </w:rPr>
              <w:t>）</w:t>
            </w:r>
          </w:p>
          <w:p w14:paraId="594A659B">
            <w:pPr>
              <w:adjustRightInd w:val="0"/>
              <w:snapToGrid w:val="0"/>
              <w:spacing w:line="340" w:lineRule="exact"/>
              <w:ind w:left="0" w:leftChars="0" w:firstLine="0" w:firstLineChars="0"/>
              <w:jc w:val="left"/>
              <w:rPr>
                <w:rFonts w:hint="eastAsia" w:ascii="宋体" w:hAnsi="宋体" w:cs="宋体"/>
                <w:szCs w:val="21"/>
              </w:rPr>
            </w:pPr>
            <w:r>
              <w:rPr>
                <w:rFonts w:hint="eastAsia" w:ascii="宋体" w:hAnsi="宋体" w:cs="宋体"/>
                <w:szCs w:val="21"/>
              </w:rPr>
              <w:t>未提供措施或者措施不可行或不符合项目需求的得0分。</w:t>
            </w:r>
          </w:p>
        </w:tc>
      </w:tr>
      <w:tr w14:paraId="6CD9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97" w:type="dxa"/>
            <w:vMerge w:val="continue"/>
            <w:noWrap/>
            <w:vAlign w:val="center"/>
          </w:tcPr>
          <w:p w14:paraId="5E4AF999">
            <w:pPr>
              <w:pageBreakBefore w:val="0"/>
              <w:kinsoku/>
              <w:overflowPunct/>
              <w:bidi w:val="0"/>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14:paraId="1D85C352">
            <w:pPr>
              <w:pageBreakBefore w:val="0"/>
              <w:kinsoku/>
              <w:overflowPunct/>
              <w:bidi w:val="0"/>
              <w:spacing w:line="400" w:lineRule="exact"/>
              <w:ind w:firstLine="0" w:firstLineChars="0"/>
              <w:jc w:val="center"/>
              <w:rPr>
                <w:rFonts w:ascii="宋体" w:hAnsi="宋体" w:eastAsia="宋体" w:cs="宋体"/>
                <w:bCs/>
                <w:color w:val="auto"/>
                <w:szCs w:val="21"/>
                <w:highlight w:val="none"/>
              </w:rPr>
            </w:pPr>
          </w:p>
        </w:tc>
        <w:tc>
          <w:tcPr>
            <w:tcW w:w="2399" w:type="dxa"/>
            <w:vMerge w:val="continue"/>
            <w:shd w:val="clear" w:color="auto" w:fill="auto"/>
            <w:noWrap/>
            <w:vAlign w:val="center"/>
          </w:tcPr>
          <w:p w14:paraId="3E15C8F8">
            <w:pPr>
              <w:snapToGrid w:val="0"/>
              <w:spacing w:line="340" w:lineRule="exact"/>
              <w:ind w:left="57" w:leftChars="0" w:right="57" w:rightChars="0" w:firstLine="420" w:firstLineChars="200"/>
              <w:jc w:val="center"/>
              <w:rPr>
                <w:rFonts w:hint="eastAsia" w:ascii="宋体" w:hAnsi="宋体" w:cs="宋体" w:eastAsiaTheme="minorEastAsia"/>
                <w:kern w:val="2"/>
                <w:sz w:val="21"/>
                <w:szCs w:val="21"/>
                <w:lang w:val="en-US" w:eastAsia="zh-CN" w:bidi="ar-SA"/>
              </w:rPr>
            </w:pPr>
          </w:p>
        </w:tc>
        <w:tc>
          <w:tcPr>
            <w:tcW w:w="5107" w:type="dxa"/>
            <w:shd w:val="clear" w:color="auto" w:fill="auto"/>
            <w:noWrap/>
            <w:vAlign w:val="center"/>
          </w:tcPr>
          <w:p w14:paraId="3A180E90">
            <w:pPr>
              <w:adjustRightInd w:val="0"/>
              <w:snapToGrid w:val="0"/>
              <w:spacing w:line="340" w:lineRule="exact"/>
              <w:ind w:left="0" w:leftChars="0" w:firstLine="0" w:firstLineChars="0"/>
              <w:jc w:val="left"/>
              <w:rPr>
                <w:rFonts w:ascii="宋体" w:hAnsi="宋体" w:cs="宋体"/>
                <w:szCs w:val="21"/>
              </w:rPr>
            </w:pPr>
            <w:r>
              <w:rPr>
                <w:rFonts w:hint="eastAsia" w:ascii="宋体" w:hAnsi="宋体" w:cs="宋体"/>
                <w:szCs w:val="21"/>
              </w:rPr>
              <w:t>档案管理措施和方法</w:t>
            </w:r>
            <w:r>
              <w:rPr>
                <w:rFonts w:hint="eastAsia" w:ascii="宋体" w:hAnsi="宋体" w:cs="宋体"/>
                <w:szCs w:val="21"/>
                <w:lang w:eastAsia="zh-CN"/>
              </w:rPr>
              <w:t>（</w:t>
            </w:r>
            <w:r>
              <w:rPr>
                <w:rFonts w:hint="eastAsia" w:ascii="宋体" w:hAnsi="宋体" w:cs="宋体"/>
                <w:szCs w:val="21"/>
                <w:lang w:val="en-US" w:eastAsia="zh-CN"/>
              </w:rPr>
              <w:t>7分</w:t>
            </w:r>
            <w:r>
              <w:rPr>
                <w:rFonts w:hint="eastAsia" w:ascii="宋体" w:hAnsi="宋体" w:cs="宋体"/>
                <w:szCs w:val="21"/>
                <w:lang w:eastAsia="zh-CN"/>
              </w:rPr>
              <w:t>）</w:t>
            </w:r>
          </w:p>
          <w:p w14:paraId="51625D71">
            <w:pPr>
              <w:adjustRightInd w:val="0"/>
              <w:snapToGrid w:val="0"/>
              <w:spacing w:line="340" w:lineRule="exact"/>
              <w:ind w:left="0" w:leftChars="0" w:firstLine="0" w:firstLineChars="0"/>
              <w:jc w:val="left"/>
              <w:rPr>
                <w:rFonts w:hint="eastAsia" w:ascii="宋体" w:hAnsi="宋体" w:cs="宋体"/>
                <w:szCs w:val="21"/>
              </w:rPr>
            </w:pPr>
            <w:r>
              <w:rPr>
                <w:rFonts w:hint="eastAsia" w:ascii="宋体" w:hAnsi="宋体" w:cs="宋体"/>
                <w:szCs w:val="21"/>
              </w:rPr>
              <w:t>缺项得0分。</w:t>
            </w:r>
          </w:p>
        </w:tc>
      </w:tr>
      <w:tr w14:paraId="1F96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7" w:type="dxa"/>
            <w:vMerge w:val="continue"/>
            <w:noWrap/>
            <w:vAlign w:val="center"/>
          </w:tcPr>
          <w:p w14:paraId="5B8E03A3">
            <w:pPr>
              <w:pageBreakBefore w:val="0"/>
              <w:kinsoku/>
              <w:overflowPunct/>
              <w:bidi w:val="0"/>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14:paraId="04FCA273">
            <w:pPr>
              <w:pageBreakBefore w:val="0"/>
              <w:kinsoku/>
              <w:overflowPunct/>
              <w:bidi w:val="0"/>
              <w:spacing w:line="400" w:lineRule="exact"/>
              <w:ind w:firstLine="0" w:firstLineChars="0"/>
              <w:jc w:val="center"/>
              <w:rPr>
                <w:rFonts w:ascii="宋体" w:hAnsi="宋体" w:eastAsia="宋体" w:cs="宋体"/>
                <w:bCs/>
                <w:color w:val="auto"/>
                <w:szCs w:val="21"/>
                <w:highlight w:val="none"/>
              </w:rPr>
            </w:pPr>
          </w:p>
        </w:tc>
        <w:tc>
          <w:tcPr>
            <w:tcW w:w="2399" w:type="dxa"/>
            <w:vMerge w:val="continue"/>
            <w:noWrap/>
            <w:vAlign w:val="center"/>
          </w:tcPr>
          <w:p w14:paraId="5B3B85B6">
            <w:pPr>
              <w:snapToGrid w:val="0"/>
              <w:spacing w:line="340" w:lineRule="exact"/>
              <w:ind w:left="57" w:leftChars="0" w:right="57" w:rightChars="0" w:firstLine="420" w:firstLineChars="200"/>
              <w:jc w:val="center"/>
              <w:rPr>
                <w:rFonts w:ascii="宋体" w:hAnsi="宋体" w:eastAsia="宋体" w:cs="宋体"/>
                <w:color w:val="auto"/>
                <w:szCs w:val="21"/>
                <w:highlight w:val="none"/>
              </w:rPr>
            </w:pPr>
          </w:p>
        </w:tc>
        <w:tc>
          <w:tcPr>
            <w:tcW w:w="5107" w:type="dxa"/>
            <w:noWrap/>
            <w:vAlign w:val="center"/>
          </w:tcPr>
          <w:p w14:paraId="43117DD2">
            <w:pPr>
              <w:adjustRightInd w:val="0"/>
              <w:snapToGrid w:val="0"/>
              <w:spacing w:line="340" w:lineRule="exact"/>
              <w:ind w:left="0" w:leftChars="0" w:firstLine="0" w:firstLineChars="0"/>
              <w:jc w:val="left"/>
              <w:rPr>
                <w:rFonts w:hint="eastAsia" w:ascii="宋体" w:hAnsi="宋体" w:cs="宋体"/>
                <w:szCs w:val="21"/>
                <w:lang w:eastAsia="zh-CN"/>
              </w:rPr>
            </w:pPr>
            <w:r>
              <w:rPr>
                <w:rFonts w:hint="eastAsia" w:ascii="宋体" w:hAnsi="宋体" w:cs="宋体"/>
                <w:szCs w:val="21"/>
              </w:rPr>
              <w:t>保密措施</w:t>
            </w:r>
            <w:r>
              <w:rPr>
                <w:rFonts w:hint="eastAsia" w:ascii="宋体" w:hAnsi="宋体" w:cs="宋体"/>
                <w:szCs w:val="21"/>
                <w:lang w:eastAsia="zh-CN"/>
              </w:rPr>
              <w:t>（</w:t>
            </w:r>
            <w:r>
              <w:rPr>
                <w:rFonts w:hint="eastAsia" w:ascii="宋体" w:hAnsi="宋体" w:cs="宋体"/>
                <w:szCs w:val="21"/>
                <w:lang w:val="en-US" w:eastAsia="zh-CN"/>
              </w:rPr>
              <w:t>7分</w:t>
            </w:r>
            <w:r>
              <w:rPr>
                <w:rFonts w:hint="eastAsia" w:ascii="宋体" w:hAnsi="宋体" w:cs="宋体"/>
                <w:szCs w:val="21"/>
                <w:lang w:eastAsia="zh-CN"/>
              </w:rPr>
              <w:t>）</w:t>
            </w:r>
          </w:p>
          <w:p w14:paraId="3C7B951C">
            <w:pPr>
              <w:adjustRightInd w:val="0"/>
              <w:snapToGrid w:val="0"/>
              <w:spacing w:line="340" w:lineRule="exact"/>
              <w:ind w:left="0" w:leftChars="0" w:firstLine="0" w:firstLineChars="0"/>
              <w:jc w:val="left"/>
              <w:rPr>
                <w:rFonts w:hint="eastAsia" w:ascii="宋体" w:hAnsi="宋体" w:cs="宋体"/>
                <w:szCs w:val="21"/>
              </w:rPr>
            </w:pPr>
            <w:r>
              <w:rPr>
                <w:rFonts w:hint="eastAsia" w:ascii="宋体" w:hAnsi="宋体" w:cs="宋体"/>
                <w:szCs w:val="21"/>
              </w:rPr>
              <w:t>缺项得0分。</w:t>
            </w:r>
          </w:p>
        </w:tc>
      </w:tr>
      <w:tr w14:paraId="5263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97" w:type="dxa"/>
            <w:vMerge w:val="continue"/>
            <w:noWrap/>
            <w:vAlign w:val="center"/>
          </w:tcPr>
          <w:p w14:paraId="2DF6A7E6">
            <w:pPr>
              <w:pageBreakBefore w:val="0"/>
              <w:kinsoku/>
              <w:overflowPunct/>
              <w:bidi w:val="0"/>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14:paraId="530748EA">
            <w:pPr>
              <w:pageBreakBefore w:val="0"/>
              <w:kinsoku/>
              <w:overflowPunct/>
              <w:bidi w:val="0"/>
              <w:spacing w:line="400" w:lineRule="exact"/>
              <w:ind w:firstLine="0" w:firstLineChars="0"/>
              <w:jc w:val="center"/>
              <w:rPr>
                <w:rFonts w:ascii="宋体" w:hAnsi="宋体" w:eastAsia="宋体" w:cs="宋体"/>
                <w:bCs/>
                <w:color w:val="auto"/>
                <w:szCs w:val="21"/>
                <w:highlight w:val="none"/>
              </w:rPr>
            </w:pPr>
          </w:p>
        </w:tc>
        <w:tc>
          <w:tcPr>
            <w:tcW w:w="2399" w:type="dxa"/>
            <w:vMerge w:val="continue"/>
            <w:noWrap/>
            <w:vAlign w:val="center"/>
          </w:tcPr>
          <w:p w14:paraId="76558B74">
            <w:pPr>
              <w:adjustRightInd w:val="0"/>
              <w:snapToGrid w:val="0"/>
              <w:spacing w:line="340" w:lineRule="exact"/>
              <w:ind w:firstLine="420" w:firstLineChars="200"/>
              <w:jc w:val="center"/>
              <w:rPr>
                <w:rFonts w:hint="eastAsia" w:ascii="宋体" w:hAnsi="宋体" w:cs="宋体"/>
                <w:szCs w:val="21"/>
              </w:rPr>
            </w:pPr>
          </w:p>
        </w:tc>
        <w:tc>
          <w:tcPr>
            <w:tcW w:w="5107" w:type="dxa"/>
            <w:noWrap/>
            <w:vAlign w:val="center"/>
          </w:tcPr>
          <w:p w14:paraId="629E6B73">
            <w:pPr>
              <w:adjustRightInd w:val="0"/>
              <w:snapToGrid w:val="0"/>
              <w:spacing w:line="340" w:lineRule="exact"/>
              <w:ind w:left="0" w:leftChars="0" w:firstLine="0" w:firstLineChars="0"/>
              <w:jc w:val="left"/>
              <w:rPr>
                <w:rFonts w:ascii="宋体" w:hAnsi="宋体" w:cs="宋体"/>
                <w:szCs w:val="21"/>
              </w:rPr>
            </w:pPr>
            <w:r>
              <w:rPr>
                <w:rFonts w:hint="eastAsia" w:ascii="宋体" w:hAnsi="宋体" w:cs="宋体"/>
                <w:szCs w:val="21"/>
              </w:rPr>
              <w:t>拟投入本项目的服务设施设备</w:t>
            </w:r>
            <w:r>
              <w:rPr>
                <w:rFonts w:hint="eastAsia" w:ascii="宋体" w:hAnsi="宋体" w:cs="宋体"/>
                <w:szCs w:val="21"/>
                <w:lang w:eastAsia="zh-CN"/>
              </w:rPr>
              <w:t>（</w:t>
            </w:r>
            <w:r>
              <w:rPr>
                <w:rFonts w:hint="eastAsia" w:ascii="宋体" w:hAnsi="宋体" w:cs="宋体"/>
                <w:szCs w:val="21"/>
                <w:lang w:val="en-US" w:eastAsia="zh-CN"/>
              </w:rPr>
              <w:t>6分</w:t>
            </w:r>
            <w:r>
              <w:rPr>
                <w:rFonts w:hint="eastAsia" w:ascii="宋体" w:hAnsi="宋体" w:cs="宋体"/>
                <w:szCs w:val="21"/>
                <w:lang w:eastAsia="zh-CN"/>
              </w:rPr>
              <w:t>）</w:t>
            </w:r>
          </w:p>
          <w:p w14:paraId="4403176A">
            <w:pPr>
              <w:adjustRightInd w:val="0"/>
              <w:snapToGrid w:val="0"/>
              <w:spacing w:line="340" w:lineRule="exact"/>
              <w:ind w:left="0" w:leftChars="0" w:firstLine="0" w:firstLineChars="0"/>
              <w:jc w:val="left"/>
              <w:rPr>
                <w:rFonts w:hint="eastAsia" w:ascii="宋体" w:hAnsi="宋体" w:cs="宋体"/>
                <w:szCs w:val="21"/>
              </w:rPr>
            </w:pPr>
            <w:r>
              <w:rPr>
                <w:rFonts w:hint="eastAsia" w:ascii="宋体" w:hAnsi="宋体" w:cs="宋体"/>
                <w:szCs w:val="21"/>
              </w:rPr>
              <w:t>缺项得0分；</w:t>
            </w:r>
          </w:p>
        </w:tc>
      </w:tr>
      <w:tr w14:paraId="6124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97" w:type="dxa"/>
            <w:vMerge w:val="continue"/>
            <w:noWrap/>
            <w:vAlign w:val="center"/>
          </w:tcPr>
          <w:p w14:paraId="0E99D2A2">
            <w:pPr>
              <w:pageBreakBefore w:val="0"/>
              <w:kinsoku/>
              <w:overflowPunct/>
              <w:bidi w:val="0"/>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14:paraId="5486F4FF">
            <w:pPr>
              <w:pageBreakBefore w:val="0"/>
              <w:kinsoku/>
              <w:overflowPunct/>
              <w:bidi w:val="0"/>
              <w:spacing w:line="400" w:lineRule="exact"/>
              <w:ind w:firstLine="0" w:firstLineChars="0"/>
              <w:jc w:val="center"/>
              <w:rPr>
                <w:rFonts w:ascii="宋体" w:hAnsi="宋体" w:eastAsia="宋体" w:cs="宋体"/>
                <w:bCs/>
                <w:color w:val="auto"/>
                <w:szCs w:val="21"/>
                <w:highlight w:val="none"/>
              </w:rPr>
            </w:pPr>
          </w:p>
        </w:tc>
        <w:tc>
          <w:tcPr>
            <w:tcW w:w="2399" w:type="dxa"/>
            <w:shd w:val="clear" w:color="auto" w:fill="auto"/>
            <w:noWrap/>
            <w:vAlign w:val="center"/>
          </w:tcPr>
          <w:p w14:paraId="02F54FED">
            <w:pPr>
              <w:adjustRightInd w:val="0"/>
              <w:snapToGrid w:val="0"/>
              <w:spacing w:line="34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lang w:eastAsia="zh-CN"/>
              </w:rPr>
              <w:t>设计</w:t>
            </w:r>
            <w:r>
              <w:rPr>
                <w:rFonts w:hint="eastAsia" w:ascii="宋体" w:hAnsi="宋体" w:cs="宋体"/>
                <w:szCs w:val="21"/>
              </w:rPr>
              <w:t>方案</w:t>
            </w:r>
            <w:r>
              <w:rPr>
                <w:rFonts w:hint="eastAsia" w:ascii="宋体" w:hAnsi="宋体" w:cs="宋体"/>
                <w:szCs w:val="21"/>
                <w:lang w:eastAsia="zh-CN"/>
              </w:rPr>
              <w:t>（</w:t>
            </w:r>
            <w:r>
              <w:rPr>
                <w:rFonts w:hint="eastAsia" w:ascii="宋体" w:hAnsi="宋体" w:cs="宋体"/>
                <w:szCs w:val="21"/>
                <w:lang w:val="en-US" w:eastAsia="zh-CN"/>
              </w:rPr>
              <w:t>5分</w:t>
            </w:r>
            <w:r>
              <w:rPr>
                <w:rFonts w:hint="eastAsia" w:ascii="宋体" w:hAnsi="宋体" w:cs="宋体"/>
                <w:szCs w:val="21"/>
                <w:lang w:eastAsia="zh-CN"/>
              </w:rPr>
              <w:t>）</w:t>
            </w:r>
          </w:p>
        </w:tc>
        <w:tc>
          <w:tcPr>
            <w:tcW w:w="5107" w:type="dxa"/>
            <w:shd w:val="clear" w:color="auto" w:fill="auto"/>
            <w:noWrap/>
            <w:vAlign w:val="center"/>
          </w:tcPr>
          <w:p w14:paraId="2217BB87">
            <w:pPr>
              <w:adjustRightInd w:val="0"/>
              <w:snapToGrid w:val="0"/>
              <w:spacing w:line="340" w:lineRule="exact"/>
              <w:ind w:left="0" w:leftChars="0" w:firstLine="0" w:firstLineChars="0"/>
              <w:jc w:val="left"/>
              <w:rPr>
                <w:rFonts w:hint="eastAsia" w:ascii="宋体" w:hAnsi="宋体" w:cs="宋体"/>
                <w:szCs w:val="21"/>
              </w:rPr>
            </w:pPr>
            <w:r>
              <w:rPr>
                <w:rFonts w:hint="eastAsia" w:ascii="宋体" w:hAnsi="宋体" w:cs="宋体"/>
                <w:szCs w:val="21"/>
              </w:rPr>
              <w:t xml:space="preserve">优：方案总体架构内容全面、详尽、针对性强，立意和构思详尽、内容完整，得 </w:t>
            </w:r>
            <w:r>
              <w:rPr>
                <w:rFonts w:hint="eastAsia" w:ascii="宋体" w:hAnsi="宋体" w:cs="宋体"/>
                <w:szCs w:val="21"/>
                <w:lang w:val="en-US" w:eastAsia="zh-CN"/>
              </w:rPr>
              <w:t>5</w:t>
            </w:r>
            <w:r>
              <w:rPr>
                <w:rFonts w:hint="eastAsia" w:ascii="宋体" w:hAnsi="宋体" w:cs="宋体"/>
                <w:szCs w:val="21"/>
              </w:rPr>
              <w:t xml:space="preserve"> 分；</w:t>
            </w:r>
          </w:p>
          <w:p w14:paraId="47CC43A3">
            <w:pPr>
              <w:adjustRightInd w:val="0"/>
              <w:snapToGrid w:val="0"/>
              <w:spacing w:line="340" w:lineRule="exact"/>
              <w:ind w:left="0" w:leftChars="0" w:firstLine="0" w:firstLineChars="0"/>
              <w:jc w:val="left"/>
              <w:rPr>
                <w:rFonts w:hint="eastAsia" w:ascii="宋体" w:hAnsi="宋体" w:cs="宋体"/>
                <w:szCs w:val="21"/>
              </w:rPr>
            </w:pPr>
            <w:r>
              <w:rPr>
                <w:rFonts w:hint="eastAsia" w:ascii="宋体" w:hAnsi="宋体" w:cs="宋体"/>
                <w:szCs w:val="21"/>
              </w:rPr>
              <w:t xml:space="preserve">良：方案总体架构内容比较全面、详尽、针对性比较强，立意和构思比较详尽、内容比较完整，得 </w:t>
            </w:r>
            <w:r>
              <w:rPr>
                <w:rFonts w:hint="eastAsia" w:ascii="宋体" w:hAnsi="宋体" w:cs="宋体"/>
                <w:szCs w:val="21"/>
                <w:lang w:val="en-US" w:eastAsia="zh-CN"/>
              </w:rPr>
              <w:t>3</w:t>
            </w:r>
            <w:r>
              <w:rPr>
                <w:rFonts w:hint="eastAsia" w:ascii="宋体" w:hAnsi="宋体" w:cs="宋体"/>
                <w:szCs w:val="21"/>
              </w:rPr>
              <w:t>分；</w:t>
            </w:r>
          </w:p>
          <w:p w14:paraId="41777DDC">
            <w:pPr>
              <w:adjustRightInd w:val="0"/>
              <w:snapToGrid w:val="0"/>
              <w:spacing w:line="340" w:lineRule="exact"/>
              <w:ind w:left="0" w:leftChars="0" w:firstLine="0" w:firstLineChars="0"/>
              <w:jc w:val="left"/>
              <w:rPr>
                <w:rFonts w:hint="eastAsia" w:ascii="宋体" w:hAnsi="宋体" w:cs="宋体"/>
                <w:szCs w:val="21"/>
              </w:rPr>
            </w:pPr>
            <w:r>
              <w:rPr>
                <w:rFonts w:hint="eastAsia" w:ascii="宋体" w:hAnsi="宋体" w:cs="宋体"/>
                <w:szCs w:val="21"/>
              </w:rPr>
              <w:t xml:space="preserve">一般：方案总体架构内容基本全面、详尽、针对性一般，立意和构思基本详尽、内容基本完整，得 </w:t>
            </w:r>
            <w:r>
              <w:rPr>
                <w:rFonts w:hint="eastAsia" w:ascii="宋体" w:hAnsi="宋体" w:cs="宋体"/>
                <w:szCs w:val="21"/>
                <w:lang w:val="en-US" w:eastAsia="zh-CN"/>
              </w:rPr>
              <w:t>1</w:t>
            </w:r>
            <w:r>
              <w:rPr>
                <w:rFonts w:hint="eastAsia" w:ascii="宋体" w:hAnsi="宋体" w:cs="宋体"/>
                <w:szCs w:val="21"/>
              </w:rPr>
              <w:t xml:space="preserve"> 分。</w:t>
            </w:r>
          </w:p>
          <w:p w14:paraId="6F9E2119">
            <w:pPr>
              <w:adjustRightInd w:val="0"/>
              <w:snapToGrid w:val="0"/>
              <w:spacing w:line="340" w:lineRule="exact"/>
              <w:ind w:left="0" w:leftChars="0" w:firstLine="0" w:firstLineChars="0"/>
              <w:jc w:val="lef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szCs w:val="21"/>
              </w:rPr>
              <w:t>缺项则该项得0分</w:t>
            </w:r>
            <w:r>
              <w:rPr>
                <w:rFonts w:hint="eastAsia" w:ascii="宋体" w:hAnsi="宋体" w:cs="宋体"/>
                <w:szCs w:val="21"/>
                <w:lang w:eastAsia="zh-CN"/>
              </w:rPr>
              <w:t>。</w:t>
            </w:r>
          </w:p>
        </w:tc>
      </w:tr>
      <w:tr w14:paraId="198D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97" w:type="dxa"/>
            <w:vMerge w:val="continue"/>
            <w:noWrap/>
            <w:vAlign w:val="center"/>
          </w:tcPr>
          <w:p w14:paraId="05300C32">
            <w:pPr>
              <w:pageBreakBefore w:val="0"/>
              <w:kinsoku/>
              <w:overflowPunct/>
              <w:bidi w:val="0"/>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14:paraId="1661A2F9">
            <w:pPr>
              <w:pageBreakBefore w:val="0"/>
              <w:kinsoku/>
              <w:overflowPunct/>
              <w:bidi w:val="0"/>
              <w:spacing w:line="400" w:lineRule="exact"/>
              <w:ind w:firstLine="0" w:firstLineChars="0"/>
              <w:jc w:val="center"/>
              <w:rPr>
                <w:rFonts w:ascii="宋体" w:hAnsi="宋体" w:eastAsia="宋体" w:cs="宋体"/>
                <w:bCs/>
                <w:color w:val="auto"/>
                <w:szCs w:val="21"/>
                <w:highlight w:val="none"/>
              </w:rPr>
            </w:pPr>
          </w:p>
        </w:tc>
        <w:tc>
          <w:tcPr>
            <w:tcW w:w="2399" w:type="dxa"/>
            <w:noWrap/>
            <w:vAlign w:val="center"/>
          </w:tcPr>
          <w:p w14:paraId="75794219">
            <w:pPr>
              <w:adjustRightInd w:val="0"/>
              <w:snapToGrid w:val="0"/>
              <w:spacing w:line="340" w:lineRule="exact"/>
              <w:ind w:firstLine="420" w:firstLineChars="200"/>
              <w:jc w:val="center"/>
              <w:rPr>
                <w:rFonts w:hint="eastAsia" w:ascii="宋体" w:hAnsi="宋体" w:cs="宋体"/>
                <w:szCs w:val="21"/>
              </w:rPr>
            </w:pPr>
            <w:r>
              <w:rPr>
                <w:rFonts w:hint="eastAsia" w:ascii="宋体" w:hAnsi="宋体" w:cs="宋体"/>
                <w:szCs w:val="21"/>
              </w:rPr>
              <w:t>项目总体理解</w:t>
            </w:r>
          </w:p>
          <w:p w14:paraId="46434AC2">
            <w:pPr>
              <w:adjustRightInd w:val="0"/>
              <w:snapToGrid w:val="0"/>
              <w:spacing w:line="340" w:lineRule="exact"/>
              <w:ind w:firstLine="420" w:firstLineChars="200"/>
              <w:jc w:val="center"/>
              <w:rPr>
                <w:rFonts w:ascii="宋体" w:hAnsi="宋体" w:eastAsia="宋体" w:cs="宋体"/>
                <w:color w:val="auto"/>
                <w:szCs w:val="21"/>
                <w:highlight w:val="none"/>
              </w:rPr>
            </w:pPr>
            <w:r>
              <w:rPr>
                <w:rFonts w:hint="eastAsia" w:ascii="宋体" w:hAnsi="宋体" w:cs="宋体"/>
                <w:szCs w:val="21"/>
                <w:lang w:eastAsia="zh-CN"/>
              </w:rPr>
              <w:t>（</w:t>
            </w:r>
            <w:r>
              <w:rPr>
                <w:rFonts w:hint="eastAsia" w:ascii="宋体" w:hAnsi="宋体" w:cs="宋体"/>
                <w:szCs w:val="21"/>
                <w:lang w:val="en-US" w:eastAsia="zh-CN"/>
              </w:rPr>
              <w:t>5分</w:t>
            </w:r>
            <w:r>
              <w:rPr>
                <w:rFonts w:hint="eastAsia" w:ascii="宋体" w:hAnsi="宋体" w:cs="宋体"/>
                <w:szCs w:val="21"/>
                <w:lang w:eastAsia="zh-CN"/>
              </w:rPr>
              <w:t>）</w:t>
            </w:r>
          </w:p>
        </w:tc>
        <w:tc>
          <w:tcPr>
            <w:tcW w:w="5107" w:type="dxa"/>
            <w:noWrap/>
            <w:vAlign w:val="center"/>
          </w:tcPr>
          <w:p w14:paraId="1B9ACE09">
            <w:pPr>
              <w:adjustRightInd w:val="0"/>
              <w:snapToGrid w:val="0"/>
              <w:spacing w:line="340" w:lineRule="exact"/>
              <w:ind w:left="0" w:leftChars="0" w:firstLine="0" w:firstLineChars="0"/>
              <w:jc w:val="left"/>
              <w:rPr>
                <w:rFonts w:hint="eastAsia" w:ascii="宋体" w:hAnsi="宋体" w:cs="宋体"/>
                <w:szCs w:val="21"/>
              </w:rPr>
            </w:pPr>
            <w:r>
              <w:rPr>
                <w:rFonts w:hint="eastAsia" w:ascii="宋体" w:hAnsi="宋体" w:cs="宋体"/>
                <w:szCs w:val="21"/>
              </w:rPr>
              <w:t>优：对本项目历史了解详细、对本项目文物保护内容及总体目标熟悉、对本项目文化内涵、历史理解程度深刻，得</w:t>
            </w:r>
            <w:r>
              <w:rPr>
                <w:rFonts w:hint="eastAsia" w:ascii="宋体" w:hAnsi="宋体" w:cs="宋体"/>
                <w:szCs w:val="21"/>
                <w:lang w:val="en-US" w:eastAsia="zh-CN"/>
              </w:rPr>
              <w:t>5</w:t>
            </w:r>
            <w:r>
              <w:rPr>
                <w:rFonts w:hint="eastAsia" w:ascii="宋体" w:hAnsi="宋体" w:cs="宋体"/>
                <w:szCs w:val="21"/>
              </w:rPr>
              <w:t>分；</w:t>
            </w:r>
          </w:p>
          <w:p w14:paraId="3AF9DB52">
            <w:pPr>
              <w:adjustRightInd w:val="0"/>
              <w:snapToGrid w:val="0"/>
              <w:spacing w:line="340" w:lineRule="exact"/>
              <w:ind w:left="0" w:leftChars="0" w:firstLine="0" w:firstLineChars="0"/>
              <w:jc w:val="left"/>
              <w:rPr>
                <w:rFonts w:hint="eastAsia" w:ascii="宋体" w:hAnsi="宋体" w:cs="宋体"/>
                <w:szCs w:val="21"/>
              </w:rPr>
            </w:pPr>
            <w:r>
              <w:rPr>
                <w:rFonts w:hint="eastAsia" w:ascii="宋体" w:hAnsi="宋体" w:cs="宋体"/>
                <w:szCs w:val="21"/>
              </w:rPr>
              <w:t>良：对本项目历史了解比较详细、对本项目文物保护内容及总体目标比较熟悉、对本项目文化内涵、历史理解程度比较深刻，得</w:t>
            </w:r>
            <w:r>
              <w:rPr>
                <w:rFonts w:hint="eastAsia" w:ascii="宋体" w:hAnsi="宋体" w:cs="宋体"/>
                <w:szCs w:val="21"/>
                <w:lang w:val="en-US" w:eastAsia="zh-CN"/>
              </w:rPr>
              <w:t>3</w:t>
            </w:r>
            <w:r>
              <w:rPr>
                <w:rFonts w:hint="eastAsia" w:ascii="宋体" w:hAnsi="宋体" w:cs="宋体"/>
                <w:szCs w:val="21"/>
              </w:rPr>
              <w:t>分；</w:t>
            </w:r>
          </w:p>
          <w:p w14:paraId="5BBB00EF">
            <w:pPr>
              <w:adjustRightInd w:val="0"/>
              <w:snapToGrid w:val="0"/>
              <w:spacing w:line="340" w:lineRule="exact"/>
              <w:ind w:left="0" w:leftChars="0" w:firstLine="0" w:firstLineChars="0"/>
              <w:jc w:val="left"/>
              <w:rPr>
                <w:rFonts w:hint="eastAsia" w:ascii="宋体" w:hAnsi="宋体" w:cs="宋体"/>
                <w:szCs w:val="21"/>
              </w:rPr>
            </w:pPr>
            <w:r>
              <w:rPr>
                <w:rFonts w:hint="eastAsia" w:ascii="宋体" w:hAnsi="宋体" w:cs="宋体"/>
                <w:szCs w:val="21"/>
              </w:rPr>
              <w:t>一般：对本项目历史了解基本详细、对本项目文物保护内容及总体目标基本熟悉、对本项目文化内涵、历史理解程度一般，得1分。</w:t>
            </w:r>
          </w:p>
          <w:p w14:paraId="4DF8A9A1">
            <w:pPr>
              <w:adjustRightInd w:val="0"/>
              <w:snapToGrid w:val="0"/>
              <w:spacing w:line="340" w:lineRule="exact"/>
              <w:ind w:left="0" w:leftChars="0" w:firstLine="0" w:firstLineChars="0"/>
              <w:jc w:val="left"/>
              <w:rPr>
                <w:rFonts w:ascii="宋体" w:hAnsi="宋体" w:eastAsia="宋体" w:cs="宋体"/>
                <w:color w:val="auto"/>
                <w:szCs w:val="21"/>
                <w:highlight w:val="none"/>
              </w:rPr>
            </w:pPr>
            <w:r>
              <w:rPr>
                <w:rFonts w:hint="eastAsia" w:ascii="宋体" w:hAnsi="宋体" w:cs="宋体"/>
                <w:szCs w:val="21"/>
              </w:rPr>
              <w:t>缺项则该项得 0 分</w:t>
            </w:r>
          </w:p>
        </w:tc>
      </w:tr>
      <w:tr w14:paraId="10A0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7" w:type="dxa"/>
            <w:vMerge w:val="restart"/>
            <w:noWrap/>
            <w:vAlign w:val="center"/>
          </w:tcPr>
          <w:p w14:paraId="71B96C8A">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235" w:type="dxa"/>
            <w:vMerge w:val="restart"/>
            <w:noWrap/>
            <w:vAlign w:val="center"/>
          </w:tcPr>
          <w:p w14:paraId="529AC3F6">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综合标 （</w:t>
            </w: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分）</w:t>
            </w:r>
          </w:p>
        </w:tc>
        <w:tc>
          <w:tcPr>
            <w:tcW w:w="2399" w:type="dxa"/>
            <w:noWrap/>
            <w:vAlign w:val="center"/>
          </w:tcPr>
          <w:p w14:paraId="384B3A58">
            <w:pPr>
              <w:adjustRightInd w:val="0"/>
              <w:snapToGrid w:val="0"/>
              <w:spacing w:line="340" w:lineRule="exact"/>
              <w:ind w:firstLine="420" w:firstLineChars="200"/>
              <w:jc w:val="left"/>
              <w:rPr>
                <w:rFonts w:hint="eastAsia" w:ascii="宋体" w:hAnsi="宋体" w:cs="宋体"/>
                <w:szCs w:val="21"/>
              </w:rPr>
            </w:pPr>
            <w:r>
              <w:rPr>
                <w:rFonts w:hint="eastAsia" w:ascii="宋体" w:hAnsi="宋体" w:cs="宋体"/>
                <w:szCs w:val="21"/>
              </w:rPr>
              <w:t>企业业绩</w:t>
            </w:r>
          </w:p>
          <w:p w14:paraId="5740B3CC">
            <w:pPr>
              <w:adjustRightInd w:val="0"/>
              <w:snapToGrid w:val="0"/>
              <w:spacing w:line="34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25</w:t>
            </w:r>
            <w:r>
              <w:rPr>
                <w:rFonts w:hint="eastAsia" w:ascii="宋体" w:hAnsi="宋体" w:cs="宋体"/>
                <w:szCs w:val="21"/>
              </w:rPr>
              <w:t>分）</w:t>
            </w:r>
          </w:p>
        </w:tc>
        <w:tc>
          <w:tcPr>
            <w:tcW w:w="5107" w:type="dxa"/>
            <w:noWrap/>
            <w:vAlign w:val="center"/>
          </w:tcPr>
          <w:p w14:paraId="39B6D5B8">
            <w:pPr>
              <w:adjustRightInd w:val="0"/>
              <w:snapToGrid w:val="0"/>
              <w:spacing w:line="340" w:lineRule="exact"/>
              <w:ind w:left="0" w:leftChars="0" w:firstLine="0" w:firstLineChars="0"/>
              <w:jc w:val="left"/>
              <w:rPr>
                <w:rFonts w:hint="eastAsia" w:ascii="宋体" w:hAnsi="宋体" w:cs="宋体"/>
                <w:szCs w:val="21"/>
              </w:rPr>
            </w:pPr>
            <w:r>
              <w:rPr>
                <w:rFonts w:hint="eastAsia" w:ascii="宋体" w:hAnsi="宋体" w:cs="宋体"/>
                <w:szCs w:val="21"/>
              </w:rPr>
              <w:t>供应商具有2022年1月1日（以签订合同时间 为 准）以来承担过类似项目设计（文物保护设计）业绩，每提供一份得</w:t>
            </w:r>
            <w:r>
              <w:rPr>
                <w:rFonts w:hint="eastAsia" w:ascii="宋体" w:hAnsi="宋体" w:cs="宋体"/>
                <w:szCs w:val="21"/>
                <w:lang w:val="en-US" w:eastAsia="zh-CN"/>
              </w:rPr>
              <w:t>5</w:t>
            </w:r>
            <w:r>
              <w:rPr>
                <w:rFonts w:hint="eastAsia" w:ascii="宋体" w:hAnsi="宋体" w:cs="宋体"/>
                <w:szCs w:val="21"/>
              </w:rPr>
              <w:t xml:space="preserve">分，最多得 </w:t>
            </w:r>
            <w:r>
              <w:rPr>
                <w:rFonts w:hint="eastAsia" w:ascii="宋体" w:hAnsi="宋体" w:cs="宋体"/>
                <w:szCs w:val="21"/>
                <w:lang w:val="en-US" w:eastAsia="zh-CN"/>
              </w:rPr>
              <w:t>25</w:t>
            </w:r>
            <w:r>
              <w:rPr>
                <w:rFonts w:hint="eastAsia" w:ascii="宋体" w:hAnsi="宋体" w:cs="宋体"/>
                <w:szCs w:val="21"/>
              </w:rPr>
              <w:t>分（在响应文件中附中标通知书及合同复印件）</w:t>
            </w:r>
          </w:p>
        </w:tc>
      </w:tr>
      <w:tr w14:paraId="3751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7" w:type="dxa"/>
            <w:vMerge w:val="continue"/>
            <w:noWrap/>
            <w:vAlign w:val="center"/>
          </w:tcPr>
          <w:p w14:paraId="2F3EE25B">
            <w:pPr>
              <w:pageBreakBefore w:val="0"/>
              <w:kinsoku/>
              <w:overflowPunct/>
              <w:bidi w:val="0"/>
              <w:spacing w:line="400" w:lineRule="exact"/>
              <w:ind w:firstLine="0" w:firstLineChars="0"/>
              <w:jc w:val="center"/>
              <w:rPr>
                <w:rFonts w:hint="eastAsia" w:ascii="宋体" w:hAnsi="宋体" w:eastAsia="宋体" w:cs="宋体"/>
                <w:color w:val="auto"/>
                <w:szCs w:val="21"/>
                <w:highlight w:val="none"/>
              </w:rPr>
            </w:pPr>
          </w:p>
        </w:tc>
        <w:tc>
          <w:tcPr>
            <w:tcW w:w="1235" w:type="dxa"/>
            <w:vMerge w:val="continue"/>
            <w:noWrap/>
            <w:vAlign w:val="center"/>
          </w:tcPr>
          <w:p w14:paraId="4876B525">
            <w:pPr>
              <w:pageBreakBefore w:val="0"/>
              <w:kinsoku/>
              <w:overflowPunct/>
              <w:bidi w:val="0"/>
              <w:spacing w:line="400" w:lineRule="exact"/>
              <w:ind w:firstLine="0" w:firstLineChars="0"/>
              <w:rPr>
                <w:rFonts w:hint="eastAsia" w:ascii="宋体" w:hAnsi="宋体" w:eastAsia="宋体" w:cs="宋体"/>
                <w:color w:val="auto"/>
                <w:szCs w:val="21"/>
                <w:highlight w:val="none"/>
              </w:rPr>
            </w:pPr>
          </w:p>
        </w:tc>
        <w:tc>
          <w:tcPr>
            <w:tcW w:w="2399" w:type="dxa"/>
            <w:noWrap/>
            <w:vAlign w:val="center"/>
          </w:tcPr>
          <w:p w14:paraId="22263E76">
            <w:pPr>
              <w:adjustRightInd w:val="0"/>
              <w:snapToGrid w:val="0"/>
              <w:spacing w:line="340" w:lineRule="exact"/>
              <w:ind w:firstLine="420" w:firstLineChars="200"/>
              <w:jc w:val="left"/>
              <w:rPr>
                <w:rFonts w:hint="eastAsia" w:ascii="宋体" w:hAnsi="宋体" w:cs="宋体"/>
                <w:szCs w:val="21"/>
                <w:lang w:eastAsia="zh-CN"/>
              </w:rPr>
            </w:pPr>
            <w:r>
              <w:rPr>
                <w:rFonts w:hint="eastAsia" w:ascii="宋体" w:hAnsi="宋体" w:cs="宋体"/>
                <w:szCs w:val="21"/>
                <w:lang w:eastAsia="zh-CN"/>
              </w:rPr>
              <w:t>人员配备（</w:t>
            </w:r>
            <w:r>
              <w:rPr>
                <w:rFonts w:hint="eastAsia" w:ascii="宋体" w:hAnsi="宋体" w:cs="宋体"/>
                <w:szCs w:val="21"/>
                <w:lang w:val="en-US" w:eastAsia="zh-CN"/>
              </w:rPr>
              <w:t>8</w:t>
            </w:r>
            <w:r>
              <w:rPr>
                <w:rFonts w:hint="eastAsia" w:ascii="宋体" w:hAnsi="宋体" w:cs="宋体"/>
                <w:szCs w:val="21"/>
                <w:lang w:eastAsia="zh-CN"/>
              </w:rPr>
              <w:t>分）</w:t>
            </w:r>
          </w:p>
        </w:tc>
        <w:tc>
          <w:tcPr>
            <w:tcW w:w="5107" w:type="dxa"/>
            <w:noWrap/>
            <w:vAlign w:val="center"/>
          </w:tcPr>
          <w:p w14:paraId="353F8462">
            <w:pPr>
              <w:adjustRightInd w:val="0"/>
              <w:snapToGrid w:val="0"/>
              <w:spacing w:line="340" w:lineRule="exact"/>
              <w:ind w:left="0" w:leftChars="0" w:firstLine="0" w:firstLineChars="0"/>
              <w:jc w:val="left"/>
              <w:rPr>
                <w:rFonts w:hint="eastAsia" w:ascii="宋体" w:hAnsi="宋体" w:cs="宋体"/>
                <w:szCs w:val="21"/>
              </w:rPr>
            </w:pPr>
            <w:r>
              <w:rPr>
                <w:rFonts w:hint="eastAsia" w:ascii="宋体" w:hAnsi="宋体" w:cs="宋体"/>
                <w:szCs w:val="21"/>
              </w:rPr>
              <w:t>投标人针对项目组建的项目团队情况，以及团队架构等，拟派项目组成员中具有文物保护工程责任设计师证书</w:t>
            </w:r>
            <w:r>
              <w:rPr>
                <w:rFonts w:hint="eastAsia" w:ascii="宋体" w:hAnsi="宋体" w:cs="宋体"/>
                <w:szCs w:val="21"/>
                <w:lang w:eastAsia="zh-CN"/>
              </w:rPr>
              <w:t>的</w:t>
            </w:r>
            <w:r>
              <w:rPr>
                <w:rFonts w:hint="eastAsia" w:ascii="宋体" w:hAnsi="宋体" w:cs="宋体"/>
                <w:szCs w:val="21"/>
              </w:rPr>
              <w:t>，每拟派一个人员得</w:t>
            </w:r>
            <w:r>
              <w:rPr>
                <w:rFonts w:hint="eastAsia" w:ascii="宋体" w:hAnsi="宋体" w:cs="宋体"/>
                <w:szCs w:val="21"/>
                <w:lang w:val="en-US" w:eastAsia="zh-CN"/>
              </w:rPr>
              <w:t>4</w:t>
            </w:r>
            <w:r>
              <w:rPr>
                <w:rFonts w:hint="eastAsia" w:ascii="宋体" w:hAnsi="宋体" w:cs="宋体"/>
                <w:szCs w:val="21"/>
              </w:rPr>
              <w:t xml:space="preserve">分（不含项目负责人），最高 </w:t>
            </w:r>
            <w:r>
              <w:rPr>
                <w:rFonts w:hint="eastAsia" w:ascii="宋体" w:hAnsi="宋体" w:cs="宋体"/>
                <w:szCs w:val="21"/>
                <w:lang w:val="en-US" w:eastAsia="zh-CN"/>
              </w:rPr>
              <w:t>8</w:t>
            </w:r>
            <w:r>
              <w:rPr>
                <w:rFonts w:hint="eastAsia" w:ascii="宋体" w:hAnsi="宋体" w:cs="宋体"/>
                <w:szCs w:val="21"/>
              </w:rPr>
              <w:t>分。</w:t>
            </w:r>
          </w:p>
          <w:p w14:paraId="2087D38D">
            <w:pPr>
              <w:adjustRightInd w:val="0"/>
              <w:snapToGrid w:val="0"/>
              <w:spacing w:line="340" w:lineRule="exact"/>
              <w:ind w:left="0" w:leftChars="0" w:firstLine="0" w:firstLineChars="0"/>
              <w:jc w:val="left"/>
              <w:rPr>
                <w:rFonts w:hint="eastAsia" w:ascii="宋体" w:hAnsi="宋体" w:cs="宋体"/>
                <w:szCs w:val="21"/>
              </w:rPr>
            </w:pPr>
            <w:r>
              <w:rPr>
                <w:rFonts w:hint="eastAsia" w:ascii="宋体" w:hAnsi="宋体" w:cs="宋体"/>
                <w:szCs w:val="21"/>
              </w:rPr>
              <w:t>注：投标文件中附相关人员资格证书以及单位为其缴纳的202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eastAsia="zh-CN"/>
              </w:rPr>
              <w:t>以来</w:t>
            </w:r>
            <w:r>
              <w:rPr>
                <w:rFonts w:hint="eastAsia" w:ascii="宋体" w:hAnsi="宋体" w:cs="宋体"/>
                <w:szCs w:val="21"/>
              </w:rPr>
              <w:t>任意三个月社保证明。</w:t>
            </w:r>
          </w:p>
        </w:tc>
      </w:tr>
      <w:tr w14:paraId="52E2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797" w:type="dxa"/>
            <w:vMerge w:val="continue"/>
            <w:noWrap/>
            <w:vAlign w:val="center"/>
          </w:tcPr>
          <w:p w14:paraId="4B76E157">
            <w:pPr>
              <w:pageBreakBefore w:val="0"/>
              <w:kinsoku/>
              <w:overflowPunct/>
              <w:bidi w:val="0"/>
              <w:spacing w:line="400" w:lineRule="exact"/>
              <w:ind w:firstLine="0" w:firstLineChars="0"/>
              <w:jc w:val="center"/>
              <w:rPr>
                <w:rFonts w:hint="eastAsia" w:ascii="宋体" w:hAnsi="宋体" w:eastAsia="宋体" w:cs="宋体"/>
                <w:color w:val="auto"/>
                <w:szCs w:val="21"/>
                <w:highlight w:val="none"/>
              </w:rPr>
            </w:pPr>
          </w:p>
        </w:tc>
        <w:tc>
          <w:tcPr>
            <w:tcW w:w="1235" w:type="dxa"/>
            <w:vMerge w:val="continue"/>
            <w:noWrap/>
            <w:vAlign w:val="center"/>
          </w:tcPr>
          <w:p w14:paraId="2A2D53EE">
            <w:pPr>
              <w:pageBreakBefore w:val="0"/>
              <w:kinsoku/>
              <w:overflowPunct/>
              <w:bidi w:val="0"/>
              <w:spacing w:line="400" w:lineRule="exact"/>
              <w:ind w:firstLine="0" w:firstLineChars="0"/>
              <w:rPr>
                <w:rFonts w:hint="eastAsia" w:ascii="宋体" w:hAnsi="宋体" w:eastAsia="宋体" w:cs="宋体"/>
                <w:color w:val="auto"/>
                <w:szCs w:val="21"/>
                <w:highlight w:val="none"/>
              </w:rPr>
            </w:pPr>
          </w:p>
        </w:tc>
        <w:tc>
          <w:tcPr>
            <w:tcW w:w="2399" w:type="dxa"/>
            <w:noWrap/>
            <w:vAlign w:val="center"/>
          </w:tcPr>
          <w:p w14:paraId="3CA953B5">
            <w:pPr>
              <w:snapToGrid w:val="0"/>
              <w:spacing w:line="340" w:lineRule="exact"/>
              <w:ind w:firstLine="420" w:firstLineChars="200"/>
              <w:jc w:val="center"/>
              <w:rPr>
                <w:rFonts w:hint="eastAsia" w:ascii="宋体" w:hAnsi="宋体" w:cs="宋体"/>
                <w:szCs w:val="21"/>
              </w:rPr>
            </w:pPr>
            <w:r>
              <w:rPr>
                <w:rFonts w:hint="eastAsia" w:ascii="宋体" w:hAnsi="宋体" w:cs="宋体"/>
                <w:szCs w:val="21"/>
              </w:rPr>
              <w:t>服务承诺</w:t>
            </w:r>
          </w:p>
          <w:p w14:paraId="38CDEFE3">
            <w:pPr>
              <w:snapToGrid w:val="0"/>
              <w:spacing w:line="340" w:lineRule="exact"/>
              <w:ind w:firstLine="420" w:firstLineChars="20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szCs w:val="21"/>
                <w:lang w:eastAsia="zh-CN"/>
              </w:rPr>
              <w:t>（</w:t>
            </w:r>
            <w:r>
              <w:rPr>
                <w:rFonts w:hint="eastAsia" w:ascii="宋体" w:hAnsi="宋体" w:cs="宋体"/>
                <w:szCs w:val="21"/>
                <w:lang w:val="en-US" w:eastAsia="zh-CN"/>
              </w:rPr>
              <w:t>5分</w:t>
            </w:r>
            <w:r>
              <w:rPr>
                <w:rFonts w:hint="eastAsia" w:ascii="宋体" w:hAnsi="宋体" w:cs="宋体"/>
                <w:szCs w:val="21"/>
                <w:lang w:eastAsia="zh-CN"/>
              </w:rPr>
              <w:t>）</w:t>
            </w:r>
          </w:p>
        </w:tc>
        <w:tc>
          <w:tcPr>
            <w:tcW w:w="5107" w:type="dxa"/>
            <w:noWrap/>
            <w:vAlign w:val="center"/>
          </w:tcPr>
          <w:p w14:paraId="5878647E">
            <w:pPr>
              <w:snapToGrid w:val="0"/>
              <w:spacing w:line="340" w:lineRule="exact"/>
              <w:ind w:left="0" w:leftChars="0" w:firstLine="0" w:firstLineChars="0"/>
              <w:rPr>
                <w:rFonts w:ascii="宋体" w:hAnsi="宋体" w:cs="宋体"/>
                <w:szCs w:val="21"/>
              </w:rPr>
            </w:pPr>
            <w:r>
              <w:rPr>
                <w:rFonts w:hint="eastAsia" w:ascii="宋体" w:hAnsi="宋体" w:cs="宋体"/>
                <w:szCs w:val="21"/>
              </w:rPr>
              <w:t>服务承诺，服务内容完善，与采购人积极配合、为采购人排忧解难，服从采购人安排，按时保质保量完成的服务工作。得</w:t>
            </w:r>
            <w:r>
              <w:rPr>
                <w:rFonts w:hint="eastAsia" w:ascii="宋体" w:hAnsi="宋体" w:cs="宋体"/>
                <w:szCs w:val="21"/>
                <w:lang w:val="en-US" w:eastAsia="zh-CN"/>
              </w:rPr>
              <w:t>5</w:t>
            </w:r>
            <w:r>
              <w:rPr>
                <w:rFonts w:hint="eastAsia" w:ascii="宋体" w:hAnsi="宋体" w:cs="宋体"/>
                <w:szCs w:val="21"/>
              </w:rPr>
              <w:t>分；</w:t>
            </w:r>
          </w:p>
          <w:p w14:paraId="75305938">
            <w:pPr>
              <w:snapToGrid w:val="0"/>
              <w:spacing w:line="340" w:lineRule="exact"/>
              <w:ind w:left="0" w:leftChars="0" w:firstLine="0" w:firstLineChars="0"/>
              <w:rPr>
                <w:rFonts w:ascii="宋体" w:hAnsi="宋体" w:cs="宋体"/>
                <w:szCs w:val="21"/>
              </w:rPr>
            </w:pPr>
            <w:r>
              <w:rPr>
                <w:rFonts w:hint="eastAsia" w:ascii="宋体" w:hAnsi="宋体" w:cs="宋体"/>
                <w:szCs w:val="21"/>
              </w:rPr>
              <w:t>服务内容相对完善，较为配合采购人的工作，服从采购人的安排，能解决工程中的问题，得</w:t>
            </w:r>
            <w:r>
              <w:rPr>
                <w:rFonts w:hint="eastAsia" w:ascii="宋体" w:hAnsi="宋体" w:cs="宋体"/>
                <w:szCs w:val="21"/>
                <w:lang w:val="en-US" w:eastAsia="zh-CN"/>
              </w:rPr>
              <w:t>3</w:t>
            </w:r>
            <w:r>
              <w:rPr>
                <w:rFonts w:hint="eastAsia" w:ascii="宋体" w:hAnsi="宋体" w:cs="宋体"/>
                <w:szCs w:val="21"/>
              </w:rPr>
              <w:t>分；</w:t>
            </w:r>
          </w:p>
          <w:p w14:paraId="4B42C5C1">
            <w:pPr>
              <w:snapToGrid w:val="0"/>
              <w:spacing w:line="340" w:lineRule="exact"/>
              <w:ind w:left="0" w:leftChars="0" w:firstLine="0"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szCs w:val="21"/>
              </w:rPr>
              <w:t>服务内容基本完善，能够配合采购人的工作，服从采购人的安排，基本能解决工程中的问题，得1分；否则，得0分。</w:t>
            </w:r>
          </w:p>
        </w:tc>
      </w:tr>
    </w:tbl>
    <w:p w14:paraId="488ED6F2">
      <w:pPr>
        <w:pageBreakBefore w:val="0"/>
        <w:kinsoku/>
        <w:overflowPunct/>
        <w:bidi w:val="0"/>
        <w:ind w:firstLine="0" w:firstLineChars="0"/>
        <w:rPr>
          <w:color w:val="auto"/>
          <w:highlight w:val="none"/>
        </w:rPr>
      </w:pPr>
    </w:p>
    <w:p w14:paraId="7E6550C5">
      <w:pPr>
        <w:pageBreakBefore w:val="0"/>
        <w:numPr>
          <w:ilvl w:val="0"/>
          <w:numId w:val="2"/>
        </w:numPr>
        <w:kinsoku/>
        <w:overflowPunct/>
        <w:bidi w:val="0"/>
        <w:spacing w:line="400" w:lineRule="exact"/>
        <w:ind w:firstLine="0" w:firstLineChars="0"/>
        <w:outlineLvl w:val="1"/>
        <w:rPr>
          <w:rFonts w:ascii="宋体" w:hAnsi="宋体" w:eastAsia="宋体" w:cs="宋体"/>
          <w:b/>
          <w:bCs/>
          <w:color w:val="auto"/>
          <w:szCs w:val="21"/>
          <w:highlight w:val="none"/>
        </w:rPr>
      </w:pPr>
      <w:bookmarkStart w:id="936" w:name="_Toc27706"/>
      <w:bookmarkStart w:id="937" w:name="_Toc9743"/>
      <w:bookmarkStart w:id="938" w:name="_Toc21598"/>
      <w:r>
        <w:rPr>
          <w:rFonts w:hint="eastAsia" w:ascii="宋体" w:hAnsi="宋体" w:eastAsia="宋体" w:cs="宋体"/>
          <w:b/>
          <w:bCs/>
          <w:color w:val="auto"/>
          <w:szCs w:val="21"/>
          <w:highlight w:val="none"/>
        </w:rPr>
        <w:t>评审方法</w:t>
      </w:r>
      <w:bookmarkEnd w:id="930"/>
      <w:bookmarkEnd w:id="931"/>
      <w:bookmarkEnd w:id="932"/>
      <w:bookmarkEnd w:id="933"/>
      <w:bookmarkEnd w:id="934"/>
      <w:bookmarkEnd w:id="935"/>
      <w:bookmarkEnd w:id="936"/>
      <w:bookmarkEnd w:id="937"/>
      <w:bookmarkEnd w:id="938"/>
    </w:p>
    <w:p w14:paraId="473E57AF">
      <w:pPr>
        <w:pageBreakBefore w:val="0"/>
        <w:kinsoku/>
        <w:overflowPunct/>
        <w:bidi w:val="0"/>
        <w:spacing w:line="400" w:lineRule="exact"/>
        <w:ind w:firstLine="0" w:firstLineChars="0"/>
        <w:rPr>
          <w:rFonts w:ascii="宋体" w:hAnsi="宋体" w:eastAsia="宋体" w:cs="宋体"/>
          <w:color w:val="auto"/>
          <w:kern w:val="0"/>
          <w:szCs w:val="21"/>
          <w:highlight w:val="none"/>
        </w:rPr>
      </w:pPr>
      <w:r>
        <w:rPr>
          <w:rFonts w:hint="eastAsia" w:ascii="宋体" w:hAnsi="宋体" w:eastAsia="宋体" w:cs="宋体"/>
          <w:color w:val="auto"/>
          <w:szCs w:val="21"/>
          <w:highlight w:val="none"/>
          <w:lang w:bidi="en-US"/>
        </w:rPr>
        <w:t>本次评审采用综合评分法。磋商小组对满足竞争性磋商文件实质性要求的响应文件</w:t>
      </w:r>
      <w:r>
        <w:rPr>
          <w:rFonts w:hint="eastAsia" w:ascii="宋体" w:hAnsi="宋体" w:eastAsia="宋体" w:cs="宋体"/>
          <w:color w:val="auto"/>
          <w:szCs w:val="21"/>
          <w:highlight w:val="none"/>
        </w:rPr>
        <w:t>，按照本章规定的评分标准进行打分，并按得分由高到低顺序推荐成交候选人，</w:t>
      </w:r>
      <w:r>
        <w:rPr>
          <w:rFonts w:hint="eastAsia" w:ascii="宋体" w:hAnsi="宋体" w:eastAsia="宋体" w:cs="宋体"/>
          <w:color w:val="auto"/>
          <w:kern w:val="0"/>
          <w:szCs w:val="21"/>
          <w:highlight w:val="none"/>
        </w:rPr>
        <w:t>综合评分相等时，以报价得分高的优先；报价得分也相等的，由采购人自行确定。</w:t>
      </w:r>
      <w:bookmarkStart w:id="939" w:name="_Toc455867817"/>
      <w:bookmarkStart w:id="940" w:name="_Toc26131"/>
      <w:bookmarkStart w:id="941" w:name="_Toc29362"/>
      <w:bookmarkStart w:id="942" w:name="_Toc20837"/>
      <w:bookmarkStart w:id="943" w:name="_Toc490667876"/>
      <w:bookmarkStart w:id="944" w:name="_Toc152045601"/>
      <w:bookmarkStart w:id="945" w:name="_Toc144974568"/>
      <w:bookmarkStart w:id="946" w:name="_Toc152042378"/>
      <w:bookmarkStart w:id="947" w:name="_Toc466298140"/>
      <w:bookmarkStart w:id="948" w:name="_Toc455080157"/>
      <w:bookmarkStart w:id="949" w:name="_Toc6612"/>
      <w:bookmarkStart w:id="950" w:name="_Toc281405529"/>
      <w:bookmarkStart w:id="951" w:name="_Toc24936"/>
      <w:bookmarkStart w:id="952" w:name="_Toc318450723"/>
    </w:p>
    <w:p w14:paraId="33819712">
      <w:pPr>
        <w:pageBreakBefore w:val="0"/>
        <w:kinsoku/>
        <w:overflowPunct/>
        <w:bidi w:val="0"/>
        <w:spacing w:line="400" w:lineRule="exact"/>
        <w:ind w:firstLine="0" w:firstLineChars="0"/>
        <w:rPr>
          <w:rFonts w:ascii="宋体" w:hAnsi="宋体" w:eastAsia="宋体" w:cs="宋体"/>
          <w:color w:val="auto"/>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szCs w:val="21"/>
          <w:highlight w:val="none"/>
        </w:rPr>
        <w:t>经评标委员会初步评审后有效投标不足3个的，评标委员会应予废标。</w:t>
      </w:r>
    </w:p>
    <w:p w14:paraId="424DB922">
      <w:pPr>
        <w:pageBreakBefore w:val="0"/>
        <w:numPr>
          <w:ilvl w:val="0"/>
          <w:numId w:val="2"/>
        </w:numPr>
        <w:kinsoku/>
        <w:overflowPunct/>
        <w:bidi w:val="0"/>
        <w:spacing w:line="400" w:lineRule="exact"/>
        <w:ind w:firstLine="0" w:firstLineChars="0"/>
        <w:outlineLvl w:val="1"/>
        <w:rPr>
          <w:rFonts w:ascii="宋体" w:hAnsi="宋体" w:eastAsia="宋体" w:cs="宋体"/>
          <w:b/>
          <w:bCs/>
          <w:color w:val="auto"/>
          <w:szCs w:val="21"/>
          <w:highlight w:val="none"/>
        </w:rPr>
      </w:pPr>
      <w:bookmarkStart w:id="953" w:name="_Toc19388"/>
      <w:bookmarkStart w:id="954" w:name="_Toc10406"/>
      <w:bookmarkStart w:id="955" w:name="_Toc21350"/>
      <w:r>
        <w:rPr>
          <w:rFonts w:hint="eastAsia" w:ascii="宋体" w:hAnsi="宋体" w:eastAsia="宋体" w:cs="宋体"/>
          <w:b/>
          <w:bCs/>
          <w:color w:val="auto"/>
          <w:szCs w:val="21"/>
          <w:highlight w:val="none"/>
        </w:rPr>
        <w:t>评审标准</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Start w:id="956" w:name="_Toc31037"/>
      <w:bookmarkStart w:id="957" w:name="_Toc281405530"/>
      <w:bookmarkStart w:id="958" w:name="_Toc24558"/>
      <w:bookmarkStart w:id="959" w:name="_Toc455080158"/>
      <w:bookmarkStart w:id="960" w:name="_Toc2867"/>
      <w:bookmarkStart w:id="961" w:name="_Toc19934"/>
      <w:bookmarkStart w:id="962" w:name="_Toc25637"/>
      <w:bookmarkStart w:id="963" w:name="_Toc466298141"/>
      <w:bookmarkStart w:id="964" w:name="_Toc6711"/>
      <w:bookmarkStart w:id="965" w:name="_Toc15813"/>
      <w:bookmarkStart w:id="966" w:name="_Toc144974569"/>
      <w:bookmarkStart w:id="967" w:name="_Toc21120"/>
      <w:bookmarkStart w:id="968" w:name="_Toc152045602"/>
      <w:bookmarkStart w:id="969" w:name="_Toc152042379"/>
      <w:bookmarkStart w:id="970" w:name="_Toc455867818"/>
      <w:bookmarkStart w:id="971" w:name="_Toc11223"/>
      <w:bookmarkStart w:id="972" w:name="_Toc318450724"/>
      <w:bookmarkStart w:id="973" w:name="_Toc490667877"/>
    </w:p>
    <w:p w14:paraId="4F5DF936">
      <w:pPr>
        <w:pageBreakBefore w:val="0"/>
        <w:kinsoku/>
        <w:overflowPunct/>
        <w:bidi w:val="0"/>
        <w:spacing w:line="400" w:lineRule="exact"/>
        <w:ind w:firstLine="0" w:firstLineChars="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2.1 初步评审标准</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639F046D">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2.1.1 资格检查评审标准：见评审办法前附表。</w:t>
      </w:r>
    </w:p>
    <w:p w14:paraId="21C8CF8C">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2.1.2符合性检查评审标准：见评审办法前附表。</w:t>
      </w:r>
    </w:p>
    <w:p w14:paraId="2245768C">
      <w:pPr>
        <w:pStyle w:val="68"/>
        <w:pageBreakBefore w:val="0"/>
        <w:kinsoku/>
        <w:overflowPunct/>
        <w:bidi w:val="0"/>
        <w:ind w:firstLine="0" w:firstLineChars="0"/>
        <w:outlineLvl w:val="0"/>
        <w:rPr>
          <w:rFonts w:ascii="宋体" w:hAnsi="宋体" w:eastAsia="宋体"/>
          <w:b/>
          <w:bCs/>
          <w:color w:val="auto"/>
          <w:sz w:val="21"/>
          <w:szCs w:val="21"/>
          <w:highlight w:val="none"/>
        </w:rPr>
      </w:pPr>
      <w:bookmarkStart w:id="974" w:name="_Toc4734"/>
      <w:bookmarkStart w:id="975" w:name="_Toc455867819"/>
      <w:bookmarkStart w:id="976" w:name="_Toc281405531"/>
      <w:bookmarkStart w:id="977" w:name="_Toc144974570"/>
      <w:bookmarkStart w:id="978" w:name="_Toc26179"/>
      <w:bookmarkStart w:id="979" w:name="_Toc30189"/>
      <w:bookmarkStart w:id="980" w:name="_Toc24825"/>
      <w:bookmarkStart w:id="981" w:name="_Toc318450725"/>
      <w:bookmarkStart w:id="982" w:name="_Toc11061"/>
      <w:bookmarkStart w:id="983" w:name="_Toc466298142"/>
      <w:bookmarkStart w:id="984" w:name="_Toc31385"/>
      <w:bookmarkStart w:id="985" w:name="_Toc152042380"/>
      <w:bookmarkStart w:id="986" w:name="_Toc12013"/>
      <w:bookmarkStart w:id="987" w:name="_Toc7284"/>
      <w:bookmarkStart w:id="988" w:name="_Toc152045603"/>
      <w:bookmarkStart w:id="989" w:name="_Toc490667878"/>
      <w:bookmarkStart w:id="990" w:name="_Toc455080159"/>
      <w:bookmarkStart w:id="991" w:name="_Toc22439"/>
      <w:bookmarkStart w:id="992" w:name="_Toc21970"/>
      <w:bookmarkStart w:id="993" w:name="_Toc25492"/>
      <w:bookmarkStart w:id="994" w:name="_Toc18417"/>
      <w:r>
        <w:rPr>
          <w:rFonts w:hint="eastAsia" w:ascii="宋体" w:hAnsi="宋体" w:eastAsia="宋体"/>
          <w:b/>
          <w:bCs/>
          <w:color w:val="auto"/>
          <w:sz w:val="21"/>
          <w:szCs w:val="21"/>
          <w:highlight w:val="none"/>
        </w:rPr>
        <w:t>2.2 分值构成与评分标准</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14:paraId="48B9601F">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（1）商务标：见评审办法前附表；</w:t>
      </w:r>
    </w:p>
    <w:p w14:paraId="78E85B39">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（2）技术标：见评审办法前附表；</w:t>
      </w:r>
    </w:p>
    <w:p w14:paraId="04AA8A72">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（3）综合标：见评审办法前附表。</w:t>
      </w:r>
    </w:p>
    <w:p w14:paraId="213D109F">
      <w:pPr>
        <w:pStyle w:val="67"/>
        <w:pageBreakBefore w:val="0"/>
        <w:kinsoku/>
        <w:overflowPunct/>
        <w:bidi w:val="0"/>
        <w:ind w:firstLine="0" w:firstLineChars="0"/>
        <w:rPr>
          <w:rFonts w:ascii="宋体" w:hAnsi="宋体" w:eastAsia="宋体"/>
          <w:b/>
          <w:bCs/>
          <w:color w:val="auto"/>
          <w:sz w:val="21"/>
          <w:szCs w:val="21"/>
          <w:highlight w:val="none"/>
        </w:rPr>
      </w:pPr>
      <w:bookmarkStart w:id="995" w:name="_Toc3149"/>
      <w:bookmarkStart w:id="996" w:name="_Toc490667879"/>
      <w:bookmarkStart w:id="997" w:name="_Toc455080160"/>
      <w:bookmarkStart w:id="998" w:name="_Toc466298143"/>
      <w:bookmarkStart w:id="999" w:name="_Toc455867820"/>
      <w:bookmarkStart w:id="1000" w:name="_Toc5766"/>
      <w:bookmarkStart w:id="1001" w:name="_Toc11546"/>
      <w:bookmarkStart w:id="1002" w:name="_Toc281405532"/>
      <w:bookmarkStart w:id="1003" w:name="_Toc29297"/>
      <w:bookmarkStart w:id="1004" w:name="_Toc18127"/>
      <w:bookmarkStart w:id="1005" w:name="_Toc318450726"/>
      <w:bookmarkStart w:id="1006" w:name="_Toc32314"/>
      <w:bookmarkStart w:id="1007" w:name="_Toc16479"/>
      <w:bookmarkStart w:id="1008" w:name="_Toc17308"/>
      <w:r>
        <w:rPr>
          <w:rFonts w:hint="eastAsia" w:ascii="宋体" w:hAnsi="宋体" w:eastAsia="宋体"/>
          <w:b/>
          <w:bCs/>
          <w:color w:val="auto"/>
          <w:sz w:val="21"/>
          <w:szCs w:val="21"/>
          <w:highlight w:val="none"/>
        </w:rPr>
        <w:t>3. 评审程序</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5E1DC371">
      <w:pPr>
        <w:pStyle w:val="68"/>
        <w:pageBreakBefore w:val="0"/>
        <w:kinsoku/>
        <w:overflowPunct/>
        <w:bidi w:val="0"/>
        <w:ind w:firstLine="0" w:firstLineChars="0"/>
        <w:outlineLvl w:val="0"/>
        <w:rPr>
          <w:rFonts w:ascii="宋体" w:hAnsi="宋体" w:eastAsia="宋体"/>
          <w:b/>
          <w:bCs/>
          <w:color w:val="auto"/>
          <w:sz w:val="21"/>
          <w:szCs w:val="21"/>
          <w:highlight w:val="none"/>
        </w:rPr>
      </w:pPr>
      <w:bookmarkStart w:id="1009" w:name="_Toc28837"/>
      <w:bookmarkStart w:id="1010" w:name="_Toc466298144"/>
      <w:bookmarkStart w:id="1011" w:name="_Toc16892"/>
      <w:bookmarkStart w:id="1012" w:name="_Toc30986"/>
      <w:bookmarkStart w:id="1013" w:name="_Toc490667880"/>
      <w:bookmarkStart w:id="1014" w:name="_Toc2410"/>
      <w:bookmarkStart w:id="1015" w:name="_Toc18886"/>
      <w:bookmarkStart w:id="1016" w:name="_Toc29092"/>
      <w:bookmarkStart w:id="1017" w:name="_Toc7272"/>
      <w:bookmarkStart w:id="1018" w:name="_Toc29614"/>
      <w:bookmarkStart w:id="1019" w:name="_Toc31432"/>
      <w:bookmarkStart w:id="1020" w:name="_Toc455867821"/>
      <w:bookmarkStart w:id="1021" w:name="_Toc318450727"/>
      <w:bookmarkStart w:id="1022" w:name="_Toc5427"/>
      <w:bookmarkStart w:id="1023" w:name="_Toc9433"/>
      <w:bookmarkStart w:id="1024" w:name="_Toc281405533"/>
      <w:bookmarkStart w:id="1025" w:name="_Toc455080161"/>
      <w:bookmarkStart w:id="1026" w:name="_Toc14633"/>
      <w:bookmarkStart w:id="1027" w:name="_Toc11826"/>
      <w:r>
        <w:rPr>
          <w:rFonts w:hint="eastAsia" w:ascii="宋体" w:hAnsi="宋体" w:eastAsia="宋体"/>
          <w:b/>
          <w:bCs/>
          <w:color w:val="auto"/>
          <w:sz w:val="21"/>
          <w:szCs w:val="21"/>
          <w:highlight w:val="none"/>
        </w:rPr>
        <w:t>3.1 初步评审</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14:paraId="0D374841">
      <w:pPr>
        <w:pageBreakBefore w:val="0"/>
        <w:kinsoku/>
        <w:overflowPunct/>
        <w:bidi w:val="0"/>
        <w:spacing w:line="400" w:lineRule="exact"/>
        <w:ind w:firstLine="0" w:firstLineChars="0"/>
        <w:rPr>
          <w:rFonts w:ascii="宋体" w:hAnsi="宋体" w:eastAsia="宋体" w:cs="宋体"/>
          <w:b/>
          <w:bCs/>
          <w:color w:val="auto"/>
          <w:szCs w:val="21"/>
          <w:highlight w:val="none"/>
        </w:rPr>
      </w:pPr>
      <w:bookmarkStart w:id="1028" w:name="_Toc490667881"/>
      <w:bookmarkStart w:id="1029" w:name="_Toc455080162"/>
      <w:bookmarkStart w:id="1030" w:name="_Toc13386"/>
      <w:bookmarkStart w:id="1031" w:name="_Toc16964"/>
      <w:bookmarkStart w:id="1032" w:name="_Toc466298145"/>
      <w:bookmarkStart w:id="1033" w:name="_Toc21570"/>
      <w:bookmarkStart w:id="1034" w:name="_Toc26280"/>
      <w:bookmarkStart w:id="1035" w:name="_Toc455867822"/>
      <w:bookmarkStart w:id="1036" w:name="_Toc12406"/>
      <w:bookmarkStart w:id="1037" w:name="_Toc10692"/>
      <w:bookmarkStart w:id="1038" w:name="_Toc22101"/>
      <w:bookmarkStart w:id="1039" w:name="_Toc26049"/>
      <w:bookmarkStart w:id="1040" w:name="_Toc318450728"/>
      <w:bookmarkStart w:id="1041" w:name="_Toc281405534"/>
      <w:bookmarkStart w:id="1042" w:name="_Toc7121"/>
      <w:bookmarkStart w:id="1043" w:name="_Toc21032"/>
      <w:r>
        <w:rPr>
          <w:rFonts w:hint="eastAsia" w:ascii="宋体" w:hAnsi="宋体" w:eastAsia="宋体" w:cs="宋体"/>
          <w:color w:val="auto"/>
          <w:szCs w:val="21"/>
          <w:highlight w:val="none"/>
        </w:rPr>
        <w:t>3.1.1只有通过资格审查的供应商才能进入符合性评审。评标委员会依据2.1.2规定的内容和标准对响应文件进行符合性审查。</w:t>
      </w:r>
      <w:r>
        <w:rPr>
          <w:rFonts w:hint="eastAsia" w:ascii="宋体" w:hAnsi="宋体" w:eastAsia="宋体" w:cs="宋体"/>
          <w:b/>
          <w:bCs/>
          <w:color w:val="auto"/>
          <w:szCs w:val="21"/>
          <w:highlight w:val="none"/>
        </w:rPr>
        <w:t>有一项不符合评审标准的，其投标做无效投标处理，不得进入详细评审。</w:t>
      </w:r>
    </w:p>
    <w:p w14:paraId="0848E6E7">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3.1.2 供应商有以下情形之一的，其响应文件作无效处理：</w:t>
      </w:r>
    </w:p>
    <w:p w14:paraId="453BC22B">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（1）串通或弄虚作假或有其他违法行为的；</w:t>
      </w:r>
    </w:p>
    <w:p w14:paraId="3A10E4C0">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（2）不按磋商小组要求澄清、说明或补正的；</w:t>
      </w:r>
    </w:p>
    <w:p w14:paraId="5AF2F052">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（3）未按规定格式填写、内容不全或关键字迹模糊、无法辨认的；</w:t>
      </w:r>
    </w:p>
    <w:p w14:paraId="350D923A">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（4）响应文件附有采购人不能接受的条件；</w:t>
      </w:r>
    </w:p>
    <w:p w14:paraId="23DF96A4">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（5）不符合竞争性磋商文件规定的其他实质性要求。</w:t>
      </w:r>
    </w:p>
    <w:p w14:paraId="7F52A2FB">
      <w:pPr>
        <w:pStyle w:val="68"/>
        <w:pageBreakBefore w:val="0"/>
        <w:kinsoku/>
        <w:overflowPunct/>
        <w:bidi w:val="0"/>
        <w:ind w:firstLine="0" w:firstLineChars="0"/>
        <w:outlineLvl w:val="0"/>
        <w:rPr>
          <w:rFonts w:ascii="宋体" w:hAnsi="宋体" w:eastAsia="宋体"/>
          <w:b/>
          <w:bCs/>
          <w:color w:val="auto"/>
          <w:sz w:val="21"/>
          <w:szCs w:val="21"/>
          <w:highlight w:val="none"/>
        </w:rPr>
      </w:pPr>
      <w:bookmarkStart w:id="1044" w:name="_Toc21966"/>
      <w:bookmarkStart w:id="1045" w:name="_Toc28255"/>
      <w:bookmarkStart w:id="1046" w:name="_Toc8771"/>
      <w:r>
        <w:rPr>
          <w:rFonts w:hint="eastAsia" w:ascii="宋体" w:hAnsi="宋体" w:eastAsia="宋体"/>
          <w:b/>
          <w:bCs/>
          <w:color w:val="auto"/>
          <w:sz w:val="21"/>
          <w:szCs w:val="21"/>
          <w:highlight w:val="none"/>
        </w:rPr>
        <w:t>3.2 详细评审</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6483C01F">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3.2.1 磋商小组按本章第2.2款规定的量化因素和分值进行打分，并计算出综合评分得分。</w:t>
      </w:r>
    </w:p>
    <w:p w14:paraId="6FA25674">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3.2.2 评分分值计算保留小数点后两位，小数点后第三位“四舍五入”。</w:t>
      </w:r>
    </w:p>
    <w:p w14:paraId="6BB450D8">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3.2.3供应商的最终得分以全部小组成员打分的算术平均值为准，作为该供应商的最终得分。</w:t>
      </w:r>
    </w:p>
    <w:p w14:paraId="5ECC34A8">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3.2.4在磋商过程中，凡遇到竞争性磋商文件中无界定或界定不清、前后不一致使磋商小组意见有分歧且又难以协商一致的问题，均由磋商小组予以表决，获半数以上同意的即为通过，未获半数同意的即为否决。</w:t>
      </w:r>
    </w:p>
    <w:p w14:paraId="74B43218">
      <w:pPr>
        <w:pStyle w:val="68"/>
        <w:pageBreakBefore w:val="0"/>
        <w:kinsoku/>
        <w:overflowPunct/>
        <w:bidi w:val="0"/>
        <w:ind w:firstLine="0" w:firstLineChars="0"/>
        <w:outlineLvl w:val="0"/>
        <w:rPr>
          <w:rFonts w:ascii="宋体" w:hAnsi="宋体" w:eastAsia="宋体"/>
          <w:b/>
          <w:bCs/>
          <w:color w:val="auto"/>
          <w:sz w:val="21"/>
          <w:szCs w:val="21"/>
          <w:highlight w:val="none"/>
        </w:rPr>
      </w:pPr>
      <w:bookmarkStart w:id="1047" w:name="_Toc22084"/>
      <w:bookmarkStart w:id="1048" w:name="_Toc455867823"/>
      <w:bookmarkStart w:id="1049" w:name="_Toc28633"/>
      <w:bookmarkStart w:id="1050" w:name="_Toc331"/>
      <w:bookmarkStart w:id="1051" w:name="_Toc318450729"/>
      <w:bookmarkStart w:id="1052" w:name="_Toc8813"/>
      <w:bookmarkStart w:id="1053" w:name="_Toc25291"/>
      <w:bookmarkStart w:id="1054" w:name="_Toc281405535"/>
      <w:bookmarkStart w:id="1055" w:name="_Toc12374"/>
      <w:bookmarkStart w:id="1056" w:name="_Toc455080163"/>
      <w:bookmarkStart w:id="1057" w:name="_Toc8342"/>
      <w:bookmarkStart w:id="1058" w:name="_Toc490667882"/>
      <w:bookmarkStart w:id="1059" w:name="_Toc10153"/>
      <w:bookmarkStart w:id="1060" w:name="_Toc12390"/>
      <w:bookmarkStart w:id="1061" w:name="_Toc9193"/>
      <w:bookmarkStart w:id="1062" w:name="_Toc11958"/>
      <w:bookmarkStart w:id="1063" w:name="_Toc24862"/>
      <w:bookmarkStart w:id="1064" w:name="_Toc466298146"/>
      <w:bookmarkStart w:id="1065" w:name="_Toc2657"/>
      <w:r>
        <w:rPr>
          <w:rFonts w:hint="eastAsia" w:ascii="宋体" w:hAnsi="宋体" w:eastAsia="宋体"/>
          <w:b/>
          <w:bCs/>
          <w:color w:val="auto"/>
          <w:sz w:val="21"/>
          <w:szCs w:val="21"/>
          <w:highlight w:val="none"/>
        </w:rPr>
        <w:t>3.3 响应文件的澄清和补正</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14:paraId="567D712B">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3.3.1在磋商过程中，磋商小组可以书面形式要求供应商对所提交的响应文件中不明确的内容进行书面澄清或说明，或者对细微偏离进行补正。磋商小组不接受供应商主动提出的澄清、说明或补正。</w:t>
      </w:r>
    </w:p>
    <w:p w14:paraId="4B7C4378">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3.3.2 澄清、说明和补正不得超出响应文件的范围或者改变响应文件的实质性内容（算术性错误修正的除外）。供应商的书面澄清、说明和补正属于响应文件的组成部分。</w:t>
      </w:r>
    </w:p>
    <w:p w14:paraId="6108AD2D">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3.3.3 磋商小组对供应商提交的澄清、说明或补正有疑问的，可以要求供应商进一步澄清、说明或补正，直至满足磋商小组的要求。</w:t>
      </w:r>
    </w:p>
    <w:p w14:paraId="676A0140">
      <w:pPr>
        <w:pStyle w:val="68"/>
        <w:pageBreakBefore w:val="0"/>
        <w:kinsoku/>
        <w:overflowPunct/>
        <w:bidi w:val="0"/>
        <w:ind w:firstLine="0" w:firstLineChars="0"/>
        <w:outlineLvl w:val="0"/>
        <w:rPr>
          <w:rFonts w:ascii="宋体" w:hAnsi="宋体" w:eastAsia="宋体"/>
          <w:color w:val="auto"/>
          <w:sz w:val="21"/>
          <w:szCs w:val="21"/>
          <w:highlight w:val="none"/>
        </w:rPr>
      </w:pPr>
      <w:bookmarkStart w:id="1066" w:name="_Toc466298147"/>
      <w:bookmarkStart w:id="1067" w:name="_Toc22986"/>
      <w:bookmarkStart w:id="1068" w:name="_Toc30053"/>
      <w:bookmarkStart w:id="1069" w:name="_Toc26894"/>
      <w:bookmarkStart w:id="1070" w:name="_Toc19453"/>
      <w:bookmarkStart w:id="1071" w:name="_Toc318450730"/>
      <w:bookmarkStart w:id="1072" w:name="_Toc490667883"/>
      <w:bookmarkStart w:id="1073" w:name="_Toc455080164"/>
      <w:bookmarkStart w:id="1074" w:name="_Toc1857"/>
      <w:bookmarkStart w:id="1075" w:name="_Toc19938"/>
      <w:bookmarkStart w:id="1076" w:name="_Toc22049"/>
      <w:bookmarkStart w:id="1077" w:name="_Toc281405536"/>
      <w:bookmarkStart w:id="1078" w:name="_Toc22682"/>
      <w:bookmarkStart w:id="1079" w:name="_Toc8139"/>
      <w:bookmarkStart w:id="1080" w:name="_Toc6270"/>
      <w:bookmarkStart w:id="1081" w:name="_Toc455867824"/>
      <w:bookmarkStart w:id="1082" w:name="_Toc5903"/>
      <w:bookmarkStart w:id="1083" w:name="_Toc32183"/>
      <w:bookmarkStart w:id="1084" w:name="_Toc27990"/>
      <w:r>
        <w:rPr>
          <w:rFonts w:hint="eastAsia" w:ascii="宋体" w:hAnsi="宋体" w:eastAsia="宋体"/>
          <w:color w:val="auto"/>
          <w:sz w:val="21"/>
          <w:szCs w:val="21"/>
          <w:highlight w:val="none"/>
        </w:rPr>
        <w:t>3.4 评审结果</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745446BA">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3.4.1除第二章“供应商须知”前附表授权直接确定成交人外，磋商小组按照得分由高到低的顺序推荐成交候选人。</w:t>
      </w:r>
    </w:p>
    <w:p w14:paraId="116FA832">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3.4.2 磋商小组完成评审后，应当向采购人提交书面评审报告。</w:t>
      </w:r>
    </w:p>
    <w:p w14:paraId="5D3738BC">
      <w:pPr>
        <w:pageBreakBefore w:val="0"/>
        <w:kinsoku/>
        <w:overflowPunct/>
        <w:bidi w:val="0"/>
        <w:spacing w:line="400" w:lineRule="exact"/>
        <w:ind w:firstLine="0" w:firstLineChars="0"/>
        <w:rPr>
          <w:rFonts w:ascii="宋体" w:hAnsi="宋体" w:eastAsia="宋体" w:cs="宋体"/>
          <w:color w:val="auto"/>
          <w:szCs w:val="21"/>
          <w:highlight w:val="none"/>
        </w:rPr>
      </w:pPr>
      <w:bookmarkStart w:id="1085" w:name="_Toc152045609"/>
      <w:bookmarkStart w:id="1086" w:name="_Toc152042387"/>
      <w:bookmarkStart w:id="1087" w:name="_Toc144974577"/>
      <w:bookmarkStart w:id="1088" w:name="_Toc14024"/>
      <w:r>
        <w:rPr>
          <w:rFonts w:hint="eastAsia" w:ascii="宋体" w:hAnsi="宋体" w:eastAsia="宋体" w:cs="宋体"/>
          <w:color w:val="auto"/>
          <w:szCs w:val="21"/>
          <w:highlight w:val="none"/>
        </w:rPr>
        <w:t>3.4.3评标结果同时在《河南省政府采购网》、《全国公共资源交易平台（河南省·信阳市）》公示。</w:t>
      </w:r>
    </w:p>
    <w:p w14:paraId="4201390E">
      <w:pPr>
        <w:pStyle w:val="4"/>
        <w:pageBreakBefore w:val="0"/>
        <w:kinsoku/>
        <w:overflowPunct/>
        <w:bidi w:val="0"/>
        <w:spacing w:line="400" w:lineRule="exact"/>
        <w:ind w:left="459" w:firstLine="0" w:firstLineChars="0"/>
        <w:rPr>
          <w:rFonts w:hint="eastAsia" w:ascii="宋体" w:hAnsi="宋体" w:eastAsia="宋体" w:cs="宋体"/>
          <w:color w:val="auto"/>
          <w:sz w:val="21"/>
          <w:szCs w:val="21"/>
          <w:highlight w:val="none"/>
        </w:rPr>
      </w:pPr>
      <w:bookmarkStart w:id="1089" w:name="_Toc6806"/>
      <w:bookmarkStart w:id="1090" w:name="_Toc27942"/>
      <w:bookmarkStart w:id="1091" w:name="_Toc22046"/>
    </w:p>
    <w:p w14:paraId="6560F345">
      <w:pPr>
        <w:rPr>
          <w:rFonts w:hint="eastAsia" w:ascii="宋体" w:hAnsi="宋体" w:eastAsia="宋体" w:cs="宋体"/>
          <w:color w:val="auto"/>
          <w:sz w:val="21"/>
          <w:szCs w:val="21"/>
          <w:highlight w:val="none"/>
        </w:rPr>
      </w:pPr>
    </w:p>
    <w:p w14:paraId="7F2314E6">
      <w:pPr>
        <w:rPr>
          <w:rFonts w:hint="eastAsia" w:ascii="宋体" w:hAnsi="宋体" w:eastAsia="宋体" w:cs="宋体"/>
          <w:color w:val="auto"/>
          <w:sz w:val="21"/>
          <w:szCs w:val="21"/>
          <w:highlight w:val="none"/>
        </w:rPr>
      </w:pPr>
    </w:p>
    <w:p w14:paraId="129AA816">
      <w:pPr>
        <w:rPr>
          <w:rFonts w:hint="eastAsia" w:ascii="宋体" w:hAnsi="宋体" w:eastAsia="宋体" w:cs="宋体"/>
          <w:color w:val="auto"/>
          <w:sz w:val="21"/>
          <w:szCs w:val="21"/>
          <w:highlight w:val="none"/>
        </w:rPr>
      </w:pPr>
    </w:p>
    <w:p w14:paraId="3BF691C9">
      <w:pPr>
        <w:rPr>
          <w:rFonts w:hint="eastAsia" w:ascii="宋体" w:hAnsi="宋体" w:eastAsia="宋体" w:cs="宋体"/>
          <w:color w:val="auto"/>
          <w:sz w:val="21"/>
          <w:szCs w:val="21"/>
          <w:highlight w:val="none"/>
        </w:rPr>
      </w:pPr>
    </w:p>
    <w:p w14:paraId="10AA2F8D">
      <w:pPr>
        <w:rPr>
          <w:rFonts w:hint="eastAsia" w:ascii="宋体" w:hAnsi="宋体" w:eastAsia="宋体" w:cs="宋体"/>
          <w:color w:val="auto"/>
          <w:sz w:val="21"/>
          <w:szCs w:val="21"/>
          <w:highlight w:val="none"/>
        </w:rPr>
      </w:pPr>
    </w:p>
    <w:p w14:paraId="40620DBD">
      <w:pPr>
        <w:rPr>
          <w:rFonts w:hint="eastAsia" w:ascii="宋体" w:hAnsi="宋体" w:eastAsia="宋体" w:cs="宋体"/>
          <w:color w:val="auto"/>
          <w:sz w:val="21"/>
          <w:szCs w:val="21"/>
          <w:highlight w:val="none"/>
        </w:rPr>
      </w:pPr>
    </w:p>
    <w:p w14:paraId="2C1DB251">
      <w:pPr>
        <w:rPr>
          <w:rFonts w:hint="eastAsia" w:ascii="宋体" w:hAnsi="宋体" w:eastAsia="宋体" w:cs="宋体"/>
          <w:color w:val="auto"/>
          <w:sz w:val="21"/>
          <w:szCs w:val="21"/>
          <w:highlight w:val="none"/>
        </w:rPr>
      </w:pPr>
    </w:p>
    <w:p w14:paraId="0140F763">
      <w:pPr>
        <w:rPr>
          <w:rFonts w:hint="eastAsia" w:ascii="宋体" w:hAnsi="宋体" w:eastAsia="宋体" w:cs="宋体"/>
          <w:color w:val="auto"/>
          <w:sz w:val="21"/>
          <w:szCs w:val="21"/>
          <w:highlight w:val="none"/>
        </w:rPr>
      </w:pPr>
    </w:p>
    <w:p w14:paraId="1B84C43A">
      <w:pPr>
        <w:rPr>
          <w:rFonts w:hint="eastAsia" w:ascii="宋体" w:hAnsi="宋体" w:eastAsia="宋体" w:cs="宋体"/>
          <w:color w:val="auto"/>
          <w:sz w:val="21"/>
          <w:szCs w:val="21"/>
          <w:highlight w:val="none"/>
        </w:rPr>
      </w:pPr>
    </w:p>
    <w:p w14:paraId="641D1EC1">
      <w:pPr>
        <w:rPr>
          <w:rFonts w:hint="eastAsia" w:ascii="宋体" w:hAnsi="宋体" w:eastAsia="宋体" w:cs="宋体"/>
          <w:color w:val="auto"/>
          <w:sz w:val="21"/>
          <w:szCs w:val="21"/>
          <w:highlight w:val="none"/>
        </w:rPr>
      </w:pPr>
    </w:p>
    <w:p w14:paraId="19E8D0A3">
      <w:pPr>
        <w:rPr>
          <w:rFonts w:hint="eastAsia" w:ascii="宋体" w:hAnsi="宋体" w:eastAsia="宋体" w:cs="宋体"/>
          <w:color w:val="auto"/>
          <w:sz w:val="21"/>
          <w:szCs w:val="21"/>
          <w:highlight w:val="none"/>
        </w:rPr>
      </w:pPr>
    </w:p>
    <w:p w14:paraId="200B059E">
      <w:pPr>
        <w:rPr>
          <w:rFonts w:hint="eastAsia" w:ascii="宋体" w:hAnsi="宋体" w:eastAsia="宋体" w:cs="宋体"/>
          <w:color w:val="auto"/>
          <w:sz w:val="21"/>
          <w:szCs w:val="21"/>
          <w:highlight w:val="none"/>
        </w:rPr>
      </w:pPr>
    </w:p>
    <w:p w14:paraId="7DAB7489">
      <w:pPr>
        <w:rPr>
          <w:rFonts w:hint="eastAsia" w:ascii="宋体" w:hAnsi="宋体" w:eastAsia="宋体" w:cs="宋体"/>
          <w:color w:val="auto"/>
          <w:sz w:val="21"/>
          <w:szCs w:val="21"/>
          <w:highlight w:val="none"/>
        </w:rPr>
      </w:pPr>
    </w:p>
    <w:p w14:paraId="0A6E8D6B">
      <w:pPr>
        <w:rPr>
          <w:rFonts w:hint="eastAsia" w:ascii="宋体" w:hAnsi="宋体" w:eastAsia="宋体" w:cs="宋体"/>
          <w:color w:val="auto"/>
          <w:sz w:val="21"/>
          <w:szCs w:val="21"/>
          <w:highlight w:val="none"/>
        </w:rPr>
      </w:pPr>
    </w:p>
    <w:p w14:paraId="14B391D6">
      <w:pPr>
        <w:rPr>
          <w:rFonts w:hint="eastAsia" w:ascii="宋体" w:hAnsi="宋体" w:eastAsia="宋体" w:cs="宋体"/>
          <w:color w:val="auto"/>
          <w:sz w:val="21"/>
          <w:szCs w:val="21"/>
          <w:highlight w:val="none"/>
        </w:rPr>
      </w:pPr>
    </w:p>
    <w:p w14:paraId="13E7C1F5">
      <w:pPr>
        <w:rPr>
          <w:rFonts w:hint="eastAsia" w:ascii="宋体" w:hAnsi="宋体" w:eastAsia="宋体" w:cs="宋体"/>
          <w:color w:val="auto"/>
          <w:sz w:val="21"/>
          <w:szCs w:val="21"/>
          <w:highlight w:val="none"/>
        </w:rPr>
      </w:pPr>
    </w:p>
    <w:p w14:paraId="4B80675E">
      <w:pPr>
        <w:rPr>
          <w:rFonts w:hint="eastAsia" w:ascii="宋体" w:hAnsi="宋体" w:eastAsia="宋体" w:cs="宋体"/>
          <w:color w:val="auto"/>
          <w:sz w:val="21"/>
          <w:szCs w:val="21"/>
          <w:highlight w:val="none"/>
        </w:rPr>
      </w:pPr>
    </w:p>
    <w:p w14:paraId="387291AC">
      <w:pPr>
        <w:rPr>
          <w:rFonts w:hint="eastAsia" w:ascii="宋体" w:hAnsi="宋体" w:eastAsia="宋体" w:cs="宋体"/>
          <w:color w:val="auto"/>
          <w:sz w:val="21"/>
          <w:szCs w:val="21"/>
          <w:highlight w:val="none"/>
        </w:rPr>
      </w:pPr>
    </w:p>
    <w:p w14:paraId="50687A63">
      <w:pPr>
        <w:rPr>
          <w:rFonts w:hint="eastAsia" w:ascii="宋体" w:hAnsi="宋体" w:eastAsia="宋体" w:cs="宋体"/>
          <w:color w:val="auto"/>
          <w:sz w:val="21"/>
          <w:szCs w:val="21"/>
          <w:highlight w:val="none"/>
        </w:rPr>
      </w:pPr>
    </w:p>
    <w:p w14:paraId="66D7670E">
      <w:pPr>
        <w:rPr>
          <w:rFonts w:hint="eastAsia" w:ascii="宋体" w:hAnsi="宋体" w:eastAsia="宋体" w:cs="宋体"/>
          <w:color w:val="auto"/>
          <w:sz w:val="21"/>
          <w:szCs w:val="21"/>
          <w:highlight w:val="none"/>
        </w:rPr>
      </w:pPr>
    </w:p>
    <w:p w14:paraId="705A5D88">
      <w:pPr>
        <w:rPr>
          <w:rFonts w:hint="eastAsia" w:ascii="宋体" w:hAnsi="宋体" w:eastAsia="宋体" w:cs="宋体"/>
          <w:color w:val="auto"/>
          <w:sz w:val="21"/>
          <w:szCs w:val="21"/>
          <w:highlight w:val="none"/>
        </w:rPr>
      </w:pPr>
    </w:p>
    <w:p w14:paraId="44BFD222">
      <w:pPr>
        <w:rPr>
          <w:rFonts w:hint="eastAsia" w:ascii="宋体" w:hAnsi="宋体" w:eastAsia="宋体" w:cs="宋体"/>
          <w:color w:val="auto"/>
          <w:sz w:val="21"/>
          <w:szCs w:val="21"/>
          <w:highlight w:val="none"/>
        </w:rPr>
      </w:pPr>
    </w:p>
    <w:p w14:paraId="3BAB858F">
      <w:pPr>
        <w:rPr>
          <w:rFonts w:hint="eastAsia"/>
          <w:color w:val="auto"/>
          <w:highlight w:val="none"/>
        </w:rPr>
      </w:pPr>
    </w:p>
    <w:p w14:paraId="756B129C">
      <w:pPr>
        <w:pStyle w:val="4"/>
        <w:pageBreakBefore w:val="0"/>
        <w:kinsoku/>
        <w:overflowPunct/>
        <w:bidi w:val="0"/>
        <w:spacing w:line="400" w:lineRule="exact"/>
        <w:ind w:left="459"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附件：废标条件</w:t>
      </w:r>
      <w:bookmarkEnd w:id="1089"/>
      <w:bookmarkEnd w:id="1090"/>
      <w:bookmarkEnd w:id="1091"/>
    </w:p>
    <w:p w14:paraId="74D49A9F">
      <w:pPr>
        <w:pageBreakBefore w:val="0"/>
        <w:kinsoku/>
        <w:overflowPunct/>
        <w:bidi w:val="0"/>
        <w:spacing w:line="400" w:lineRule="exact"/>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废标条件</w:t>
      </w:r>
    </w:p>
    <w:p w14:paraId="7A0F92C5">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1E3FB48F">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1.未通过第三章评标办法资格评审、符合性评审的； </w:t>
      </w:r>
    </w:p>
    <w:p w14:paraId="6B3B6562">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2.不按磋商小组要求澄清、说明或补正的；</w:t>
      </w:r>
    </w:p>
    <w:p w14:paraId="6D08B96E">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3.磋商报价有算术性错误，投标人不接受修正价格的；</w:t>
      </w:r>
    </w:p>
    <w:p w14:paraId="7DD66BEF">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4.以他人的名义投标、以行贿手段谋取中标或者以其他弄虚作假方式投标的；</w:t>
      </w:r>
    </w:p>
    <w:p w14:paraId="0D114998">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5.属于串（围）标行为的；</w:t>
      </w:r>
    </w:p>
    <w:p w14:paraId="47DDF66B">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6.评标委员会认定投标人以低于成本报价竞标的；</w:t>
      </w:r>
    </w:p>
    <w:p w14:paraId="7302A1B0">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7．明显不符合技术规格、技术标准的要求；</w:t>
      </w:r>
    </w:p>
    <w:p w14:paraId="3E7720AB">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8.文件制作机器码、文件创建标识码有相同的；</w:t>
      </w:r>
    </w:p>
    <w:p w14:paraId="78E69F67">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9．不符合竞争性磋商文件规定的其他实质性要求及相关法律、法规或规章规定可以废标的其他情形。</w:t>
      </w:r>
    </w:p>
    <w:p w14:paraId="0595E18A">
      <w:pPr>
        <w:pStyle w:val="28"/>
        <w:pageBreakBefore w:val="0"/>
        <w:kinsoku/>
        <w:overflowPunct/>
        <w:bidi w:val="0"/>
        <w:ind w:firstLine="0" w:firstLineChars="0"/>
        <w:rPr>
          <w:rFonts w:ascii="宋体" w:hAnsi="宋体" w:cs="宋体"/>
          <w:bCs/>
          <w:color w:val="auto"/>
          <w:sz w:val="28"/>
          <w:szCs w:val="28"/>
          <w:highlight w:val="none"/>
        </w:rPr>
      </w:pPr>
    </w:p>
    <w:p w14:paraId="3DAFE3C4">
      <w:pPr>
        <w:pStyle w:val="29"/>
        <w:pageBreakBefore w:val="0"/>
        <w:tabs>
          <w:tab w:val="left" w:pos="945"/>
          <w:tab w:val="left" w:pos="1155"/>
        </w:tabs>
        <w:kinsoku/>
        <w:overflowPunct/>
        <w:bidi w:val="0"/>
        <w:ind w:firstLine="0" w:firstLineChars="0"/>
        <w:rPr>
          <w:rFonts w:ascii="宋体" w:hAnsi="宋体" w:cs="宋体"/>
          <w:bCs/>
          <w:color w:val="auto"/>
          <w:sz w:val="28"/>
          <w:szCs w:val="28"/>
          <w:highlight w:val="none"/>
        </w:rPr>
      </w:pPr>
    </w:p>
    <w:p w14:paraId="088AB603">
      <w:pPr>
        <w:pStyle w:val="47"/>
        <w:pageBreakBefore w:val="0"/>
        <w:kinsoku/>
        <w:overflowPunct/>
        <w:bidi w:val="0"/>
        <w:ind w:firstLine="0" w:firstLineChars="0"/>
        <w:rPr>
          <w:color w:val="auto"/>
          <w:highlight w:val="none"/>
        </w:rPr>
      </w:pPr>
    </w:p>
    <w:p w14:paraId="402559DF">
      <w:pPr>
        <w:pStyle w:val="49"/>
        <w:rPr>
          <w:color w:val="auto"/>
          <w:highlight w:val="none"/>
        </w:rPr>
      </w:pPr>
    </w:p>
    <w:p w14:paraId="41EA131F"/>
    <w:p w14:paraId="1FD46416"/>
    <w:p w14:paraId="7760B5C1"/>
    <w:p w14:paraId="0D1A9C0E"/>
    <w:p w14:paraId="34591765"/>
    <w:bookmarkEnd w:id="1085"/>
    <w:bookmarkEnd w:id="1086"/>
    <w:bookmarkEnd w:id="1087"/>
    <w:bookmarkEnd w:id="1088"/>
    <w:p w14:paraId="4746F339">
      <w:pPr>
        <w:pageBreakBefore w:val="0"/>
        <w:kinsoku/>
        <w:overflowPunct/>
        <w:bidi w:val="0"/>
        <w:ind w:firstLine="0" w:firstLineChars="0"/>
        <w:jc w:val="center"/>
        <w:outlineLvl w:val="0"/>
        <w:rPr>
          <w:rFonts w:ascii="宋体" w:hAnsi="宋体" w:cs="宋体"/>
          <w:b/>
          <w:color w:val="auto"/>
          <w:kern w:val="44"/>
          <w:sz w:val="32"/>
          <w:szCs w:val="32"/>
          <w:highlight w:val="none"/>
        </w:rPr>
      </w:pPr>
      <w:bookmarkStart w:id="1092" w:name="_Toc21270"/>
      <w:bookmarkStart w:id="1093" w:name="_Toc14158"/>
      <w:bookmarkStart w:id="1094" w:name="_Toc144974855"/>
      <w:bookmarkStart w:id="1095" w:name="_Toc152045786"/>
      <w:bookmarkStart w:id="1096" w:name="_Toc152042575"/>
      <w:r>
        <w:rPr>
          <w:rFonts w:hint="eastAsia" w:ascii="宋体" w:hAnsi="宋体" w:cs="宋体"/>
          <w:b/>
          <w:color w:val="auto"/>
          <w:kern w:val="44"/>
          <w:sz w:val="32"/>
          <w:szCs w:val="32"/>
          <w:highlight w:val="none"/>
        </w:rPr>
        <w:t>第四章  河南省政府采购合同（参考文本）</w:t>
      </w:r>
      <w:bookmarkEnd w:id="1092"/>
    </w:p>
    <w:p w14:paraId="6903BED9">
      <w:pPr>
        <w:pageBreakBefore w:val="0"/>
        <w:kinsoku/>
        <w:overflowPunct/>
        <w:bidi w:val="0"/>
        <w:spacing w:line="400" w:lineRule="exact"/>
        <w:ind w:firstLine="0" w:firstLineChars="0"/>
        <w:rPr>
          <w:rFonts w:ascii="宋体" w:hAnsi="宋体" w:cs="宋体"/>
          <w:color w:val="auto"/>
          <w:sz w:val="30"/>
          <w:szCs w:val="30"/>
          <w:highlight w:val="none"/>
        </w:rPr>
      </w:pPr>
    </w:p>
    <w:p w14:paraId="11676FCF">
      <w:pPr>
        <w:pageBreakBefore w:val="0"/>
        <w:kinsoku/>
        <w:overflowPunct/>
        <w:bidi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（采购人可根据采购项目的实际情况增减条款和内容）</w:t>
      </w:r>
    </w:p>
    <w:p w14:paraId="31DDBDC3">
      <w:pPr>
        <w:spacing w:line="560" w:lineRule="exact"/>
        <w:ind w:firstLine="422"/>
        <w:rPr>
          <w:rFonts w:ascii="宋体" w:hAnsi="宋体"/>
          <w:b/>
          <w:bCs/>
          <w:color w:val="auto"/>
          <w:szCs w:val="21"/>
          <w:highlight w:val="none"/>
        </w:rPr>
      </w:pPr>
      <w:r>
        <w:rPr>
          <w:rFonts w:hint="eastAsia" w:ascii="宋体" w:hAnsi="宋体"/>
          <w:b/>
          <w:bCs/>
          <w:color w:val="auto"/>
          <w:szCs w:val="21"/>
          <w:highlight w:val="none"/>
        </w:rPr>
        <w:t>委托方（甲方）：</w:t>
      </w:r>
    </w:p>
    <w:p w14:paraId="7D266F68">
      <w:pPr>
        <w:spacing w:line="560" w:lineRule="exact"/>
        <w:ind w:firstLine="422"/>
        <w:rPr>
          <w:rFonts w:ascii="宋体" w:hAnsi="宋体"/>
          <w:b/>
          <w:bCs/>
          <w:color w:val="auto"/>
          <w:szCs w:val="21"/>
          <w:highlight w:val="none"/>
        </w:rPr>
      </w:pPr>
      <w:r>
        <w:rPr>
          <w:rFonts w:hint="eastAsia" w:ascii="宋体" w:hAnsi="宋体"/>
          <w:b/>
          <w:bCs/>
          <w:color w:val="auto"/>
          <w:szCs w:val="21"/>
          <w:highlight w:val="none"/>
        </w:rPr>
        <w:t>受托方（乙方）：</w:t>
      </w:r>
    </w:p>
    <w:p w14:paraId="49120124">
      <w:pPr>
        <w:spacing w:line="560" w:lineRule="exact"/>
        <w:ind w:firstLine="420"/>
        <w:rPr>
          <w:rFonts w:ascii="宋体" w:hAnsi="宋体"/>
          <w:color w:val="auto"/>
          <w:szCs w:val="21"/>
          <w:highlight w:val="none"/>
        </w:rPr>
      </w:pPr>
    </w:p>
    <w:p w14:paraId="7CB198D8">
      <w:pPr>
        <w:spacing w:line="400" w:lineRule="exact"/>
        <w:ind w:firstLine="420"/>
        <w:rPr>
          <w:rFonts w:ascii="宋体" w:hAnsi="宋体"/>
          <w:color w:val="auto"/>
          <w:szCs w:val="21"/>
          <w:highlight w:val="none"/>
        </w:rPr>
      </w:pPr>
      <w:r>
        <w:rPr>
          <w:rFonts w:hint="eastAsia" w:ascii="宋体" w:hAnsi="宋体"/>
          <w:color w:val="auto"/>
          <w:szCs w:val="21"/>
          <w:highlight w:val="none"/>
        </w:rPr>
        <w:t>根据《中华人民共和国</w:t>
      </w:r>
      <w:r>
        <w:rPr>
          <w:rFonts w:hint="eastAsia" w:ascii="宋体" w:hAnsi="宋体"/>
          <w:color w:val="auto"/>
          <w:szCs w:val="21"/>
          <w:highlight w:val="none"/>
          <w:lang w:eastAsia="zh-CN"/>
        </w:rPr>
        <w:t>民典</w:t>
      </w:r>
      <w:r>
        <w:rPr>
          <w:rFonts w:hint="eastAsia" w:ascii="宋体" w:hAnsi="宋体"/>
          <w:color w:val="auto"/>
          <w:szCs w:val="21"/>
          <w:highlight w:val="none"/>
        </w:rPr>
        <w:t>法》、招标文件、中标通知书及有关法律规定，甲方委托乙方承担“</w:t>
      </w:r>
      <w:r>
        <w:rPr>
          <w:rFonts w:hint="eastAsia" w:ascii="宋体" w:hAnsi="宋体"/>
          <w:color w:val="auto"/>
          <w:szCs w:val="21"/>
          <w:highlight w:val="none"/>
          <w:lang w:val="en-US" w:eastAsia="zh-CN"/>
        </w:rPr>
        <w:t>信阳市浉河区文化广电和旅游局甘以敬故居修缮保护设计方案项目</w:t>
      </w:r>
      <w:r>
        <w:rPr>
          <w:rFonts w:hint="eastAsia" w:ascii="宋体" w:hAnsi="宋体"/>
          <w:color w:val="auto"/>
          <w:szCs w:val="21"/>
          <w:highlight w:val="none"/>
        </w:rPr>
        <w:t>”的技术性工作，并就有关事宜达成如下协议：</w:t>
      </w:r>
    </w:p>
    <w:p w14:paraId="1F593576">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 xml:space="preserve">第一条  </w:t>
      </w:r>
      <w:r>
        <w:rPr>
          <w:rFonts w:hint="eastAsia" w:ascii="宋体" w:hAnsi="宋体"/>
          <w:b/>
          <w:bCs/>
          <w:color w:val="auto"/>
          <w:szCs w:val="21"/>
          <w:highlight w:val="none"/>
          <w:lang w:eastAsia="zh-CN"/>
        </w:rPr>
        <w:t>项目</w:t>
      </w:r>
      <w:r>
        <w:rPr>
          <w:rFonts w:hint="eastAsia" w:ascii="宋体" w:hAnsi="宋体"/>
          <w:b/>
          <w:bCs/>
          <w:color w:val="auto"/>
          <w:szCs w:val="21"/>
          <w:highlight w:val="none"/>
        </w:rPr>
        <w:t>名称</w:t>
      </w:r>
    </w:p>
    <w:p w14:paraId="2228895E">
      <w:pPr>
        <w:spacing w:line="400" w:lineRule="exact"/>
        <w:ind w:firstLine="422"/>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信阳市浉河区文化广电和旅游局甘以敬故居修缮保护设计方案项目</w:t>
      </w:r>
    </w:p>
    <w:p w14:paraId="125FA47F">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第二条  项目位置规模</w:t>
      </w:r>
    </w:p>
    <w:p w14:paraId="3E5656FD">
      <w:pPr>
        <w:spacing w:line="400" w:lineRule="exact"/>
        <w:ind w:firstLine="420"/>
        <w:rPr>
          <w:rFonts w:ascii="宋体" w:hAnsi="宋体"/>
          <w:color w:val="auto"/>
          <w:szCs w:val="21"/>
          <w:highlight w:val="none"/>
        </w:rPr>
      </w:pPr>
      <w:r>
        <w:rPr>
          <w:rFonts w:hint="eastAsia" w:ascii="宋体" w:hAnsi="宋体"/>
          <w:color w:val="auto"/>
          <w:szCs w:val="21"/>
          <w:highlight w:val="none"/>
        </w:rPr>
        <w:t>该项目</w:t>
      </w:r>
      <w:r>
        <w:rPr>
          <w:rFonts w:hint="eastAsia" w:ascii="宋体" w:hAnsi="宋体"/>
          <w:color w:val="auto"/>
          <w:szCs w:val="21"/>
          <w:highlight w:val="none"/>
          <w:lang w:val="en-US" w:eastAsia="zh-CN"/>
        </w:rPr>
        <w:t>位于信阳市浉河区</w:t>
      </w:r>
      <w:r>
        <w:rPr>
          <w:rFonts w:hint="eastAsia" w:ascii="宋体" w:hAnsi="宋体"/>
          <w:color w:val="auto"/>
          <w:szCs w:val="21"/>
          <w:highlight w:val="none"/>
          <w:lang w:eastAsia="zh-CN"/>
        </w:rPr>
        <w:t>。</w:t>
      </w:r>
    </w:p>
    <w:p w14:paraId="50C2D7CA">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第三条  项目任务内容</w:t>
      </w:r>
    </w:p>
    <w:p w14:paraId="31B954BB">
      <w:pPr>
        <w:spacing w:line="400" w:lineRule="exact"/>
        <w:ind w:firstLine="422"/>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对甘以敬故居进行修缮保护设计</w:t>
      </w:r>
      <w:r>
        <w:rPr>
          <w:rFonts w:hint="eastAsia" w:eastAsia="宋体" w:cs="宋体"/>
          <w:bCs/>
          <w:color w:val="auto"/>
          <w:kern w:val="0"/>
          <w:sz w:val="21"/>
          <w:szCs w:val="21"/>
          <w:highlight w:val="none"/>
          <w:lang w:val="en-US" w:eastAsia="zh-CN" w:bidi="ar-SA"/>
        </w:rPr>
        <w:t>，</w:t>
      </w:r>
      <w:r>
        <w:rPr>
          <w:rFonts w:hint="eastAsia" w:ascii="宋体" w:hAnsi="宋体" w:eastAsia="宋体" w:cs="宋体"/>
          <w:bCs/>
          <w:color w:val="auto"/>
          <w:kern w:val="0"/>
          <w:sz w:val="21"/>
          <w:szCs w:val="21"/>
          <w:highlight w:val="none"/>
          <w:lang w:val="en-US" w:eastAsia="zh-CN" w:bidi="ar-SA"/>
        </w:rPr>
        <w:t>项目地点位于河南省信阳市浉河区柳林乡甘冲村；</w:t>
      </w:r>
    </w:p>
    <w:p w14:paraId="3DD2F38A">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第四条  技术工作要求</w:t>
      </w:r>
    </w:p>
    <w:p w14:paraId="50C6C564">
      <w:pPr>
        <w:spacing w:line="400" w:lineRule="exact"/>
        <w:ind w:firstLine="422"/>
        <w:rPr>
          <w:rFonts w:ascii="宋体" w:hAnsi="宋体"/>
          <w:b w:val="0"/>
          <w:bCs w:val="0"/>
          <w:color w:val="auto"/>
          <w:szCs w:val="21"/>
          <w:highlight w:val="none"/>
        </w:rPr>
      </w:pPr>
      <w:r>
        <w:rPr>
          <w:rFonts w:hint="eastAsia" w:ascii="宋体" w:hAnsi="宋体"/>
          <w:b w:val="0"/>
          <w:bCs w:val="0"/>
          <w:color w:val="auto"/>
          <w:szCs w:val="21"/>
          <w:highlight w:val="none"/>
        </w:rPr>
        <w:t>相关法律法规</w:t>
      </w:r>
    </w:p>
    <w:p w14:paraId="2FE53196">
      <w:pPr>
        <w:spacing w:line="400" w:lineRule="exact"/>
        <w:ind w:firstLine="422"/>
        <w:rPr>
          <w:rFonts w:ascii="宋体" w:hAnsi="宋体"/>
          <w:b w:val="0"/>
          <w:bCs w:val="0"/>
          <w:color w:val="auto"/>
          <w:szCs w:val="21"/>
          <w:highlight w:val="none"/>
        </w:rPr>
      </w:pPr>
      <w:r>
        <w:rPr>
          <w:rFonts w:hint="eastAsia" w:ascii="宋体" w:hAnsi="宋体"/>
          <w:b w:val="0"/>
          <w:bCs w:val="0"/>
          <w:color w:val="auto"/>
          <w:szCs w:val="21"/>
          <w:highlight w:val="none"/>
        </w:rPr>
        <w:t>相关法规文件</w:t>
      </w:r>
    </w:p>
    <w:p w14:paraId="7A57490D">
      <w:pPr>
        <w:spacing w:line="400" w:lineRule="exact"/>
        <w:ind w:firstLine="422"/>
        <w:rPr>
          <w:rFonts w:ascii="宋体" w:hAnsi="宋体"/>
          <w:b w:val="0"/>
          <w:bCs w:val="0"/>
          <w:color w:val="auto"/>
          <w:szCs w:val="21"/>
          <w:highlight w:val="none"/>
        </w:rPr>
      </w:pPr>
      <w:r>
        <w:rPr>
          <w:rFonts w:hint="eastAsia" w:ascii="宋体" w:hAnsi="宋体"/>
          <w:b w:val="0"/>
          <w:bCs w:val="0"/>
          <w:color w:val="auto"/>
          <w:szCs w:val="21"/>
          <w:highlight w:val="none"/>
        </w:rPr>
        <w:t>相关行业标准、规程</w:t>
      </w:r>
    </w:p>
    <w:p w14:paraId="3A604060">
      <w:pPr>
        <w:spacing w:line="400" w:lineRule="exact"/>
        <w:ind w:firstLine="422"/>
        <w:rPr>
          <w:rFonts w:ascii="宋体" w:hAnsi="宋体"/>
          <w:b w:val="0"/>
          <w:bCs w:val="0"/>
          <w:color w:val="auto"/>
          <w:szCs w:val="21"/>
          <w:highlight w:val="none"/>
        </w:rPr>
      </w:pPr>
      <w:r>
        <w:rPr>
          <w:rFonts w:hint="eastAsia" w:ascii="宋体" w:hAnsi="宋体"/>
          <w:b w:val="0"/>
          <w:bCs w:val="0"/>
          <w:color w:val="auto"/>
          <w:szCs w:val="21"/>
          <w:highlight w:val="none"/>
        </w:rPr>
        <w:t>相关规划、资料</w:t>
      </w:r>
    </w:p>
    <w:p w14:paraId="7D9A0FF0">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第五条  项目工程款及支付方式</w:t>
      </w:r>
    </w:p>
    <w:p w14:paraId="49538936">
      <w:pPr>
        <w:spacing w:line="400" w:lineRule="exact"/>
        <w:ind w:firstLine="422"/>
        <w:rPr>
          <w:rFonts w:hint="eastAsia"/>
          <w:color w:val="auto"/>
          <w:highlight w:val="none"/>
          <w:lang w:val="en-US" w:eastAsia="zh-CN"/>
        </w:rPr>
      </w:pPr>
      <w:r>
        <w:rPr>
          <w:rFonts w:hint="eastAsia"/>
          <w:color w:val="auto"/>
          <w:highlight w:val="none"/>
          <w:lang w:val="en-US" w:eastAsia="zh-CN"/>
        </w:rPr>
        <w:t>双方自行约定。</w:t>
      </w:r>
    </w:p>
    <w:p w14:paraId="1ECB3E0A">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第六条  服务期限</w:t>
      </w:r>
    </w:p>
    <w:p w14:paraId="267D8A34">
      <w:pPr>
        <w:spacing w:line="400" w:lineRule="exact"/>
        <w:ind w:firstLine="42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自合同签订之日起，按照上级要求时限完成。</w:t>
      </w:r>
    </w:p>
    <w:p w14:paraId="5FF14C46">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第七条  甲方义务与责任</w:t>
      </w:r>
    </w:p>
    <w:p w14:paraId="3948602F">
      <w:pPr>
        <w:spacing w:line="400" w:lineRule="exact"/>
        <w:ind w:firstLine="420"/>
        <w:rPr>
          <w:rFonts w:ascii="宋体" w:hAnsi="宋体"/>
          <w:color w:val="auto"/>
          <w:szCs w:val="21"/>
          <w:highlight w:val="none"/>
        </w:rPr>
      </w:pPr>
      <w:r>
        <w:rPr>
          <w:rFonts w:hint="eastAsia" w:ascii="宋体" w:hAnsi="宋体"/>
          <w:color w:val="auto"/>
          <w:szCs w:val="21"/>
          <w:highlight w:val="none"/>
        </w:rPr>
        <w:t>1、自合同签订之日起向乙方提交有关资料和提出技术要求。</w:t>
      </w:r>
    </w:p>
    <w:p w14:paraId="042ED2AB">
      <w:pPr>
        <w:spacing w:line="400" w:lineRule="exact"/>
        <w:ind w:firstLine="420"/>
        <w:rPr>
          <w:rFonts w:ascii="宋体" w:hAnsi="宋体"/>
          <w:color w:val="auto"/>
          <w:szCs w:val="21"/>
          <w:highlight w:val="none"/>
        </w:rPr>
      </w:pPr>
      <w:r>
        <w:rPr>
          <w:rFonts w:hint="eastAsia" w:ascii="宋体" w:hAnsi="宋体"/>
          <w:color w:val="auto"/>
          <w:szCs w:val="21"/>
          <w:highlight w:val="none"/>
        </w:rPr>
        <w:t>2、为乙方工作提供方便条件和进行必要的配合。</w:t>
      </w:r>
    </w:p>
    <w:p w14:paraId="11D58F7C">
      <w:pPr>
        <w:spacing w:line="400" w:lineRule="exact"/>
        <w:ind w:firstLine="420"/>
        <w:rPr>
          <w:rFonts w:ascii="宋体" w:hAnsi="宋体"/>
          <w:color w:val="auto"/>
          <w:szCs w:val="21"/>
          <w:highlight w:val="none"/>
        </w:rPr>
      </w:pPr>
      <w:r>
        <w:rPr>
          <w:rFonts w:hint="eastAsia" w:ascii="宋体" w:hAnsi="宋体"/>
          <w:color w:val="auto"/>
          <w:szCs w:val="21"/>
          <w:highlight w:val="none"/>
        </w:rPr>
        <w:t>3、因甲方原因，不按规定的范围内容和标准而造成质量不合格时，责任由甲方承担，并支付乙方全部工程项目款。</w:t>
      </w:r>
    </w:p>
    <w:p w14:paraId="09A65365">
      <w:pPr>
        <w:spacing w:line="400" w:lineRule="exact"/>
        <w:ind w:firstLine="420"/>
        <w:rPr>
          <w:rFonts w:ascii="宋体" w:hAnsi="宋体"/>
          <w:color w:val="auto"/>
          <w:szCs w:val="21"/>
          <w:highlight w:val="none"/>
        </w:rPr>
      </w:pPr>
      <w:r>
        <w:rPr>
          <w:rFonts w:hint="eastAsia" w:ascii="宋体" w:hAnsi="宋体"/>
          <w:color w:val="auto"/>
          <w:szCs w:val="21"/>
          <w:highlight w:val="none"/>
        </w:rPr>
        <w:t>4、合同签订后，如甲方擅自中止合同，甲方除按已完成工作量支付项目款，并赔偿总项目款的30%的违约金。</w:t>
      </w:r>
    </w:p>
    <w:p w14:paraId="392C6320">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第八条  乙方义务与责任</w:t>
      </w:r>
    </w:p>
    <w:p w14:paraId="6FC1FFD5">
      <w:pPr>
        <w:spacing w:line="400" w:lineRule="exact"/>
        <w:ind w:firstLine="420"/>
        <w:rPr>
          <w:rFonts w:ascii="宋体" w:hAnsi="宋体"/>
          <w:color w:val="auto"/>
          <w:szCs w:val="21"/>
          <w:highlight w:val="none"/>
        </w:rPr>
      </w:pPr>
      <w:r>
        <w:rPr>
          <w:rFonts w:hint="eastAsia" w:ascii="宋体" w:hAnsi="宋体"/>
          <w:color w:val="auto"/>
          <w:szCs w:val="21"/>
          <w:highlight w:val="none"/>
        </w:rPr>
        <w:t>1、乙方自合同签订之日起按时组织人员进行作业。</w:t>
      </w:r>
    </w:p>
    <w:p w14:paraId="3346399D">
      <w:pPr>
        <w:spacing w:line="400" w:lineRule="exact"/>
        <w:ind w:firstLine="420"/>
        <w:rPr>
          <w:rFonts w:ascii="宋体" w:hAnsi="宋体"/>
          <w:color w:val="auto"/>
          <w:szCs w:val="21"/>
          <w:highlight w:val="none"/>
        </w:rPr>
      </w:pPr>
      <w:r>
        <w:rPr>
          <w:rFonts w:hint="eastAsia" w:ascii="宋体" w:hAnsi="宋体"/>
          <w:color w:val="auto"/>
          <w:szCs w:val="21"/>
          <w:highlight w:val="none"/>
        </w:rPr>
        <w:t>2、乙方应当根据有关规程规范要求按合同完成本项目。</w:t>
      </w:r>
    </w:p>
    <w:p w14:paraId="58066573">
      <w:pPr>
        <w:spacing w:line="400" w:lineRule="exact"/>
        <w:ind w:firstLine="420"/>
        <w:rPr>
          <w:rFonts w:ascii="宋体" w:hAnsi="宋体"/>
          <w:color w:val="auto"/>
          <w:szCs w:val="21"/>
          <w:highlight w:val="none"/>
        </w:rPr>
      </w:pPr>
      <w:r>
        <w:rPr>
          <w:rFonts w:hint="eastAsia" w:ascii="宋体" w:hAnsi="宋体"/>
          <w:color w:val="auto"/>
          <w:szCs w:val="21"/>
          <w:highlight w:val="none"/>
        </w:rPr>
        <w:t>3、因乙方原因，产品质量不合格时，责任由乙方承担，并负责返工达到合格。</w:t>
      </w:r>
    </w:p>
    <w:p w14:paraId="4ACF3C8B">
      <w:pPr>
        <w:spacing w:line="400" w:lineRule="exact"/>
        <w:ind w:firstLine="420"/>
        <w:rPr>
          <w:rFonts w:ascii="宋体" w:hAnsi="宋体"/>
          <w:color w:val="auto"/>
          <w:szCs w:val="21"/>
          <w:highlight w:val="none"/>
        </w:rPr>
      </w:pPr>
      <w:r>
        <w:rPr>
          <w:rFonts w:hint="eastAsia" w:ascii="宋体" w:hAnsi="宋体"/>
          <w:color w:val="auto"/>
          <w:szCs w:val="21"/>
          <w:highlight w:val="none"/>
        </w:rPr>
        <w:t>4、合同签订后，如乙方擅自中止合同，乙方向甲方支付项目总价款的30%的违约金。</w:t>
      </w:r>
    </w:p>
    <w:p w14:paraId="652E3550">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第九条  技术成果资料的保密</w:t>
      </w:r>
    </w:p>
    <w:p w14:paraId="48B2E487">
      <w:pPr>
        <w:spacing w:line="400" w:lineRule="exact"/>
        <w:ind w:firstLine="420"/>
        <w:rPr>
          <w:rFonts w:ascii="宋体" w:hAnsi="宋体"/>
          <w:color w:val="auto"/>
          <w:szCs w:val="21"/>
          <w:highlight w:val="none"/>
        </w:rPr>
      </w:pPr>
      <w:r>
        <w:rPr>
          <w:rFonts w:hint="eastAsia" w:ascii="宋体" w:hAnsi="宋体"/>
          <w:color w:val="auto"/>
          <w:szCs w:val="21"/>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418EAF87">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第十条  争议解决</w:t>
      </w:r>
    </w:p>
    <w:p w14:paraId="4658936B">
      <w:pPr>
        <w:spacing w:line="400" w:lineRule="exact"/>
        <w:ind w:firstLine="420"/>
        <w:rPr>
          <w:rFonts w:ascii="宋体" w:hAnsi="宋体"/>
          <w:color w:val="auto"/>
          <w:szCs w:val="21"/>
          <w:highlight w:val="none"/>
        </w:rPr>
      </w:pPr>
      <w:r>
        <w:rPr>
          <w:rFonts w:hint="eastAsia" w:ascii="宋体" w:hAnsi="宋体"/>
          <w:color w:val="auto"/>
          <w:szCs w:val="21"/>
          <w:highlight w:val="none"/>
        </w:rPr>
        <w:t>本合同发生争议时，甲乙双方应及时协商解决。也可由当地行政主管部门调解调解不成时，可由仲裁机构仲裁。双方当事人未在合同中约定仲裁机构，当事人又未达成仲裁书面协议的，可向人民法院起诉。</w:t>
      </w:r>
    </w:p>
    <w:p w14:paraId="38ED53B9">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第十一条  其他</w:t>
      </w:r>
    </w:p>
    <w:p w14:paraId="2293D8CF">
      <w:pPr>
        <w:spacing w:line="400" w:lineRule="exact"/>
        <w:ind w:firstLine="420"/>
        <w:rPr>
          <w:rFonts w:ascii="宋体" w:hAnsi="宋体"/>
          <w:color w:val="auto"/>
          <w:szCs w:val="21"/>
          <w:highlight w:val="none"/>
        </w:rPr>
      </w:pPr>
      <w:r>
        <w:rPr>
          <w:rFonts w:hint="eastAsia" w:ascii="宋体" w:hAnsi="宋体"/>
          <w:color w:val="auto"/>
          <w:szCs w:val="21"/>
          <w:highlight w:val="none"/>
        </w:rPr>
        <w:t>1、本合同由双方代表签字，或加盖双方公章或合同专用章即生效。</w:t>
      </w:r>
    </w:p>
    <w:p w14:paraId="04589B9B">
      <w:pPr>
        <w:spacing w:line="400" w:lineRule="exact"/>
        <w:ind w:firstLine="420"/>
        <w:rPr>
          <w:rFonts w:ascii="宋体" w:hAnsi="宋体"/>
          <w:color w:val="auto"/>
          <w:szCs w:val="21"/>
          <w:highlight w:val="none"/>
        </w:rPr>
      </w:pPr>
      <w:r>
        <w:rPr>
          <w:rFonts w:hint="eastAsia" w:ascii="宋体" w:hAnsi="宋体"/>
          <w:color w:val="auto"/>
          <w:szCs w:val="21"/>
          <w:highlight w:val="none"/>
        </w:rPr>
        <w:t>2、未尽事宜，经双方协商一致，签订补充协议，补充协议与本合同具有同等效力。</w:t>
      </w:r>
    </w:p>
    <w:p w14:paraId="66634C50">
      <w:pPr>
        <w:spacing w:line="400" w:lineRule="exact"/>
        <w:ind w:firstLine="420"/>
        <w:rPr>
          <w:rFonts w:ascii="宋体" w:hAnsi="宋体"/>
          <w:color w:val="auto"/>
          <w:szCs w:val="21"/>
          <w:highlight w:val="none"/>
        </w:rPr>
      </w:pPr>
      <w:r>
        <w:rPr>
          <w:rFonts w:hint="eastAsia" w:ascii="宋体" w:hAnsi="宋体"/>
          <w:color w:val="auto"/>
          <w:szCs w:val="21"/>
          <w:highlight w:val="none"/>
        </w:rPr>
        <w:t>3、本合同一式陆份，甲方叁份，乙方叁份，具有同等法律效力。成果资料提交完毕和项目款全部结清后，本合同终止。</w:t>
      </w:r>
    </w:p>
    <w:p w14:paraId="50C34933">
      <w:pPr>
        <w:spacing w:line="400" w:lineRule="exact"/>
        <w:ind w:firstLine="420"/>
        <w:rPr>
          <w:rFonts w:ascii="宋体" w:hAnsi="宋体"/>
          <w:color w:val="auto"/>
          <w:szCs w:val="21"/>
          <w:highlight w:val="none"/>
        </w:rPr>
      </w:pPr>
      <w:r>
        <w:rPr>
          <w:rFonts w:hint="eastAsia" w:ascii="宋体" w:hAnsi="宋体"/>
          <w:color w:val="auto"/>
          <w:szCs w:val="21"/>
          <w:highlight w:val="none"/>
        </w:rPr>
        <w:t>委托方（甲方）：（盖章）</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受委托方（乙方）：（盖章）</w:t>
      </w:r>
    </w:p>
    <w:p w14:paraId="1B414A23">
      <w:pPr>
        <w:spacing w:line="400" w:lineRule="exact"/>
        <w:ind w:firstLine="420"/>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法定代表人（签字）：</w:t>
      </w:r>
    </w:p>
    <w:p w14:paraId="0AC79002">
      <w:pPr>
        <w:spacing w:line="400" w:lineRule="exact"/>
        <w:ind w:firstLine="420"/>
        <w:rPr>
          <w:rFonts w:ascii="宋体" w:hAnsi="宋体"/>
          <w:color w:val="auto"/>
          <w:szCs w:val="21"/>
          <w:highlight w:val="none"/>
        </w:rPr>
      </w:pPr>
      <w:r>
        <w:rPr>
          <w:rFonts w:hint="eastAsia" w:ascii="宋体" w:hAnsi="宋体"/>
          <w:color w:val="auto"/>
          <w:szCs w:val="21"/>
          <w:highlight w:val="none"/>
        </w:rPr>
        <w:t>或委托代理人（签字）：</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或委托代理人（签字）：</w:t>
      </w:r>
    </w:p>
    <w:p w14:paraId="51272048">
      <w:pPr>
        <w:spacing w:line="400" w:lineRule="exact"/>
        <w:ind w:firstLine="42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地址： </w:t>
      </w:r>
    </w:p>
    <w:p w14:paraId="47744498">
      <w:pPr>
        <w:spacing w:line="400" w:lineRule="exact"/>
        <w:ind w:firstLine="420"/>
        <w:rPr>
          <w:rFonts w:ascii="宋体" w:hAnsi="宋体"/>
          <w:color w:val="auto"/>
          <w:szCs w:val="21"/>
          <w:highlight w:val="none"/>
        </w:rPr>
      </w:pPr>
    </w:p>
    <w:p w14:paraId="1216F185">
      <w:pPr>
        <w:spacing w:line="400" w:lineRule="exact"/>
        <w:ind w:firstLine="420"/>
        <w:rPr>
          <w:rFonts w:ascii="宋体" w:hAnsi="宋体"/>
          <w:color w:val="auto"/>
          <w:szCs w:val="21"/>
          <w:highlight w:val="none"/>
        </w:rPr>
      </w:pPr>
      <w:r>
        <w:rPr>
          <w:rFonts w:hint="eastAsia" w:ascii="宋体" w:hAnsi="宋体"/>
          <w:color w:val="auto"/>
          <w:szCs w:val="21"/>
          <w:highlight w:val="none"/>
        </w:rPr>
        <w:t xml:space="preserve">邮政编码：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联系电话：  </w:t>
      </w:r>
    </w:p>
    <w:p w14:paraId="74B525AF">
      <w:pPr>
        <w:spacing w:line="400" w:lineRule="exact"/>
        <w:ind w:firstLine="420"/>
        <w:rPr>
          <w:rFonts w:ascii="宋体" w:hAnsi="宋体"/>
          <w:color w:val="auto"/>
          <w:szCs w:val="21"/>
          <w:highlight w:val="none"/>
        </w:rPr>
      </w:pPr>
      <w:r>
        <w:rPr>
          <w:rFonts w:hint="eastAsia" w:ascii="宋体" w:hAnsi="宋体"/>
          <w:color w:val="auto"/>
          <w:szCs w:val="21"/>
          <w:highlight w:val="none"/>
        </w:rPr>
        <w:t xml:space="preserve">开 户 行： </w:t>
      </w:r>
    </w:p>
    <w:p w14:paraId="2BB59900">
      <w:pPr>
        <w:spacing w:line="400" w:lineRule="exact"/>
        <w:ind w:firstLine="420"/>
        <w:rPr>
          <w:rFonts w:ascii="宋体" w:hAnsi="宋体"/>
          <w:color w:val="auto"/>
          <w:szCs w:val="21"/>
          <w:highlight w:val="none"/>
        </w:rPr>
      </w:pPr>
      <w:r>
        <w:rPr>
          <w:rFonts w:hint="eastAsia" w:ascii="宋体" w:hAnsi="宋体"/>
          <w:color w:val="auto"/>
          <w:szCs w:val="21"/>
          <w:highlight w:val="none"/>
        </w:rPr>
        <w:t xml:space="preserve">账    号： </w:t>
      </w:r>
    </w:p>
    <w:p w14:paraId="4E8C5728">
      <w:pPr>
        <w:pStyle w:val="46"/>
        <w:rPr>
          <w:rFonts w:hAnsi="宋体"/>
          <w:color w:val="auto"/>
          <w:highlight w:val="none"/>
        </w:rPr>
        <w:sectPr>
          <w:headerReference r:id="rId6" w:type="default"/>
          <w:footerReference r:id="rId7" w:type="default"/>
          <w:pgSz w:w="12240" w:h="15840"/>
          <w:pgMar w:top="1417" w:right="1417" w:bottom="1417" w:left="1418" w:header="720" w:footer="720" w:gutter="0"/>
          <w:pgNumType w:fmt="numberInDash"/>
          <w:cols w:space="720" w:num="1"/>
          <w:docGrid w:linePitch="286" w:charSpace="0"/>
        </w:sectPr>
      </w:pPr>
    </w:p>
    <w:bookmarkEnd w:id="1093"/>
    <w:p w14:paraId="7C372BC8">
      <w:pPr>
        <w:pStyle w:val="2"/>
        <w:pageBreakBefore w:val="0"/>
        <w:numPr>
          <w:ilvl w:val="0"/>
          <w:numId w:val="3"/>
        </w:numPr>
        <w:kinsoku/>
        <w:overflowPunct/>
        <w:bidi w:val="0"/>
        <w:spacing w:line="400" w:lineRule="exact"/>
        <w:ind w:firstLine="0" w:firstLineChars="0"/>
        <w:rPr>
          <w:rFonts w:ascii="宋体" w:hAnsi="宋体" w:eastAsia="宋体" w:cs="宋体"/>
          <w:color w:val="auto"/>
          <w:szCs w:val="21"/>
          <w:highlight w:val="none"/>
        </w:rPr>
      </w:pPr>
      <w:bookmarkStart w:id="1097" w:name="_Toc4703"/>
      <w:r>
        <w:rPr>
          <w:rFonts w:hint="eastAsia" w:ascii="宋体" w:hAnsi="宋体" w:cs="宋体"/>
          <w:color w:val="auto"/>
          <w:sz w:val="28"/>
          <w:szCs w:val="28"/>
          <w:highlight w:val="none"/>
        </w:rPr>
        <w:t>采购项目要求</w:t>
      </w:r>
      <w:bookmarkEnd w:id="1097"/>
    </w:p>
    <w:p w14:paraId="1E8B2B2C">
      <w:pPr>
        <w:keepNext w:val="0"/>
        <w:keepLines w:val="0"/>
        <w:pageBreakBefore w:val="0"/>
        <w:widowControl/>
        <w:suppressLineNumbers w:val="0"/>
        <w:kinsoku/>
        <w:overflowPunct/>
        <w:bidi w:val="0"/>
        <w:ind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（一）工作内容：</w:t>
      </w:r>
      <w:r>
        <w:rPr>
          <w:rFonts w:hint="eastAsia" w:ascii="宋体" w:hAnsi="宋体" w:eastAsia="宋体" w:cs="宋体"/>
          <w:bCs/>
          <w:color w:val="auto"/>
          <w:kern w:val="0"/>
          <w:sz w:val="21"/>
          <w:szCs w:val="21"/>
          <w:highlight w:val="none"/>
          <w:lang w:val="en-US" w:eastAsia="zh-CN" w:bidi="ar-SA"/>
        </w:rPr>
        <w:t>对甘以敬故居进行修缮保护设计</w:t>
      </w:r>
      <w:r>
        <w:rPr>
          <w:rFonts w:hint="eastAsia" w:eastAsia="宋体" w:cs="宋体"/>
          <w:bCs/>
          <w:color w:val="auto"/>
          <w:kern w:val="0"/>
          <w:sz w:val="21"/>
          <w:szCs w:val="21"/>
          <w:highlight w:val="none"/>
          <w:lang w:val="en-US" w:eastAsia="zh-CN" w:bidi="ar-SA"/>
        </w:rPr>
        <w:t>，</w:t>
      </w:r>
      <w:r>
        <w:rPr>
          <w:rFonts w:hint="eastAsia" w:ascii="宋体" w:hAnsi="宋体" w:eastAsia="宋体" w:cs="宋体"/>
          <w:bCs/>
          <w:color w:val="auto"/>
          <w:kern w:val="0"/>
          <w:sz w:val="21"/>
          <w:szCs w:val="21"/>
          <w:highlight w:val="none"/>
          <w:lang w:val="en-US" w:eastAsia="zh-CN" w:bidi="ar-SA"/>
        </w:rPr>
        <w:t>项目地点位于河南省信阳市浉河区柳林乡甘冲村；</w:t>
      </w:r>
    </w:p>
    <w:p w14:paraId="5F4A8941">
      <w:pPr>
        <w:keepNext w:val="0"/>
        <w:keepLines w:val="0"/>
        <w:pageBreakBefore w:val="0"/>
        <w:widowControl/>
        <w:suppressLineNumbers w:val="0"/>
        <w:kinsoku/>
        <w:overflowPunct/>
        <w:bidi w:val="0"/>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 xml:space="preserve">（二）服务期限：自合同签订之日起，按照上级要求时限完成 </w:t>
      </w:r>
    </w:p>
    <w:p w14:paraId="27A1492E">
      <w:pPr>
        <w:keepNext w:val="0"/>
        <w:keepLines w:val="0"/>
        <w:pageBreakBefore w:val="0"/>
        <w:widowControl/>
        <w:suppressLineNumbers w:val="0"/>
        <w:kinsoku/>
        <w:overflowPunct/>
        <w:bidi w:val="0"/>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 xml:space="preserve">（三）质量要求：满足国家、省、市相关技术要求 </w:t>
      </w:r>
    </w:p>
    <w:p w14:paraId="667F2446">
      <w:pPr>
        <w:pStyle w:val="13"/>
        <w:rPr>
          <w:rFonts w:hint="eastAsia" w:ascii="宋体" w:hAnsi="宋体" w:eastAsia="宋体" w:cs="宋体"/>
          <w:b w:val="0"/>
          <w:bCs w:val="0"/>
          <w:color w:val="auto"/>
          <w:kern w:val="0"/>
          <w:sz w:val="20"/>
          <w:szCs w:val="20"/>
          <w:highlight w:val="none"/>
          <w:lang w:val="en-US" w:eastAsia="zh-CN" w:bidi="ar"/>
        </w:rPr>
      </w:pPr>
    </w:p>
    <w:p w14:paraId="738B37F6">
      <w:pPr>
        <w:pStyle w:val="46"/>
        <w:rPr>
          <w:rFonts w:hint="eastAsia" w:ascii="宋体" w:hAnsi="宋体" w:eastAsia="宋体" w:cs="宋体"/>
          <w:b w:val="0"/>
          <w:bCs w:val="0"/>
          <w:color w:val="auto"/>
          <w:kern w:val="0"/>
          <w:sz w:val="20"/>
          <w:szCs w:val="20"/>
          <w:highlight w:val="none"/>
          <w:lang w:val="en-US" w:eastAsia="zh-CN" w:bidi="ar"/>
        </w:rPr>
      </w:pPr>
    </w:p>
    <w:p w14:paraId="4C04F2F2">
      <w:pPr>
        <w:rPr>
          <w:rFonts w:hint="eastAsia" w:ascii="宋体" w:hAnsi="宋体" w:eastAsia="宋体" w:cs="宋体"/>
          <w:b w:val="0"/>
          <w:bCs w:val="0"/>
          <w:color w:val="auto"/>
          <w:kern w:val="0"/>
          <w:sz w:val="20"/>
          <w:szCs w:val="20"/>
          <w:highlight w:val="none"/>
          <w:lang w:val="en-US" w:eastAsia="zh-CN" w:bidi="ar"/>
        </w:rPr>
      </w:pPr>
    </w:p>
    <w:p w14:paraId="5D240C92">
      <w:pPr>
        <w:pStyle w:val="13"/>
        <w:rPr>
          <w:rFonts w:hint="eastAsia" w:ascii="宋体" w:hAnsi="宋体" w:eastAsia="宋体" w:cs="宋体"/>
          <w:b w:val="0"/>
          <w:bCs w:val="0"/>
          <w:color w:val="auto"/>
          <w:kern w:val="0"/>
          <w:sz w:val="20"/>
          <w:szCs w:val="20"/>
          <w:highlight w:val="none"/>
          <w:lang w:val="en-US" w:eastAsia="zh-CN" w:bidi="ar"/>
        </w:rPr>
      </w:pPr>
    </w:p>
    <w:p w14:paraId="6D5272C3">
      <w:pPr>
        <w:pStyle w:val="46"/>
        <w:rPr>
          <w:rFonts w:hint="eastAsia" w:ascii="宋体" w:hAnsi="宋体" w:eastAsia="宋体" w:cs="宋体"/>
          <w:b w:val="0"/>
          <w:bCs w:val="0"/>
          <w:color w:val="auto"/>
          <w:kern w:val="0"/>
          <w:sz w:val="20"/>
          <w:szCs w:val="20"/>
          <w:highlight w:val="none"/>
          <w:lang w:val="en-US" w:eastAsia="zh-CN" w:bidi="ar"/>
        </w:rPr>
      </w:pPr>
    </w:p>
    <w:p w14:paraId="7EDD94F6">
      <w:pPr>
        <w:rPr>
          <w:rFonts w:hint="eastAsia" w:ascii="宋体" w:hAnsi="宋体" w:eastAsia="宋体" w:cs="宋体"/>
          <w:b w:val="0"/>
          <w:bCs w:val="0"/>
          <w:color w:val="auto"/>
          <w:kern w:val="0"/>
          <w:sz w:val="20"/>
          <w:szCs w:val="20"/>
          <w:highlight w:val="none"/>
          <w:lang w:val="en-US" w:eastAsia="zh-CN" w:bidi="ar"/>
        </w:rPr>
      </w:pPr>
    </w:p>
    <w:p w14:paraId="20BDDB9E">
      <w:pPr>
        <w:pStyle w:val="13"/>
        <w:rPr>
          <w:rFonts w:hint="eastAsia" w:ascii="宋体" w:hAnsi="宋体" w:eastAsia="宋体" w:cs="宋体"/>
          <w:b w:val="0"/>
          <w:bCs w:val="0"/>
          <w:color w:val="auto"/>
          <w:kern w:val="0"/>
          <w:sz w:val="20"/>
          <w:szCs w:val="20"/>
          <w:highlight w:val="none"/>
          <w:lang w:val="en-US" w:eastAsia="zh-CN" w:bidi="ar"/>
        </w:rPr>
      </w:pPr>
    </w:p>
    <w:p w14:paraId="6D0E34F9">
      <w:pPr>
        <w:pStyle w:val="46"/>
        <w:rPr>
          <w:rFonts w:hint="eastAsia" w:ascii="宋体" w:hAnsi="宋体" w:eastAsia="宋体" w:cs="宋体"/>
          <w:b w:val="0"/>
          <w:bCs w:val="0"/>
          <w:color w:val="auto"/>
          <w:kern w:val="0"/>
          <w:sz w:val="20"/>
          <w:szCs w:val="20"/>
          <w:highlight w:val="none"/>
          <w:lang w:val="en-US" w:eastAsia="zh-CN" w:bidi="ar"/>
        </w:rPr>
      </w:pPr>
    </w:p>
    <w:p w14:paraId="0DDEC8EC">
      <w:pPr>
        <w:rPr>
          <w:rFonts w:hint="eastAsia" w:ascii="宋体" w:hAnsi="宋体" w:eastAsia="宋体" w:cs="宋体"/>
          <w:b w:val="0"/>
          <w:bCs w:val="0"/>
          <w:color w:val="auto"/>
          <w:kern w:val="0"/>
          <w:sz w:val="20"/>
          <w:szCs w:val="20"/>
          <w:highlight w:val="none"/>
          <w:lang w:val="en-US" w:eastAsia="zh-CN" w:bidi="ar"/>
        </w:rPr>
      </w:pPr>
    </w:p>
    <w:p w14:paraId="7704F072">
      <w:pPr>
        <w:pStyle w:val="13"/>
        <w:rPr>
          <w:rFonts w:hint="eastAsia" w:ascii="宋体" w:hAnsi="宋体" w:eastAsia="宋体" w:cs="宋体"/>
          <w:b w:val="0"/>
          <w:bCs w:val="0"/>
          <w:color w:val="auto"/>
          <w:kern w:val="0"/>
          <w:sz w:val="20"/>
          <w:szCs w:val="20"/>
          <w:highlight w:val="none"/>
          <w:lang w:val="en-US" w:eastAsia="zh-CN" w:bidi="ar"/>
        </w:rPr>
      </w:pPr>
    </w:p>
    <w:p w14:paraId="53E194F8">
      <w:pPr>
        <w:pStyle w:val="46"/>
        <w:rPr>
          <w:rFonts w:hint="eastAsia" w:ascii="宋体" w:hAnsi="宋体" w:eastAsia="宋体" w:cs="宋体"/>
          <w:b w:val="0"/>
          <w:bCs w:val="0"/>
          <w:color w:val="auto"/>
          <w:kern w:val="0"/>
          <w:sz w:val="20"/>
          <w:szCs w:val="20"/>
          <w:highlight w:val="none"/>
          <w:lang w:val="en-US" w:eastAsia="zh-CN" w:bidi="ar"/>
        </w:rPr>
      </w:pPr>
    </w:p>
    <w:p w14:paraId="69DF4E05">
      <w:pPr>
        <w:rPr>
          <w:rFonts w:hint="eastAsia" w:ascii="宋体" w:hAnsi="宋体" w:eastAsia="宋体" w:cs="宋体"/>
          <w:b w:val="0"/>
          <w:bCs w:val="0"/>
          <w:color w:val="auto"/>
          <w:kern w:val="0"/>
          <w:sz w:val="20"/>
          <w:szCs w:val="20"/>
          <w:highlight w:val="none"/>
          <w:lang w:val="en-US" w:eastAsia="zh-CN" w:bidi="ar"/>
        </w:rPr>
      </w:pPr>
    </w:p>
    <w:p w14:paraId="7DD1818F">
      <w:pPr>
        <w:pStyle w:val="2"/>
        <w:rPr>
          <w:rFonts w:hint="eastAsia" w:ascii="宋体" w:hAnsi="宋体" w:eastAsia="宋体" w:cs="宋体"/>
          <w:b w:val="0"/>
          <w:bCs w:val="0"/>
          <w:color w:val="auto"/>
          <w:kern w:val="0"/>
          <w:sz w:val="20"/>
          <w:szCs w:val="20"/>
          <w:highlight w:val="none"/>
          <w:lang w:val="en-US" w:eastAsia="zh-CN" w:bidi="ar"/>
        </w:rPr>
      </w:pPr>
    </w:p>
    <w:p w14:paraId="62F7A506">
      <w:pPr>
        <w:rPr>
          <w:rFonts w:hint="eastAsia"/>
          <w:lang w:val="en-US" w:eastAsia="zh-CN"/>
        </w:rPr>
      </w:pPr>
    </w:p>
    <w:p w14:paraId="72343EEF">
      <w:pPr>
        <w:pStyle w:val="13"/>
        <w:rPr>
          <w:rFonts w:hint="eastAsia" w:ascii="宋体" w:hAnsi="宋体" w:eastAsia="宋体" w:cs="宋体"/>
          <w:b w:val="0"/>
          <w:bCs w:val="0"/>
          <w:color w:val="auto"/>
          <w:kern w:val="0"/>
          <w:sz w:val="20"/>
          <w:szCs w:val="20"/>
          <w:highlight w:val="none"/>
          <w:lang w:val="en-US" w:eastAsia="zh-CN" w:bidi="ar"/>
        </w:rPr>
      </w:pPr>
    </w:p>
    <w:p w14:paraId="0E1DF913">
      <w:pPr>
        <w:pStyle w:val="46"/>
        <w:rPr>
          <w:rFonts w:hint="eastAsia" w:ascii="宋体" w:hAnsi="宋体" w:eastAsia="宋体" w:cs="宋体"/>
          <w:b w:val="0"/>
          <w:bCs w:val="0"/>
          <w:color w:val="auto"/>
          <w:kern w:val="0"/>
          <w:sz w:val="20"/>
          <w:szCs w:val="20"/>
          <w:highlight w:val="none"/>
          <w:lang w:val="en-US" w:eastAsia="zh-CN" w:bidi="ar"/>
        </w:rPr>
      </w:pPr>
    </w:p>
    <w:p w14:paraId="022BFE85">
      <w:pPr>
        <w:rPr>
          <w:rFonts w:hint="eastAsia" w:ascii="宋体" w:hAnsi="宋体" w:eastAsia="宋体" w:cs="宋体"/>
          <w:b w:val="0"/>
          <w:bCs w:val="0"/>
          <w:color w:val="auto"/>
          <w:kern w:val="0"/>
          <w:sz w:val="20"/>
          <w:szCs w:val="20"/>
          <w:highlight w:val="none"/>
          <w:lang w:val="en-US" w:eastAsia="zh-CN" w:bidi="ar"/>
        </w:rPr>
      </w:pPr>
    </w:p>
    <w:bookmarkEnd w:id="1094"/>
    <w:bookmarkEnd w:id="1095"/>
    <w:bookmarkEnd w:id="1096"/>
    <w:p w14:paraId="52887CEB">
      <w:pPr>
        <w:pStyle w:val="2"/>
        <w:pageBreakBefore w:val="0"/>
        <w:kinsoku/>
        <w:overflowPunct/>
        <w:bidi w:val="0"/>
        <w:spacing w:line="400" w:lineRule="exact"/>
        <w:ind w:firstLine="0" w:firstLineChars="0"/>
        <w:rPr>
          <w:rFonts w:ascii="宋体" w:hAnsi="宋体" w:eastAsia="宋体" w:cs="宋体"/>
          <w:bCs w:val="0"/>
          <w:color w:val="auto"/>
          <w:sz w:val="28"/>
          <w:szCs w:val="28"/>
          <w:highlight w:val="none"/>
        </w:rPr>
      </w:pPr>
      <w:bookmarkStart w:id="1098" w:name="_Toc12248"/>
      <w:r>
        <w:rPr>
          <w:rFonts w:hint="eastAsia" w:ascii="宋体" w:hAnsi="宋体" w:cs="宋体"/>
          <w:bCs w:val="0"/>
          <w:color w:val="auto"/>
          <w:sz w:val="28"/>
          <w:szCs w:val="28"/>
          <w:highlight w:val="none"/>
        </w:rPr>
        <w:t>第六章  竞争性磋商响应文件格式</w:t>
      </w:r>
      <w:bookmarkEnd w:id="1098"/>
    </w:p>
    <w:p w14:paraId="5F873A3A">
      <w:pPr>
        <w:pageBreakBefore w:val="0"/>
        <w:kinsoku/>
        <w:overflowPunct/>
        <w:bidi w:val="0"/>
        <w:spacing w:line="400" w:lineRule="exact"/>
        <w:ind w:firstLine="0" w:firstLineChars="0"/>
        <w:rPr>
          <w:rFonts w:ascii="宋体" w:hAnsi="宋体" w:cs="宋体"/>
          <w:color w:val="auto"/>
          <w:highlight w:val="none"/>
        </w:rPr>
      </w:pPr>
    </w:p>
    <w:p w14:paraId="68358B26">
      <w:pPr>
        <w:pageBreakBefore w:val="0"/>
        <w:kinsoku/>
        <w:overflowPunct/>
        <w:bidi w:val="0"/>
        <w:spacing w:line="440" w:lineRule="exact"/>
        <w:ind w:firstLine="0" w:firstLineChars="0"/>
        <w:jc w:val="right"/>
        <w:rPr>
          <w:rFonts w:ascii="宋体" w:hAnsi="宋体" w:cs="宋体"/>
          <w:color w:val="auto"/>
          <w:sz w:val="24"/>
          <w:highlight w:val="none"/>
          <w:bdr w:val="single" w:color="auto" w:sz="4" w:space="0"/>
        </w:rPr>
      </w:pPr>
    </w:p>
    <w:p w14:paraId="5B1E807C">
      <w:pPr>
        <w:pageBreakBefore w:val="0"/>
        <w:kinsoku/>
        <w:overflowPunct/>
        <w:bidi w:val="0"/>
        <w:spacing w:line="440" w:lineRule="exact"/>
        <w:ind w:firstLine="0" w:firstLineChars="0"/>
        <w:rPr>
          <w:rFonts w:ascii="宋体" w:hAnsi="宋体" w:cs="宋体"/>
          <w:color w:val="auto"/>
          <w:sz w:val="24"/>
          <w:highlight w:val="none"/>
        </w:rPr>
      </w:pPr>
    </w:p>
    <w:p w14:paraId="35752491">
      <w:pPr>
        <w:pageBreakBefore w:val="0"/>
        <w:kinsoku/>
        <w:overflowPunct/>
        <w:bidi w:val="0"/>
        <w:ind w:firstLine="0" w:firstLineChars="0"/>
        <w:jc w:val="center"/>
        <w:rPr>
          <w:rFonts w:ascii="宋体" w:hAnsi="宋体" w:eastAsia="宋体" w:cs="宋体"/>
          <w:b/>
          <w:bCs/>
          <w:color w:val="auto"/>
          <w:sz w:val="30"/>
          <w:szCs w:val="30"/>
          <w:highlight w:val="none"/>
        </w:rPr>
      </w:pPr>
      <w:r>
        <w:rPr>
          <w:rFonts w:hint="eastAsia" w:ascii="宋体" w:hAnsi="宋体" w:cs="宋体"/>
          <w:b/>
          <w:bCs/>
          <w:color w:val="auto"/>
          <w:sz w:val="30"/>
          <w:szCs w:val="30"/>
          <w:highlight w:val="none"/>
          <w:u w:val="single"/>
        </w:rPr>
        <w:t>（项目名称）</w:t>
      </w:r>
      <w:r>
        <w:rPr>
          <w:rFonts w:hint="eastAsia" w:ascii="宋体" w:hAnsi="宋体" w:cs="宋体"/>
          <w:b/>
          <w:bCs/>
          <w:color w:val="auto"/>
          <w:sz w:val="30"/>
          <w:szCs w:val="30"/>
          <w:highlight w:val="none"/>
        </w:rPr>
        <w:t>竞争性磋商</w:t>
      </w:r>
    </w:p>
    <w:p w14:paraId="25A3162D">
      <w:pPr>
        <w:pageBreakBefore w:val="0"/>
        <w:kinsoku/>
        <w:overflowPunct/>
        <w:bidi w:val="0"/>
        <w:ind w:firstLine="0" w:firstLineChars="0"/>
        <w:jc w:val="center"/>
        <w:rPr>
          <w:rFonts w:ascii="宋体" w:hAnsi="宋体" w:cs="宋体"/>
          <w:color w:val="auto"/>
          <w:sz w:val="28"/>
          <w:szCs w:val="28"/>
          <w:highlight w:val="none"/>
        </w:rPr>
      </w:pPr>
    </w:p>
    <w:p w14:paraId="3ABDA8E2">
      <w:pPr>
        <w:pageBreakBefore w:val="0"/>
        <w:kinsoku/>
        <w:overflowPunct/>
        <w:bidi w:val="0"/>
        <w:spacing w:line="1000" w:lineRule="exact"/>
        <w:ind w:firstLine="0" w:firstLineChars="0"/>
        <w:jc w:val="center"/>
        <w:rPr>
          <w:rFonts w:ascii="宋体" w:hAnsi="宋体" w:cs="宋体"/>
          <w:color w:val="auto"/>
          <w:sz w:val="28"/>
          <w:szCs w:val="28"/>
          <w:highlight w:val="none"/>
        </w:rPr>
      </w:pPr>
    </w:p>
    <w:p w14:paraId="1612F667">
      <w:pPr>
        <w:pageBreakBefore w:val="0"/>
        <w:kinsoku/>
        <w:overflowPunct/>
        <w:bidi w:val="0"/>
        <w:spacing w:line="1000" w:lineRule="exact"/>
        <w:ind w:firstLine="0" w:firstLineChars="0"/>
        <w:jc w:val="center"/>
        <w:rPr>
          <w:rFonts w:ascii="宋体" w:hAnsi="宋体" w:cs="宋体"/>
          <w:color w:val="auto"/>
          <w:sz w:val="72"/>
          <w:szCs w:val="84"/>
          <w:highlight w:val="none"/>
        </w:rPr>
      </w:pPr>
      <w:r>
        <w:rPr>
          <w:rFonts w:hint="eastAsia" w:ascii="宋体" w:hAnsi="宋体" w:cs="宋体"/>
          <w:b/>
          <w:bCs/>
          <w:color w:val="auto"/>
          <w:sz w:val="72"/>
          <w:szCs w:val="84"/>
          <w:highlight w:val="none"/>
        </w:rPr>
        <w:t>响 应 文 件</w:t>
      </w:r>
    </w:p>
    <w:p w14:paraId="5AFA0837">
      <w:pPr>
        <w:pageBreakBefore w:val="0"/>
        <w:kinsoku/>
        <w:overflowPunct/>
        <w:bidi w:val="0"/>
        <w:spacing w:line="1000" w:lineRule="exact"/>
        <w:ind w:firstLine="0" w:firstLineChars="0"/>
        <w:rPr>
          <w:rFonts w:ascii="宋体" w:hAnsi="宋体" w:cs="宋体"/>
          <w:color w:val="auto"/>
          <w:sz w:val="28"/>
          <w:szCs w:val="28"/>
          <w:highlight w:val="none"/>
        </w:rPr>
      </w:pPr>
    </w:p>
    <w:p w14:paraId="01C0C685">
      <w:pPr>
        <w:pageBreakBefore w:val="0"/>
        <w:kinsoku/>
        <w:overflowPunct/>
        <w:bidi w:val="0"/>
        <w:spacing w:line="400" w:lineRule="exact"/>
        <w:ind w:firstLine="0" w:firstLineChars="0"/>
        <w:rPr>
          <w:rFonts w:ascii="宋体" w:hAnsi="宋体" w:cs="宋体"/>
          <w:color w:val="auto"/>
          <w:sz w:val="28"/>
          <w:szCs w:val="28"/>
          <w:highlight w:val="none"/>
        </w:rPr>
      </w:pPr>
    </w:p>
    <w:p w14:paraId="57C9D38C">
      <w:pPr>
        <w:pageBreakBefore w:val="0"/>
        <w:kinsoku/>
        <w:overflowPunct/>
        <w:bidi w:val="0"/>
        <w:spacing w:line="400" w:lineRule="exact"/>
        <w:ind w:firstLine="0" w:firstLineChars="0"/>
        <w:rPr>
          <w:rFonts w:ascii="宋体" w:hAnsi="宋体" w:cs="宋体"/>
          <w:color w:val="auto"/>
          <w:sz w:val="28"/>
          <w:szCs w:val="28"/>
          <w:highlight w:val="none"/>
        </w:rPr>
      </w:pPr>
    </w:p>
    <w:p w14:paraId="2123E484">
      <w:pPr>
        <w:pageBreakBefore w:val="0"/>
        <w:kinsoku/>
        <w:overflowPunct/>
        <w:bidi w:val="0"/>
        <w:spacing w:line="400" w:lineRule="exact"/>
        <w:ind w:firstLine="0" w:firstLineChars="0"/>
        <w:rPr>
          <w:rFonts w:ascii="宋体" w:hAnsi="宋体" w:cs="宋体"/>
          <w:color w:val="auto"/>
          <w:sz w:val="28"/>
          <w:szCs w:val="28"/>
          <w:highlight w:val="none"/>
        </w:rPr>
      </w:pPr>
    </w:p>
    <w:p w14:paraId="6318B680">
      <w:pPr>
        <w:pageBreakBefore w:val="0"/>
        <w:kinsoku/>
        <w:overflowPunct/>
        <w:bidi w:val="0"/>
        <w:spacing w:line="400" w:lineRule="exact"/>
        <w:ind w:firstLine="0" w:firstLineChars="0"/>
        <w:rPr>
          <w:rFonts w:ascii="宋体" w:hAnsi="宋体" w:cs="宋体"/>
          <w:color w:val="auto"/>
          <w:sz w:val="28"/>
          <w:szCs w:val="28"/>
          <w:highlight w:val="none"/>
        </w:rPr>
      </w:pPr>
    </w:p>
    <w:p w14:paraId="7B277038">
      <w:pPr>
        <w:pageBreakBefore w:val="0"/>
        <w:kinsoku/>
        <w:overflowPunct/>
        <w:bidi w:val="0"/>
        <w:spacing w:line="400" w:lineRule="exact"/>
        <w:ind w:firstLine="0" w:firstLineChars="0"/>
        <w:rPr>
          <w:rFonts w:ascii="宋体" w:hAnsi="宋体" w:cs="宋体"/>
          <w:color w:val="auto"/>
          <w:sz w:val="28"/>
          <w:szCs w:val="28"/>
          <w:highlight w:val="none"/>
        </w:rPr>
      </w:pPr>
    </w:p>
    <w:p w14:paraId="762DBAA3">
      <w:pPr>
        <w:pageBreakBefore w:val="0"/>
        <w:kinsoku/>
        <w:overflowPunct/>
        <w:bidi w:val="0"/>
        <w:spacing w:line="400" w:lineRule="exact"/>
        <w:ind w:firstLine="0" w:firstLineChars="0"/>
        <w:rPr>
          <w:rFonts w:ascii="宋体" w:hAnsi="宋体" w:cs="宋体"/>
          <w:color w:val="auto"/>
          <w:sz w:val="28"/>
          <w:szCs w:val="28"/>
          <w:highlight w:val="none"/>
        </w:rPr>
      </w:pPr>
    </w:p>
    <w:p w14:paraId="60F0070E">
      <w:pPr>
        <w:pageBreakBefore w:val="0"/>
        <w:kinsoku/>
        <w:overflowPunct/>
        <w:bidi w:val="0"/>
        <w:spacing w:line="400" w:lineRule="exact"/>
        <w:ind w:firstLine="0" w:firstLineChars="0"/>
        <w:rPr>
          <w:rFonts w:ascii="宋体" w:hAnsi="宋体" w:cs="宋体"/>
          <w:color w:val="auto"/>
          <w:sz w:val="28"/>
          <w:szCs w:val="28"/>
          <w:highlight w:val="none"/>
        </w:rPr>
      </w:pPr>
    </w:p>
    <w:p w14:paraId="06F6E4AA">
      <w:pPr>
        <w:pStyle w:val="13"/>
        <w:pageBreakBefore w:val="0"/>
        <w:kinsoku/>
        <w:overflowPunct/>
        <w:bidi w:val="0"/>
        <w:ind w:firstLine="0" w:firstLineChars="0"/>
        <w:rPr>
          <w:rFonts w:ascii="宋体" w:hAnsi="宋体" w:cs="宋体"/>
          <w:color w:val="auto"/>
          <w:sz w:val="28"/>
          <w:szCs w:val="28"/>
          <w:highlight w:val="none"/>
        </w:rPr>
      </w:pPr>
    </w:p>
    <w:p w14:paraId="3F5AF94C">
      <w:pPr>
        <w:pageBreakBefore w:val="0"/>
        <w:kinsoku/>
        <w:overflowPunct/>
        <w:bidi w:val="0"/>
        <w:spacing w:line="400" w:lineRule="exact"/>
        <w:ind w:firstLine="0" w:firstLineChars="0"/>
        <w:rPr>
          <w:rFonts w:ascii="宋体" w:hAnsi="宋体" w:cs="宋体"/>
          <w:color w:val="auto"/>
          <w:sz w:val="28"/>
          <w:szCs w:val="28"/>
          <w:highlight w:val="none"/>
        </w:rPr>
      </w:pPr>
    </w:p>
    <w:p w14:paraId="0F7AF431">
      <w:pPr>
        <w:pageBreakBefore w:val="0"/>
        <w:kinsoku/>
        <w:overflowPunct/>
        <w:bidi w:val="0"/>
        <w:spacing w:line="400" w:lineRule="exact"/>
        <w:ind w:firstLine="0" w:firstLineChars="0"/>
        <w:rPr>
          <w:rFonts w:ascii="宋体" w:hAnsi="宋体" w:cs="宋体"/>
          <w:color w:val="auto"/>
          <w:sz w:val="28"/>
          <w:szCs w:val="28"/>
          <w:highlight w:val="none"/>
        </w:rPr>
      </w:pPr>
    </w:p>
    <w:p w14:paraId="20F71EFE">
      <w:pPr>
        <w:pageBreakBefore w:val="0"/>
        <w:kinsoku/>
        <w:overflowPunct/>
        <w:bidi w:val="0"/>
        <w:spacing w:line="48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供应商： （单位电子签章）</w:t>
      </w:r>
    </w:p>
    <w:p w14:paraId="022FB4C2">
      <w:pPr>
        <w:pageBreakBefore w:val="0"/>
        <w:kinsoku/>
        <w:overflowPunct/>
        <w:bidi w:val="0"/>
        <w:spacing w:line="48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法定代表人或其委托代理人：（电子签名或盖章）</w:t>
      </w:r>
    </w:p>
    <w:p w14:paraId="5EC42205">
      <w:pPr>
        <w:pageBreakBefore w:val="0"/>
        <w:kinsoku/>
        <w:overflowPunct/>
        <w:bidi w:val="0"/>
        <w:spacing w:line="48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bookmarkStart w:id="1099" w:name="_Toc8978"/>
      <w:bookmarkStart w:id="1100" w:name="_Toc13651"/>
      <w:bookmarkStart w:id="1101" w:name="_Toc152042576"/>
      <w:bookmarkStart w:id="1102" w:name="_Toc152045787"/>
      <w:bookmarkStart w:id="1103" w:name="_Toc20198"/>
      <w:bookmarkStart w:id="1104" w:name="_Toc144974856"/>
      <w:bookmarkStart w:id="1105" w:name="_Toc466298157"/>
    </w:p>
    <w:p w14:paraId="387652DE">
      <w:pPr>
        <w:pStyle w:val="28"/>
        <w:pageBreakBefore w:val="0"/>
        <w:kinsoku/>
        <w:overflowPunct/>
        <w:bidi w:val="0"/>
        <w:ind w:firstLine="0" w:firstLineChars="0"/>
        <w:rPr>
          <w:color w:val="auto"/>
          <w:highlight w:val="none"/>
        </w:rPr>
      </w:pPr>
    </w:p>
    <w:p w14:paraId="107C7495">
      <w:pPr>
        <w:pStyle w:val="67"/>
        <w:pageBreakBefore w:val="0"/>
        <w:kinsoku/>
        <w:overflowPunct/>
        <w:bidi w:val="0"/>
        <w:ind w:firstLine="0" w:firstLineChars="0"/>
        <w:jc w:val="center"/>
        <w:rPr>
          <w:rFonts w:ascii="宋体" w:hAnsi="宋体" w:eastAsia="宋体"/>
          <w:color w:val="auto"/>
          <w:sz w:val="32"/>
          <w:szCs w:val="32"/>
          <w:highlight w:val="none"/>
        </w:rPr>
      </w:pPr>
      <w:bookmarkStart w:id="1106" w:name="_Toc17506"/>
      <w:bookmarkStart w:id="1107" w:name="_Toc5177"/>
      <w:r>
        <w:rPr>
          <w:rFonts w:hint="eastAsia" w:ascii="宋体" w:hAnsi="宋体" w:eastAsia="宋体"/>
          <w:color w:val="auto"/>
          <w:sz w:val="32"/>
          <w:szCs w:val="32"/>
          <w:highlight w:val="none"/>
        </w:rPr>
        <w:t>目    录</w:t>
      </w:r>
      <w:bookmarkEnd w:id="1099"/>
      <w:bookmarkEnd w:id="1100"/>
      <w:bookmarkEnd w:id="1101"/>
      <w:bookmarkEnd w:id="1102"/>
      <w:bookmarkEnd w:id="1103"/>
      <w:bookmarkEnd w:id="1104"/>
      <w:bookmarkEnd w:id="1105"/>
      <w:bookmarkEnd w:id="1106"/>
      <w:bookmarkEnd w:id="1107"/>
    </w:p>
    <w:p w14:paraId="16730E47">
      <w:pPr>
        <w:pageBreakBefore w:val="0"/>
        <w:kinsoku/>
        <w:overflowPunct/>
        <w:bidi w:val="0"/>
        <w:spacing w:line="540" w:lineRule="exact"/>
        <w:ind w:firstLine="0" w:firstLineChars="0"/>
        <w:rPr>
          <w:rFonts w:ascii="宋体" w:hAnsi="宋体" w:cs="宋体"/>
          <w:color w:val="auto"/>
          <w:sz w:val="24"/>
          <w:szCs w:val="32"/>
          <w:highlight w:val="none"/>
        </w:rPr>
      </w:pPr>
    </w:p>
    <w:p w14:paraId="2BDE3F09">
      <w:pPr>
        <w:pStyle w:val="8"/>
        <w:numPr>
          <w:ilvl w:val="0"/>
          <w:numId w:val="0"/>
        </w:numPr>
        <w:spacing w:before="156" w:after="156" w:line="360" w:lineRule="exact"/>
        <w:ind w:left="0" w:leftChars="0" w:firstLine="560" w:firstLineChars="200"/>
        <w:rPr>
          <w:rFonts w:hint="eastAsia" w:ascii="宋体" w:hAnsi="宋体" w:cs="宋体"/>
          <w:color w:val="auto"/>
          <w:highlight w:val="none"/>
        </w:rPr>
      </w:pPr>
      <w:bookmarkStart w:id="1108" w:name="_Toc4900"/>
      <w:bookmarkStart w:id="1109" w:name="_Toc23260"/>
      <w:bookmarkStart w:id="1110" w:name="_Toc1039"/>
      <w:bookmarkStart w:id="1111" w:name="_Toc15926"/>
      <w:bookmarkStart w:id="1112" w:name="_Toc230598436"/>
      <w:bookmarkStart w:id="1113" w:name="_Toc21443"/>
      <w:r>
        <w:rPr>
          <w:rFonts w:hint="eastAsia" w:ascii="宋体" w:hAnsi="宋体" w:cs="宋体" w:eastAsiaTheme="minorEastAsia"/>
          <w:color w:val="auto"/>
          <w:kern w:val="2"/>
          <w:sz w:val="28"/>
          <w:szCs w:val="22"/>
          <w:lang w:val="en-US" w:eastAsia="zh-CN" w:bidi="ar-SA"/>
        </w:rPr>
        <w:t>一、</w:t>
      </w:r>
      <w:r>
        <w:rPr>
          <w:rFonts w:hint="eastAsia" w:ascii="宋体" w:hAnsi="宋体" w:cs="宋体"/>
          <w:color w:val="auto"/>
          <w:highlight w:val="none"/>
        </w:rPr>
        <w:t>磋商函及磋商函附录</w:t>
      </w:r>
      <w:bookmarkEnd w:id="1108"/>
      <w:bookmarkEnd w:id="1109"/>
      <w:bookmarkEnd w:id="1110"/>
      <w:bookmarkEnd w:id="1111"/>
    </w:p>
    <w:p w14:paraId="3914EFBC">
      <w:pPr>
        <w:pStyle w:val="8"/>
        <w:numPr>
          <w:ilvl w:val="0"/>
          <w:numId w:val="0"/>
        </w:numPr>
        <w:spacing w:before="156" w:after="156" w:line="360" w:lineRule="exact"/>
        <w:ind w:left="0" w:leftChars="0" w:firstLine="560" w:firstLineChars="200"/>
        <w:rPr>
          <w:rFonts w:hint="eastAsia" w:ascii="宋体" w:hAnsi="宋体" w:cs="宋体"/>
          <w:color w:val="auto"/>
          <w:highlight w:val="none"/>
        </w:rPr>
      </w:pPr>
      <w:bookmarkStart w:id="1114" w:name="_Toc2562"/>
      <w:bookmarkStart w:id="1115" w:name="_Toc5360"/>
      <w:bookmarkStart w:id="1116" w:name="_Toc2990"/>
      <w:bookmarkStart w:id="1117" w:name="_Toc8475"/>
      <w:r>
        <w:rPr>
          <w:rFonts w:hint="eastAsia" w:ascii="宋体" w:hAnsi="宋体" w:cs="宋体" w:eastAsiaTheme="minorEastAsia"/>
          <w:color w:val="auto"/>
          <w:kern w:val="2"/>
          <w:sz w:val="28"/>
          <w:szCs w:val="22"/>
          <w:lang w:val="en-US" w:eastAsia="zh-CN" w:bidi="ar-SA"/>
        </w:rPr>
        <w:t>二、</w:t>
      </w:r>
      <w:r>
        <w:rPr>
          <w:rFonts w:hint="eastAsia" w:ascii="宋体" w:hAnsi="宋体" w:cs="宋体"/>
          <w:color w:val="auto"/>
          <w:highlight w:val="none"/>
        </w:rPr>
        <w:t>法定代表身份证明</w:t>
      </w:r>
      <w:bookmarkEnd w:id="1114"/>
      <w:bookmarkEnd w:id="1115"/>
      <w:bookmarkEnd w:id="1116"/>
      <w:bookmarkEnd w:id="1117"/>
    </w:p>
    <w:p w14:paraId="284693DF">
      <w:pPr>
        <w:pStyle w:val="8"/>
        <w:numPr>
          <w:ilvl w:val="0"/>
          <w:numId w:val="0"/>
        </w:numPr>
        <w:spacing w:before="156" w:after="156" w:line="360" w:lineRule="exact"/>
        <w:ind w:left="0" w:leftChars="0" w:firstLine="560" w:firstLineChars="200"/>
        <w:rPr>
          <w:rFonts w:hint="eastAsia" w:ascii="宋体" w:hAnsi="宋体" w:cs="宋体"/>
          <w:color w:val="auto"/>
          <w:highlight w:val="none"/>
        </w:rPr>
      </w:pPr>
      <w:bookmarkStart w:id="1118" w:name="_Toc25391"/>
      <w:bookmarkStart w:id="1119" w:name="_Toc20914"/>
      <w:bookmarkStart w:id="1120" w:name="_Toc13448"/>
      <w:r>
        <w:rPr>
          <w:rFonts w:hint="eastAsia" w:ascii="宋体" w:hAnsi="宋体" w:cs="宋体" w:eastAsiaTheme="minorEastAsia"/>
          <w:color w:val="auto"/>
          <w:kern w:val="2"/>
          <w:sz w:val="28"/>
          <w:szCs w:val="22"/>
          <w:lang w:val="en-US" w:eastAsia="zh-CN" w:bidi="ar-SA"/>
        </w:rPr>
        <w:t>三、</w:t>
      </w:r>
      <w:r>
        <w:rPr>
          <w:rFonts w:hint="eastAsia" w:ascii="宋体" w:hAnsi="宋体" w:cs="宋体"/>
          <w:color w:val="auto"/>
          <w:highlight w:val="none"/>
        </w:rPr>
        <w:t>授权委托书</w:t>
      </w:r>
      <w:bookmarkEnd w:id="1118"/>
      <w:bookmarkEnd w:id="1119"/>
      <w:bookmarkEnd w:id="1120"/>
    </w:p>
    <w:p w14:paraId="4A795219">
      <w:pPr>
        <w:pStyle w:val="8"/>
        <w:numPr>
          <w:ilvl w:val="0"/>
          <w:numId w:val="0"/>
        </w:numPr>
        <w:spacing w:before="156" w:after="156" w:line="360" w:lineRule="exact"/>
        <w:ind w:left="0" w:leftChars="0" w:firstLine="560" w:firstLineChars="200"/>
        <w:rPr>
          <w:rFonts w:hint="eastAsia" w:ascii="宋体" w:hAnsi="宋体" w:cs="宋体"/>
          <w:color w:val="auto"/>
          <w:highlight w:val="none"/>
        </w:rPr>
      </w:pPr>
      <w:bookmarkStart w:id="1121" w:name="_Toc15935"/>
      <w:bookmarkStart w:id="1122" w:name="_Toc11544"/>
      <w:bookmarkStart w:id="1123" w:name="_Toc26275"/>
      <w:bookmarkStart w:id="1124" w:name="_Toc16999"/>
      <w:r>
        <w:rPr>
          <w:rFonts w:hint="eastAsia" w:ascii="宋体" w:hAnsi="宋体" w:cs="宋体" w:eastAsiaTheme="minorEastAsia"/>
          <w:color w:val="auto"/>
          <w:kern w:val="2"/>
          <w:sz w:val="28"/>
          <w:szCs w:val="22"/>
          <w:lang w:val="en-US" w:eastAsia="zh-CN" w:bidi="ar-SA"/>
        </w:rPr>
        <w:t>四、</w:t>
      </w:r>
      <w:r>
        <w:rPr>
          <w:rFonts w:hint="eastAsia" w:ascii="宋体" w:hAnsi="宋体" w:cs="宋体"/>
          <w:color w:val="auto"/>
          <w:highlight w:val="none"/>
        </w:rPr>
        <w:t>资格证明文件</w:t>
      </w:r>
      <w:bookmarkEnd w:id="1121"/>
      <w:bookmarkEnd w:id="1122"/>
      <w:bookmarkEnd w:id="1123"/>
      <w:bookmarkEnd w:id="1124"/>
    </w:p>
    <w:p w14:paraId="23E8A163">
      <w:pPr>
        <w:pStyle w:val="8"/>
        <w:numPr>
          <w:ilvl w:val="0"/>
          <w:numId w:val="0"/>
        </w:numPr>
        <w:spacing w:before="156" w:after="156" w:line="360" w:lineRule="exact"/>
        <w:ind w:left="0" w:leftChars="0" w:firstLine="560" w:firstLineChars="200"/>
        <w:rPr>
          <w:rFonts w:hint="eastAsia" w:ascii="宋体" w:hAnsi="宋体" w:cs="宋体"/>
          <w:color w:val="auto"/>
          <w:highlight w:val="none"/>
        </w:rPr>
      </w:pPr>
      <w:r>
        <w:rPr>
          <w:rFonts w:hint="eastAsia" w:ascii="宋体" w:hAnsi="宋体" w:cs="宋体"/>
          <w:color w:val="auto"/>
          <w:kern w:val="2"/>
          <w:sz w:val="28"/>
          <w:szCs w:val="22"/>
          <w:lang w:val="en-US" w:eastAsia="zh-CN" w:bidi="ar-SA"/>
        </w:rPr>
        <w:t>五</w:t>
      </w:r>
      <w:r>
        <w:rPr>
          <w:rFonts w:hint="eastAsia" w:ascii="宋体" w:hAnsi="宋体" w:cs="宋体" w:eastAsiaTheme="minorEastAsia"/>
          <w:color w:val="auto"/>
          <w:kern w:val="2"/>
          <w:sz w:val="28"/>
          <w:szCs w:val="22"/>
          <w:lang w:val="en-US" w:eastAsia="zh-CN" w:bidi="ar-SA"/>
        </w:rPr>
        <w:t>、</w:t>
      </w:r>
      <w:r>
        <w:rPr>
          <w:rFonts w:hint="eastAsia" w:ascii="宋体" w:hAnsi="宋体" w:cs="宋体"/>
          <w:color w:val="auto"/>
          <w:highlight w:val="none"/>
        </w:rPr>
        <w:t>技术方案</w:t>
      </w:r>
    </w:p>
    <w:p w14:paraId="7FC2EC5D">
      <w:pPr>
        <w:pStyle w:val="8"/>
        <w:numPr>
          <w:ilvl w:val="0"/>
          <w:numId w:val="0"/>
        </w:numPr>
        <w:spacing w:before="156" w:after="156" w:line="360" w:lineRule="exact"/>
        <w:ind w:left="0" w:leftChars="0" w:firstLine="560" w:firstLineChars="200"/>
        <w:rPr>
          <w:rFonts w:hint="eastAsia" w:ascii="宋体" w:hAnsi="宋体" w:cs="宋体"/>
          <w:color w:val="auto"/>
          <w:highlight w:val="none"/>
        </w:rPr>
      </w:pPr>
      <w:bookmarkStart w:id="1125" w:name="_Toc14020"/>
      <w:bookmarkStart w:id="1126" w:name="_Toc29046"/>
      <w:bookmarkStart w:id="1127" w:name="_Toc16154"/>
      <w:bookmarkStart w:id="1128" w:name="_Toc25126"/>
      <w:r>
        <w:rPr>
          <w:rFonts w:hint="eastAsia" w:ascii="宋体" w:hAnsi="宋体" w:cs="宋体"/>
          <w:color w:val="auto"/>
          <w:kern w:val="2"/>
          <w:sz w:val="28"/>
          <w:szCs w:val="22"/>
          <w:lang w:val="en-US" w:eastAsia="zh-CN" w:bidi="ar-SA"/>
        </w:rPr>
        <w:t>六</w:t>
      </w:r>
      <w:r>
        <w:rPr>
          <w:rFonts w:hint="eastAsia" w:ascii="宋体" w:hAnsi="宋体" w:cs="宋体" w:eastAsiaTheme="minorEastAsia"/>
          <w:color w:val="auto"/>
          <w:kern w:val="2"/>
          <w:sz w:val="28"/>
          <w:szCs w:val="22"/>
          <w:lang w:val="en-US" w:eastAsia="zh-CN" w:bidi="ar-SA"/>
        </w:rPr>
        <w:t>、</w:t>
      </w:r>
      <w:r>
        <w:rPr>
          <w:rFonts w:hint="eastAsia" w:ascii="宋体" w:hAnsi="宋体" w:cs="宋体"/>
          <w:color w:val="auto"/>
          <w:highlight w:val="none"/>
        </w:rPr>
        <w:t>类似项目业绩</w:t>
      </w:r>
      <w:bookmarkEnd w:id="1125"/>
      <w:bookmarkEnd w:id="1126"/>
      <w:bookmarkEnd w:id="1127"/>
      <w:bookmarkEnd w:id="1128"/>
    </w:p>
    <w:p w14:paraId="6F490565">
      <w:pPr>
        <w:pStyle w:val="8"/>
        <w:numPr>
          <w:ilvl w:val="0"/>
          <w:numId w:val="0"/>
        </w:numPr>
        <w:spacing w:before="156" w:after="156" w:line="360" w:lineRule="exact"/>
        <w:ind w:left="0" w:leftChars="0" w:firstLine="560" w:firstLineChars="200"/>
        <w:rPr>
          <w:rFonts w:hint="eastAsia" w:ascii="宋体" w:hAnsi="宋体" w:cs="宋体"/>
          <w:color w:val="auto"/>
          <w:highlight w:val="none"/>
        </w:rPr>
      </w:pPr>
      <w:r>
        <w:rPr>
          <w:rFonts w:hint="eastAsia" w:ascii="宋体" w:hAnsi="宋体" w:cs="宋体"/>
          <w:color w:val="auto"/>
          <w:kern w:val="2"/>
          <w:sz w:val="28"/>
          <w:szCs w:val="22"/>
          <w:lang w:val="en-US" w:eastAsia="zh-CN" w:bidi="ar-SA"/>
        </w:rPr>
        <w:t>七</w:t>
      </w:r>
      <w:r>
        <w:rPr>
          <w:rFonts w:hint="eastAsia" w:ascii="宋体" w:hAnsi="宋体" w:cs="宋体" w:eastAsiaTheme="minorEastAsia"/>
          <w:color w:val="auto"/>
          <w:kern w:val="2"/>
          <w:sz w:val="28"/>
          <w:szCs w:val="22"/>
          <w:lang w:val="en-US" w:eastAsia="zh-CN" w:bidi="ar-SA"/>
        </w:rPr>
        <w:t>、</w:t>
      </w:r>
      <w:r>
        <w:rPr>
          <w:rFonts w:hint="eastAsia" w:ascii="宋体" w:hAnsi="宋体" w:cs="宋体"/>
          <w:color w:val="auto"/>
          <w:highlight w:val="none"/>
        </w:rPr>
        <w:t>中小企业声明函</w:t>
      </w:r>
    </w:p>
    <w:p w14:paraId="13668625">
      <w:pPr>
        <w:pStyle w:val="8"/>
        <w:numPr>
          <w:ilvl w:val="0"/>
          <w:numId w:val="0"/>
        </w:numPr>
        <w:spacing w:before="156" w:after="156" w:line="360" w:lineRule="exact"/>
        <w:ind w:left="0" w:leftChars="0" w:firstLine="560" w:firstLineChars="200"/>
        <w:rPr>
          <w:rFonts w:hint="eastAsia" w:ascii="宋体" w:hAnsi="宋体" w:cs="宋体"/>
          <w:color w:val="auto"/>
          <w:highlight w:val="none"/>
        </w:rPr>
      </w:pPr>
      <w:bookmarkStart w:id="1129" w:name="_Toc11809"/>
      <w:bookmarkStart w:id="1130" w:name="_Toc9497"/>
      <w:bookmarkStart w:id="1131" w:name="_Toc23454"/>
      <w:bookmarkStart w:id="1132" w:name="_Toc26109"/>
      <w:bookmarkStart w:id="1133" w:name="_Toc13633"/>
      <w:r>
        <w:rPr>
          <w:rFonts w:hint="eastAsia" w:ascii="宋体" w:hAnsi="宋体" w:cs="宋体"/>
          <w:color w:val="auto"/>
          <w:kern w:val="2"/>
          <w:sz w:val="28"/>
          <w:szCs w:val="22"/>
          <w:lang w:val="en-US" w:eastAsia="zh-CN" w:bidi="ar-SA"/>
        </w:rPr>
        <w:t>八</w:t>
      </w:r>
      <w:r>
        <w:rPr>
          <w:rFonts w:hint="eastAsia" w:ascii="宋体" w:hAnsi="宋体" w:cs="宋体" w:eastAsiaTheme="minorEastAsia"/>
          <w:color w:val="auto"/>
          <w:kern w:val="2"/>
          <w:sz w:val="28"/>
          <w:szCs w:val="22"/>
          <w:lang w:val="en-US" w:eastAsia="zh-CN" w:bidi="ar-SA"/>
        </w:rPr>
        <w:t>、</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_Toc7101 </w:instrText>
      </w:r>
      <w:r>
        <w:rPr>
          <w:rFonts w:hint="eastAsia" w:ascii="宋体" w:hAnsi="宋体" w:cs="宋体"/>
          <w:color w:val="auto"/>
          <w:highlight w:val="none"/>
        </w:rPr>
        <w:fldChar w:fldCharType="separate"/>
      </w:r>
      <w:r>
        <w:rPr>
          <w:rFonts w:hint="eastAsia" w:ascii="宋体" w:hAnsi="宋体" w:cs="宋体"/>
          <w:color w:val="auto"/>
          <w:highlight w:val="none"/>
        </w:rPr>
        <w:t>残疾人福利性单位声明</w:t>
      </w:r>
      <w:r>
        <w:rPr>
          <w:rFonts w:hint="eastAsia" w:ascii="宋体" w:hAnsi="宋体" w:cs="宋体"/>
          <w:color w:val="auto"/>
          <w:highlight w:val="none"/>
        </w:rPr>
        <w:fldChar w:fldCharType="end"/>
      </w:r>
      <w:bookmarkEnd w:id="1129"/>
      <w:bookmarkEnd w:id="1130"/>
      <w:bookmarkEnd w:id="1131"/>
      <w:bookmarkEnd w:id="1132"/>
      <w:bookmarkEnd w:id="1133"/>
    </w:p>
    <w:p w14:paraId="2217555A">
      <w:pPr>
        <w:pStyle w:val="8"/>
        <w:numPr>
          <w:ilvl w:val="0"/>
          <w:numId w:val="0"/>
        </w:numPr>
        <w:spacing w:before="156" w:after="156" w:line="360" w:lineRule="exact"/>
        <w:ind w:left="0" w:leftChars="0" w:firstLine="560" w:firstLineChars="200"/>
        <w:rPr>
          <w:rFonts w:hint="eastAsia" w:ascii="宋体" w:hAnsi="宋体" w:cs="宋体"/>
          <w:color w:val="auto"/>
          <w:highlight w:val="none"/>
        </w:rPr>
      </w:pPr>
      <w:bookmarkStart w:id="1134" w:name="_Toc2222"/>
      <w:bookmarkStart w:id="1135" w:name="_Toc25731"/>
      <w:bookmarkStart w:id="1136" w:name="_Toc22258"/>
      <w:bookmarkStart w:id="1137" w:name="_Toc10469"/>
      <w:bookmarkStart w:id="1138" w:name="_Toc7503"/>
      <w:r>
        <w:rPr>
          <w:rFonts w:hint="eastAsia" w:ascii="宋体" w:hAnsi="宋体" w:cs="宋体"/>
          <w:color w:val="auto"/>
          <w:kern w:val="2"/>
          <w:sz w:val="28"/>
          <w:szCs w:val="22"/>
          <w:lang w:val="en-US" w:eastAsia="zh-CN" w:bidi="ar-SA"/>
        </w:rPr>
        <w:t>九</w:t>
      </w:r>
      <w:r>
        <w:rPr>
          <w:rFonts w:hint="eastAsia" w:ascii="宋体" w:hAnsi="宋体" w:cs="宋体" w:eastAsiaTheme="minorEastAsia"/>
          <w:color w:val="auto"/>
          <w:kern w:val="2"/>
          <w:sz w:val="28"/>
          <w:szCs w:val="22"/>
          <w:lang w:val="en-US" w:eastAsia="zh-CN" w:bidi="ar-SA"/>
        </w:rPr>
        <w:t>、</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_Toc19926 </w:instrText>
      </w:r>
      <w:r>
        <w:rPr>
          <w:rFonts w:hint="eastAsia" w:ascii="宋体" w:hAnsi="宋体" w:cs="宋体"/>
          <w:color w:val="auto"/>
          <w:highlight w:val="none"/>
        </w:rPr>
        <w:fldChar w:fldCharType="separate"/>
      </w:r>
      <w:r>
        <w:rPr>
          <w:rFonts w:hint="eastAsia" w:ascii="宋体" w:hAnsi="宋体" w:cs="宋体"/>
          <w:color w:val="auto"/>
          <w:highlight w:val="none"/>
        </w:rPr>
        <w:t>监狱企业证明文件（如有）</w:t>
      </w:r>
      <w:r>
        <w:rPr>
          <w:rFonts w:hint="eastAsia" w:ascii="宋体" w:hAnsi="宋体" w:cs="宋体"/>
          <w:color w:val="auto"/>
          <w:highlight w:val="none"/>
        </w:rPr>
        <w:fldChar w:fldCharType="end"/>
      </w:r>
      <w:bookmarkEnd w:id="1134"/>
      <w:bookmarkEnd w:id="1135"/>
      <w:bookmarkEnd w:id="1136"/>
      <w:bookmarkEnd w:id="1137"/>
      <w:bookmarkEnd w:id="1138"/>
    </w:p>
    <w:p w14:paraId="18720BD1">
      <w:pPr>
        <w:pStyle w:val="8"/>
        <w:numPr>
          <w:ilvl w:val="0"/>
          <w:numId w:val="0"/>
        </w:numPr>
        <w:spacing w:before="156" w:after="156" w:line="360" w:lineRule="exact"/>
        <w:ind w:left="0" w:leftChars="0" w:firstLine="560" w:firstLineChars="200"/>
        <w:rPr>
          <w:rFonts w:hint="eastAsia" w:ascii="宋体" w:hAnsi="宋体" w:cs="宋体"/>
          <w:color w:val="auto"/>
          <w:highlight w:val="none"/>
        </w:rPr>
      </w:pPr>
      <w:bookmarkStart w:id="1139" w:name="_Toc19491"/>
      <w:bookmarkStart w:id="1140" w:name="_Toc26263"/>
      <w:bookmarkStart w:id="1141" w:name="_Toc27336"/>
      <w:bookmarkStart w:id="1142" w:name="_Toc18126"/>
      <w:bookmarkStart w:id="1143" w:name="_Toc861"/>
      <w:r>
        <w:rPr>
          <w:rFonts w:hint="eastAsia" w:ascii="宋体" w:hAnsi="宋体" w:cs="宋体"/>
          <w:color w:val="auto"/>
          <w:kern w:val="2"/>
          <w:sz w:val="28"/>
          <w:szCs w:val="22"/>
          <w:lang w:val="en-US" w:eastAsia="zh-CN" w:bidi="ar-SA"/>
        </w:rPr>
        <w:t>十</w:t>
      </w:r>
      <w:r>
        <w:rPr>
          <w:rFonts w:hint="eastAsia" w:ascii="宋体" w:hAnsi="宋体" w:cs="宋体" w:eastAsiaTheme="minorEastAsia"/>
          <w:color w:val="auto"/>
          <w:kern w:val="2"/>
          <w:sz w:val="28"/>
          <w:szCs w:val="22"/>
          <w:lang w:val="en-US" w:eastAsia="zh-CN" w:bidi="ar-SA"/>
        </w:rPr>
        <w:t>、</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_Toc30624 </w:instrText>
      </w:r>
      <w:r>
        <w:rPr>
          <w:rFonts w:hint="eastAsia" w:ascii="宋体" w:hAnsi="宋体" w:cs="宋体"/>
          <w:color w:val="auto"/>
          <w:highlight w:val="none"/>
        </w:rPr>
        <w:fldChar w:fldCharType="separate"/>
      </w:r>
      <w:r>
        <w:rPr>
          <w:rFonts w:hint="eastAsia" w:ascii="宋体" w:hAnsi="宋体" w:cs="宋体"/>
          <w:color w:val="auto"/>
          <w:highlight w:val="none"/>
        </w:rPr>
        <w:t>其他材料</w:t>
      </w:r>
      <w:r>
        <w:rPr>
          <w:rFonts w:hint="eastAsia" w:ascii="宋体" w:hAnsi="宋体" w:cs="宋体"/>
          <w:color w:val="auto"/>
          <w:highlight w:val="none"/>
        </w:rPr>
        <w:fldChar w:fldCharType="end"/>
      </w:r>
      <w:bookmarkEnd w:id="1139"/>
      <w:bookmarkEnd w:id="1140"/>
      <w:bookmarkEnd w:id="1141"/>
      <w:bookmarkEnd w:id="1142"/>
      <w:bookmarkEnd w:id="1143"/>
    </w:p>
    <w:p w14:paraId="7343DC8F">
      <w:pPr>
        <w:rPr>
          <w:rFonts w:hint="eastAsia" w:ascii="宋体" w:hAnsi="宋体" w:cs="宋体"/>
          <w:color w:val="auto"/>
          <w:highlight w:val="none"/>
        </w:rPr>
      </w:pPr>
    </w:p>
    <w:p w14:paraId="30A9ABC4">
      <w:pPr>
        <w:rPr>
          <w:rFonts w:hint="eastAsia" w:ascii="宋体" w:hAnsi="宋体" w:cs="宋体"/>
          <w:color w:val="auto"/>
          <w:highlight w:val="none"/>
        </w:rPr>
      </w:pPr>
    </w:p>
    <w:p w14:paraId="399E7518">
      <w:pPr>
        <w:rPr>
          <w:rFonts w:hint="eastAsia" w:ascii="宋体" w:hAnsi="宋体" w:cs="宋体"/>
          <w:color w:val="auto"/>
          <w:highlight w:val="none"/>
        </w:rPr>
      </w:pPr>
    </w:p>
    <w:p w14:paraId="7DD945AA">
      <w:pPr>
        <w:pStyle w:val="29"/>
        <w:rPr>
          <w:rFonts w:hint="eastAsia" w:ascii="宋体" w:hAnsi="宋体" w:cs="宋体"/>
          <w:color w:val="auto"/>
          <w:highlight w:val="none"/>
        </w:rPr>
      </w:pPr>
    </w:p>
    <w:p w14:paraId="1286EDC0">
      <w:pPr>
        <w:pStyle w:val="28"/>
        <w:spacing w:before="156" w:after="156"/>
        <w:rPr>
          <w:rFonts w:hint="eastAsia" w:ascii="宋体" w:hAnsi="宋体" w:cs="宋体"/>
          <w:color w:val="auto"/>
          <w:highlight w:val="none"/>
        </w:rPr>
      </w:pPr>
    </w:p>
    <w:p w14:paraId="5D2C2F7D">
      <w:pPr>
        <w:rPr>
          <w:rFonts w:hint="eastAsia" w:ascii="宋体" w:hAnsi="宋体" w:cs="宋体"/>
          <w:color w:val="auto"/>
          <w:highlight w:val="none"/>
        </w:rPr>
      </w:pPr>
    </w:p>
    <w:p w14:paraId="360B5E85">
      <w:pPr>
        <w:pStyle w:val="29"/>
        <w:rPr>
          <w:rFonts w:hint="eastAsia" w:ascii="宋体" w:hAnsi="宋体" w:cs="宋体"/>
          <w:color w:val="auto"/>
          <w:highlight w:val="none"/>
        </w:rPr>
      </w:pPr>
    </w:p>
    <w:p w14:paraId="37450160">
      <w:pPr>
        <w:rPr>
          <w:rFonts w:hint="eastAsia" w:ascii="宋体" w:hAnsi="宋体" w:cs="宋体"/>
          <w:color w:val="auto"/>
          <w:highlight w:val="none"/>
        </w:rPr>
      </w:pPr>
    </w:p>
    <w:p w14:paraId="5C20DA5C">
      <w:pPr>
        <w:rPr>
          <w:rFonts w:hint="eastAsia" w:ascii="宋体" w:hAnsi="宋体" w:cs="宋体"/>
          <w:color w:val="auto"/>
          <w:highlight w:val="none"/>
        </w:rPr>
      </w:pPr>
    </w:p>
    <w:p w14:paraId="45B578AF">
      <w:pPr>
        <w:rPr>
          <w:rFonts w:hint="eastAsia" w:ascii="宋体" w:hAnsi="宋体" w:cs="宋体"/>
          <w:color w:val="auto"/>
          <w:highlight w:val="none"/>
        </w:rPr>
      </w:pPr>
    </w:p>
    <w:p w14:paraId="28163A66">
      <w:pPr>
        <w:pStyle w:val="4"/>
        <w:jc w:val="center"/>
        <w:rPr>
          <w:rFonts w:hint="eastAsia" w:ascii="宋体" w:hAnsi="宋体" w:eastAsia="宋体" w:cs="宋体"/>
          <w:color w:val="auto"/>
          <w:highlight w:val="none"/>
        </w:rPr>
      </w:pPr>
      <w:bookmarkStart w:id="1144" w:name="_Toc30083"/>
      <w:bookmarkStart w:id="1145" w:name="_Toc466298158"/>
      <w:bookmarkStart w:id="1146" w:name="_Toc144974857"/>
      <w:bookmarkStart w:id="1147" w:name="_Toc31024"/>
      <w:bookmarkStart w:id="1148" w:name="_Toc152045788"/>
      <w:bookmarkStart w:id="1149" w:name="_Toc7434"/>
      <w:bookmarkStart w:id="1150" w:name="_Toc152042577"/>
      <w:bookmarkStart w:id="1151" w:name="_Toc5110"/>
      <w:r>
        <w:rPr>
          <w:rFonts w:hint="eastAsia" w:ascii="宋体" w:hAnsi="宋体" w:eastAsia="宋体" w:cs="宋体"/>
          <w:color w:val="auto"/>
          <w:highlight w:val="none"/>
        </w:rPr>
        <w:br w:type="page"/>
      </w:r>
      <w:bookmarkEnd w:id="1144"/>
      <w:bookmarkEnd w:id="1145"/>
      <w:bookmarkEnd w:id="1146"/>
      <w:bookmarkEnd w:id="1147"/>
      <w:bookmarkEnd w:id="1148"/>
      <w:bookmarkEnd w:id="1149"/>
      <w:bookmarkEnd w:id="1150"/>
      <w:bookmarkEnd w:id="1151"/>
      <w:bookmarkStart w:id="1152" w:name="_Toc32161"/>
      <w:bookmarkStart w:id="1153" w:name="_Toc784"/>
      <w:r>
        <w:rPr>
          <w:rFonts w:hint="eastAsia" w:ascii="宋体" w:hAnsi="宋体" w:eastAsia="宋体" w:cs="宋体"/>
          <w:color w:val="auto"/>
          <w:highlight w:val="none"/>
        </w:rPr>
        <w:t>一、磋商函及磋商函附录</w:t>
      </w:r>
      <w:bookmarkEnd w:id="1152"/>
      <w:bookmarkEnd w:id="1153"/>
    </w:p>
    <w:p w14:paraId="715762EA">
      <w:pPr>
        <w:pStyle w:val="5"/>
        <w:jc w:val="center"/>
        <w:rPr>
          <w:rFonts w:hint="eastAsia" w:ascii="宋体" w:hAnsi="宋体" w:cs="宋体"/>
          <w:color w:val="auto"/>
          <w:highlight w:val="none"/>
        </w:rPr>
      </w:pPr>
      <w:bookmarkStart w:id="1154" w:name="_Toc6005"/>
      <w:bookmarkStart w:id="1155" w:name="_Toc152045789"/>
      <w:bookmarkStart w:id="1156" w:name="_Toc26262"/>
      <w:bookmarkStart w:id="1157" w:name="_Toc11855"/>
      <w:bookmarkStart w:id="1158" w:name="_Toc466298159"/>
      <w:bookmarkStart w:id="1159" w:name="_Toc25364"/>
      <w:bookmarkStart w:id="1160" w:name="_Toc23888"/>
      <w:bookmarkStart w:id="1161" w:name="_Toc455080170"/>
      <w:bookmarkStart w:id="1162" w:name="_Toc144974858"/>
      <w:bookmarkStart w:id="1163" w:name="_Toc18705"/>
      <w:bookmarkStart w:id="1164" w:name="_Toc318450744"/>
      <w:bookmarkStart w:id="1165" w:name="_Toc3959"/>
      <w:bookmarkStart w:id="1166" w:name="_Toc393"/>
      <w:bookmarkStart w:id="1167" w:name="_Toc490667892"/>
      <w:bookmarkStart w:id="1168" w:name="_Toc455867830"/>
      <w:bookmarkStart w:id="1169" w:name="_Toc29571"/>
      <w:bookmarkStart w:id="1170" w:name="_Toc30581"/>
      <w:bookmarkStart w:id="1171" w:name="_Toc152042578"/>
      <w:bookmarkStart w:id="1172" w:name="_Toc8915"/>
      <w:r>
        <w:rPr>
          <w:rFonts w:hint="eastAsia" w:ascii="宋体" w:hAnsi="宋体" w:cs="宋体"/>
          <w:color w:val="auto"/>
          <w:highlight w:val="none"/>
        </w:rPr>
        <w:t>（一）磋商函</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14:paraId="48C6FB77">
      <w:pPr>
        <w:pStyle w:val="17"/>
        <w:spacing w:line="420" w:lineRule="exact"/>
        <w:ind w:left="98" w:leftChars="0" w:hanging="98" w:hangingChars="47"/>
        <w:rPr>
          <w:rFonts w:hint="eastAsia" w:ascii="宋体" w:hAnsi="宋体" w:cs="宋体"/>
          <w:color w:val="auto"/>
          <w:szCs w:val="21"/>
          <w:highlight w:val="none"/>
        </w:rPr>
      </w:pPr>
      <w:bookmarkStart w:id="1173" w:name="_Toc19056"/>
      <w:bookmarkStart w:id="1174" w:name="_Toc466298160"/>
      <w:bookmarkStart w:id="1175" w:name="_Toc490667893"/>
      <w:bookmarkStart w:id="1176" w:name="_Toc447888814"/>
      <w:r>
        <w:rPr>
          <w:rFonts w:hint="eastAsia" w:ascii="宋体" w:hAnsi="宋体" w:cs="宋体"/>
          <w:color w:val="auto"/>
          <w:szCs w:val="21"/>
          <w:highlight w:val="none"/>
        </w:rPr>
        <w:t>致 ：</w:t>
      </w:r>
      <w:r>
        <w:rPr>
          <w:rFonts w:hint="eastAsia" w:ascii="宋体" w:hAnsi="宋体" w:cs="宋体"/>
          <w:color w:val="auto"/>
          <w:szCs w:val="21"/>
          <w:highlight w:val="none"/>
          <w:u w:val="single"/>
        </w:rPr>
        <w:t>（采购人）</w:t>
      </w:r>
    </w:p>
    <w:p w14:paraId="062C91E6">
      <w:pPr>
        <w:pStyle w:val="17"/>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1．根据已收到的</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的竞争性磋商文件，遵照《中华人民共和国政府采购法》等有关规定，经考察和认真研究本项目竞争性磋商文件及其它有关文件后，愿以人民币（大写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）的磋商总报价作为第一次磋商报价，按合同约定实施和完成本项目，并承担其任何质量缺陷等问题所造成的任何损失。</w:t>
      </w:r>
    </w:p>
    <w:p w14:paraId="76416D77">
      <w:pPr>
        <w:pStyle w:val="17"/>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14:paraId="254BB55C">
      <w:pPr>
        <w:pStyle w:val="17"/>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3．我方在此承诺，我方若能成交，保证在服务期限内，全面履行竞争性磋商文件中规定的职责和义务。</w:t>
      </w:r>
    </w:p>
    <w:p w14:paraId="440610E6">
      <w:pPr>
        <w:pStyle w:val="17"/>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4．如果我方成交，我方保证按合同条款中规定的内容执行；我方保证质量达到国家及行业现行标准规范规定的合格要求，并按竞争性磋商文件和有关规定提交一切资料。</w:t>
      </w:r>
    </w:p>
    <w:p w14:paraId="0880EA4D">
      <w:pPr>
        <w:pStyle w:val="17"/>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5．如果我方成交，我方将按照采购人规定提交履约保证金。</w:t>
      </w:r>
    </w:p>
    <w:p w14:paraId="427352D0">
      <w:pPr>
        <w:pStyle w:val="17"/>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6．我方同意从响应文件递交截止日期起</w:t>
      </w:r>
      <w:r>
        <w:rPr>
          <w:rFonts w:hint="eastAsia" w:ascii="宋体" w:hAnsi="宋体" w:cs="宋体"/>
          <w:color w:val="auto"/>
          <w:szCs w:val="21"/>
          <w:highlight w:val="none"/>
          <w:u w:val="single"/>
        </w:rPr>
        <w:t xml:space="preserve"> 60</w:t>
      </w:r>
      <w:r>
        <w:rPr>
          <w:rFonts w:hint="eastAsia" w:ascii="宋体" w:hAnsi="宋体" w:cs="宋体"/>
          <w:color w:val="auto"/>
          <w:szCs w:val="21"/>
          <w:highlight w:val="none"/>
        </w:rPr>
        <w:t>日历天内保持响应文件有效，在此有效期内，我方将严格遵守响应文件的承诺，本响应文件对我方具有约束力，并可随时被接受成交。</w:t>
      </w:r>
    </w:p>
    <w:p w14:paraId="0D39AE7A">
      <w:pPr>
        <w:pStyle w:val="17"/>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7．除响应文件所提交的资料外，我方同意随时接受贵方的检查、询问，并根据磋商需要补充贵方要求提交的资料。</w:t>
      </w:r>
    </w:p>
    <w:p w14:paraId="1242A16E">
      <w:pPr>
        <w:pStyle w:val="17"/>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8．如果我方成交后，我方没有任何正当理由而拒签合同，同时我方愿意补偿该项工作因我方延误所造成的经济损失。</w:t>
      </w:r>
    </w:p>
    <w:p w14:paraId="502F5E67">
      <w:pPr>
        <w:pStyle w:val="17"/>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9．我方愿接受合同条款中规定的合同价款计算和调整方式。</w:t>
      </w:r>
    </w:p>
    <w:p w14:paraId="2E00C257">
      <w:pPr>
        <w:pStyle w:val="17"/>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10．除非另外达成协议并生效，贵方的成交通知书和本响应文件将成为约束我方的合同文件组成部分。</w:t>
      </w:r>
    </w:p>
    <w:p w14:paraId="32A999EE">
      <w:pPr>
        <w:pStyle w:val="17"/>
        <w:spacing w:line="420" w:lineRule="exact"/>
        <w:ind w:left="1" w:leftChars="0" w:firstLine="420" w:firstLineChars="200"/>
        <w:rPr>
          <w:rFonts w:hint="eastAsia" w:ascii="宋体" w:hAnsi="宋体" w:cs="宋体"/>
          <w:color w:val="auto"/>
          <w:szCs w:val="21"/>
          <w:highlight w:val="none"/>
        </w:rPr>
      </w:pPr>
    </w:p>
    <w:p w14:paraId="7C92EBC9">
      <w:pPr>
        <w:pStyle w:val="17"/>
        <w:spacing w:line="420" w:lineRule="exact"/>
        <w:ind w:left="0" w:leftChars="0" w:firstLine="0" w:firstLineChars="0"/>
        <w:rPr>
          <w:rFonts w:hint="eastAsia" w:ascii="宋体" w:hAnsi="宋体" w:cs="宋体"/>
          <w:color w:val="auto"/>
          <w:szCs w:val="21"/>
          <w:highlight w:val="none"/>
        </w:rPr>
      </w:pPr>
    </w:p>
    <w:p w14:paraId="3BCD8573">
      <w:pPr>
        <w:pStyle w:val="17"/>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（单位电子签章）</w:t>
      </w:r>
    </w:p>
    <w:p w14:paraId="257ECB91">
      <w:pPr>
        <w:pStyle w:val="17"/>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12E0ABAC">
      <w:pPr>
        <w:pStyle w:val="17"/>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14:paraId="1C7788ED">
      <w:pPr>
        <w:pStyle w:val="17"/>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     年    月    日</w:t>
      </w:r>
    </w:p>
    <w:bookmarkEnd w:id="1173"/>
    <w:bookmarkEnd w:id="1174"/>
    <w:bookmarkEnd w:id="1175"/>
    <w:bookmarkEnd w:id="1176"/>
    <w:p w14:paraId="53D688F8">
      <w:pPr>
        <w:pStyle w:val="5"/>
        <w:jc w:val="center"/>
        <w:rPr>
          <w:rFonts w:hint="eastAsia" w:ascii="宋体" w:hAnsi="宋体" w:cs="宋体"/>
          <w:color w:val="auto"/>
          <w:highlight w:val="none"/>
        </w:rPr>
      </w:pPr>
      <w:bookmarkStart w:id="1177" w:name="_Toc32389"/>
      <w:bookmarkStart w:id="1178" w:name="_Toc3933"/>
      <w:bookmarkStart w:id="1179" w:name="_Toc912"/>
      <w:bookmarkStart w:id="1180" w:name="_Toc11398"/>
      <w:bookmarkStart w:id="1181" w:name="_Toc2165"/>
      <w:bookmarkStart w:id="1182" w:name="_Toc32257"/>
      <w:bookmarkStart w:id="1183" w:name="_Toc152045791"/>
      <w:bookmarkStart w:id="1184" w:name="_Toc144974860"/>
      <w:bookmarkStart w:id="1185" w:name="_Toc287367268"/>
      <w:bookmarkStart w:id="1186" w:name="_Toc152042580"/>
      <w:r>
        <w:rPr>
          <w:rFonts w:hint="eastAsia" w:ascii="宋体" w:hAnsi="宋体" w:cs="宋体"/>
          <w:color w:val="auto"/>
          <w:highlight w:val="none"/>
        </w:rPr>
        <w:t>（二）响应函附录</w:t>
      </w:r>
      <w:bookmarkEnd w:id="1177"/>
      <w:bookmarkEnd w:id="1178"/>
      <w:bookmarkEnd w:id="1179"/>
      <w:bookmarkEnd w:id="1180"/>
      <w:bookmarkEnd w:id="1181"/>
      <w:bookmarkEnd w:id="1182"/>
    </w:p>
    <w:p w14:paraId="59621EC7">
      <w:pPr>
        <w:rPr>
          <w:rFonts w:hint="eastAsia" w:ascii="宋体" w:hAnsi="宋体" w:cs="宋体"/>
          <w:color w:val="auto"/>
          <w:highlight w:val="none"/>
        </w:rPr>
      </w:pPr>
    </w:p>
    <w:tbl>
      <w:tblPr>
        <w:tblStyle w:val="30"/>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196"/>
        <w:gridCol w:w="2769"/>
        <w:gridCol w:w="3106"/>
      </w:tblGrid>
      <w:tr w14:paraId="4BEFB8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90" w:hRule="atLeast"/>
          <w:jc w:val="center"/>
        </w:trPr>
        <w:tc>
          <w:tcPr>
            <w:tcW w:w="3196" w:type="dxa"/>
            <w:noWrap w:val="0"/>
            <w:vAlign w:val="center"/>
          </w:tcPr>
          <w:p w14:paraId="279FDCB5">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5875" w:type="dxa"/>
            <w:gridSpan w:val="2"/>
            <w:noWrap w:val="0"/>
            <w:vAlign w:val="center"/>
          </w:tcPr>
          <w:p w14:paraId="4DAF1074">
            <w:pPr>
              <w:rPr>
                <w:rFonts w:hint="eastAsia" w:ascii="宋体" w:hAnsi="宋体" w:cs="宋体"/>
                <w:color w:val="auto"/>
                <w:szCs w:val="21"/>
                <w:highlight w:val="none"/>
              </w:rPr>
            </w:pPr>
          </w:p>
        </w:tc>
      </w:tr>
      <w:tr w14:paraId="01453F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95" w:hRule="atLeast"/>
          <w:jc w:val="center"/>
        </w:trPr>
        <w:tc>
          <w:tcPr>
            <w:tcW w:w="3196" w:type="dxa"/>
            <w:noWrap w:val="0"/>
            <w:vAlign w:val="center"/>
          </w:tcPr>
          <w:p w14:paraId="51B2E703">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供应商</w:t>
            </w:r>
          </w:p>
        </w:tc>
        <w:tc>
          <w:tcPr>
            <w:tcW w:w="5875" w:type="dxa"/>
            <w:gridSpan w:val="2"/>
            <w:noWrap w:val="0"/>
            <w:vAlign w:val="center"/>
          </w:tcPr>
          <w:p w14:paraId="2E92FA48">
            <w:pPr>
              <w:rPr>
                <w:rFonts w:hint="eastAsia" w:ascii="宋体" w:hAnsi="宋体" w:cs="宋体"/>
                <w:color w:val="auto"/>
                <w:szCs w:val="21"/>
                <w:highlight w:val="none"/>
              </w:rPr>
            </w:pPr>
          </w:p>
        </w:tc>
      </w:tr>
      <w:tr w14:paraId="564C42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95" w:hRule="atLeast"/>
          <w:jc w:val="center"/>
        </w:trPr>
        <w:tc>
          <w:tcPr>
            <w:tcW w:w="3196" w:type="dxa"/>
            <w:noWrap w:val="0"/>
            <w:vAlign w:val="center"/>
          </w:tcPr>
          <w:p w14:paraId="39FB717F">
            <w:pPr>
              <w:jc w:val="center"/>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lang w:eastAsia="zh-CN"/>
              </w:rPr>
              <w:t>响应内容</w:t>
            </w:r>
          </w:p>
        </w:tc>
        <w:tc>
          <w:tcPr>
            <w:tcW w:w="5875" w:type="dxa"/>
            <w:gridSpan w:val="2"/>
            <w:noWrap w:val="0"/>
            <w:vAlign w:val="center"/>
          </w:tcPr>
          <w:p w14:paraId="35D85EF6">
            <w:pPr>
              <w:rPr>
                <w:rFonts w:hint="eastAsia" w:ascii="宋体" w:hAnsi="宋体" w:cs="宋体"/>
                <w:color w:val="auto"/>
                <w:szCs w:val="21"/>
                <w:highlight w:val="none"/>
              </w:rPr>
            </w:pPr>
          </w:p>
        </w:tc>
      </w:tr>
      <w:tr w14:paraId="646E04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3196" w:type="dxa"/>
            <w:vMerge w:val="restart"/>
            <w:noWrap w:val="0"/>
            <w:vAlign w:val="center"/>
          </w:tcPr>
          <w:p w14:paraId="7CA98A56">
            <w:pPr>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投标报价（元）</w:t>
            </w:r>
          </w:p>
        </w:tc>
        <w:tc>
          <w:tcPr>
            <w:tcW w:w="2769" w:type="dxa"/>
            <w:noWrap w:val="0"/>
            <w:vAlign w:val="center"/>
          </w:tcPr>
          <w:p w14:paraId="695E7A3F">
            <w:pPr>
              <w:rPr>
                <w:rFonts w:hint="eastAsia" w:ascii="宋体" w:hAnsi="宋体" w:cs="宋体"/>
                <w:color w:val="auto"/>
                <w:szCs w:val="21"/>
                <w:highlight w:val="none"/>
              </w:rPr>
            </w:pPr>
            <w:r>
              <w:rPr>
                <w:rFonts w:hint="eastAsia" w:ascii="宋体" w:hAnsi="宋体" w:cs="宋体"/>
                <w:color w:val="auto"/>
                <w:szCs w:val="21"/>
                <w:highlight w:val="none"/>
              </w:rPr>
              <w:t>（大写）</w:t>
            </w:r>
          </w:p>
        </w:tc>
        <w:tc>
          <w:tcPr>
            <w:tcW w:w="3106" w:type="dxa"/>
            <w:noWrap w:val="0"/>
            <w:vAlign w:val="center"/>
          </w:tcPr>
          <w:p w14:paraId="39661D5D">
            <w:pPr>
              <w:rPr>
                <w:rFonts w:hint="eastAsia" w:ascii="宋体" w:hAnsi="宋体" w:cs="宋体"/>
                <w:color w:val="auto"/>
                <w:szCs w:val="21"/>
                <w:highlight w:val="none"/>
              </w:rPr>
            </w:pPr>
            <w:r>
              <w:rPr>
                <w:rFonts w:hint="eastAsia" w:ascii="宋体" w:hAnsi="宋体" w:cs="宋体"/>
                <w:color w:val="auto"/>
                <w:szCs w:val="21"/>
                <w:highlight w:val="none"/>
              </w:rPr>
              <w:t>（小写）</w:t>
            </w:r>
          </w:p>
        </w:tc>
      </w:tr>
      <w:tr w14:paraId="579F57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3196" w:type="dxa"/>
            <w:vMerge w:val="continue"/>
            <w:noWrap w:val="0"/>
            <w:vAlign w:val="center"/>
          </w:tcPr>
          <w:p w14:paraId="515682D5">
            <w:pPr>
              <w:spacing w:line="360" w:lineRule="exact"/>
              <w:jc w:val="center"/>
              <w:rPr>
                <w:rFonts w:hint="eastAsia" w:ascii="宋体" w:hAnsi="宋体" w:cs="宋体"/>
                <w:b/>
                <w:bCs/>
                <w:color w:val="auto"/>
                <w:szCs w:val="21"/>
                <w:highlight w:val="none"/>
              </w:rPr>
            </w:pPr>
          </w:p>
        </w:tc>
        <w:tc>
          <w:tcPr>
            <w:tcW w:w="5875" w:type="dxa"/>
            <w:gridSpan w:val="2"/>
            <w:noWrap w:val="0"/>
            <w:vAlign w:val="center"/>
          </w:tcPr>
          <w:p w14:paraId="7A34CC3F">
            <w:pPr>
              <w:rPr>
                <w:rFonts w:hint="eastAsia" w:ascii="宋体" w:hAnsi="宋体" w:cs="宋体"/>
                <w:color w:val="auto"/>
                <w:szCs w:val="21"/>
                <w:highlight w:val="none"/>
              </w:rPr>
            </w:pPr>
            <w:r>
              <w:rPr>
                <w:rFonts w:hint="eastAsia" w:ascii="宋体" w:hAnsi="宋体" w:cs="宋体"/>
                <w:b/>
                <w:bCs/>
                <w:color w:val="auto"/>
                <w:szCs w:val="21"/>
                <w:highlight w:val="none"/>
              </w:rPr>
              <w:t>（供应商应在此填列第一次报价，但以供应商最后一次的磋商报价为成交价）</w:t>
            </w:r>
          </w:p>
        </w:tc>
      </w:tr>
      <w:tr w14:paraId="35E51B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noWrap w:val="0"/>
            <w:vAlign w:val="center"/>
          </w:tcPr>
          <w:p w14:paraId="18BAF88E">
            <w:pPr>
              <w:jc w:val="center"/>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lang w:eastAsia="zh-CN"/>
              </w:rPr>
              <w:t>项目负责人</w:t>
            </w:r>
          </w:p>
        </w:tc>
        <w:tc>
          <w:tcPr>
            <w:tcW w:w="5875" w:type="dxa"/>
            <w:gridSpan w:val="2"/>
            <w:noWrap w:val="0"/>
            <w:vAlign w:val="center"/>
          </w:tcPr>
          <w:p w14:paraId="5B05F50C">
            <w:pPr>
              <w:jc w:val="center"/>
              <w:rPr>
                <w:rFonts w:hint="eastAsia" w:ascii="宋体" w:hAnsi="宋体" w:cs="宋体"/>
                <w:color w:val="auto"/>
                <w:szCs w:val="21"/>
                <w:highlight w:val="none"/>
              </w:rPr>
            </w:pPr>
          </w:p>
        </w:tc>
      </w:tr>
      <w:tr w14:paraId="095C61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noWrap w:val="0"/>
            <w:vAlign w:val="center"/>
          </w:tcPr>
          <w:p w14:paraId="5B37813D">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质量要求</w:t>
            </w:r>
          </w:p>
        </w:tc>
        <w:tc>
          <w:tcPr>
            <w:tcW w:w="5875" w:type="dxa"/>
            <w:gridSpan w:val="2"/>
            <w:noWrap w:val="0"/>
            <w:vAlign w:val="center"/>
          </w:tcPr>
          <w:p w14:paraId="0DD2914B">
            <w:pPr>
              <w:jc w:val="center"/>
              <w:rPr>
                <w:rFonts w:hint="eastAsia" w:ascii="宋体" w:hAnsi="宋体" w:cs="宋体"/>
                <w:color w:val="auto"/>
                <w:szCs w:val="21"/>
                <w:highlight w:val="none"/>
              </w:rPr>
            </w:pPr>
          </w:p>
        </w:tc>
      </w:tr>
      <w:tr w14:paraId="01476E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noWrap w:val="0"/>
            <w:vAlign w:val="center"/>
          </w:tcPr>
          <w:p w14:paraId="306F8CAE">
            <w:pPr>
              <w:jc w:val="center"/>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lang w:eastAsia="zh-CN"/>
              </w:rPr>
              <w:t>服务期限</w:t>
            </w:r>
          </w:p>
        </w:tc>
        <w:tc>
          <w:tcPr>
            <w:tcW w:w="5875" w:type="dxa"/>
            <w:gridSpan w:val="2"/>
            <w:noWrap w:val="0"/>
            <w:vAlign w:val="center"/>
          </w:tcPr>
          <w:p w14:paraId="7D7F66ED">
            <w:pPr>
              <w:jc w:val="center"/>
              <w:rPr>
                <w:rFonts w:hint="eastAsia" w:ascii="宋体" w:hAnsi="宋体" w:cs="宋体"/>
                <w:color w:val="auto"/>
                <w:szCs w:val="21"/>
                <w:highlight w:val="none"/>
              </w:rPr>
            </w:pPr>
          </w:p>
        </w:tc>
      </w:tr>
      <w:tr w14:paraId="694AB1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39" w:hRule="atLeast"/>
          <w:jc w:val="center"/>
        </w:trPr>
        <w:tc>
          <w:tcPr>
            <w:tcW w:w="3196" w:type="dxa"/>
            <w:noWrap w:val="0"/>
            <w:vAlign w:val="center"/>
          </w:tcPr>
          <w:p w14:paraId="570A55C7">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磋商有效期</w:t>
            </w:r>
          </w:p>
        </w:tc>
        <w:tc>
          <w:tcPr>
            <w:tcW w:w="5875" w:type="dxa"/>
            <w:gridSpan w:val="2"/>
            <w:noWrap w:val="0"/>
            <w:vAlign w:val="center"/>
          </w:tcPr>
          <w:p w14:paraId="08337008">
            <w:pPr>
              <w:jc w:val="center"/>
              <w:rPr>
                <w:rFonts w:hint="eastAsia" w:ascii="宋体" w:hAnsi="宋体" w:cs="宋体"/>
                <w:color w:val="auto"/>
                <w:szCs w:val="21"/>
                <w:highlight w:val="none"/>
              </w:rPr>
            </w:pPr>
          </w:p>
        </w:tc>
      </w:tr>
    </w:tbl>
    <w:p w14:paraId="736A59C3">
      <w:pPr>
        <w:ind w:left="0" w:leftChars="0" w:firstLine="0" w:firstLineChars="0"/>
        <w:rPr>
          <w:rFonts w:hint="eastAsia" w:ascii="宋体" w:hAnsi="宋体" w:cs="宋体"/>
          <w:color w:val="auto"/>
          <w:szCs w:val="21"/>
          <w:highlight w:val="none"/>
        </w:rPr>
      </w:pPr>
    </w:p>
    <w:p w14:paraId="21E8A4D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供应商法定代表人或其授权委托人(签字或盖章)</w:t>
      </w:r>
      <w:r>
        <w:rPr>
          <w:rFonts w:hint="eastAsia" w:ascii="宋体" w:hAnsi="宋体" w:cs="宋体"/>
          <w:color w:val="auto"/>
          <w:szCs w:val="21"/>
          <w:highlight w:val="none"/>
          <w:u w:val="single"/>
        </w:rPr>
        <w:t>___________________</w:t>
      </w:r>
    </w:p>
    <w:p w14:paraId="56D60E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供应商(单位电子签章):</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rPr>
        <w:tab/>
      </w:r>
    </w:p>
    <w:p w14:paraId="1D915861">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年   月   日</w:t>
      </w:r>
      <w:bookmarkStart w:id="1187" w:name="_Toc23978"/>
      <w:bookmarkStart w:id="1188" w:name="_Toc555"/>
      <w:bookmarkStart w:id="1189" w:name="_Toc466298161"/>
      <w:bookmarkStart w:id="1190" w:name="_Toc24653"/>
      <w:bookmarkStart w:id="1191" w:name="_Toc18287"/>
    </w:p>
    <w:p w14:paraId="48866314">
      <w:pPr>
        <w:pStyle w:val="4"/>
        <w:jc w:val="center"/>
        <w:rPr>
          <w:rFonts w:hint="eastAsia" w:ascii="宋体" w:hAnsi="宋体" w:eastAsia="宋体" w:cs="宋体"/>
          <w:color w:val="auto"/>
          <w:highlight w:val="none"/>
        </w:rPr>
      </w:pPr>
      <w:bookmarkStart w:id="1192" w:name="_Toc18581"/>
      <w:bookmarkStart w:id="1193" w:name="_Toc25403"/>
    </w:p>
    <w:p w14:paraId="278118F2">
      <w:pPr>
        <w:rPr>
          <w:rFonts w:hint="eastAsia" w:ascii="宋体" w:hAnsi="宋体" w:eastAsia="宋体" w:cs="宋体"/>
          <w:color w:val="auto"/>
          <w:highlight w:val="none"/>
        </w:rPr>
      </w:pPr>
    </w:p>
    <w:p w14:paraId="76466251">
      <w:pPr>
        <w:pStyle w:val="2"/>
        <w:rPr>
          <w:rFonts w:hint="eastAsia"/>
        </w:rPr>
      </w:pPr>
    </w:p>
    <w:p w14:paraId="7D430769">
      <w:pPr>
        <w:pStyle w:val="4"/>
        <w:jc w:val="center"/>
        <w:rPr>
          <w:rFonts w:hint="eastAsia" w:ascii="宋体" w:hAnsi="宋体" w:eastAsia="宋体" w:cs="宋体"/>
          <w:color w:val="auto"/>
          <w:highlight w:val="none"/>
        </w:rPr>
      </w:pPr>
      <w:r>
        <w:rPr>
          <w:rFonts w:hint="eastAsia" w:ascii="宋体" w:hAnsi="宋体" w:eastAsia="宋体" w:cs="宋体"/>
          <w:color w:val="auto"/>
          <w:highlight w:val="none"/>
        </w:rPr>
        <w:t>二、</w:t>
      </w:r>
      <w:bookmarkEnd w:id="1183"/>
      <w:bookmarkEnd w:id="1184"/>
      <w:bookmarkEnd w:id="1185"/>
      <w:bookmarkEnd w:id="1186"/>
      <w:r>
        <w:rPr>
          <w:rFonts w:hint="eastAsia" w:ascii="宋体" w:hAnsi="宋体" w:eastAsia="宋体" w:cs="宋体"/>
          <w:color w:val="auto"/>
          <w:highlight w:val="none"/>
        </w:rPr>
        <w:t>法定代表身份证明</w:t>
      </w:r>
      <w:bookmarkEnd w:id="1187"/>
      <w:bookmarkEnd w:id="1188"/>
      <w:bookmarkEnd w:id="1189"/>
      <w:bookmarkEnd w:id="1190"/>
      <w:bookmarkEnd w:id="1191"/>
      <w:bookmarkEnd w:id="1192"/>
      <w:bookmarkEnd w:id="1193"/>
    </w:p>
    <w:p w14:paraId="2E500E75">
      <w:pPr>
        <w:spacing w:line="440" w:lineRule="exact"/>
        <w:jc w:val="center"/>
        <w:rPr>
          <w:rFonts w:hint="eastAsia" w:ascii="宋体" w:hAnsi="宋体" w:cs="宋体"/>
          <w:color w:val="auto"/>
          <w:sz w:val="20"/>
          <w:szCs w:val="20"/>
          <w:highlight w:val="none"/>
        </w:rPr>
      </w:pPr>
    </w:p>
    <w:p w14:paraId="6FF68604">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供应商名称：</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w:t>
      </w:r>
    </w:p>
    <w:p w14:paraId="411F602C">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单位性质：</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w:t>
      </w:r>
    </w:p>
    <w:p w14:paraId="60265427">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地址：</w:t>
      </w:r>
      <w:r>
        <w:rPr>
          <w:rFonts w:hint="eastAsia" w:ascii="宋体" w:hAnsi="宋体" w:cs="宋体"/>
          <w:color w:val="auto"/>
          <w:sz w:val="22"/>
          <w:szCs w:val="20"/>
          <w:highlight w:val="none"/>
          <w:u w:val="single"/>
        </w:rPr>
        <w:t xml:space="preserve">                                   </w:t>
      </w:r>
    </w:p>
    <w:p w14:paraId="45503F6E">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成立时间：</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年</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月</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日</w:t>
      </w:r>
    </w:p>
    <w:p w14:paraId="4EF4DF9A">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经营期限：</w:t>
      </w:r>
      <w:r>
        <w:rPr>
          <w:rFonts w:hint="eastAsia" w:ascii="宋体" w:hAnsi="宋体" w:cs="宋体"/>
          <w:color w:val="auto"/>
          <w:sz w:val="22"/>
          <w:szCs w:val="20"/>
          <w:highlight w:val="none"/>
          <w:u w:val="single"/>
        </w:rPr>
        <w:t xml:space="preserve">                               </w:t>
      </w:r>
    </w:p>
    <w:p w14:paraId="2BBE18AB">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姓名：</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性别：</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年龄：</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职务：</w:t>
      </w:r>
      <w:r>
        <w:rPr>
          <w:rFonts w:hint="eastAsia" w:ascii="宋体" w:hAnsi="宋体" w:cs="宋体"/>
          <w:color w:val="auto"/>
          <w:sz w:val="22"/>
          <w:szCs w:val="20"/>
          <w:highlight w:val="none"/>
          <w:u w:val="single"/>
        </w:rPr>
        <w:t xml:space="preserve">        </w:t>
      </w:r>
    </w:p>
    <w:p w14:paraId="734F7473">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系</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（供应商名称）的法定代表人。</w:t>
      </w:r>
    </w:p>
    <w:p w14:paraId="63C3F766">
      <w:pPr>
        <w:spacing w:line="440" w:lineRule="exact"/>
        <w:ind w:firstLine="440" w:firstLineChars="200"/>
        <w:rPr>
          <w:rFonts w:hint="eastAsia" w:ascii="宋体" w:hAnsi="宋体" w:cs="宋体"/>
          <w:color w:val="auto"/>
          <w:sz w:val="22"/>
          <w:szCs w:val="20"/>
          <w:highlight w:val="none"/>
        </w:rPr>
      </w:pPr>
      <w:r>
        <w:rPr>
          <w:rFonts w:hint="eastAsia" w:ascii="宋体" w:hAnsi="宋体" w:cs="宋体"/>
          <w:color w:val="auto"/>
          <w:sz w:val="22"/>
          <w:szCs w:val="20"/>
          <w:highlight w:val="none"/>
        </w:rPr>
        <w:t>特此证明。</w:t>
      </w:r>
    </w:p>
    <w:p w14:paraId="4C7DC2E7">
      <w:pPr>
        <w:spacing w:line="440" w:lineRule="exact"/>
        <w:rPr>
          <w:rFonts w:hint="eastAsia" w:ascii="宋体" w:hAnsi="宋体" w:cs="宋体"/>
          <w:color w:val="auto"/>
          <w:sz w:val="22"/>
          <w:szCs w:val="20"/>
          <w:highlight w:val="none"/>
        </w:rPr>
      </w:pPr>
    </w:p>
    <w:p w14:paraId="69EF1E56">
      <w:pPr>
        <w:spacing w:line="440" w:lineRule="exact"/>
        <w:rPr>
          <w:rFonts w:hint="eastAsia" w:ascii="宋体" w:hAnsi="宋体" w:cs="宋体"/>
          <w:color w:val="auto"/>
          <w:sz w:val="22"/>
          <w:szCs w:val="20"/>
          <w:highlight w:val="none"/>
        </w:rPr>
      </w:pPr>
    </w:p>
    <w:p w14:paraId="0984AD9A">
      <w:pPr>
        <w:spacing w:line="440" w:lineRule="exact"/>
        <w:jc w:val="right"/>
        <w:rPr>
          <w:rFonts w:hint="eastAsia" w:ascii="宋体" w:hAnsi="宋体" w:cs="宋体"/>
          <w:color w:val="auto"/>
          <w:sz w:val="22"/>
          <w:szCs w:val="20"/>
          <w:highlight w:val="none"/>
        </w:rPr>
      </w:pPr>
      <w:r>
        <w:rPr>
          <w:rFonts w:hint="eastAsia" w:ascii="宋体" w:hAnsi="宋体" w:cs="宋体"/>
          <w:color w:val="auto"/>
          <w:sz w:val="22"/>
          <w:szCs w:val="20"/>
          <w:highlight w:val="none"/>
        </w:rPr>
        <w:t xml:space="preserve">                          供应商：</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（盖单位公章）</w:t>
      </w:r>
    </w:p>
    <w:p w14:paraId="7688A5C0">
      <w:pPr>
        <w:spacing w:line="440" w:lineRule="exact"/>
        <w:jc w:val="right"/>
        <w:rPr>
          <w:rFonts w:hint="eastAsia" w:ascii="宋体" w:hAnsi="宋体" w:cs="宋体"/>
          <w:color w:val="auto"/>
          <w:sz w:val="22"/>
          <w:szCs w:val="20"/>
          <w:highlight w:val="none"/>
        </w:rPr>
      </w:pPr>
      <w:r>
        <w:rPr>
          <w:rFonts w:hint="eastAsia" w:ascii="宋体" w:hAnsi="宋体" w:cs="宋体"/>
          <w:color w:val="auto"/>
          <w:sz w:val="22"/>
          <w:szCs w:val="20"/>
          <w:highlight w:val="none"/>
        </w:rPr>
        <w:t xml:space="preserve">                                   </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年</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月</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日 </w:t>
      </w:r>
    </w:p>
    <w:p w14:paraId="430C3A0C">
      <w:pPr>
        <w:spacing w:line="440" w:lineRule="exact"/>
        <w:rPr>
          <w:rFonts w:hint="eastAsia" w:ascii="宋体" w:hAnsi="宋体" w:cs="宋体"/>
          <w:color w:val="auto"/>
          <w:sz w:val="20"/>
          <w:szCs w:val="20"/>
          <w:highlight w:val="none"/>
        </w:rPr>
      </w:pPr>
    </w:p>
    <w:p w14:paraId="17803782">
      <w:pPr>
        <w:spacing w:line="440" w:lineRule="exact"/>
        <w:rPr>
          <w:rFonts w:hint="eastAsia" w:ascii="宋体" w:hAnsi="宋体" w:cs="宋体"/>
          <w:color w:val="auto"/>
          <w:sz w:val="20"/>
          <w:szCs w:val="20"/>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3F8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8528" w:type="dxa"/>
            <w:noWrap w:val="0"/>
            <w:vAlign w:val="center"/>
          </w:tcPr>
          <w:p w14:paraId="3DCAE297">
            <w:pPr>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法定代表人身份证扫描件</w:t>
            </w:r>
          </w:p>
          <w:p w14:paraId="357E9A1A">
            <w:pPr>
              <w:spacing w:line="440" w:lineRule="exact"/>
              <w:jc w:val="center"/>
              <w:rPr>
                <w:rFonts w:hint="eastAsia" w:ascii="宋体" w:hAnsi="宋体" w:cs="宋体"/>
                <w:color w:val="auto"/>
                <w:sz w:val="20"/>
                <w:szCs w:val="20"/>
                <w:highlight w:val="none"/>
              </w:rPr>
            </w:pPr>
          </w:p>
        </w:tc>
      </w:tr>
    </w:tbl>
    <w:p w14:paraId="4B99E8D4">
      <w:pPr>
        <w:spacing w:line="440" w:lineRule="exact"/>
        <w:rPr>
          <w:rFonts w:hint="eastAsia" w:ascii="宋体" w:hAnsi="宋体" w:cs="宋体"/>
          <w:color w:val="auto"/>
          <w:sz w:val="20"/>
          <w:szCs w:val="20"/>
          <w:highlight w:val="none"/>
        </w:rPr>
      </w:pPr>
    </w:p>
    <w:p w14:paraId="401A5F72">
      <w:pPr>
        <w:spacing w:line="440" w:lineRule="exact"/>
        <w:rPr>
          <w:rFonts w:hint="eastAsia" w:ascii="宋体" w:hAnsi="宋体" w:cs="宋体"/>
          <w:color w:val="auto"/>
          <w:sz w:val="20"/>
          <w:szCs w:val="20"/>
          <w:highlight w:val="none"/>
        </w:rPr>
      </w:pPr>
    </w:p>
    <w:p w14:paraId="11F8AFDF">
      <w:pPr>
        <w:spacing w:line="440" w:lineRule="exact"/>
        <w:rPr>
          <w:rFonts w:hint="eastAsia" w:ascii="宋体" w:hAnsi="宋体" w:cs="宋体"/>
          <w:color w:val="auto"/>
          <w:sz w:val="18"/>
          <w:szCs w:val="18"/>
          <w:highlight w:val="none"/>
        </w:rPr>
      </w:pPr>
    </w:p>
    <w:p w14:paraId="7C0340A8">
      <w:pPr>
        <w:spacing w:line="440" w:lineRule="exact"/>
        <w:rPr>
          <w:rFonts w:hint="eastAsia" w:ascii="宋体" w:hAnsi="宋体" w:cs="宋体"/>
          <w:color w:val="auto"/>
          <w:sz w:val="18"/>
          <w:szCs w:val="18"/>
          <w:highlight w:val="none"/>
        </w:rPr>
      </w:pPr>
    </w:p>
    <w:p w14:paraId="2E3DD08E">
      <w:pPr>
        <w:pStyle w:val="4"/>
        <w:jc w:val="center"/>
        <w:rPr>
          <w:rFonts w:hint="eastAsia" w:ascii="宋体" w:hAnsi="宋体" w:eastAsia="宋体" w:cs="宋体"/>
          <w:color w:val="auto"/>
          <w:highlight w:val="none"/>
        </w:rPr>
      </w:pPr>
      <w:bookmarkStart w:id="1194" w:name="_Toc21874"/>
      <w:bookmarkStart w:id="1195" w:name="_Toc318989765"/>
      <w:bookmarkStart w:id="1196" w:name="_Toc20490"/>
      <w:bookmarkStart w:id="1197" w:name="_Toc466298162"/>
      <w:bookmarkStart w:id="1198" w:name="_Toc18014"/>
      <w:bookmarkStart w:id="1199" w:name="_Toc21616"/>
      <w:bookmarkStart w:id="1200" w:name="_Toc23371"/>
      <w:bookmarkStart w:id="1201" w:name="_Toc4444"/>
      <w:bookmarkStart w:id="1202" w:name="_Toc202941490"/>
      <w:bookmarkStart w:id="1203" w:name="_Toc441791190"/>
      <w:r>
        <w:rPr>
          <w:rFonts w:hint="eastAsia" w:ascii="宋体" w:hAnsi="宋体" w:eastAsia="宋体" w:cs="宋体"/>
          <w:color w:val="auto"/>
          <w:highlight w:val="none"/>
        </w:rPr>
        <w:t>三、授权委托书</w:t>
      </w:r>
      <w:bookmarkEnd w:id="1194"/>
      <w:bookmarkEnd w:id="1195"/>
      <w:bookmarkEnd w:id="1196"/>
      <w:bookmarkEnd w:id="1197"/>
      <w:bookmarkEnd w:id="1198"/>
      <w:bookmarkEnd w:id="1199"/>
      <w:bookmarkEnd w:id="1200"/>
      <w:bookmarkEnd w:id="1201"/>
      <w:bookmarkEnd w:id="1202"/>
      <w:bookmarkEnd w:id="1203"/>
    </w:p>
    <w:p w14:paraId="10C79ED5">
      <w:pPr>
        <w:topLinePunct/>
        <w:spacing w:line="440" w:lineRule="exact"/>
        <w:ind w:firstLine="440" w:firstLineChars="200"/>
        <w:rPr>
          <w:rFonts w:hint="eastAsia" w:ascii="宋体" w:hAnsi="宋体" w:cs="宋体"/>
          <w:color w:val="auto"/>
          <w:sz w:val="22"/>
          <w:szCs w:val="20"/>
          <w:highlight w:val="none"/>
        </w:rPr>
      </w:pPr>
      <w:r>
        <w:rPr>
          <w:rFonts w:hint="eastAsia" w:ascii="宋体" w:hAnsi="宋体" w:cs="宋体"/>
          <w:color w:val="auto"/>
          <w:sz w:val="22"/>
          <w:szCs w:val="20"/>
          <w:highlight w:val="none"/>
        </w:rPr>
        <w:t>本人</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（姓名）系</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（供应商名称）的法定代表人，现委托</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（姓名）为我方代理人。代理人根据授权，以我方名义签署、澄清、说明、补正、递交、撤回、修改</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（项目名称）响应文件、签订合同和处理有关事宜，其法律后果由我方承担。</w:t>
      </w:r>
    </w:p>
    <w:p w14:paraId="2991D6EA">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 xml:space="preserve">    委托期限：</w:t>
      </w:r>
      <w:r>
        <w:rPr>
          <w:rFonts w:hint="eastAsia" w:ascii="宋体" w:hAnsi="宋体" w:cs="宋体"/>
          <w:color w:val="auto"/>
          <w:sz w:val="22"/>
          <w:szCs w:val="20"/>
          <w:highlight w:val="none"/>
          <w:u w:val="single"/>
        </w:rPr>
        <w:t xml:space="preserve">长期 </w:t>
      </w:r>
      <w:r>
        <w:rPr>
          <w:rFonts w:hint="eastAsia" w:ascii="宋体" w:hAnsi="宋体" w:cs="宋体"/>
          <w:color w:val="auto"/>
          <w:sz w:val="22"/>
          <w:szCs w:val="20"/>
          <w:highlight w:val="none"/>
        </w:rPr>
        <w:t>。</w:t>
      </w:r>
    </w:p>
    <w:p w14:paraId="34BF71E9">
      <w:pPr>
        <w:spacing w:line="440" w:lineRule="exact"/>
        <w:ind w:firstLine="440" w:firstLineChars="200"/>
        <w:rPr>
          <w:rFonts w:hint="eastAsia" w:ascii="宋体" w:hAnsi="宋体" w:cs="宋体"/>
          <w:color w:val="auto"/>
          <w:sz w:val="22"/>
          <w:szCs w:val="20"/>
          <w:highlight w:val="none"/>
        </w:rPr>
      </w:pPr>
      <w:r>
        <w:rPr>
          <w:rFonts w:hint="eastAsia" w:ascii="宋体" w:hAnsi="宋体" w:cs="宋体"/>
          <w:color w:val="auto"/>
          <w:sz w:val="22"/>
          <w:szCs w:val="20"/>
          <w:highlight w:val="none"/>
        </w:rPr>
        <w:t>代理人无转委托权。</w:t>
      </w:r>
    </w:p>
    <w:p w14:paraId="2057537F">
      <w:pPr>
        <w:spacing w:line="440" w:lineRule="exact"/>
        <w:rPr>
          <w:rFonts w:hint="eastAsia" w:ascii="宋体" w:hAnsi="宋体" w:cs="宋体"/>
          <w:color w:val="auto"/>
          <w:sz w:val="22"/>
          <w:szCs w:val="20"/>
          <w:highlight w:val="none"/>
        </w:rPr>
      </w:pPr>
    </w:p>
    <w:p w14:paraId="647D0288">
      <w:pPr>
        <w:spacing w:line="440" w:lineRule="exact"/>
        <w:rPr>
          <w:rFonts w:hint="eastAsia" w:ascii="宋体" w:hAnsi="宋体" w:cs="宋体"/>
          <w:color w:val="auto"/>
          <w:sz w:val="22"/>
          <w:szCs w:val="20"/>
          <w:highlight w:val="none"/>
        </w:rPr>
      </w:pPr>
    </w:p>
    <w:p w14:paraId="76A3C578">
      <w:pPr>
        <w:spacing w:line="440" w:lineRule="exact"/>
        <w:rPr>
          <w:rFonts w:hint="eastAsia" w:ascii="宋体" w:hAnsi="宋体" w:cs="宋体"/>
          <w:color w:val="auto"/>
          <w:sz w:val="22"/>
          <w:szCs w:val="20"/>
          <w:highlight w:val="none"/>
        </w:rPr>
      </w:pPr>
    </w:p>
    <w:p w14:paraId="2A35EDA1">
      <w:pPr>
        <w:spacing w:line="440" w:lineRule="exact"/>
        <w:ind w:left="2730" w:leftChars="1300"/>
        <w:rPr>
          <w:rFonts w:hint="eastAsia" w:ascii="宋体" w:hAnsi="宋体" w:cs="宋体"/>
          <w:color w:val="auto"/>
          <w:sz w:val="22"/>
          <w:szCs w:val="20"/>
          <w:highlight w:val="none"/>
        </w:rPr>
      </w:pPr>
      <w:r>
        <w:rPr>
          <w:rFonts w:hint="eastAsia" w:ascii="宋体" w:hAnsi="宋体" w:cs="宋体"/>
          <w:color w:val="auto"/>
          <w:sz w:val="22"/>
          <w:szCs w:val="20"/>
          <w:highlight w:val="none"/>
        </w:rPr>
        <w:t>供应商：</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（盖单位公章）</w:t>
      </w:r>
    </w:p>
    <w:p w14:paraId="7847A89B">
      <w:pPr>
        <w:spacing w:line="440" w:lineRule="exact"/>
        <w:ind w:left="2730" w:leftChars="1300"/>
        <w:rPr>
          <w:rFonts w:hint="eastAsia" w:ascii="宋体" w:hAnsi="宋体" w:cs="宋体"/>
          <w:color w:val="auto"/>
          <w:sz w:val="22"/>
          <w:szCs w:val="20"/>
          <w:highlight w:val="none"/>
        </w:rPr>
      </w:pPr>
      <w:r>
        <w:rPr>
          <w:rFonts w:hint="eastAsia" w:ascii="宋体" w:hAnsi="宋体" w:cs="宋体"/>
          <w:color w:val="auto"/>
          <w:sz w:val="22"/>
          <w:szCs w:val="20"/>
          <w:highlight w:val="none"/>
        </w:rPr>
        <w:t>法定代表人：</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（签字或盖章）</w:t>
      </w:r>
    </w:p>
    <w:p w14:paraId="2DAFC2CF">
      <w:pPr>
        <w:spacing w:line="440" w:lineRule="exact"/>
        <w:ind w:left="2730" w:leftChars="1300"/>
        <w:rPr>
          <w:rFonts w:hint="eastAsia" w:ascii="宋体" w:hAnsi="宋体" w:cs="宋体"/>
          <w:color w:val="auto"/>
          <w:sz w:val="22"/>
          <w:szCs w:val="20"/>
          <w:highlight w:val="none"/>
        </w:rPr>
      </w:pPr>
      <w:r>
        <w:rPr>
          <w:rFonts w:hint="eastAsia" w:ascii="宋体" w:hAnsi="宋体" w:cs="宋体"/>
          <w:color w:val="auto"/>
          <w:sz w:val="22"/>
          <w:szCs w:val="20"/>
          <w:highlight w:val="none"/>
        </w:rPr>
        <w:t>身份证号码：</w:t>
      </w:r>
      <w:r>
        <w:rPr>
          <w:rFonts w:hint="eastAsia" w:ascii="宋体" w:hAnsi="宋体" w:cs="宋体"/>
          <w:color w:val="auto"/>
          <w:sz w:val="22"/>
          <w:szCs w:val="20"/>
          <w:highlight w:val="none"/>
          <w:u w:val="single"/>
        </w:rPr>
        <w:t xml:space="preserve">                                        </w:t>
      </w:r>
    </w:p>
    <w:p w14:paraId="6B92E75F">
      <w:pPr>
        <w:spacing w:line="440" w:lineRule="exact"/>
        <w:ind w:left="2730" w:leftChars="1300"/>
        <w:rPr>
          <w:rFonts w:hint="eastAsia" w:ascii="宋体" w:hAnsi="宋体" w:cs="宋体"/>
          <w:color w:val="auto"/>
          <w:sz w:val="22"/>
          <w:szCs w:val="20"/>
          <w:highlight w:val="none"/>
        </w:rPr>
      </w:pPr>
      <w:r>
        <w:rPr>
          <w:rFonts w:hint="eastAsia" w:ascii="宋体" w:hAnsi="宋体" w:cs="宋体"/>
          <w:color w:val="auto"/>
          <w:sz w:val="22"/>
          <w:szCs w:val="20"/>
          <w:highlight w:val="none"/>
        </w:rPr>
        <w:t>委托代理人：</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（签字或盖章）</w:t>
      </w:r>
    </w:p>
    <w:p w14:paraId="1C984C56">
      <w:pPr>
        <w:spacing w:line="440" w:lineRule="exact"/>
        <w:ind w:left="2730" w:leftChars="1300"/>
        <w:rPr>
          <w:rFonts w:hint="eastAsia" w:ascii="宋体" w:hAnsi="宋体" w:cs="宋体"/>
          <w:color w:val="auto"/>
          <w:sz w:val="22"/>
          <w:szCs w:val="20"/>
          <w:highlight w:val="none"/>
        </w:rPr>
      </w:pPr>
      <w:r>
        <w:rPr>
          <w:rFonts w:hint="eastAsia" w:ascii="宋体" w:hAnsi="宋体" w:cs="宋体"/>
          <w:color w:val="auto"/>
          <w:sz w:val="22"/>
          <w:szCs w:val="20"/>
          <w:highlight w:val="none"/>
        </w:rPr>
        <w:t>身份证号码：</w:t>
      </w:r>
      <w:r>
        <w:rPr>
          <w:rFonts w:hint="eastAsia" w:ascii="宋体" w:hAnsi="宋体" w:cs="宋体"/>
          <w:color w:val="auto"/>
          <w:sz w:val="22"/>
          <w:szCs w:val="20"/>
          <w:highlight w:val="none"/>
          <w:u w:val="single"/>
        </w:rPr>
        <w:t xml:space="preserve">                                        </w:t>
      </w:r>
    </w:p>
    <w:p w14:paraId="5D11AFB4">
      <w:pPr>
        <w:spacing w:line="440" w:lineRule="exact"/>
        <w:jc w:val="right"/>
        <w:rPr>
          <w:rFonts w:hint="eastAsia" w:ascii="宋体" w:hAnsi="宋体" w:cs="宋体"/>
          <w:color w:val="auto"/>
          <w:sz w:val="22"/>
          <w:szCs w:val="20"/>
          <w:highlight w:val="none"/>
        </w:rPr>
      </w:pP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年</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月</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日</w:t>
      </w:r>
    </w:p>
    <w:p w14:paraId="67D6EF82">
      <w:pPr>
        <w:spacing w:line="440" w:lineRule="exact"/>
        <w:rPr>
          <w:rFonts w:hint="eastAsia" w:ascii="宋体" w:hAnsi="宋体" w:cs="宋体"/>
          <w:color w:val="auto"/>
          <w:sz w:val="20"/>
          <w:szCs w:val="20"/>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3A62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0948A1E2">
            <w:pPr>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委托代理人身份证扫描件</w:t>
            </w:r>
          </w:p>
          <w:p w14:paraId="0C73D660">
            <w:pPr>
              <w:spacing w:line="440" w:lineRule="exact"/>
              <w:jc w:val="center"/>
              <w:rPr>
                <w:rFonts w:hint="eastAsia" w:ascii="宋体" w:hAnsi="宋体" w:cs="宋体"/>
                <w:color w:val="auto"/>
                <w:sz w:val="20"/>
                <w:szCs w:val="20"/>
                <w:highlight w:val="none"/>
              </w:rPr>
            </w:pPr>
          </w:p>
        </w:tc>
      </w:tr>
    </w:tbl>
    <w:p w14:paraId="26ED57C3">
      <w:pPr>
        <w:spacing w:line="440" w:lineRule="exact"/>
        <w:rPr>
          <w:rFonts w:hint="eastAsia" w:ascii="宋体" w:hAnsi="宋体" w:cs="宋体"/>
          <w:color w:val="auto"/>
          <w:sz w:val="20"/>
          <w:szCs w:val="20"/>
          <w:highlight w:val="none"/>
        </w:rPr>
      </w:pPr>
    </w:p>
    <w:p w14:paraId="0BBDC37F">
      <w:pPr>
        <w:pStyle w:val="4"/>
        <w:rPr>
          <w:rFonts w:hint="eastAsia" w:ascii="宋体" w:hAnsi="宋体" w:eastAsia="宋体" w:cs="宋体"/>
          <w:color w:val="auto"/>
          <w:highlight w:val="none"/>
        </w:rPr>
      </w:pPr>
      <w:bookmarkStart w:id="1204" w:name="_Toc15039"/>
      <w:bookmarkStart w:id="1205" w:name="_Toc14223"/>
      <w:bookmarkStart w:id="1206" w:name="_Toc17791"/>
      <w:bookmarkStart w:id="1207" w:name="_Toc8208"/>
    </w:p>
    <w:p w14:paraId="375FCF63">
      <w:pPr>
        <w:rPr>
          <w:rFonts w:hint="eastAsia" w:ascii="宋体" w:hAnsi="宋体" w:cs="宋体"/>
          <w:b/>
          <w:bCs/>
          <w:color w:val="auto"/>
          <w:highlight w:val="none"/>
        </w:rPr>
      </w:pPr>
    </w:p>
    <w:p w14:paraId="30160514">
      <w:pPr>
        <w:pStyle w:val="28"/>
        <w:spacing w:before="156" w:after="156"/>
        <w:rPr>
          <w:rFonts w:hint="eastAsia"/>
          <w:color w:val="auto"/>
          <w:highlight w:val="none"/>
        </w:rPr>
      </w:pPr>
    </w:p>
    <w:p w14:paraId="359B3DEB">
      <w:pPr>
        <w:pStyle w:val="4"/>
        <w:jc w:val="center"/>
        <w:rPr>
          <w:rFonts w:hint="eastAsia" w:ascii="宋体" w:hAnsi="宋体" w:eastAsia="宋体" w:cs="宋体"/>
          <w:color w:val="auto"/>
          <w:highlight w:val="none"/>
        </w:rPr>
      </w:pPr>
      <w:bookmarkStart w:id="1208" w:name="_Toc23445"/>
      <w:bookmarkStart w:id="1209" w:name="_Toc14712"/>
      <w:r>
        <w:rPr>
          <w:rFonts w:hint="eastAsia" w:ascii="宋体" w:hAnsi="宋体" w:eastAsia="宋体" w:cs="宋体"/>
          <w:color w:val="auto"/>
          <w:highlight w:val="none"/>
        </w:rPr>
        <w:t>四、资格证明文件</w:t>
      </w:r>
      <w:bookmarkEnd w:id="1204"/>
      <w:bookmarkEnd w:id="1205"/>
      <w:bookmarkEnd w:id="1206"/>
      <w:bookmarkEnd w:id="1207"/>
      <w:bookmarkEnd w:id="1208"/>
      <w:bookmarkEnd w:id="1209"/>
    </w:p>
    <w:p w14:paraId="0C55644B">
      <w:pPr>
        <w:pStyle w:val="5"/>
        <w:jc w:val="center"/>
        <w:rPr>
          <w:rFonts w:hint="eastAsia" w:ascii="宋体" w:hAnsi="宋体" w:cs="宋体"/>
          <w:color w:val="auto"/>
          <w:highlight w:val="none"/>
        </w:rPr>
      </w:pPr>
      <w:bookmarkStart w:id="1210" w:name="_Toc8976"/>
      <w:bookmarkStart w:id="1211" w:name="_Toc8642"/>
      <w:bookmarkStart w:id="1212" w:name="_Toc16788"/>
      <w:bookmarkStart w:id="1213" w:name="_Toc1102"/>
      <w:r>
        <w:rPr>
          <w:rFonts w:hint="eastAsia" w:ascii="宋体" w:hAnsi="宋体" w:cs="宋体"/>
          <w:color w:val="auto"/>
          <w:highlight w:val="none"/>
        </w:rPr>
        <w:t>（一）供应商基本情况表</w:t>
      </w:r>
      <w:bookmarkEnd w:id="1210"/>
      <w:bookmarkEnd w:id="1211"/>
      <w:bookmarkEnd w:id="1212"/>
      <w:bookmarkEnd w:id="1213"/>
    </w:p>
    <w:p w14:paraId="3A47E8D7">
      <w:pPr>
        <w:spacing w:line="480" w:lineRule="exact"/>
        <w:rPr>
          <w:rFonts w:hint="eastAsia" w:ascii="宋体" w:hAnsi="宋体" w:cs="宋体"/>
          <w:b/>
          <w:color w:val="auto"/>
          <w:sz w:val="32"/>
          <w:szCs w:val="32"/>
          <w:highlight w:val="none"/>
        </w:rPr>
      </w:pPr>
    </w:p>
    <w:tbl>
      <w:tblPr>
        <w:tblStyle w:val="30"/>
        <w:tblW w:w="8787"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1818"/>
        <w:gridCol w:w="983"/>
        <w:gridCol w:w="1463"/>
        <w:gridCol w:w="1454"/>
        <w:gridCol w:w="927"/>
        <w:gridCol w:w="978"/>
        <w:gridCol w:w="1164"/>
      </w:tblGrid>
      <w:tr w14:paraId="67A1DA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01FE6935">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供应商名称</w:t>
            </w:r>
          </w:p>
        </w:tc>
        <w:tc>
          <w:tcPr>
            <w:tcW w:w="6969" w:type="dxa"/>
            <w:gridSpan w:val="6"/>
            <w:noWrap w:val="0"/>
            <w:vAlign w:val="center"/>
          </w:tcPr>
          <w:p w14:paraId="405F734C">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14:paraId="2B03B9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4A8504E3">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注册地址</w:t>
            </w:r>
          </w:p>
        </w:tc>
        <w:tc>
          <w:tcPr>
            <w:tcW w:w="3900" w:type="dxa"/>
            <w:gridSpan w:val="3"/>
            <w:noWrap w:val="0"/>
            <w:vAlign w:val="center"/>
          </w:tcPr>
          <w:p w14:paraId="1DC46AAF">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927" w:type="dxa"/>
            <w:noWrap w:val="0"/>
            <w:vAlign w:val="center"/>
          </w:tcPr>
          <w:p w14:paraId="6BF8D840">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邮政编码</w:t>
            </w:r>
          </w:p>
        </w:tc>
        <w:tc>
          <w:tcPr>
            <w:tcW w:w="2142" w:type="dxa"/>
            <w:gridSpan w:val="2"/>
            <w:noWrap w:val="0"/>
            <w:vAlign w:val="center"/>
          </w:tcPr>
          <w:p w14:paraId="614DE140">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14:paraId="4DC3C1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restart"/>
            <w:noWrap w:val="0"/>
            <w:vAlign w:val="center"/>
          </w:tcPr>
          <w:p w14:paraId="2A897AFB">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联系方式</w:t>
            </w:r>
          </w:p>
        </w:tc>
        <w:tc>
          <w:tcPr>
            <w:tcW w:w="983" w:type="dxa"/>
            <w:noWrap w:val="0"/>
            <w:vAlign w:val="center"/>
          </w:tcPr>
          <w:p w14:paraId="1057A68A">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联系人</w:t>
            </w:r>
          </w:p>
        </w:tc>
        <w:tc>
          <w:tcPr>
            <w:tcW w:w="2917" w:type="dxa"/>
            <w:gridSpan w:val="2"/>
            <w:noWrap w:val="0"/>
            <w:vAlign w:val="center"/>
          </w:tcPr>
          <w:p w14:paraId="631D0E8B">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927" w:type="dxa"/>
            <w:noWrap w:val="0"/>
            <w:vAlign w:val="center"/>
          </w:tcPr>
          <w:p w14:paraId="21C55B1B">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电  话</w:t>
            </w:r>
          </w:p>
        </w:tc>
        <w:tc>
          <w:tcPr>
            <w:tcW w:w="2142" w:type="dxa"/>
            <w:gridSpan w:val="2"/>
            <w:noWrap w:val="0"/>
            <w:vAlign w:val="center"/>
          </w:tcPr>
          <w:p w14:paraId="24DABFCF">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14:paraId="60E929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continue"/>
            <w:noWrap w:val="0"/>
            <w:vAlign w:val="center"/>
          </w:tcPr>
          <w:p w14:paraId="08F6149C">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p>
        </w:tc>
        <w:tc>
          <w:tcPr>
            <w:tcW w:w="983" w:type="dxa"/>
            <w:noWrap w:val="0"/>
            <w:vAlign w:val="center"/>
          </w:tcPr>
          <w:p w14:paraId="58259737">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传  真</w:t>
            </w:r>
          </w:p>
        </w:tc>
        <w:tc>
          <w:tcPr>
            <w:tcW w:w="2917" w:type="dxa"/>
            <w:gridSpan w:val="2"/>
            <w:noWrap w:val="0"/>
            <w:vAlign w:val="center"/>
          </w:tcPr>
          <w:p w14:paraId="28B1F806">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927" w:type="dxa"/>
            <w:noWrap w:val="0"/>
            <w:vAlign w:val="center"/>
          </w:tcPr>
          <w:p w14:paraId="056BDC4F">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网  址</w:t>
            </w:r>
          </w:p>
        </w:tc>
        <w:tc>
          <w:tcPr>
            <w:tcW w:w="2142" w:type="dxa"/>
            <w:gridSpan w:val="2"/>
            <w:noWrap w:val="0"/>
            <w:vAlign w:val="center"/>
          </w:tcPr>
          <w:p w14:paraId="64E15197">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14:paraId="47C1AA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112D5258">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法定代表人</w:t>
            </w:r>
          </w:p>
        </w:tc>
        <w:tc>
          <w:tcPr>
            <w:tcW w:w="983" w:type="dxa"/>
            <w:noWrap w:val="0"/>
            <w:vAlign w:val="center"/>
          </w:tcPr>
          <w:p w14:paraId="02738185">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姓  名</w:t>
            </w:r>
          </w:p>
        </w:tc>
        <w:tc>
          <w:tcPr>
            <w:tcW w:w="1463" w:type="dxa"/>
            <w:noWrap w:val="0"/>
            <w:vAlign w:val="center"/>
          </w:tcPr>
          <w:p w14:paraId="1A910943">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1454" w:type="dxa"/>
            <w:noWrap w:val="0"/>
            <w:vAlign w:val="center"/>
          </w:tcPr>
          <w:p w14:paraId="3ACAFDF1">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技术职称</w:t>
            </w:r>
          </w:p>
        </w:tc>
        <w:tc>
          <w:tcPr>
            <w:tcW w:w="927" w:type="dxa"/>
            <w:noWrap w:val="0"/>
            <w:vAlign w:val="center"/>
          </w:tcPr>
          <w:p w14:paraId="5ADFF3A5">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978" w:type="dxa"/>
            <w:noWrap w:val="0"/>
            <w:vAlign w:val="center"/>
          </w:tcPr>
          <w:p w14:paraId="5DA04125">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电  话</w:t>
            </w:r>
          </w:p>
        </w:tc>
        <w:tc>
          <w:tcPr>
            <w:tcW w:w="1164" w:type="dxa"/>
            <w:noWrap w:val="0"/>
            <w:vAlign w:val="center"/>
          </w:tcPr>
          <w:p w14:paraId="18B309D7">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14:paraId="712936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5367F729">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技术负责人</w:t>
            </w:r>
          </w:p>
        </w:tc>
        <w:tc>
          <w:tcPr>
            <w:tcW w:w="983" w:type="dxa"/>
            <w:noWrap w:val="0"/>
            <w:vAlign w:val="center"/>
          </w:tcPr>
          <w:p w14:paraId="6544D501">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姓  名</w:t>
            </w:r>
          </w:p>
        </w:tc>
        <w:tc>
          <w:tcPr>
            <w:tcW w:w="1463" w:type="dxa"/>
            <w:noWrap w:val="0"/>
            <w:vAlign w:val="center"/>
          </w:tcPr>
          <w:p w14:paraId="107361C9">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1454" w:type="dxa"/>
            <w:noWrap w:val="0"/>
            <w:vAlign w:val="center"/>
          </w:tcPr>
          <w:p w14:paraId="608D893E">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技术职称</w:t>
            </w:r>
          </w:p>
        </w:tc>
        <w:tc>
          <w:tcPr>
            <w:tcW w:w="927" w:type="dxa"/>
            <w:noWrap w:val="0"/>
            <w:vAlign w:val="center"/>
          </w:tcPr>
          <w:p w14:paraId="22045020">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978" w:type="dxa"/>
            <w:noWrap w:val="0"/>
            <w:vAlign w:val="center"/>
          </w:tcPr>
          <w:p w14:paraId="126E71E6">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电  话</w:t>
            </w:r>
          </w:p>
        </w:tc>
        <w:tc>
          <w:tcPr>
            <w:tcW w:w="1164" w:type="dxa"/>
            <w:noWrap w:val="0"/>
            <w:vAlign w:val="center"/>
          </w:tcPr>
          <w:p w14:paraId="4A1E8B94">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14:paraId="59A9BD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4BAF640A">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成立时间</w:t>
            </w:r>
          </w:p>
        </w:tc>
        <w:tc>
          <w:tcPr>
            <w:tcW w:w="2446" w:type="dxa"/>
            <w:gridSpan w:val="2"/>
            <w:noWrap w:val="0"/>
            <w:vAlign w:val="center"/>
          </w:tcPr>
          <w:p w14:paraId="5B1F3A36">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1454" w:type="dxa"/>
            <w:noWrap w:val="0"/>
            <w:vAlign w:val="center"/>
          </w:tcPr>
          <w:p w14:paraId="1878D9CB">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员工总人数</w:t>
            </w:r>
          </w:p>
        </w:tc>
        <w:tc>
          <w:tcPr>
            <w:tcW w:w="3069" w:type="dxa"/>
            <w:gridSpan w:val="3"/>
            <w:noWrap w:val="0"/>
            <w:vAlign w:val="center"/>
          </w:tcPr>
          <w:p w14:paraId="547EEF03">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14:paraId="1591AE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3E00212F">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营业执照号</w:t>
            </w:r>
          </w:p>
        </w:tc>
        <w:tc>
          <w:tcPr>
            <w:tcW w:w="6969" w:type="dxa"/>
            <w:gridSpan w:val="6"/>
            <w:noWrap w:val="0"/>
            <w:vAlign w:val="center"/>
          </w:tcPr>
          <w:p w14:paraId="426D5102">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p w14:paraId="57FD0357">
            <w:pPr>
              <w:pStyle w:val="46"/>
              <w:keepNext w:val="0"/>
              <w:keepLines w:val="0"/>
              <w:pageBreakBefore w:val="0"/>
              <w:widowControl w:val="0"/>
              <w:kinsoku/>
              <w:wordWrap/>
              <w:overflowPunct/>
              <w:topLinePunct w:val="0"/>
              <w:bidi w:val="0"/>
              <w:snapToGrid/>
              <w:ind w:firstLine="0" w:firstLineChars="0"/>
              <w:textAlignment w:val="auto"/>
              <w:rPr>
                <w:rFonts w:hint="eastAsia" w:ascii="宋体" w:hAnsi="宋体" w:cs="宋体"/>
                <w:color w:val="auto"/>
                <w:highlight w:val="none"/>
              </w:rPr>
            </w:pPr>
          </w:p>
        </w:tc>
      </w:tr>
      <w:tr w14:paraId="3A88C6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5F623CC0">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注册资金</w:t>
            </w:r>
          </w:p>
        </w:tc>
        <w:tc>
          <w:tcPr>
            <w:tcW w:w="6969" w:type="dxa"/>
            <w:gridSpan w:val="6"/>
            <w:noWrap w:val="0"/>
            <w:vAlign w:val="center"/>
          </w:tcPr>
          <w:p w14:paraId="2127505A">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14:paraId="13ED08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3D9AEDB2">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开户银行</w:t>
            </w:r>
          </w:p>
        </w:tc>
        <w:tc>
          <w:tcPr>
            <w:tcW w:w="6969" w:type="dxa"/>
            <w:gridSpan w:val="6"/>
            <w:noWrap w:val="0"/>
            <w:vAlign w:val="center"/>
          </w:tcPr>
          <w:p w14:paraId="2BA35956">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14:paraId="78AB08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6A994CFD">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账号</w:t>
            </w:r>
          </w:p>
        </w:tc>
        <w:tc>
          <w:tcPr>
            <w:tcW w:w="6969" w:type="dxa"/>
            <w:gridSpan w:val="6"/>
            <w:noWrap w:val="0"/>
            <w:vAlign w:val="center"/>
          </w:tcPr>
          <w:p w14:paraId="2DEDC319">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14:paraId="2C61E0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5614F822">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经营范围</w:t>
            </w:r>
          </w:p>
        </w:tc>
        <w:tc>
          <w:tcPr>
            <w:tcW w:w="6969" w:type="dxa"/>
            <w:gridSpan w:val="6"/>
            <w:noWrap w:val="0"/>
            <w:vAlign w:val="center"/>
          </w:tcPr>
          <w:p w14:paraId="66B02AE6">
            <w:pPr>
              <w:keepNext w:val="0"/>
              <w:keepLines w:val="0"/>
              <w:pageBreakBefore w:val="0"/>
              <w:widowControl w:val="0"/>
              <w:kinsoku/>
              <w:wordWrap/>
              <w:overflowPunct/>
              <w:topLinePunct w:val="0"/>
              <w:bidi w:val="0"/>
              <w:snapToGrid/>
              <w:ind w:firstLine="0" w:firstLineChars="0"/>
              <w:textAlignment w:val="auto"/>
              <w:rPr>
                <w:rFonts w:hint="eastAsia" w:ascii="宋体" w:hAnsi="宋体" w:cs="宋体"/>
                <w:color w:val="auto"/>
                <w:highlight w:val="none"/>
              </w:rPr>
            </w:pPr>
          </w:p>
          <w:p w14:paraId="6B265C9D">
            <w:pPr>
              <w:pStyle w:val="46"/>
              <w:keepNext w:val="0"/>
              <w:keepLines w:val="0"/>
              <w:pageBreakBefore w:val="0"/>
              <w:widowControl w:val="0"/>
              <w:kinsoku/>
              <w:wordWrap/>
              <w:overflowPunct/>
              <w:topLinePunct w:val="0"/>
              <w:bidi w:val="0"/>
              <w:snapToGrid/>
              <w:ind w:firstLine="0" w:firstLineChars="0"/>
              <w:textAlignment w:val="auto"/>
              <w:rPr>
                <w:rFonts w:hint="eastAsia" w:ascii="宋体" w:hAnsi="宋体" w:cs="宋体"/>
                <w:color w:val="auto"/>
                <w:highlight w:val="none"/>
              </w:rPr>
            </w:pPr>
          </w:p>
        </w:tc>
      </w:tr>
      <w:tr w14:paraId="34012D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14:paraId="29308A7A">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szCs w:val="21"/>
                <w:highlight w:val="none"/>
              </w:rPr>
              <w:t>备注</w:t>
            </w:r>
          </w:p>
        </w:tc>
        <w:tc>
          <w:tcPr>
            <w:tcW w:w="6969" w:type="dxa"/>
            <w:gridSpan w:val="6"/>
            <w:noWrap w:val="0"/>
            <w:vAlign w:val="center"/>
          </w:tcPr>
          <w:p w14:paraId="54F1553F">
            <w:pPr>
              <w:pStyle w:val="46"/>
              <w:keepNext w:val="0"/>
              <w:keepLines w:val="0"/>
              <w:pageBreakBefore w:val="0"/>
              <w:widowControl w:val="0"/>
              <w:kinsoku/>
              <w:wordWrap/>
              <w:overflowPunct/>
              <w:topLinePunct w:val="0"/>
              <w:bidi w:val="0"/>
              <w:snapToGrid/>
              <w:ind w:firstLine="0" w:firstLineChars="0"/>
              <w:textAlignment w:val="auto"/>
              <w:rPr>
                <w:rFonts w:hint="eastAsia" w:ascii="宋体" w:hAnsi="宋体" w:cs="宋体"/>
                <w:color w:val="auto"/>
                <w:highlight w:val="none"/>
              </w:rPr>
            </w:pPr>
          </w:p>
        </w:tc>
      </w:tr>
    </w:tbl>
    <w:p w14:paraId="17FD44E4">
      <w:pPr>
        <w:spacing w:line="480" w:lineRule="exact"/>
        <w:rPr>
          <w:rFonts w:hint="eastAsia" w:ascii="宋体" w:hAnsi="宋体" w:cs="宋体"/>
          <w:color w:val="auto"/>
          <w:highlight w:val="none"/>
        </w:rPr>
      </w:pPr>
    </w:p>
    <w:p w14:paraId="60117DA2">
      <w:pPr>
        <w:rPr>
          <w:rFonts w:hint="eastAsia" w:ascii="宋体" w:hAnsi="宋体" w:cs="宋体"/>
          <w:color w:val="auto"/>
          <w:sz w:val="20"/>
          <w:szCs w:val="22"/>
          <w:highlight w:val="none"/>
        </w:rPr>
      </w:pPr>
      <w:r>
        <w:rPr>
          <w:rFonts w:hint="eastAsia" w:ascii="宋体" w:hAnsi="宋体" w:cs="宋体"/>
          <w:color w:val="auto"/>
          <w:sz w:val="20"/>
          <w:szCs w:val="22"/>
          <w:highlight w:val="none"/>
        </w:rPr>
        <w:t>注：1.根据供应商须知第3.5项的要求在本表后附供应商信用承诺函。</w:t>
      </w:r>
    </w:p>
    <w:p w14:paraId="0221FF8C">
      <w:pPr>
        <w:numPr>
          <w:ilvl w:val="0"/>
          <w:numId w:val="4"/>
        </w:numPr>
        <w:rPr>
          <w:rFonts w:hint="eastAsia" w:ascii="宋体" w:hAnsi="宋体" w:cs="宋体"/>
          <w:color w:val="auto"/>
          <w:sz w:val="20"/>
          <w:szCs w:val="22"/>
          <w:highlight w:val="none"/>
        </w:rPr>
      </w:pPr>
      <w:r>
        <w:rPr>
          <w:rFonts w:hint="eastAsia" w:ascii="宋体" w:hAnsi="宋体" w:cs="宋体"/>
          <w:color w:val="auto"/>
          <w:sz w:val="20"/>
          <w:szCs w:val="22"/>
          <w:highlight w:val="none"/>
        </w:rPr>
        <w:t>本项目的特定资格要求（如有）：需提供相应的证明材料。</w:t>
      </w:r>
    </w:p>
    <w:p w14:paraId="4F2D2ABB">
      <w:pPr>
        <w:pStyle w:val="6"/>
        <w:rPr>
          <w:rFonts w:hint="eastAsia" w:ascii="宋体" w:hAnsi="宋体" w:eastAsia="宋体" w:cs="宋体"/>
          <w:color w:val="auto"/>
          <w:highlight w:val="none"/>
        </w:rPr>
      </w:pPr>
      <w:r>
        <w:rPr>
          <w:rFonts w:hint="eastAsia" w:ascii="宋体" w:hAnsi="宋体" w:eastAsia="宋体" w:cs="宋体"/>
          <w:color w:val="auto"/>
          <w:highlight w:val="none"/>
        </w:rPr>
        <w:t>附件：</w:t>
      </w:r>
    </w:p>
    <w:p w14:paraId="0521CC88">
      <w:pPr>
        <w:pStyle w:val="7"/>
        <w:spacing w:line="4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信阳市政府采购供应商信用承诺</w:t>
      </w:r>
    </w:p>
    <w:p w14:paraId="16928274">
      <w:pPr>
        <w:pStyle w:val="10"/>
        <w:ind w:firstLine="0" w:firstLineChars="0"/>
        <w:rPr>
          <w:rFonts w:hint="eastAsia" w:ascii="宋体" w:hAnsi="宋体" w:cs="宋体"/>
          <w:color w:val="auto"/>
          <w:highlight w:val="none"/>
          <w:u w:val="single"/>
        </w:rPr>
      </w:pPr>
      <w:r>
        <w:rPr>
          <w:rFonts w:hint="eastAsia" w:ascii="宋体" w:hAnsi="宋体" w:cs="宋体"/>
          <w:color w:val="auto"/>
          <w:highlight w:val="none"/>
          <w:u w:val="single"/>
        </w:rPr>
        <w:t xml:space="preserve">致（采购人或采购代理机构）：               </w:t>
      </w:r>
    </w:p>
    <w:p w14:paraId="52E09F53">
      <w:pPr>
        <w:pStyle w:val="10"/>
        <w:ind w:firstLine="0" w:firstLineChars="0"/>
        <w:rPr>
          <w:rFonts w:hint="eastAsia" w:ascii="宋体" w:hAnsi="宋体" w:cs="宋体"/>
          <w:color w:val="auto"/>
          <w:highlight w:val="none"/>
          <w:u w:val="single"/>
        </w:rPr>
      </w:pPr>
      <w:r>
        <w:rPr>
          <w:rFonts w:hint="eastAsia" w:ascii="宋体" w:hAnsi="宋体" w:cs="宋体"/>
          <w:color w:val="auto"/>
          <w:highlight w:val="none"/>
          <w:u w:val="single"/>
        </w:rPr>
        <w:t xml:space="preserve">单位名称（自然人姓名）：   </w:t>
      </w:r>
    </w:p>
    <w:p w14:paraId="27947F7D">
      <w:pPr>
        <w:pStyle w:val="10"/>
        <w:ind w:firstLine="0" w:firstLineChars="0"/>
        <w:rPr>
          <w:rFonts w:hint="eastAsia" w:ascii="宋体" w:hAnsi="宋体" w:cs="宋体"/>
          <w:color w:val="auto"/>
          <w:highlight w:val="none"/>
          <w:u w:val="single"/>
        </w:rPr>
      </w:pPr>
      <w:r>
        <w:rPr>
          <w:rFonts w:hint="eastAsia" w:ascii="宋体" w:hAnsi="宋体" w:cs="宋体"/>
          <w:color w:val="auto"/>
          <w:highlight w:val="none"/>
          <w:u w:val="single"/>
        </w:rPr>
        <w:t xml:space="preserve">统一社会信用代码（身份证号码）： </w:t>
      </w:r>
    </w:p>
    <w:p w14:paraId="0C1C49A5">
      <w:pPr>
        <w:pStyle w:val="10"/>
        <w:ind w:firstLine="0" w:firstLineChars="0"/>
        <w:rPr>
          <w:rFonts w:hint="eastAsia" w:ascii="宋体" w:hAnsi="宋体" w:cs="宋体"/>
          <w:color w:val="auto"/>
          <w:highlight w:val="none"/>
          <w:u w:val="single"/>
        </w:rPr>
      </w:pPr>
      <w:r>
        <w:rPr>
          <w:rFonts w:hint="eastAsia" w:ascii="宋体" w:hAnsi="宋体" w:cs="宋体"/>
          <w:color w:val="auto"/>
          <w:highlight w:val="none"/>
          <w:u w:val="single"/>
        </w:rPr>
        <w:t xml:space="preserve">法定代表人（负责人）：   </w:t>
      </w:r>
    </w:p>
    <w:p w14:paraId="64691972">
      <w:pPr>
        <w:pStyle w:val="10"/>
        <w:ind w:firstLine="0" w:firstLineChars="0"/>
        <w:rPr>
          <w:rFonts w:hint="eastAsia" w:ascii="宋体" w:hAnsi="宋体" w:cs="宋体"/>
          <w:color w:val="auto"/>
          <w:highlight w:val="none"/>
          <w:u w:val="single"/>
        </w:rPr>
      </w:pPr>
      <w:r>
        <w:rPr>
          <w:rFonts w:hint="eastAsia" w:ascii="宋体" w:hAnsi="宋体" w:cs="宋体"/>
          <w:color w:val="auto"/>
          <w:highlight w:val="none"/>
          <w:u w:val="single"/>
        </w:rPr>
        <w:t xml:space="preserve">联系地址和电话：              </w:t>
      </w:r>
    </w:p>
    <w:p w14:paraId="769C44E9">
      <w:pPr>
        <w:pStyle w:val="10"/>
        <w:rPr>
          <w:rFonts w:hint="eastAsia" w:ascii="宋体" w:hAnsi="宋体" w:cs="宋体"/>
          <w:color w:val="auto"/>
          <w:highlight w:val="none"/>
        </w:rPr>
      </w:pPr>
      <w:r>
        <w:rPr>
          <w:rFonts w:hint="eastAsia" w:ascii="宋体" w:hAnsi="宋体" w:cs="宋体"/>
          <w:color w:val="auto"/>
          <w:highlight w:val="none"/>
        </w:rPr>
        <w:t>为维护公平、公正、公开的政府采购市场秩序，树立诚实守信的政府采购供应商形象，我单位（本人）自愿作出以下承诺：</w:t>
      </w:r>
    </w:p>
    <w:p w14:paraId="6E043DB9">
      <w:pPr>
        <w:pStyle w:val="10"/>
        <w:rPr>
          <w:rFonts w:hint="eastAsia" w:ascii="宋体" w:hAnsi="宋体" w:cs="宋体"/>
          <w:color w:val="auto"/>
          <w:highlight w:val="none"/>
        </w:rPr>
      </w:pPr>
      <w:r>
        <w:rPr>
          <w:rFonts w:hint="eastAsia" w:ascii="宋体" w:hAnsi="宋体" w:cs="宋体"/>
          <w:color w:val="auto"/>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6E92DC40">
      <w:pPr>
        <w:pStyle w:val="10"/>
        <w:numPr>
          <w:ilvl w:val="0"/>
          <w:numId w:val="5"/>
        </w:numPr>
        <w:ind w:firstLineChars="0"/>
        <w:rPr>
          <w:rFonts w:hint="eastAsia" w:ascii="宋体" w:hAnsi="宋体" w:cs="宋体"/>
          <w:color w:val="auto"/>
          <w:highlight w:val="none"/>
        </w:rPr>
      </w:pPr>
      <w:r>
        <w:rPr>
          <w:rFonts w:hint="eastAsia" w:ascii="宋体" w:hAnsi="宋体" w:cs="宋体"/>
          <w:color w:val="auto"/>
          <w:highlight w:val="none"/>
        </w:rPr>
        <w:t>具有独立承担民事责任的能力；</w:t>
      </w:r>
    </w:p>
    <w:p w14:paraId="176207E6">
      <w:pPr>
        <w:pStyle w:val="10"/>
        <w:numPr>
          <w:ilvl w:val="0"/>
          <w:numId w:val="5"/>
        </w:numPr>
        <w:ind w:firstLineChars="0"/>
        <w:rPr>
          <w:rFonts w:hint="eastAsia" w:ascii="宋体" w:hAnsi="宋体" w:cs="宋体"/>
          <w:color w:val="auto"/>
          <w:highlight w:val="none"/>
        </w:rPr>
      </w:pPr>
      <w:r>
        <w:rPr>
          <w:rFonts w:hint="eastAsia" w:ascii="宋体" w:hAnsi="宋体" w:cs="宋体"/>
          <w:color w:val="auto"/>
          <w:highlight w:val="none"/>
        </w:rPr>
        <w:t xml:space="preserve">具有良好的商业信誉和健全的财务会计制度； </w:t>
      </w:r>
    </w:p>
    <w:p w14:paraId="5479B1A5">
      <w:pPr>
        <w:pStyle w:val="10"/>
        <w:numPr>
          <w:ilvl w:val="0"/>
          <w:numId w:val="5"/>
        </w:numPr>
        <w:ind w:firstLineChars="0"/>
        <w:rPr>
          <w:rFonts w:hint="eastAsia" w:ascii="宋体" w:hAnsi="宋体" w:cs="宋体"/>
          <w:color w:val="auto"/>
          <w:highlight w:val="none"/>
        </w:rPr>
      </w:pPr>
      <w:r>
        <w:rPr>
          <w:rFonts w:hint="eastAsia" w:ascii="宋体" w:hAnsi="宋体" w:cs="宋体"/>
          <w:color w:val="auto"/>
          <w:highlight w:val="none"/>
        </w:rPr>
        <w:t>具有履行合同所必需的设备和专业技术能力；</w:t>
      </w:r>
    </w:p>
    <w:p w14:paraId="3354AF54">
      <w:pPr>
        <w:pStyle w:val="10"/>
        <w:numPr>
          <w:ilvl w:val="0"/>
          <w:numId w:val="5"/>
        </w:numPr>
        <w:ind w:firstLineChars="0"/>
        <w:rPr>
          <w:rFonts w:hint="eastAsia" w:ascii="宋体" w:hAnsi="宋体" w:cs="宋体"/>
          <w:color w:val="auto"/>
          <w:highlight w:val="none"/>
        </w:rPr>
      </w:pPr>
      <w:r>
        <w:rPr>
          <w:rFonts w:hint="eastAsia" w:ascii="宋体" w:hAnsi="宋体" w:cs="宋体"/>
          <w:color w:val="auto"/>
          <w:highlight w:val="none"/>
        </w:rPr>
        <w:t xml:space="preserve">有依法缴纳税收和社会保障资金的良好记录； </w:t>
      </w:r>
    </w:p>
    <w:p w14:paraId="5876EE56">
      <w:pPr>
        <w:pStyle w:val="10"/>
        <w:numPr>
          <w:ilvl w:val="0"/>
          <w:numId w:val="5"/>
        </w:numPr>
        <w:ind w:firstLineChars="0"/>
        <w:rPr>
          <w:rFonts w:hint="eastAsia" w:ascii="宋体" w:hAnsi="宋体" w:cs="宋体"/>
          <w:color w:val="auto"/>
          <w:highlight w:val="none"/>
        </w:rPr>
      </w:pPr>
      <w:r>
        <w:rPr>
          <w:rFonts w:hint="eastAsia" w:ascii="宋体" w:hAnsi="宋体" w:cs="宋体"/>
          <w:color w:val="auto"/>
          <w:highlight w:val="none"/>
        </w:rPr>
        <w:t xml:space="preserve">参加政府采购活动前三年内，在经营活动中没有重大违法记录； </w:t>
      </w:r>
    </w:p>
    <w:p w14:paraId="52C80BAF">
      <w:pPr>
        <w:pStyle w:val="10"/>
        <w:numPr>
          <w:ilvl w:val="0"/>
          <w:numId w:val="5"/>
        </w:numPr>
        <w:ind w:firstLineChars="0"/>
        <w:rPr>
          <w:rFonts w:hint="eastAsia" w:ascii="宋体" w:hAnsi="宋体" w:cs="宋体"/>
          <w:color w:val="auto"/>
          <w:highlight w:val="none"/>
        </w:rPr>
      </w:pPr>
      <w:r>
        <w:rPr>
          <w:rFonts w:hint="eastAsia" w:ascii="宋体" w:hAnsi="宋体" w:cs="宋体"/>
          <w:color w:val="auto"/>
          <w:highlight w:val="none"/>
        </w:rPr>
        <w:t>未被列入经营异常名录或者严重违法失信名单、失信被执行人、重大税收违法案件当事人名单、政府采购严重违法失信行为记录名单；</w:t>
      </w:r>
    </w:p>
    <w:p w14:paraId="54C6D3F9">
      <w:pPr>
        <w:pStyle w:val="10"/>
        <w:numPr>
          <w:ilvl w:val="0"/>
          <w:numId w:val="5"/>
        </w:numPr>
        <w:ind w:firstLineChars="0"/>
        <w:rPr>
          <w:rFonts w:hint="eastAsia" w:ascii="宋体" w:hAnsi="宋体" w:cs="宋体"/>
          <w:color w:val="auto"/>
          <w:highlight w:val="none"/>
        </w:rPr>
      </w:pPr>
      <w:r>
        <w:rPr>
          <w:rFonts w:hint="eastAsia" w:ascii="宋体" w:hAnsi="宋体" w:cs="宋体"/>
          <w:color w:val="auto"/>
          <w:highlight w:val="none"/>
        </w:rPr>
        <w:t xml:space="preserve">未被相关监管部门作出行政处罚且尚在处罚有效期内； </w:t>
      </w:r>
    </w:p>
    <w:p w14:paraId="0FAD4BD1">
      <w:pPr>
        <w:pStyle w:val="10"/>
        <w:numPr>
          <w:ilvl w:val="0"/>
          <w:numId w:val="5"/>
        </w:numPr>
        <w:ind w:firstLineChars="0"/>
        <w:rPr>
          <w:rFonts w:hint="eastAsia" w:ascii="宋体" w:hAnsi="宋体" w:cs="宋体"/>
          <w:color w:val="auto"/>
          <w:highlight w:val="none"/>
        </w:rPr>
      </w:pPr>
      <w:r>
        <w:rPr>
          <w:rFonts w:hint="eastAsia" w:ascii="宋体" w:hAnsi="宋体" w:cs="宋体"/>
          <w:color w:val="auto"/>
          <w:highlight w:val="none"/>
        </w:rPr>
        <w:t xml:space="preserve">未曾做出虚假采购承诺； </w:t>
      </w:r>
    </w:p>
    <w:p w14:paraId="67C64F29">
      <w:pPr>
        <w:pStyle w:val="10"/>
        <w:numPr>
          <w:ilvl w:val="0"/>
          <w:numId w:val="5"/>
        </w:numPr>
        <w:ind w:firstLineChars="0"/>
        <w:rPr>
          <w:rFonts w:hint="eastAsia" w:ascii="宋体" w:hAnsi="宋体" w:cs="宋体"/>
          <w:color w:val="auto"/>
          <w:highlight w:val="none"/>
        </w:rPr>
      </w:pPr>
      <w:r>
        <w:rPr>
          <w:rFonts w:hint="eastAsia" w:ascii="宋体" w:hAnsi="宋体" w:cs="宋体"/>
          <w:color w:val="auto"/>
          <w:highlight w:val="none"/>
        </w:rPr>
        <w:t>符合法律、行政法规规定的其他条件。</w:t>
      </w:r>
    </w:p>
    <w:p w14:paraId="22A3A9E5">
      <w:pPr>
        <w:pStyle w:val="10"/>
        <w:rPr>
          <w:rFonts w:hint="eastAsia" w:ascii="宋体" w:hAnsi="宋体" w:cs="宋体"/>
          <w:color w:val="auto"/>
          <w:highlight w:val="none"/>
        </w:rPr>
      </w:pPr>
      <w:r>
        <w:rPr>
          <w:rFonts w:hint="eastAsia" w:ascii="宋体" w:hAnsi="宋体" w:cs="宋体"/>
          <w:color w:val="auto"/>
          <w:highlight w:val="none"/>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4433914">
      <w:pPr>
        <w:pStyle w:val="10"/>
        <w:rPr>
          <w:rFonts w:hint="eastAsia" w:ascii="宋体" w:hAnsi="宋体" w:cs="宋体"/>
          <w:color w:val="auto"/>
          <w:highlight w:val="none"/>
        </w:rPr>
      </w:pPr>
    </w:p>
    <w:p w14:paraId="6032748F">
      <w:pPr>
        <w:pStyle w:val="10"/>
        <w:ind w:left="420" w:leftChars="200" w:firstLine="0" w:firstLineChars="0"/>
        <w:rPr>
          <w:rFonts w:hint="eastAsia" w:ascii="宋体" w:hAnsi="宋体" w:cs="宋体"/>
          <w:color w:val="auto"/>
          <w:highlight w:val="none"/>
        </w:rPr>
      </w:pPr>
      <w:r>
        <w:rPr>
          <w:rFonts w:hint="eastAsia" w:ascii="宋体" w:hAnsi="宋体" w:cs="宋体"/>
          <w:color w:val="auto"/>
          <w:highlight w:val="none"/>
        </w:rPr>
        <w:t>供应商（公章）：</w:t>
      </w:r>
    </w:p>
    <w:p w14:paraId="328A40FA">
      <w:pPr>
        <w:pStyle w:val="10"/>
        <w:ind w:left="420" w:leftChars="200" w:firstLine="0" w:firstLineChars="0"/>
        <w:rPr>
          <w:rFonts w:hint="eastAsia" w:ascii="宋体" w:hAnsi="宋体" w:cs="宋体"/>
          <w:color w:val="auto"/>
          <w:highlight w:val="none"/>
        </w:rPr>
      </w:pPr>
      <w:r>
        <w:rPr>
          <w:rFonts w:hint="eastAsia" w:ascii="宋体" w:hAnsi="宋体" w:cs="宋体"/>
          <w:color w:val="auto"/>
          <w:highlight w:val="none"/>
        </w:rPr>
        <w:t>法定代表人或授权代表人（签字或盖章）：</w:t>
      </w:r>
    </w:p>
    <w:p w14:paraId="67945C18">
      <w:pPr>
        <w:pStyle w:val="10"/>
        <w:ind w:left="420" w:leftChars="200" w:firstLine="0" w:firstLineChars="0"/>
        <w:rPr>
          <w:rFonts w:hint="eastAsia" w:ascii="宋体" w:hAnsi="宋体" w:cs="宋体"/>
          <w:color w:val="auto"/>
          <w:highlight w:val="none"/>
        </w:rPr>
      </w:pPr>
      <w:r>
        <w:rPr>
          <w:rFonts w:hint="eastAsia" w:ascii="宋体" w:hAnsi="宋体" w:cs="宋体"/>
          <w:color w:val="auto"/>
          <w:highlight w:val="none"/>
        </w:rPr>
        <w:t>日期：   年    月    日</w:t>
      </w:r>
    </w:p>
    <w:p w14:paraId="0FC3A68C">
      <w:pPr>
        <w:pStyle w:val="10"/>
        <w:ind w:left="420" w:leftChars="200" w:firstLine="0" w:firstLineChars="0"/>
        <w:rPr>
          <w:rFonts w:hint="eastAsia" w:ascii="宋体" w:hAnsi="宋体" w:cs="宋体"/>
          <w:color w:val="auto"/>
          <w:highlight w:val="none"/>
        </w:rPr>
      </w:pPr>
    </w:p>
    <w:p w14:paraId="53DC846B">
      <w:pPr>
        <w:pStyle w:val="10"/>
        <w:rPr>
          <w:rFonts w:hint="eastAsia" w:ascii="宋体" w:hAnsi="宋体" w:cs="宋体"/>
          <w:color w:val="auto"/>
          <w:highlight w:val="none"/>
        </w:rPr>
      </w:pPr>
      <w:r>
        <w:rPr>
          <w:rFonts w:hint="eastAsia" w:ascii="宋体" w:hAnsi="宋体" w:cs="宋体"/>
          <w:color w:val="auto"/>
          <w:highlight w:val="none"/>
        </w:rPr>
        <w:t>注：1、供应商须在响应文件中按此模板提供承诺函，未提供视为未实质性响应招标文件要求，按无效投标处理。</w:t>
      </w:r>
    </w:p>
    <w:p w14:paraId="077F1711">
      <w:pPr>
        <w:pStyle w:val="10"/>
        <w:ind w:firstLine="840" w:firstLineChars="400"/>
        <w:rPr>
          <w:rFonts w:hint="eastAsia" w:ascii="宋体" w:hAnsi="宋体" w:cs="宋体"/>
          <w:color w:val="auto"/>
          <w:highlight w:val="none"/>
        </w:rPr>
      </w:pPr>
      <w:r>
        <w:rPr>
          <w:rFonts w:hint="eastAsia" w:ascii="宋体" w:hAnsi="宋体" w:cs="宋体"/>
          <w:color w:val="auto"/>
          <w:highlight w:val="none"/>
        </w:rPr>
        <w:t>2、供应商的法定代表人或者授权代表的签字或盖章应真实、有效，如由授权代表签字或盖章的，应提供“法定代表人授权书”。</w:t>
      </w:r>
    </w:p>
    <w:p w14:paraId="3D9F3F51">
      <w:pPr>
        <w:rPr>
          <w:rFonts w:hint="eastAsia" w:ascii="宋体" w:hAnsi="宋体" w:cs="宋体"/>
          <w:color w:val="auto"/>
          <w:highlight w:val="none"/>
        </w:rPr>
      </w:pPr>
    </w:p>
    <w:p w14:paraId="2EA92042">
      <w:pPr>
        <w:pStyle w:val="54"/>
        <w:rPr>
          <w:rFonts w:hint="eastAsia" w:ascii="宋体" w:hAnsi="宋体" w:cs="宋体"/>
          <w:color w:val="auto"/>
          <w:highlight w:val="none"/>
        </w:rPr>
      </w:pPr>
    </w:p>
    <w:p w14:paraId="5BBE5998">
      <w:pPr>
        <w:rPr>
          <w:rFonts w:hint="eastAsia" w:ascii="宋体" w:hAnsi="宋体" w:cs="宋体"/>
          <w:color w:val="auto"/>
          <w:highlight w:val="none"/>
        </w:rPr>
      </w:pPr>
    </w:p>
    <w:p w14:paraId="5DB011EF">
      <w:pPr>
        <w:pStyle w:val="28"/>
        <w:spacing w:before="156" w:after="156"/>
        <w:rPr>
          <w:rFonts w:hint="eastAsia" w:ascii="宋体" w:hAnsi="宋体" w:cs="宋体"/>
          <w:color w:val="auto"/>
          <w:highlight w:val="none"/>
        </w:rPr>
      </w:pPr>
    </w:p>
    <w:p w14:paraId="04C1F906">
      <w:pPr>
        <w:pStyle w:val="28"/>
        <w:spacing w:before="156" w:after="156"/>
        <w:rPr>
          <w:rFonts w:hint="eastAsia" w:ascii="宋体" w:hAnsi="宋体" w:cs="宋体"/>
          <w:color w:val="auto"/>
          <w:highlight w:val="none"/>
        </w:rPr>
      </w:pPr>
    </w:p>
    <w:p w14:paraId="0CD2303A">
      <w:pPr>
        <w:pStyle w:val="5"/>
        <w:jc w:val="center"/>
        <w:rPr>
          <w:rFonts w:hint="eastAsia" w:ascii="宋体" w:hAnsi="宋体" w:cs="宋体"/>
          <w:color w:val="auto"/>
          <w:highlight w:val="none"/>
        </w:rPr>
      </w:pPr>
      <w:bookmarkStart w:id="1214" w:name="_Toc12055"/>
      <w:bookmarkStart w:id="1215" w:name="_Toc20925"/>
      <w:bookmarkStart w:id="1216" w:name="_Toc262746026"/>
      <w:bookmarkStart w:id="1217" w:name="_Toc31216"/>
      <w:bookmarkStart w:id="1218" w:name="_Toc262483524"/>
      <w:bookmarkStart w:id="1219" w:name="_Toc332961933"/>
      <w:bookmarkStart w:id="1220" w:name="_Toc17242"/>
      <w:bookmarkStart w:id="1221" w:name="_Toc24479"/>
      <w:bookmarkStart w:id="1222" w:name="_Toc19310"/>
      <w:bookmarkStart w:id="1223" w:name="_Toc14872"/>
      <w:r>
        <w:rPr>
          <w:rFonts w:hint="eastAsia" w:ascii="宋体" w:hAnsi="宋体" w:cs="宋体"/>
          <w:color w:val="auto"/>
          <w:highlight w:val="none"/>
        </w:rPr>
        <w:t>（二）供应商资格证明文件</w:t>
      </w:r>
      <w:bookmarkEnd w:id="1214"/>
      <w:bookmarkEnd w:id="1215"/>
      <w:bookmarkEnd w:id="1216"/>
      <w:bookmarkEnd w:id="1217"/>
      <w:bookmarkEnd w:id="1218"/>
      <w:bookmarkEnd w:id="1219"/>
      <w:bookmarkEnd w:id="1220"/>
      <w:bookmarkEnd w:id="1221"/>
      <w:bookmarkEnd w:id="1222"/>
      <w:bookmarkEnd w:id="1223"/>
    </w:p>
    <w:p w14:paraId="6A9255FB">
      <w:pPr>
        <w:spacing w:line="360" w:lineRule="auto"/>
        <w:rPr>
          <w:rFonts w:hint="eastAsia" w:ascii="宋体" w:hAnsi="宋体" w:cs="宋体"/>
          <w:color w:val="auto"/>
          <w:highlight w:val="none"/>
        </w:rPr>
      </w:pPr>
      <w:bookmarkStart w:id="1224" w:name="_Toc14362"/>
      <w:bookmarkStart w:id="1225" w:name="_Toc30842"/>
    </w:p>
    <w:p w14:paraId="02CA3484">
      <w:pPr>
        <w:spacing w:line="360" w:lineRule="auto"/>
        <w:rPr>
          <w:rFonts w:hint="eastAsia" w:ascii="宋体" w:hAnsi="宋体" w:cs="宋体"/>
          <w:color w:val="auto"/>
          <w:highlight w:val="none"/>
        </w:rPr>
      </w:pPr>
    </w:p>
    <w:p w14:paraId="3256338E">
      <w:pPr>
        <w:spacing w:line="360" w:lineRule="auto"/>
        <w:rPr>
          <w:rFonts w:hint="eastAsia" w:ascii="宋体" w:hAnsi="宋体" w:cs="宋体"/>
          <w:color w:val="auto"/>
          <w:highlight w:val="none"/>
        </w:rPr>
      </w:pPr>
    </w:p>
    <w:p w14:paraId="7D214549">
      <w:pPr>
        <w:spacing w:line="360" w:lineRule="auto"/>
        <w:rPr>
          <w:rFonts w:hint="eastAsia" w:ascii="宋体" w:hAnsi="宋体" w:cs="宋体"/>
          <w:color w:val="auto"/>
          <w:highlight w:val="none"/>
        </w:rPr>
      </w:pPr>
    </w:p>
    <w:p w14:paraId="4112F516">
      <w:pPr>
        <w:spacing w:line="360" w:lineRule="auto"/>
        <w:rPr>
          <w:rFonts w:hint="eastAsia" w:ascii="宋体" w:hAnsi="宋体" w:cs="宋体"/>
          <w:color w:val="auto"/>
          <w:highlight w:val="none"/>
        </w:rPr>
      </w:pPr>
    </w:p>
    <w:p w14:paraId="2FFE2F3A">
      <w:pPr>
        <w:spacing w:line="360" w:lineRule="auto"/>
        <w:rPr>
          <w:rFonts w:hint="eastAsia" w:ascii="宋体" w:hAnsi="宋体" w:cs="宋体"/>
          <w:color w:val="auto"/>
          <w:highlight w:val="none"/>
        </w:rPr>
      </w:pPr>
    </w:p>
    <w:p w14:paraId="0FA4A647">
      <w:pPr>
        <w:spacing w:line="360" w:lineRule="auto"/>
        <w:rPr>
          <w:rFonts w:hint="eastAsia" w:ascii="宋体" w:hAnsi="宋体" w:cs="宋体"/>
          <w:color w:val="auto"/>
          <w:highlight w:val="none"/>
        </w:rPr>
      </w:pPr>
    </w:p>
    <w:p w14:paraId="063F50AB">
      <w:pPr>
        <w:spacing w:line="360" w:lineRule="auto"/>
        <w:rPr>
          <w:rFonts w:hint="eastAsia" w:ascii="宋体" w:hAnsi="宋体" w:cs="宋体"/>
          <w:color w:val="auto"/>
          <w:highlight w:val="none"/>
        </w:rPr>
      </w:pPr>
    </w:p>
    <w:p w14:paraId="353F0CC1">
      <w:pPr>
        <w:spacing w:line="360" w:lineRule="auto"/>
        <w:rPr>
          <w:rFonts w:hint="eastAsia" w:ascii="宋体" w:hAnsi="宋体" w:cs="宋体"/>
          <w:color w:val="auto"/>
          <w:highlight w:val="none"/>
        </w:rPr>
      </w:pPr>
    </w:p>
    <w:p w14:paraId="3A4B92C5">
      <w:pPr>
        <w:spacing w:line="360" w:lineRule="auto"/>
        <w:rPr>
          <w:rFonts w:hint="eastAsia" w:ascii="宋体" w:hAnsi="宋体" w:cs="宋体"/>
          <w:color w:val="auto"/>
          <w:highlight w:val="none"/>
        </w:rPr>
      </w:pPr>
    </w:p>
    <w:p w14:paraId="5165AE33">
      <w:pPr>
        <w:spacing w:line="360" w:lineRule="auto"/>
        <w:rPr>
          <w:rFonts w:hint="eastAsia" w:ascii="宋体" w:hAnsi="宋体" w:cs="宋体"/>
          <w:color w:val="auto"/>
          <w:highlight w:val="none"/>
        </w:rPr>
      </w:pPr>
    </w:p>
    <w:p w14:paraId="58E77CB9">
      <w:pPr>
        <w:spacing w:line="360" w:lineRule="auto"/>
        <w:rPr>
          <w:rFonts w:hint="eastAsia" w:ascii="宋体" w:hAnsi="宋体" w:cs="宋体"/>
          <w:color w:val="auto"/>
          <w:highlight w:val="none"/>
        </w:rPr>
      </w:pPr>
    </w:p>
    <w:p w14:paraId="00DDD093">
      <w:pPr>
        <w:spacing w:line="360" w:lineRule="auto"/>
        <w:rPr>
          <w:rFonts w:hint="eastAsia" w:ascii="宋体" w:hAnsi="宋体" w:cs="宋体"/>
          <w:color w:val="auto"/>
          <w:highlight w:val="none"/>
        </w:rPr>
      </w:pPr>
    </w:p>
    <w:p w14:paraId="7EE08039">
      <w:pPr>
        <w:spacing w:line="360" w:lineRule="auto"/>
        <w:rPr>
          <w:rFonts w:hint="eastAsia" w:ascii="宋体" w:hAnsi="宋体" w:cs="宋体"/>
          <w:color w:val="auto"/>
          <w:highlight w:val="none"/>
        </w:rPr>
      </w:pPr>
    </w:p>
    <w:p w14:paraId="05CA292E">
      <w:pPr>
        <w:spacing w:line="360" w:lineRule="auto"/>
        <w:rPr>
          <w:rFonts w:hint="eastAsia" w:ascii="宋体" w:hAnsi="宋体" w:cs="宋体"/>
          <w:color w:val="auto"/>
          <w:highlight w:val="none"/>
        </w:rPr>
      </w:pPr>
    </w:p>
    <w:p w14:paraId="3634109D">
      <w:pPr>
        <w:spacing w:line="360" w:lineRule="auto"/>
        <w:rPr>
          <w:rFonts w:hint="eastAsia" w:ascii="宋体" w:hAnsi="宋体" w:cs="宋体"/>
          <w:color w:val="auto"/>
          <w:highlight w:val="none"/>
        </w:rPr>
      </w:pPr>
    </w:p>
    <w:p w14:paraId="0777C840">
      <w:pPr>
        <w:spacing w:line="360" w:lineRule="auto"/>
        <w:rPr>
          <w:rFonts w:hint="eastAsia" w:ascii="宋体" w:hAnsi="宋体" w:cs="宋体"/>
          <w:color w:val="auto"/>
          <w:highlight w:val="none"/>
        </w:rPr>
      </w:pPr>
    </w:p>
    <w:p w14:paraId="686146CE">
      <w:pPr>
        <w:spacing w:line="360" w:lineRule="auto"/>
        <w:rPr>
          <w:rFonts w:hint="eastAsia" w:ascii="宋体" w:hAnsi="宋体" w:cs="宋体"/>
          <w:color w:val="auto"/>
          <w:highlight w:val="none"/>
        </w:rPr>
      </w:pPr>
    </w:p>
    <w:p w14:paraId="30331041">
      <w:pPr>
        <w:spacing w:line="360" w:lineRule="auto"/>
        <w:rPr>
          <w:rFonts w:hint="eastAsia" w:ascii="宋体" w:hAnsi="宋体" w:cs="宋体"/>
          <w:color w:val="auto"/>
          <w:highlight w:val="none"/>
        </w:rPr>
      </w:pPr>
    </w:p>
    <w:p w14:paraId="2CA5CF12">
      <w:pPr>
        <w:spacing w:line="360" w:lineRule="auto"/>
        <w:rPr>
          <w:rFonts w:hint="eastAsia" w:ascii="宋体" w:hAnsi="宋体" w:cs="宋体"/>
          <w:color w:val="auto"/>
          <w:highlight w:val="none"/>
        </w:rPr>
      </w:pPr>
    </w:p>
    <w:p w14:paraId="29F63E7D">
      <w:pPr>
        <w:spacing w:line="360" w:lineRule="auto"/>
        <w:rPr>
          <w:rFonts w:hint="eastAsia" w:ascii="宋体" w:hAnsi="宋体" w:cs="宋体"/>
          <w:color w:val="auto"/>
          <w:highlight w:val="none"/>
        </w:rPr>
      </w:pPr>
    </w:p>
    <w:p w14:paraId="3F916A4B">
      <w:pPr>
        <w:spacing w:line="360" w:lineRule="auto"/>
        <w:rPr>
          <w:rFonts w:hint="eastAsia" w:ascii="宋体" w:hAnsi="宋体" w:cs="宋体"/>
          <w:color w:val="auto"/>
          <w:highlight w:val="none"/>
        </w:rPr>
      </w:pPr>
    </w:p>
    <w:p w14:paraId="7AC967F3">
      <w:pPr>
        <w:spacing w:line="360" w:lineRule="auto"/>
        <w:rPr>
          <w:rFonts w:hint="eastAsia" w:ascii="宋体" w:hAnsi="宋体" w:cs="宋体"/>
          <w:color w:val="auto"/>
          <w:highlight w:val="none"/>
        </w:rPr>
      </w:pPr>
    </w:p>
    <w:p w14:paraId="6AA1BDAE">
      <w:pPr>
        <w:spacing w:line="360" w:lineRule="auto"/>
        <w:rPr>
          <w:rFonts w:hint="eastAsia" w:ascii="宋体" w:hAnsi="宋体" w:cs="宋体"/>
          <w:color w:val="auto"/>
          <w:highlight w:val="none"/>
        </w:rPr>
      </w:pPr>
    </w:p>
    <w:p w14:paraId="11D3D42A">
      <w:pPr>
        <w:pStyle w:val="5"/>
        <w:jc w:val="both"/>
        <w:rPr>
          <w:rFonts w:hint="eastAsia" w:ascii="宋体" w:hAnsi="宋体" w:cs="宋体"/>
          <w:color w:val="auto"/>
          <w:highlight w:val="none"/>
        </w:rPr>
      </w:pPr>
      <w:bookmarkStart w:id="1226" w:name="_Toc21900"/>
      <w:bookmarkStart w:id="1227" w:name="_Toc16255"/>
      <w:bookmarkStart w:id="1228" w:name="_Toc16051"/>
      <w:bookmarkStart w:id="1229" w:name="_Toc19988"/>
    </w:p>
    <w:p w14:paraId="46C70110">
      <w:pPr>
        <w:pStyle w:val="5"/>
        <w:jc w:val="center"/>
        <w:rPr>
          <w:rFonts w:hint="eastAsia" w:ascii="宋体" w:hAnsi="宋体" w:cs="宋体"/>
          <w:color w:val="auto"/>
          <w:highlight w:val="none"/>
        </w:rPr>
      </w:pPr>
    </w:p>
    <w:p w14:paraId="79C7E173">
      <w:pPr>
        <w:rPr>
          <w:rFonts w:hint="eastAsia"/>
          <w:color w:val="auto"/>
          <w:highlight w:val="none"/>
        </w:rPr>
      </w:pPr>
    </w:p>
    <w:p w14:paraId="24009F12">
      <w:pPr>
        <w:pStyle w:val="5"/>
        <w:jc w:val="center"/>
        <w:rPr>
          <w:rFonts w:hint="eastAsia" w:ascii="宋体" w:hAnsi="宋体" w:cs="宋体"/>
          <w:color w:val="auto"/>
          <w:highlight w:val="none"/>
        </w:rPr>
      </w:pPr>
      <w:r>
        <w:rPr>
          <w:rFonts w:hint="eastAsia" w:ascii="宋体" w:hAnsi="宋体" w:cs="宋体"/>
          <w:color w:val="auto"/>
          <w:highlight w:val="none"/>
        </w:rPr>
        <w:t>（三）反商业贿赂承诺书</w:t>
      </w:r>
      <w:bookmarkEnd w:id="1224"/>
      <w:bookmarkEnd w:id="1225"/>
      <w:bookmarkEnd w:id="1226"/>
      <w:bookmarkEnd w:id="1227"/>
      <w:bookmarkEnd w:id="1228"/>
      <w:bookmarkEnd w:id="1229"/>
    </w:p>
    <w:p w14:paraId="208CDCD1">
      <w:pPr>
        <w:spacing w:line="360" w:lineRule="auto"/>
        <w:rPr>
          <w:rFonts w:hint="eastAsia" w:ascii="宋体" w:hAnsi="宋体" w:cs="宋体"/>
          <w:color w:val="auto"/>
          <w:szCs w:val="21"/>
          <w:highlight w:val="none"/>
        </w:rPr>
      </w:pPr>
    </w:p>
    <w:p w14:paraId="2BFD3044">
      <w:pPr>
        <w:pStyle w:val="10"/>
        <w:ind w:firstLine="0" w:firstLineChars="0"/>
        <w:rPr>
          <w:rFonts w:hint="eastAsia" w:ascii="宋体" w:hAnsi="宋体" w:cs="宋体"/>
          <w:color w:val="auto"/>
          <w:highlight w:val="none"/>
        </w:rPr>
      </w:pPr>
      <w:bookmarkStart w:id="1230" w:name="_Toc24989"/>
      <w:bookmarkStart w:id="1231" w:name="_Toc6636"/>
      <w:bookmarkStart w:id="1232" w:name="_Toc22153"/>
      <w:bookmarkStart w:id="1233" w:name="_Toc26336"/>
      <w:bookmarkStart w:id="1234" w:name="_Toc1184"/>
      <w:bookmarkStart w:id="1235" w:name="_Toc19379"/>
      <w:bookmarkStart w:id="1236" w:name="_Toc20346"/>
      <w:r>
        <w:rPr>
          <w:rFonts w:hint="eastAsia" w:ascii="宋体" w:hAnsi="宋体" w:cs="宋体"/>
          <w:color w:val="auto"/>
          <w:highlight w:val="none"/>
        </w:rPr>
        <w:t>我公司承诺：</w:t>
      </w:r>
      <w:bookmarkEnd w:id="1230"/>
      <w:bookmarkEnd w:id="1231"/>
      <w:bookmarkEnd w:id="1232"/>
      <w:bookmarkEnd w:id="1233"/>
      <w:bookmarkEnd w:id="1234"/>
      <w:bookmarkEnd w:id="1235"/>
      <w:bookmarkEnd w:id="1236"/>
    </w:p>
    <w:p w14:paraId="1C7E5E00">
      <w:pPr>
        <w:pStyle w:val="10"/>
        <w:rPr>
          <w:rFonts w:hint="eastAsia" w:ascii="宋体" w:hAnsi="宋体" w:cs="宋体"/>
          <w:color w:val="auto"/>
          <w:highlight w:val="none"/>
        </w:rPr>
      </w:pPr>
      <w:bookmarkStart w:id="1237" w:name="_Toc24819"/>
      <w:bookmarkStart w:id="1238" w:name="_Toc10849"/>
      <w:bookmarkStart w:id="1239" w:name="_Toc3905"/>
      <w:bookmarkStart w:id="1240" w:name="_Toc2973"/>
      <w:bookmarkStart w:id="1241" w:name="_Toc16567"/>
      <w:bookmarkStart w:id="1242" w:name="_Toc22187"/>
      <w:bookmarkStart w:id="1243" w:name="_Toc2826"/>
      <w:r>
        <w:rPr>
          <w:rFonts w:hint="eastAsia" w:ascii="宋体" w:hAnsi="宋体" w:cs="宋体"/>
          <w:color w:val="auto"/>
          <w:highlight w:val="none"/>
        </w:rPr>
        <w:t>在 （采购项目名称）投标活动中，我公司保证做到：</w:t>
      </w:r>
      <w:bookmarkEnd w:id="1237"/>
      <w:bookmarkEnd w:id="1238"/>
      <w:bookmarkEnd w:id="1239"/>
      <w:bookmarkEnd w:id="1240"/>
      <w:bookmarkEnd w:id="1241"/>
      <w:bookmarkEnd w:id="1242"/>
      <w:bookmarkEnd w:id="1243"/>
    </w:p>
    <w:p w14:paraId="3ED9A373">
      <w:pPr>
        <w:pStyle w:val="10"/>
        <w:rPr>
          <w:rFonts w:hint="eastAsia" w:ascii="宋体" w:hAnsi="宋体" w:cs="宋体"/>
          <w:color w:val="auto"/>
          <w:highlight w:val="none"/>
        </w:rPr>
      </w:pPr>
      <w:bookmarkStart w:id="1244" w:name="_Toc23826"/>
      <w:bookmarkStart w:id="1245" w:name="_Toc28790"/>
      <w:bookmarkStart w:id="1246" w:name="_Toc19562"/>
      <w:bookmarkStart w:id="1247" w:name="_Toc31445"/>
      <w:bookmarkStart w:id="1248" w:name="_Toc1786"/>
      <w:bookmarkStart w:id="1249" w:name="_Toc7856"/>
      <w:bookmarkStart w:id="1250" w:name="_Toc28791"/>
      <w:r>
        <w:rPr>
          <w:rFonts w:hint="eastAsia" w:ascii="宋体" w:hAnsi="宋体" w:cs="宋体"/>
          <w:color w:val="auto"/>
          <w:highlight w:val="none"/>
        </w:rPr>
        <w:t>一、公平竞争参加本次采购活动。</w:t>
      </w:r>
      <w:bookmarkEnd w:id="1244"/>
      <w:bookmarkEnd w:id="1245"/>
      <w:bookmarkEnd w:id="1246"/>
      <w:bookmarkEnd w:id="1247"/>
      <w:bookmarkEnd w:id="1248"/>
      <w:bookmarkEnd w:id="1249"/>
      <w:bookmarkEnd w:id="1250"/>
    </w:p>
    <w:p w14:paraId="78F7B888">
      <w:pPr>
        <w:pStyle w:val="10"/>
        <w:rPr>
          <w:rFonts w:hint="eastAsia" w:ascii="宋体" w:hAnsi="宋体" w:cs="宋体"/>
          <w:color w:val="auto"/>
          <w:highlight w:val="none"/>
        </w:rPr>
      </w:pPr>
      <w:bookmarkStart w:id="1251" w:name="_Toc3473"/>
      <w:bookmarkStart w:id="1252" w:name="_Toc15277"/>
      <w:bookmarkStart w:id="1253" w:name="_Toc13021"/>
      <w:bookmarkStart w:id="1254" w:name="_Toc4051"/>
      <w:bookmarkStart w:id="1255" w:name="_Toc6152"/>
      <w:bookmarkStart w:id="1256" w:name="_Toc4016"/>
      <w:bookmarkStart w:id="1257" w:name="_Toc4479"/>
      <w:r>
        <w:rPr>
          <w:rFonts w:hint="eastAsia" w:ascii="宋体" w:hAnsi="宋体" w:cs="宋体"/>
          <w:color w:val="auto"/>
          <w:highlight w:val="none"/>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bookmarkEnd w:id="1251"/>
      <w:bookmarkEnd w:id="1252"/>
      <w:bookmarkEnd w:id="1253"/>
      <w:bookmarkEnd w:id="1254"/>
      <w:bookmarkEnd w:id="1255"/>
      <w:bookmarkEnd w:id="1256"/>
      <w:bookmarkEnd w:id="1257"/>
    </w:p>
    <w:p w14:paraId="522FBC35">
      <w:pPr>
        <w:pStyle w:val="10"/>
        <w:rPr>
          <w:rFonts w:hint="eastAsia" w:ascii="宋体" w:hAnsi="宋体" w:cs="宋体"/>
          <w:color w:val="auto"/>
          <w:highlight w:val="none"/>
        </w:rPr>
      </w:pPr>
      <w:bookmarkStart w:id="1258" w:name="_Toc27402"/>
      <w:bookmarkStart w:id="1259" w:name="_Toc9023"/>
      <w:bookmarkStart w:id="1260" w:name="_Toc19340"/>
      <w:bookmarkStart w:id="1261" w:name="_Toc16301"/>
      <w:bookmarkStart w:id="1262" w:name="_Toc25771"/>
      <w:bookmarkStart w:id="1263" w:name="_Toc31052"/>
      <w:bookmarkStart w:id="1264" w:name="_Toc30520"/>
      <w:r>
        <w:rPr>
          <w:rFonts w:hint="eastAsia" w:ascii="宋体" w:hAnsi="宋体" w:cs="宋体"/>
          <w:color w:val="auto"/>
          <w:highlight w:val="none"/>
        </w:rPr>
        <w:t>三、若出现上述行为，我公司及参与采购的工作人员愿意接受按照国家法律法规等有关规定给予的处罚。</w:t>
      </w:r>
      <w:bookmarkEnd w:id="1258"/>
      <w:bookmarkEnd w:id="1259"/>
      <w:bookmarkEnd w:id="1260"/>
      <w:bookmarkEnd w:id="1261"/>
      <w:bookmarkEnd w:id="1262"/>
      <w:bookmarkEnd w:id="1263"/>
      <w:bookmarkEnd w:id="1264"/>
    </w:p>
    <w:p w14:paraId="2CB2C604">
      <w:pPr>
        <w:spacing w:line="360" w:lineRule="auto"/>
        <w:ind w:firstLine="555"/>
        <w:rPr>
          <w:rFonts w:hint="eastAsia" w:ascii="宋体" w:hAnsi="宋体" w:cs="宋体"/>
          <w:color w:val="auto"/>
          <w:highlight w:val="none"/>
        </w:rPr>
      </w:pPr>
    </w:p>
    <w:p w14:paraId="1F08E926">
      <w:pPr>
        <w:spacing w:line="360" w:lineRule="auto"/>
        <w:ind w:left="1050" w:leftChars="500" w:firstLine="555"/>
        <w:rPr>
          <w:rFonts w:hint="eastAsia" w:ascii="宋体" w:hAnsi="宋体" w:cs="宋体"/>
          <w:color w:val="auto"/>
          <w:highlight w:val="none"/>
        </w:rPr>
      </w:pPr>
    </w:p>
    <w:p w14:paraId="3239E349">
      <w:pPr>
        <w:spacing w:line="360" w:lineRule="auto"/>
        <w:ind w:left="1050" w:leftChars="500" w:firstLine="2520" w:firstLineChars="1200"/>
        <w:rPr>
          <w:rFonts w:hint="eastAsia" w:ascii="宋体" w:hAnsi="宋体" w:cs="宋体"/>
          <w:color w:val="auto"/>
          <w:highlight w:val="none"/>
        </w:rPr>
      </w:pPr>
      <w:r>
        <w:rPr>
          <w:rFonts w:hint="eastAsia" w:ascii="宋体" w:hAnsi="宋体" w:cs="宋体"/>
          <w:color w:val="auto"/>
          <w:highlight w:val="none"/>
        </w:rPr>
        <w:t>供应商：</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42FD9283">
      <w:pPr>
        <w:spacing w:line="360" w:lineRule="auto"/>
        <w:ind w:left="1050" w:leftChars="500" w:firstLine="2520" w:firstLineChars="1200"/>
        <w:rPr>
          <w:rFonts w:hint="eastAsia" w:ascii="宋体" w:hAnsi="宋体" w:cs="宋体"/>
          <w:color w:val="auto"/>
          <w:highlight w:val="none"/>
        </w:rPr>
      </w:pPr>
      <w:r>
        <w:rPr>
          <w:rFonts w:hint="eastAsia" w:ascii="宋体" w:hAnsi="宋体" w:cs="宋体"/>
          <w:color w:val="auto"/>
          <w:highlight w:val="none"/>
        </w:rPr>
        <w:t>法定代表人或其委托代理人：______（签字或盖章）</w:t>
      </w:r>
    </w:p>
    <w:p w14:paraId="4D3DDC4C">
      <w:pPr>
        <w:spacing w:line="360" w:lineRule="auto"/>
        <w:ind w:left="1050" w:leftChars="500" w:firstLine="2520" w:firstLineChars="1200"/>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098D46B9">
      <w:pPr>
        <w:pStyle w:val="46"/>
        <w:rPr>
          <w:rFonts w:hint="eastAsia" w:ascii="宋体" w:hAnsi="宋体" w:cs="宋体"/>
          <w:color w:val="auto"/>
          <w:highlight w:val="none"/>
        </w:rPr>
      </w:pPr>
    </w:p>
    <w:p w14:paraId="6CDFFC3A">
      <w:pPr>
        <w:rPr>
          <w:rFonts w:hint="eastAsia" w:ascii="宋体" w:hAnsi="宋体" w:cs="宋体"/>
          <w:color w:val="auto"/>
          <w:highlight w:val="none"/>
        </w:rPr>
      </w:pPr>
    </w:p>
    <w:p w14:paraId="7E99F34A">
      <w:pPr>
        <w:pStyle w:val="46"/>
        <w:rPr>
          <w:rFonts w:hint="eastAsia" w:ascii="宋体" w:hAnsi="宋体" w:cs="宋体"/>
          <w:color w:val="auto"/>
          <w:highlight w:val="none"/>
        </w:rPr>
      </w:pPr>
    </w:p>
    <w:p w14:paraId="6D2F6B2B">
      <w:pPr>
        <w:rPr>
          <w:rFonts w:hint="eastAsia" w:ascii="宋体" w:hAnsi="宋体" w:cs="宋体"/>
          <w:color w:val="auto"/>
          <w:highlight w:val="none"/>
        </w:rPr>
      </w:pPr>
    </w:p>
    <w:p w14:paraId="36C64A74">
      <w:pPr>
        <w:pStyle w:val="46"/>
        <w:rPr>
          <w:rFonts w:hint="eastAsia" w:ascii="宋体" w:hAnsi="宋体" w:cs="宋体"/>
          <w:color w:val="auto"/>
          <w:highlight w:val="none"/>
        </w:rPr>
      </w:pPr>
    </w:p>
    <w:p w14:paraId="33956C08">
      <w:pPr>
        <w:rPr>
          <w:rFonts w:hint="eastAsia" w:ascii="宋体" w:hAnsi="宋体" w:cs="宋体"/>
          <w:color w:val="auto"/>
          <w:highlight w:val="none"/>
        </w:rPr>
      </w:pPr>
    </w:p>
    <w:p w14:paraId="398E4D43">
      <w:pPr>
        <w:pStyle w:val="46"/>
        <w:rPr>
          <w:rFonts w:hint="eastAsia" w:ascii="宋体" w:hAnsi="宋体" w:cs="宋体"/>
          <w:color w:val="auto"/>
          <w:highlight w:val="none"/>
        </w:rPr>
      </w:pPr>
    </w:p>
    <w:p w14:paraId="4F74CAD9">
      <w:pPr>
        <w:rPr>
          <w:rFonts w:hint="eastAsia" w:ascii="宋体" w:hAnsi="宋体" w:cs="宋体"/>
          <w:color w:val="auto"/>
          <w:highlight w:val="none"/>
        </w:rPr>
      </w:pPr>
    </w:p>
    <w:p w14:paraId="65CF458C">
      <w:pPr>
        <w:pStyle w:val="4"/>
        <w:jc w:val="center"/>
        <w:rPr>
          <w:rFonts w:hint="eastAsia" w:ascii="宋体" w:hAnsi="宋体" w:eastAsia="宋体" w:cs="宋体"/>
          <w:color w:val="auto"/>
          <w:highlight w:val="none"/>
        </w:rPr>
      </w:pPr>
      <w:bookmarkStart w:id="1265" w:name="_Toc475624457"/>
      <w:bookmarkStart w:id="1266" w:name="_Toc31389"/>
      <w:bookmarkStart w:id="1267" w:name="_Toc13339"/>
      <w:bookmarkStart w:id="1268" w:name="_Toc24963"/>
      <w:bookmarkStart w:id="1269" w:name="_Toc8371"/>
      <w:bookmarkStart w:id="1270" w:name="_Toc19486"/>
      <w:bookmarkStart w:id="1271" w:name="_Toc25732"/>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w:t>
      </w:r>
      <w:bookmarkEnd w:id="1265"/>
      <w:bookmarkEnd w:id="1266"/>
      <w:bookmarkEnd w:id="1267"/>
      <w:bookmarkEnd w:id="1268"/>
      <w:bookmarkEnd w:id="1269"/>
      <w:bookmarkStart w:id="1272" w:name="_Toc21363"/>
      <w:bookmarkStart w:id="1273" w:name="_Toc28090"/>
      <w:bookmarkStart w:id="1274" w:name="_Toc27330"/>
      <w:bookmarkStart w:id="1275" w:name="_Toc6620"/>
      <w:r>
        <w:rPr>
          <w:rFonts w:hint="eastAsia" w:ascii="宋体" w:hAnsi="宋体" w:eastAsia="宋体" w:cs="宋体"/>
          <w:color w:val="auto"/>
          <w:highlight w:val="none"/>
        </w:rPr>
        <w:t>技术方案</w:t>
      </w:r>
      <w:bookmarkEnd w:id="1270"/>
      <w:bookmarkEnd w:id="1271"/>
    </w:p>
    <w:p w14:paraId="425533FD">
      <w:pPr>
        <w:pStyle w:val="4"/>
        <w:jc w:val="center"/>
        <w:rPr>
          <w:rFonts w:hint="eastAsia" w:ascii="宋体" w:hAnsi="宋体" w:eastAsia="宋体" w:cs="宋体"/>
          <w:color w:val="auto"/>
          <w:highlight w:val="none"/>
        </w:rPr>
      </w:pPr>
    </w:p>
    <w:p w14:paraId="70DB292A">
      <w:pPr>
        <w:pStyle w:val="4"/>
        <w:jc w:val="center"/>
        <w:rPr>
          <w:rFonts w:hint="eastAsia" w:ascii="宋体" w:hAnsi="宋体" w:eastAsia="宋体" w:cs="宋体"/>
          <w:color w:val="auto"/>
          <w:highlight w:val="none"/>
        </w:rPr>
      </w:pPr>
    </w:p>
    <w:p w14:paraId="4228D844">
      <w:pPr>
        <w:pStyle w:val="4"/>
        <w:jc w:val="center"/>
        <w:rPr>
          <w:rFonts w:hint="eastAsia" w:ascii="宋体" w:hAnsi="宋体" w:eastAsia="宋体" w:cs="宋体"/>
          <w:color w:val="auto"/>
          <w:highlight w:val="none"/>
        </w:rPr>
      </w:pPr>
    </w:p>
    <w:p w14:paraId="481CCBB0">
      <w:pPr>
        <w:pStyle w:val="4"/>
        <w:jc w:val="center"/>
        <w:rPr>
          <w:rFonts w:hint="eastAsia" w:ascii="宋体" w:hAnsi="宋体" w:eastAsia="宋体" w:cs="宋体"/>
          <w:color w:val="auto"/>
          <w:highlight w:val="none"/>
        </w:rPr>
      </w:pPr>
    </w:p>
    <w:p w14:paraId="4CC8A7AD">
      <w:pPr>
        <w:pStyle w:val="4"/>
        <w:jc w:val="center"/>
        <w:rPr>
          <w:rFonts w:hint="eastAsia" w:ascii="宋体" w:hAnsi="宋体" w:eastAsia="宋体" w:cs="宋体"/>
          <w:color w:val="auto"/>
          <w:highlight w:val="none"/>
        </w:rPr>
      </w:pPr>
    </w:p>
    <w:p w14:paraId="04F61619">
      <w:pPr>
        <w:pStyle w:val="4"/>
        <w:jc w:val="center"/>
        <w:rPr>
          <w:rFonts w:hint="eastAsia" w:ascii="宋体" w:hAnsi="宋体" w:eastAsia="宋体" w:cs="宋体"/>
          <w:color w:val="auto"/>
          <w:highlight w:val="none"/>
        </w:rPr>
      </w:pPr>
    </w:p>
    <w:p w14:paraId="6C5BF56B">
      <w:pPr>
        <w:pStyle w:val="4"/>
        <w:jc w:val="center"/>
        <w:rPr>
          <w:rFonts w:hint="eastAsia" w:ascii="宋体" w:hAnsi="宋体" w:eastAsia="宋体" w:cs="宋体"/>
          <w:color w:val="auto"/>
          <w:highlight w:val="none"/>
        </w:rPr>
      </w:pPr>
    </w:p>
    <w:p w14:paraId="74B0DAC4">
      <w:pPr>
        <w:pStyle w:val="4"/>
        <w:jc w:val="center"/>
        <w:rPr>
          <w:rFonts w:hint="eastAsia" w:ascii="宋体" w:hAnsi="宋体" w:eastAsia="宋体" w:cs="宋体"/>
          <w:color w:val="auto"/>
          <w:highlight w:val="none"/>
        </w:rPr>
      </w:pPr>
    </w:p>
    <w:p w14:paraId="472E9E49">
      <w:pPr>
        <w:pStyle w:val="4"/>
        <w:jc w:val="center"/>
        <w:rPr>
          <w:rFonts w:hint="eastAsia" w:ascii="宋体" w:hAnsi="宋体" w:eastAsia="宋体" w:cs="宋体"/>
          <w:color w:val="auto"/>
          <w:highlight w:val="none"/>
        </w:rPr>
      </w:pPr>
    </w:p>
    <w:p w14:paraId="61947540">
      <w:pPr>
        <w:pStyle w:val="4"/>
        <w:jc w:val="center"/>
        <w:rPr>
          <w:rFonts w:hint="eastAsia" w:ascii="宋体" w:hAnsi="宋体" w:eastAsia="宋体" w:cs="宋体"/>
          <w:color w:val="auto"/>
          <w:highlight w:val="none"/>
        </w:rPr>
      </w:pPr>
    </w:p>
    <w:p w14:paraId="4ECFF0C1">
      <w:pPr>
        <w:pStyle w:val="4"/>
        <w:jc w:val="center"/>
        <w:rPr>
          <w:rFonts w:hint="eastAsia" w:ascii="宋体" w:hAnsi="宋体" w:eastAsia="宋体" w:cs="宋体"/>
          <w:color w:val="auto"/>
          <w:highlight w:val="none"/>
        </w:rPr>
      </w:pPr>
    </w:p>
    <w:p w14:paraId="1BD76EB5">
      <w:pPr>
        <w:pStyle w:val="4"/>
        <w:jc w:val="center"/>
        <w:rPr>
          <w:rFonts w:hint="eastAsia" w:ascii="宋体" w:hAnsi="宋体" w:eastAsia="宋体" w:cs="宋体"/>
          <w:color w:val="auto"/>
          <w:highlight w:val="none"/>
        </w:rPr>
      </w:pPr>
    </w:p>
    <w:p w14:paraId="0A61FDDA">
      <w:pPr>
        <w:pStyle w:val="4"/>
        <w:jc w:val="center"/>
        <w:rPr>
          <w:rFonts w:hint="eastAsia" w:ascii="宋体" w:hAnsi="宋体" w:eastAsia="宋体" w:cs="宋体"/>
          <w:color w:val="auto"/>
          <w:highlight w:val="none"/>
        </w:rPr>
      </w:pPr>
    </w:p>
    <w:p w14:paraId="4C6987F3">
      <w:pPr>
        <w:pStyle w:val="4"/>
        <w:jc w:val="center"/>
        <w:rPr>
          <w:rFonts w:hint="eastAsia" w:ascii="宋体" w:hAnsi="宋体" w:eastAsia="宋体" w:cs="宋体"/>
          <w:color w:val="auto"/>
          <w:highlight w:val="none"/>
        </w:rPr>
      </w:pPr>
    </w:p>
    <w:p w14:paraId="00F9EA8A">
      <w:pPr>
        <w:pStyle w:val="4"/>
        <w:jc w:val="center"/>
        <w:rPr>
          <w:rFonts w:hint="eastAsia" w:ascii="宋体" w:hAnsi="宋体" w:eastAsia="宋体" w:cs="宋体"/>
          <w:color w:val="auto"/>
          <w:highlight w:val="none"/>
        </w:rPr>
      </w:pPr>
    </w:p>
    <w:p w14:paraId="4E3572C0">
      <w:pPr>
        <w:pStyle w:val="4"/>
        <w:jc w:val="center"/>
        <w:rPr>
          <w:rFonts w:hint="eastAsia" w:ascii="宋体" w:hAnsi="宋体" w:eastAsia="宋体" w:cs="宋体"/>
          <w:color w:val="auto"/>
          <w:highlight w:val="none"/>
        </w:rPr>
      </w:pPr>
    </w:p>
    <w:p w14:paraId="7D2F4719">
      <w:pPr>
        <w:pStyle w:val="4"/>
        <w:jc w:val="center"/>
        <w:rPr>
          <w:rFonts w:hint="eastAsia" w:ascii="宋体" w:hAnsi="宋体" w:eastAsia="宋体" w:cs="宋体"/>
          <w:color w:val="auto"/>
          <w:highlight w:val="none"/>
        </w:rPr>
      </w:pPr>
    </w:p>
    <w:p w14:paraId="203F2242">
      <w:pPr>
        <w:pStyle w:val="4"/>
        <w:jc w:val="center"/>
        <w:rPr>
          <w:rFonts w:hint="eastAsia" w:ascii="宋体" w:hAnsi="宋体" w:eastAsia="宋体" w:cs="宋体"/>
          <w:color w:val="auto"/>
          <w:highlight w:val="none"/>
        </w:rPr>
      </w:pPr>
    </w:p>
    <w:p w14:paraId="02F9D1C7">
      <w:pPr>
        <w:pStyle w:val="4"/>
        <w:jc w:val="center"/>
        <w:rPr>
          <w:rFonts w:hint="eastAsia" w:ascii="宋体" w:hAnsi="宋体" w:eastAsia="宋体" w:cs="宋体"/>
          <w:color w:val="auto"/>
          <w:highlight w:val="none"/>
        </w:rPr>
      </w:pPr>
    </w:p>
    <w:p w14:paraId="63437952">
      <w:pPr>
        <w:pStyle w:val="4"/>
        <w:jc w:val="center"/>
        <w:rPr>
          <w:rFonts w:hint="eastAsia" w:ascii="宋体" w:hAnsi="宋体" w:eastAsia="宋体" w:cs="宋体"/>
          <w:color w:val="auto"/>
          <w:highlight w:val="none"/>
        </w:rPr>
      </w:pPr>
    </w:p>
    <w:p w14:paraId="597B1FCE">
      <w:pPr>
        <w:pStyle w:val="4"/>
        <w:jc w:val="center"/>
        <w:rPr>
          <w:rFonts w:hint="eastAsia" w:ascii="宋体" w:hAnsi="宋体" w:eastAsia="宋体" w:cs="宋体"/>
          <w:color w:val="auto"/>
          <w:highlight w:val="none"/>
        </w:rPr>
      </w:pPr>
      <w:bookmarkStart w:id="1276" w:name="_Toc6718"/>
    </w:p>
    <w:p w14:paraId="40B170B5">
      <w:pPr>
        <w:pStyle w:val="4"/>
        <w:jc w:val="center"/>
        <w:rPr>
          <w:rFonts w:hint="eastAsia" w:ascii="宋体" w:hAnsi="宋体" w:eastAsia="宋体" w:cs="宋体"/>
          <w:color w:val="auto"/>
          <w:highlight w:val="none"/>
        </w:rPr>
      </w:pPr>
    </w:p>
    <w:p w14:paraId="188F865A">
      <w:pPr>
        <w:pStyle w:val="4"/>
        <w:jc w:val="center"/>
        <w:rPr>
          <w:rFonts w:hint="eastAsia" w:ascii="宋体" w:hAnsi="宋体" w:eastAsia="宋体" w:cs="宋体"/>
          <w:color w:val="auto"/>
          <w:highlight w:val="none"/>
        </w:rPr>
      </w:pPr>
    </w:p>
    <w:p w14:paraId="71A6BD6D">
      <w:pPr>
        <w:pStyle w:val="4"/>
        <w:jc w:val="center"/>
        <w:rPr>
          <w:rFonts w:hint="eastAsia" w:ascii="宋体" w:hAnsi="宋体" w:eastAsia="宋体" w:cs="宋体"/>
          <w:color w:val="auto"/>
          <w:highlight w:val="none"/>
        </w:rPr>
      </w:pPr>
    </w:p>
    <w:p w14:paraId="235D59BF">
      <w:pPr>
        <w:pStyle w:val="4"/>
        <w:jc w:val="center"/>
        <w:rPr>
          <w:rFonts w:hint="eastAsia" w:ascii="宋体" w:hAnsi="宋体" w:eastAsia="宋体" w:cs="宋体"/>
          <w:color w:val="auto"/>
          <w:highlight w:val="none"/>
        </w:rPr>
      </w:pPr>
    </w:p>
    <w:p w14:paraId="091A9816">
      <w:pPr>
        <w:pStyle w:val="4"/>
        <w:jc w:val="center"/>
        <w:rPr>
          <w:rFonts w:hint="eastAsia" w:ascii="宋体" w:hAnsi="宋体" w:eastAsia="宋体" w:cs="宋体"/>
          <w:color w:val="auto"/>
          <w:highlight w:val="none"/>
        </w:rPr>
      </w:pPr>
    </w:p>
    <w:p w14:paraId="7FDFCEF1">
      <w:pPr>
        <w:pStyle w:val="4"/>
        <w:jc w:val="center"/>
        <w:rPr>
          <w:rFonts w:hint="eastAsia" w:ascii="宋体" w:hAnsi="宋体" w:eastAsia="宋体" w:cs="宋体"/>
          <w:color w:val="auto"/>
          <w:highlight w:val="none"/>
        </w:rPr>
      </w:pPr>
    </w:p>
    <w:p w14:paraId="18941C5F">
      <w:pPr>
        <w:pStyle w:val="4"/>
        <w:jc w:val="center"/>
        <w:rPr>
          <w:rFonts w:hint="eastAsia" w:ascii="宋体" w:hAnsi="宋体" w:eastAsia="宋体" w:cs="宋体"/>
          <w:color w:val="auto"/>
          <w:highlight w:val="none"/>
        </w:rPr>
      </w:pPr>
    </w:p>
    <w:p w14:paraId="5D97F075">
      <w:pPr>
        <w:pStyle w:val="4"/>
        <w:jc w:val="center"/>
        <w:rPr>
          <w:rFonts w:hint="eastAsia" w:ascii="宋体" w:hAnsi="宋体" w:eastAsia="宋体" w:cs="宋体"/>
          <w:color w:val="auto"/>
          <w:highlight w:val="none"/>
        </w:rPr>
      </w:pPr>
      <w:bookmarkStart w:id="1277" w:name="_Toc20278"/>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、类似项目业绩</w:t>
      </w:r>
      <w:bookmarkEnd w:id="1272"/>
      <w:bookmarkEnd w:id="1273"/>
      <w:bookmarkEnd w:id="1274"/>
      <w:bookmarkEnd w:id="1275"/>
      <w:bookmarkEnd w:id="1276"/>
      <w:bookmarkEnd w:id="1277"/>
    </w:p>
    <w:p w14:paraId="4F0CC9A7">
      <w:pPr>
        <w:rPr>
          <w:rFonts w:hint="eastAsia" w:ascii="宋体" w:hAnsi="宋体" w:cs="宋体"/>
          <w:color w:val="auto"/>
          <w:highlight w:val="none"/>
        </w:rPr>
      </w:pPr>
    </w:p>
    <w:tbl>
      <w:tblPr>
        <w:tblStyle w:val="30"/>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88"/>
        <w:gridCol w:w="4698"/>
        <w:gridCol w:w="1315"/>
        <w:gridCol w:w="1486"/>
      </w:tblGrid>
      <w:tr w14:paraId="785433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32AA8D4E">
            <w:pPr>
              <w:widowControl/>
              <w:spacing w:line="360"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序号</w:t>
            </w:r>
          </w:p>
        </w:tc>
        <w:tc>
          <w:tcPr>
            <w:tcW w:w="4842" w:type="dxa"/>
            <w:noWrap w:val="0"/>
            <w:vAlign w:val="center"/>
          </w:tcPr>
          <w:p w14:paraId="4404E6FA">
            <w:pPr>
              <w:widowControl/>
              <w:spacing w:line="360"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项目名称</w:t>
            </w:r>
          </w:p>
        </w:tc>
        <w:tc>
          <w:tcPr>
            <w:tcW w:w="1350" w:type="dxa"/>
            <w:noWrap w:val="0"/>
            <w:vAlign w:val="center"/>
          </w:tcPr>
          <w:p w14:paraId="023901A5">
            <w:pPr>
              <w:widowControl/>
              <w:spacing w:line="360"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业主</w:t>
            </w:r>
          </w:p>
        </w:tc>
        <w:tc>
          <w:tcPr>
            <w:tcW w:w="1526" w:type="dxa"/>
            <w:noWrap w:val="0"/>
            <w:vAlign w:val="center"/>
          </w:tcPr>
          <w:p w14:paraId="53022A3A">
            <w:pPr>
              <w:widowControl/>
              <w:spacing w:line="360"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签订日期</w:t>
            </w:r>
          </w:p>
        </w:tc>
      </w:tr>
      <w:tr w14:paraId="1BE3BC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20439A28">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1</w:t>
            </w:r>
          </w:p>
        </w:tc>
        <w:tc>
          <w:tcPr>
            <w:tcW w:w="4842" w:type="dxa"/>
            <w:noWrap w:val="0"/>
            <w:vAlign w:val="center"/>
          </w:tcPr>
          <w:p w14:paraId="54857BFE">
            <w:pPr>
              <w:widowControl/>
              <w:spacing w:line="360" w:lineRule="auto"/>
              <w:rPr>
                <w:rFonts w:hint="eastAsia" w:ascii="宋体" w:hAnsi="宋体" w:cs="宋体"/>
                <w:color w:val="auto"/>
                <w:kern w:val="0"/>
                <w:highlight w:val="none"/>
              </w:rPr>
            </w:pPr>
          </w:p>
        </w:tc>
        <w:tc>
          <w:tcPr>
            <w:tcW w:w="1350" w:type="dxa"/>
            <w:noWrap w:val="0"/>
            <w:vAlign w:val="center"/>
          </w:tcPr>
          <w:p w14:paraId="572577EA">
            <w:pPr>
              <w:widowControl/>
              <w:spacing w:line="360" w:lineRule="auto"/>
              <w:rPr>
                <w:rFonts w:hint="eastAsia" w:ascii="宋体" w:hAnsi="宋体" w:cs="宋体"/>
                <w:color w:val="auto"/>
                <w:kern w:val="0"/>
                <w:highlight w:val="none"/>
              </w:rPr>
            </w:pPr>
          </w:p>
        </w:tc>
        <w:tc>
          <w:tcPr>
            <w:tcW w:w="1526" w:type="dxa"/>
            <w:noWrap w:val="0"/>
            <w:vAlign w:val="center"/>
          </w:tcPr>
          <w:p w14:paraId="5A0082DB">
            <w:pPr>
              <w:widowControl/>
              <w:spacing w:line="360" w:lineRule="auto"/>
              <w:rPr>
                <w:rFonts w:hint="eastAsia" w:ascii="宋体" w:hAnsi="宋体" w:cs="宋体"/>
                <w:color w:val="auto"/>
                <w:kern w:val="0"/>
                <w:highlight w:val="none"/>
              </w:rPr>
            </w:pPr>
          </w:p>
        </w:tc>
      </w:tr>
      <w:tr w14:paraId="6DDA10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47BB78F5">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2</w:t>
            </w:r>
          </w:p>
        </w:tc>
        <w:tc>
          <w:tcPr>
            <w:tcW w:w="4842" w:type="dxa"/>
            <w:noWrap w:val="0"/>
            <w:vAlign w:val="center"/>
          </w:tcPr>
          <w:p w14:paraId="3F34A0EF">
            <w:pPr>
              <w:widowControl/>
              <w:spacing w:line="360" w:lineRule="auto"/>
              <w:rPr>
                <w:rFonts w:hint="eastAsia" w:ascii="宋体" w:hAnsi="宋体" w:cs="宋体"/>
                <w:color w:val="auto"/>
                <w:kern w:val="0"/>
                <w:highlight w:val="none"/>
              </w:rPr>
            </w:pPr>
          </w:p>
        </w:tc>
        <w:tc>
          <w:tcPr>
            <w:tcW w:w="1350" w:type="dxa"/>
            <w:noWrap w:val="0"/>
            <w:vAlign w:val="center"/>
          </w:tcPr>
          <w:p w14:paraId="185309BB">
            <w:pPr>
              <w:widowControl/>
              <w:spacing w:line="360" w:lineRule="auto"/>
              <w:rPr>
                <w:rFonts w:hint="eastAsia" w:ascii="宋体" w:hAnsi="宋体" w:cs="宋体"/>
                <w:color w:val="auto"/>
                <w:kern w:val="0"/>
                <w:highlight w:val="none"/>
              </w:rPr>
            </w:pPr>
          </w:p>
        </w:tc>
        <w:tc>
          <w:tcPr>
            <w:tcW w:w="1526" w:type="dxa"/>
            <w:noWrap w:val="0"/>
            <w:vAlign w:val="center"/>
          </w:tcPr>
          <w:p w14:paraId="14E2C304">
            <w:pPr>
              <w:widowControl/>
              <w:spacing w:line="360" w:lineRule="auto"/>
              <w:rPr>
                <w:rFonts w:hint="eastAsia" w:ascii="宋体" w:hAnsi="宋体" w:cs="宋体"/>
                <w:color w:val="auto"/>
                <w:kern w:val="0"/>
                <w:highlight w:val="none"/>
              </w:rPr>
            </w:pPr>
          </w:p>
        </w:tc>
      </w:tr>
      <w:tr w14:paraId="11AC87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0B998EEB">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3</w:t>
            </w:r>
          </w:p>
        </w:tc>
        <w:tc>
          <w:tcPr>
            <w:tcW w:w="4842" w:type="dxa"/>
            <w:noWrap w:val="0"/>
            <w:vAlign w:val="center"/>
          </w:tcPr>
          <w:p w14:paraId="1134368B">
            <w:pPr>
              <w:widowControl/>
              <w:spacing w:line="360" w:lineRule="auto"/>
              <w:rPr>
                <w:rFonts w:hint="eastAsia" w:ascii="宋体" w:hAnsi="宋体" w:cs="宋体"/>
                <w:color w:val="auto"/>
                <w:kern w:val="0"/>
                <w:highlight w:val="none"/>
              </w:rPr>
            </w:pPr>
          </w:p>
        </w:tc>
        <w:tc>
          <w:tcPr>
            <w:tcW w:w="1350" w:type="dxa"/>
            <w:noWrap w:val="0"/>
            <w:vAlign w:val="center"/>
          </w:tcPr>
          <w:p w14:paraId="21B15A0F">
            <w:pPr>
              <w:widowControl/>
              <w:spacing w:line="360" w:lineRule="auto"/>
              <w:rPr>
                <w:rFonts w:hint="eastAsia" w:ascii="宋体" w:hAnsi="宋体" w:cs="宋体"/>
                <w:color w:val="auto"/>
                <w:kern w:val="0"/>
                <w:highlight w:val="none"/>
              </w:rPr>
            </w:pPr>
          </w:p>
        </w:tc>
        <w:tc>
          <w:tcPr>
            <w:tcW w:w="1526" w:type="dxa"/>
            <w:noWrap w:val="0"/>
            <w:vAlign w:val="center"/>
          </w:tcPr>
          <w:p w14:paraId="2CE1DCD4">
            <w:pPr>
              <w:widowControl/>
              <w:spacing w:line="360" w:lineRule="auto"/>
              <w:rPr>
                <w:rFonts w:hint="eastAsia" w:ascii="宋体" w:hAnsi="宋体" w:cs="宋体"/>
                <w:color w:val="auto"/>
                <w:kern w:val="0"/>
                <w:highlight w:val="none"/>
              </w:rPr>
            </w:pPr>
          </w:p>
        </w:tc>
      </w:tr>
      <w:tr w14:paraId="1E9799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0506E990">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4</w:t>
            </w:r>
          </w:p>
        </w:tc>
        <w:tc>
          <w:tcPr>
            <w:tcW w:w="4842" w:type="dxa"/>
            <w:noWrap w:val="0"/>
            <w:vAlign w:val="center"/>
          </w:tcPr>
          <w:p w14:paraId="2DEB9BE6">
            <w:pPr>
              <w:widowControl/>
              <w:spacing w:line="360" w:lineRule="auto"/>
              <w:rPr>
                <w:rFonts w:hint="eastAsia" w:ascii="宋体" w:hAnsi="宋体" w:cs="宋体"/>
                <w:color w:val="auto"/>
                <w:kern w:val="0"/>
                <w:highlight w:val="none"/>
              </w:rPr>
            </w:pPr>
          </w:p>
        </w:tc>
        <w:tc>
          <w:tcPr>
            <w:tcW w:w="1350" w:type="dxa"/>
            <w:noWrap w:val="0"/>
            <w:vAlign w:val="center"/>
          </w:tcPr>
          <w:p w14:paraId="4A10544A">
            <w:pPr>
              <w:widowControl/>
              <w:spacing w:line="360" w:lineRule="auto"/>
              <w:rPr>
                <w:rFonts w:hint="eastAsia" w:ascii="宋体" w:hAnsi="宋体" w:cs="宋体"/>
                <w:color w:val="auto"/>
                <w:kern w:val="0"/>
                <w:highlight w:val="none"/>
              </w:rPr>
            </w:pPr>
          </w:p>
        </w:tc>
        <w:tc>
          <w:tcPr>
            <w:tcW w:w="1526" w:type="dxa"/>
            <w:noWrap w:val="0"/>
            <w:vAlign w:val="center"/>
          </w:tcPr>
          <w:p w14:paraId="1ADDA7B1">
            <w:pPr>
              <w:widowControl/>
              <w:spacing w:line="360" w:lineRule="auto"/>
              <w:rPr>
                <w:rFonts w:hint="eastAsia" w:ascii="宋体" w:hAnsi="宋体" w:cs="宋体"/>
                <w:color w:val="auto"/>
                <w:kern w:val="0"/>
                <w:highlight w:val="none"/>
              </w:rPr>
            </w:pPr>
          </w:p>
        </w:tc>
      </w:tr>
      <w:tr w14:paraId="2A8A22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37877F20">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5</w:t>
            </w:r>
          </w:p>
        </w:tc>
        <w:tc>
          <w:tcPr>
            <w:tcW w:w="4842" w:type="dxa"/>
            <w:noWrap w:val="0"/>
            <w:vAlign w:val="center"/>
          </w:tcPr>
          <w:p w14:paraId="322A61E6">
            <w:pPr>
              <w:widowControl/>
              <w:spacing w:line="360" w:lineRule="auto"/>
              <w:rPr>
                <w:rFonts w:hint="eastAsia" w:ascii="宋体" w:hAnsi="宋体" w:cs="宋体"/>
                <w:color w:val="auto"/>
                <w:kern w:val="0"/>
                <w:highlight w:val="none"/>
              </w:rPr>
            </w:pPr>
          </w:p>
        </w:tc>
        <w:tc>
          <w:tcPr>
            <w:tcW w:w="1350" w:type="dxa"/>
            <w:noWrap w:val="0"/>
            <w:vAlign w:val="center"/>
          </w:tcPr>
          <w:p w14:paraId="5223DC0B">
            <w:pPr>
              <w:widowControl/>
              <w:spacing w:line="360" w:lineRule="auto"/>
              <w:rPr>
                <w:rFonts w:hint="eastAsia" w:ascii="宋体" w:hAnsi="宋体" w:cs="宋体"/>
                <w:color w:val="auto"/>
                <w:kern w:val="0"/>
                <w:highlight w:val="none"/>
              </w:rPr>
            </w:pPr>
          </w:p>
        </w:tc>
        <w:tc>
          <w:tcPr>
            <w:tcW w:w="1526" w:type="dxa"/>
            <w:noWrap w:val="0"/>
            <w:vAlign w:val="center"/>
          </w:tcPr>
          <w:p w14:paraId="16494506">
            <w:pPr>
              <w:widowControl/>
              <w:spacing w:line="360" w:lineRule="auto"/>
              <w:rPr>
                <w:rFonts w:hint="eastAsia" w:ascii="宋体" w:hAnsi="宋体" w:cs="宋体"/>
                <w:color w:val="auto"/>
                <w:kern w:val="0"/>
                <w:highlight w:val="none"/>
              </w:rPr>
            </w:pPr>
          </w:p>
        </w:tc>
      </w:tr>
      <w:tr w14:paraId="685731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4694E591">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6</w:t>
            </w:r>
          </w:p>
        </w:tc>
        <w:tc>
          <w:tcPr>
            <w:tcW w:w="4842" w:type="dxa"/>
            <w:noWrap w:val="0"/>
            <w:vAlign w:val="center"/>
          </w:tcPr>
          <w:p w14:paraId="5D553EAC">
            <w:pPr>
              <w:widowControl/>
              <w:spacing w:line="360" w:lineRule="auto"/>
              <w:rPr>
                <w:rFonts w:hint="eastAsia" w:ascii="宋体" w:hAnsi="宋体" w:cs="宋体"/>
                <w:color w:val="auto"/>
                <w:kern w:val="0"/>
                <w:highlight w:val="none"/>
              </w:rPr>
            </w:pPr>
          </w:p>
        </w:tc>
        <w:tc>
          <w:tcPr>
            <w:tcW w:w="1350" w:type="dxa"/>
            <w:noWrap w:val="0"/>
            <w:vAlign w:val="center"/>
          </w:tcPr>
          <w:p w14:paraId="58475F2C">
            <w:pPr>
              <w:widowControl/>
              <w:spacing w:line="360" w:lineRule="auto"/>
              <w:rPr>
                <w:rFonts w:hint="eastAsia" w:ascii="宋体" w:hAnsi="宋体" w:cs="宋体"/>
                <w:color w:val="auto"/>
                <w:kern w:val="0"/>
                <w:highlight w:val="none"/>
              </w:rPr>
            </w:pPr>
          </w:p>
        </w:tc>
        <w:tc>
          <w:tcPr>
            <w:tcW w:w="1526" w:type="dxa"/>
            <w:noWrap w:val="0"/>
            <w:vAlign w:val="center"/>
          </w:tcPr>
          <w:p w14:paraId="15876DC3">
            <w:pPr>
              <w:widowControl/>
              <w:spacing w:line="360" w:lineRule="auto"/>
              <w:rPr>
                <w:rFonts w:hint="eastAsia" w:ascii="宋体" w:hAnsi="宋体" w:cs="宋体"/>
                <w:color w:val="auto"/>
                <w:kern w:val="0"/>
                <w:highlight w:val="none"/>
              </w:rPr>
            </w:pPr>
          </w:p>
        </w:tc>
      </w:tr>
      <w:tr w14:paraId="1C105B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14:paraId="101A3396">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w:t>
            </w:r>
          </w:p>
        </w:tc>
        <w:tc>
          <w:tcPr>
            <w:tcW w:w="4842" w:type="dxa"/>
            <w:noWrap w:val="0"/>
            <w:vAlign w:val="center"/>
          </w:tcPr>
          <w:p w14:paraId="76869BE6">
            <w:pPr>
              <w:widowControl/>
              <w:spacing w:line="360" w:lineRule="auto"/>
              <w:rPr>
                <w:rFonts w:hint="eastAsia" w:ascii="宋体" w:hAnsi="宋体" w:cs="宋体"/>
                <w:color w:val="auto"/>
                <w:kern w:val="0"/>
                <w:highlight w:val="none"/>
              </w:rPr>
            </w:pPr>
          </w:p>
        </w:tc>
        <w:tc>
          <w:tcPr>
            <w:tcW w:w="1350" w:type="dxa"/>
            <w:noWrap w:val="0"/>
            <w:vAlign w:val="center"/>
          </w:tcPr>
          <w:p w14:paraId="3F8076D1">
            <w:pPr>
              <w:widowControl/>
              <w:spacing w:line="360" w:lineRule="auto"/>
              <w:rPr>
                <w:rFonts w:hint="eastAsia" w:ascii="宋体" w:hAnsi="宋体" w:cs="宋体"/>
                <w:color w:val="auto"/>
                <w:kern w:val="0"/>
                <w:highlight w:val="none"/>
              </w:rPr>
            </w:pPr>
          </w:p>
        </w:tc>
        <w:tc>
          <w:tcPr>
            <w:tcW w:w="1526" w:type="dxa"/>
            <w:noWrap w:val="0"/>
            <w:vAlign w:val="center"/>
          </w:tcPr>
          <w:p w14:paraId="7618ED25">
            <w:pPr>
              <w:widowControl/>
              <w:spacing w:line="360" w:lineRule="auto"/>
              <w:rPr>
                <w:rFonts w:hint="eastAsia" w:ascii="宋体" w:hAnsi="宋体" w:cs="宋体"/>
                <w:color w:val="auto"/>
                <w:kern w:val="0"/>
                <w:highlight w:val="none"/>
              </w:rPr>
            </w:pPr>
          </w:p>
        </w:tc>
      </w:tr>
    </w:tbl>
    <w:p w14:paraId="46B37A24">
      <w:pPr>
        <w:widowControl/>
        <w:spacing w:line="360" w:lineRule="auto"/>
        <w:ind w:firstLine="420" w:firstLineChars="200"/>
        <w:rPr>
          <w:rFonts w:hint="eastAsia" w:ascii="宋体" w:hAnsi="宋体" w:cs="宋体"/>
          <w:color w:val="auto"/>
          <w:kern w:val="0"/>
          <w:highlight w:val="none"/>
        </w:rPr>
      </w:pPr>
    </w:p>
    <w:p w14:paraId="5D75FCBC">
      <w:pPr>
        <w:widowControl/>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注：后附</w:t>
      </w:r>
      <w:r>
        <w:rPr>
          <w:rFonts w:hint="eastAsia" w:ascii="宋体" w:hAnsi="宋体" w:cs="宋体"/>
          <w:color w:val="auto"/>
          <w:kern w:val="0"/>
          <w:highlight w:val="none"/>
          <w:lang w:eastAsia="zh-CN"/>
        </w:rPr>
        <w:t>中标通知书及</w:t>
      </w:r>
      <w:r>
        <w:rPr>
          <w:rFonts w:hint="eastAsia" w:ascii="宋体" w:hAnsi="宋体" w:cs="宋体"/>
          <w:color w:val="auto"/>
          <w:highlight w:val="none"/>
        </w:rPr>
        <w:t>项目业绩合同的原件扫描件</w:t>
      </w:r>
      <w:r>
        <w:rPr>
          <w:rFonts w:hint="eastAsia" w:ascii="宋体" w:hAnsi="宋体" w:cs="宋体"/>
          <w:color w:val="auto"/>
          <w:kern w:val="0"/>
          <w:highlight w:val="none"/>
        </w:rPr>
        <w:t>（合同至少包括首页、签字盖章页、服务内容页）</w:t>
      </w:r>
    </w:p>
    <w:p w14:paraId="2F3817A6">
      <w:pPr>
        <w:spacing w:line="600" w:lineRule="exact"/>
        <w:rPr>
          <w:rFonts w:hint="eastAsia" w:ascii="宋体" w:hAnsi="宋体" w:cs="宋体"/>
          <w:color w:val="auto"/>
          <w:sz w:val="28"/>
          <w:szCs w:val="28"/>
          <w:highlight w:val="none"/>
        </w:rPr>
      </w:pPr>
    </w:p>
    <w:p w14:paraId="4DFB2ACF">
      <w:pPr>
        <w:pStyle w:val="29"/>
        <w:rPr>
          <w:rFonts w:hint="eastAsia" w:ascii="宋体" w:hAnsi="宋体" w:cs="宋体"/>
          <w:color w:val="auto"/>
          <w:highlight w:val="none"/>
        </w:rPr>
      </w:pPr>
    </w:p>
    <w:p w14:paraId="54E37BD8">
      <w:pPr>
        <w:spacing w:line="600" w:lineRule="exact"/>
        <w:rPr>
          <w:rFonts w:hint="eastAsia" w:ascii="宋体" w:hAnsi="宋体" w:cs="宋体"/>
          <w:color w:val="auto"/>
          <w:highlight w:val="none"/>
        </w:rPr>
      </w:pPr>
    </w:p>
    <w:p w14:paraId="383C3831">
      <w:pPr>
        <w:spacing w:line="600" w:lineRule="exact"/>
        <w:rPr>
          <w:rFonts w:hint="eastAsia" w:ascii="宋体" w:hAnsi="宋体" w:cs="宋体"/>
          <w:color w:val="auto"/>
          <w:highlight w:val="none"/>
        </w:rPr>
      </w:pPr>
    </w:p>
    <w:p w14:paraId="1B527457">
      <w:pPr>
        <w:pStyle w:val="29"/>
        <w:rPr>
          <w:rFonts w:hint="eastAsia" w:ascii="宋体" w:hAnsi="宋体" w:cs="宋体"/>
          <w:color w:val="auto"/>
          <w:highlight w:val="none"/>
        </w:rPr>
      </w:pPr>
    </w:p>
    <w:p w14:paraId="7F038489">
      <w:pPr>
        <w:pStyle w:val="4"/>
        <w:jc w:val="center"/>
        <w:rPr>
          <w:rFonts w:hint="eastAsia" w:ascii="宋体" w:hAnsi="宋体" w:eastAsia="宋体" w:cs="宋体"/>
          <w:color w:val="auto"/>
          <w:highlight w:val="none"/>
        </w:rPr>
      </w:pPr>
      <w:bookmarkStart w:id="1278" w:name="_Toc13548"/>
      <w:bookmarkStart w:id="1279" w:name="_Toc7574"/>
      <w:bookmarkStart w:id="1280" w:name="_Toc15445"/>
      <w:bookmarkStart w:id="1281" w:name="_Toc32701"/>
    </w:p>
    <w:p w14:paraId="61950E00">
      <w:pPr>
        <w:rPr>
          <w:rFonts w:hint="eastAsia" w:ascii="宋体" w:hAnsi="宋体" w:cs="宋体"/>
          <w:color w:val="auto"/>
          <w:highlight w:val="none"/>
        </w:rPr>
      </w:pPr>
    </w:p>
    <w:p w14:paraId="2D7DC67E">
      <w:pPr>
        <w:pStyle w:val="4"/>
        <w:jc w:val="center"/>
        <w:rPr>
          <w:rFonts w:hint="eastAsia" w:ascii="宋体" w:hAnsi="宋体" w:eastAsia="宋体" w:cs="宋体"/>
          <w:color w:val="auto"/>
          <w:highlight w:val="none"/>
        </w:rPr>
      </w:pPr>
    </w:p>
    <w:p w14:paraId="12974F3A">
      <w:pPr>
        <w:rPr>
          <w:rFonts w:hint="eastAsia"/>
          <w:color w:val="auto"/>
          <w:highlight w:val="none"/>
        </w:rPr>
      </w:pPr>
    </w:p>
    <w:p w14:paraId="4EEF3990">
      <w:pPr>
        <w:rPr>
          <w:rFonts w:hint="eastAsia"/>
          <w:color w:val="auto"/>
          <w:highlight w:val="none"/>
        </w:rPr>
      </w:pPr>
    </w:p>
    <w:p w14:paraId="1AB1BFA9">
      <w:pPr>
        <w:pStyle w:val="4"/>
        <w:jc w:val="center"/>
        <w:rPr>
          <w:rFonts w:hint="eastAsia" w:ascii="宋体" w:hAnsi="宋体" w:eastAsia="宋体" w:cs="宋体"/>
          <w:color w:val="auto"/>
          <w:highlight w:val="none"/>
        </w:rPr>
      </w:pPr>
      <w:bookmarkStart w:id="1282" w:name="_Toc5368"/>
      <w:bookmarkStart w:id="1283" w:name="_Toc27755"/>
      <w:r>
        <w:rPr>
          <w:rFonts w:hint="eastAsia" w:ascii="宋体" w:hAnsi="宋体" w:eastAsia="宋体" w:cs="宋体"/>
          <w:color w:val="auto"/>
          <w:highlight w:val="none"/>
          <w:lang w:eastAsia="zh-CN"/>
        </w:rPr>
        <w:t>七</w:t>
      </w:r>
      <w:r>
        <w:rPr>
          <w:rFonts w:hint="eastAsia" w:ascii="宋体" w:hAnsi="宋体" w:eastAsia="宋体" w:cs="宋体"/>
          <w:color w:val="auto"/>
          <w:highlight w:val="none"/>
        </w:rPr>
        <w:t>、</w:t>
      </w:r>
      <w:bookmarkStart w:id="1284" w:name="_Toc523494085"/>
      <w:bookmarkStart w:id="1285" w:name="_Toc525210051"/>
      <w:r>
        <w:rPr>
          <w:rFonts w:hint="eastAsia" w:ascii="宋体" w:hAnsi="宋体" w:eastAsia="宋体" w:cs="宋体"/>
          <w:color w:val="auto"/>
          <w:highlight w:val="none"/>
        </w:rPr>
        <w:t>中小企业声明函</w:t>
      </w:r>
      <w:bookmarkEnd w:id="1278"/>
      <w:bookmarkEnd w:id="1279"/>
      <w:bookmarkEnd w:id="1280"/>
      <w:bookmarkEnd w:id="1281"/>
      <w:bookmarkEnd w:id="1282"/>
      <w:bookmarkEnd w:id="1283"/>
      <w:bookmarkEnd w:id="1284"/>
      <w:bookmarkEnd w:id="1285"/>
    </w:p>
    <w:p w14:paraId="561EF140">
      <w:pPr>
        <w:rPr>
          <w:rFonts w:hint="eastAsia" w:ascii="宋体" w:hAnsi="宋体" w:cs="宋体"/>
          <w:color w:val="auto"/>
          <w:highlight w:val="none"/>
        </w:rPr>
      </w:pPr>
    </w:p>
    <w:p w14:paraId="090C6236">
      <w:pPr>
        <w:pStyle w:val="10"/>
        <w:rPr>
          <w:rFonts w:hint="eastAsia"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color w:val="auto"/>
          <w:highlight w:val="none"/>
          <w:u w:val="single"/>
        </w:rPr>
        <w:t xml:space="preserve">  （单位名称）  </w:t>
      </w:r>
      <w:r>
        <w:rPr>
          <w:rFonts w:hint="eastAsia" w:ascii="宋体" w:hAnsi="宋体" w:cs="宋体"/>
          <w:color w:val="auto"/>
          <w:highlight w:val="none"/>
        </w:rPr>
        <w:t>的</w:t>
      </w:r>
      <w:r>
        <w:rPr>
          <w:rFonts w:hint="eastAsia" w:ascii="宋体" w:hAnsi="宋体" w:cs="宋体"/>
          <w:color w:val="auto"/>
          <w:highlight w:val="none"/>
          <w:u w:val="single"/>
        </w:rPr>
        <w:t xml:space="preserve">  （项目名称）  </w:t>
      </w:r>
      <w:r>
        <w:rPr>
          <w:rFonts w:hint="eastAsia" w:ascii="宋体" w:hAnsi="宋体" w:cs="宋体"/>
          <w:color w:val="auto"/>
          <w:highlight w:val="none"/>
        </w:rPr>
        <w:t xml:space="preserve">采购活动，服务全部由符合政策要求的中小企业承接。相关企业（含联合）体中的中小企业、签订分包意向协议的中小企业）的具体情 况如下： </w:t>
      </w:r>
    </w:p>
    <w:p w14:paraId="12DEC519">
      <w:pPr>
        <w:pStyle w:val="10"/>
        <w:rPr>
          <w:rFonts w:hint="eastAsia" w:ascii="宋体" w:hAnsi="宋体" w:cs="宋体"/>
          <w:color w:val="auto"/>
          <w:highlight w:val="none"/>
        </w:rPr>
      </w:pPr>
      <w:r>
        <w:rPr>
          <w:rFonts w:hint="eastAsia" w:ascii="宋体" w:hAnsi="宋体" w:cs="宋体"/>
          <w:color w:val="auto"/>
          <w:highlight w:val="none"/>
        </w:rPr>
        <w:t xml:space="preserve">1. </w:t>
      </w:r>
      <w:r>
        <w:rPr>
          <w:rFonts w:hint="eastAsia" w:ascii="宋体" w:hAnsi="宋体" w:cs="宋体"/>
          <w:color w:val="auto"/>
          <w:highlight w:val="none"/>
          <w:u w:val="single"/>
        </w:rPr>
        <w:t xml:space="preserve">（标的名称） </w:t>
      </w:r>
      <w:r>
        <w:rPr>
          <w:rFonts w:hint="eastAsia" w:ascii="宋体" w:hAnsi="宋体" w:cs="宋体"/>
          <w:color w:val="auto"/>
          <w:highlight w:val="none"/>
        </w:rPr>
        <w:t>，属于（采购文件中明确的所属行业）；承建（承接）企业为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 xml:space="preserve">； </w:t>
      </w:r>
    </w:p>
    <w:p w14:paraId="5D578766">
      <w:pPr>
        <w:pStyle w:val="10"/>
        <w:rPr>
          <w:rFonts w:hint="eastAsia" w:ascii="宋体" w:hAnsi="宋体" w:cs="宋体"/>
          <w:color w:val="auto"/>
          <w:highlight w:val="none"/>
        </w:rPr>
      </w:pPr>
      <w:r>
        <w:rPr>
          <w:rFonts w:hint="eastAsia" w:ascii="宋体" w:hAnsi="宋体" w:cs="宋体"/>
          <w:color w:val="auto"/>
          <w:highlight w:val="none"/>
        </w:rPr>
        <w:t xml:space="preserve">2. </w:t>
      </w:r>
      <w:r>
        <w:rPr>
          <w:rFonts w:hint="eastAsia" w:ascii="宋体" w:hAnsi="宋体" w:cs="宋体"/>
          <w:color w:val="auto"/>
          <w:highlight w:val="none"/>
          <w:u w:val="single"/>
        </w:rPr>
        <w:t>（标的名称）</w:t>
      </w:r>
      <w:r>
        <w:rPr>
          <w:rFonts w:hint="eastAsia" w:ascii="宋体" w:hAnsi="宋体" w:cs="宋体"/>
          <w:color w:val="auto"/>
          <w:highlight w:val="none"/>
        </w:rPr>
        <w:t xml:space="preserve"> ，属于（采购文件中明确的所属行业）；承建（承接）企业为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 xml:space="preserve">； </w:t>
      </w:r>
    </w:p>
    <w:p w14:paraId="27361ACB">
      <w:pPr>
        <w:pStyle w:val="10"/>
        <w:rPr>
          <w:rFonts w:hint="eastAsia" w:ascii="宋体" w:hAnsi="宋体" w:cs="宋体"/>
          <w:color w:val="auto"/>
          <w:highlight w:val="none"/>
        </w:rPr>
      </w:pPr>
      <w:r>
        <w:rPr>
          <w:rFonts w:hint="eastAsia" w:ascii="宋体" w:hAnsi="宋体" w:cs="宋体"/>
          <w:color w:val="auto"/>
          <w:highlight w:val="none"/>
        </w:rPr>
        <w:t xml:space="preserve">…… </w:t>
      </w:r>
    </w:p>
    <w:p w14:paraId="263B667A">
      <w:pPr>
        <w:pStyle w:val="10"/>
        <w:rPr>
          <w:rFonts w:hint="eastAsia" w:ascii="宋体" w:hAnsi="宋体" w:cs="宋体"/>
          <w:color w:val="auto"/>
          <w:highlight w:val="none"/>
        </w:rPr>
      </w:pPr>
      <w:r>
        <w:rPr>
          <w:rFonts w:hint="eastAsia" w:ascii="宋体" w:hAnsi="宋体" w:cs="宋体"/>
          <w:color w:val="auto"/>
          <w:highlight w:val="none"/>
        </w:rPr>
        <w:t xml:space="preserve">以上企业，不属于大企业的分支机构，不存在控股股东为大企业的情形，也不存在与大企业的负责人为同一人的情形。 </w:t>
      </w:r>
    </w:p>
    <w:p w14:paraId="099FE125">
      <w:pPr>
        <w:pStyle w:val="10"/>
        <w:rPr>
          <w:rFonts w:hint="eastAsia" w:ascii="宋体" w:hAnsi="宋体" w:cs="宋体"/>
          <w:color w:val="auto"/>
          <w:highlight w:val="none"/>
        </w:rPr>
      </w:pPr>
      <w:r>
        <w:rPr>
          <w:rFonts w:hint="eastAsia" w:ascii="宋体" w:hAnsi="宋体" w:cs="宋体"/>
          <w:color w:val="auto"/>
          <w:highlight w:val="none"/>
        </w:rPr>
        <w:t xml:space="preserve">本企业对上述声明内容的真实性负责。如有虚假，将依 法承担相应责任。 </w:t>
      </w:r>
    </w:p>
    <w:p w14:paraId="6ABDE9D8">
      <w:pPr>
        <w:pStyle w:val="10"/>
        <w:ind w:left="0" w:leftChars="0" w:firstLine="0" w:firstLineChars="0"/>
        <w:rPr>
          <w:rFonts w:hint="eastAsia" w:ascii="宋体" w:hAnsi="宋体" w:cs="宋体"/>
          <w:color w:val="auto"/>
          <w:highlight w:val="none"/>
        </w:rPr>
      </w:pPr>
    </w:p>
    <w:p w14:paraId="0FFEA114">
      <w:pPr>
        <w:pStyle w:val="10"/>
        <w:ind w:left="3360" w:leftChars="1600"/>
        <w:rPr>
          <w:rFonts w:hint="eastAsia" w:ascii="宋体" w:hAnsi="宋体" w:cs="宋体"/>
          <w:color w:val="auto"/>
          <w:highlight w:val="none"/>
          <w:u w:val="single"/>
        </w:rPr>
      </w:pPr>
      <w:r>
        <w:rPr>
          <w:rFonts w:hint="eastAsia" w:ascii="宋体" w:hAnsi="宋体" w:cs="宋体"/>
          <w:color w:val="auto"/>
          <w:highlight w:val="none"/>
        </w:rPr>
        <w:t>企业名称（盖章）：</w:t>
      </w:r>
      <w:r>
        <w:rPr>
          <w:rFonts w:hint="eastAsia" w:ascii="宋体" w:hAnsi="宋体" w:cs="宋体"/>
          <w:color w:val="auto"/>
          <w:highlight w:val="none"/>
          <w:u w:val="single"/>
        </w:rPr>
        <w:t xml:space="preserve">                     </w:t>
      </w:r>
    </w:p>
    <w:p w14:paraId="013A7654">
      <w:pPr>
        <w:pStyle w:val="10"/>
        <w:ind w:left="3360" w:leftChars="1600"/>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45192ED2">
      <w:pPr>
        <w:pStyle w:val="10"/>
        <w:ind w:left="3360" w:leftChars="1600"/>
        <w:rPr>
          <w:rFonts w:hint="eastAsia" w:ascii="宋体" w:hAnsi="宋体" w:cs="宋体"/>
          <w:color w:val="auto"/>
          <w:highlight w:val="none"/>
          <w:u w:val="single"/>
        </w:rPr>
      </w:pPr>
    </w:p>
    <w:p w14:paraId="46685C5C">
      <w:pPr>
        <w:ind w:firstLine="420" w:firstLineChars="200"/>
        <w:rPr>
          <w:rFonts w:hint="eastAsia" w:ascii="宋体" w:hAnsi="宋体" w:cs="宋体"/>
          <w:color w:val="auto"/>
          <w:highlight w:val="none"/>
        </w:rPr>
      </w:pPr>
      <w:r>
        <w:rPr>
          <w:rFonts w:hint="eastAsia" w:ascii="宋体" w:hAnsi="宋体" w:cs="宋体"/>
          <w:color w:val="auto"/>
          <w:highlight w:val="none"/>
        </w:rPr>
        <w:t>1、从业人员、营业收入、资产总额填报上一年度数据，无上一年度数据的新成立企业可不填报。</w:t>
      </w:r>
    </w:p>
    <w:p w14:paraId="2584D01F">
      <w:pPr>
        <w:ind w:firstLine="420" w:firstLineChars="200"/>
        <w:rPr>
          <w:rFonts w:hint="eastAsia" w:ascii="宋体" w:hAnsi="宋体" w:cs="宋体"/>
          <w:color w:val="auto"/>
          <w:highlight w:val="none"/>
        </w:rPr>
      </w:pPr>
      <w:r>
        <w:rPr>
          <w:rFonts w:hint="eastAsia" w:ascii="宋体" w:hAnsi="宋体" w:cs="宋体"/>
          <w:color w:val="auto"/>
          <w:highlight w:val="none"/>
        </w:rPr>
        <w:t>2、所投项目供应商属于中小微企业的填写，不属于的无需填写此项内容。</w:t>
      </w:r>
      <w:bookmarkStart w:id="1286" w:name="_Toc24002"/>
      <w:bookmarkStart w:id="1287" w:name="_Toc4766"/>
      <w:bookmarkStart w:id="1288" w:name="_Toc8309"/>
      <w:bookmarkStart w:id="1289" w:name="_Toc13679"/>
      <w:bookmarkStart w:id="1290" w:name="_Toc7101"/>
    </w:p>
    <w:p w14:paraId="380A0F36">
      <w:pPr>
        <w:ind w:left="0" w:leftChars="0" w:firstLine="0" w:firstLineChars="0"/>
        <w:rPr>
          <w:color w:val="auto"/>
          <w:highlight w:val="none"/>
        </w:rPr>
      </w:pPr>
    </w:p>
    <w:p w14:paraId="72D79DC9">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eastAsia"/>
          <w:lang w:eastAsia="zh-CN"/>
        </w:rPr>
      </w:pPr>
      <w:r>
        <w:rPr>
          <w:color w:val="auto"/>
          <w:highlight w:val="none"/>
        </w:rPr>
        <w:drawing>
          <wp:inline distT="0" distB="0" distL="114300" distR="114300">
            <wp:extent cx="5925185" cy="8126095"/>
            <wp:effectExtent l="0" t="0" r="18415"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tretch>
                      <a:fillRect/>
                    </a:stretch>
                  </pic:blipFill>
                  <pic:spPr>
                    <a:xfrm>
                      <a:off x="0" y="0"/>
                      <a:ext cx="5925185" cy="8126095"/>
                    </a:xfrm>
                    <a:prstGeom prst="rect">
                      <a:avLst/>
                    </a:prstGeom>
                    <a:noFill/>
                    <a:ln>
                      <a:noFill/>
                    </a:ln>
                  </pic:spPr>
                </pic:pic>
              </a:graphicData>
            </a:graphic>
          </wp:inline>
        </w:drawing>
      </w:r>
      <w:bookmarkStart w:id="1291" w:name="_Toc18371"/>
      <w:bookmarkStart w:id="1292" w:name="_Toc14345"/>
    </w:p>
    <w:p w14:paraId="5A350A04">
      <w:pPr>
        <w:pStyle w:val="4"/>
        <w:jc w:val="center"/>
        <w:rPr>
          <w:rFonts w:hint="eastAsia" w:ascii="宋体" w:hAnsi="宋体" w:eastAsia="宋体" w:cs="宋体"/>
          <w:color w:val="auto"/>
          <w:highlight w:val="none"/>
          <w:lang w:eastAsia="zh-CN"/>
        </w:rPr>
      </w:pPr>
    </w:p>
    <w:p w14:paraId="601A5813">
      <w:pPr>
        <w:pStyle w:val="4"/>
        <w:keepNext/>
        <w:keepLines/>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color w:val="auto"/>
          <w:highlight w:val="none"/>
          <w:lang w:eastAsia="zh-CN"/>
        </w:rPr>
      </w:pPr>
      <w:r>
        <w:rPr>
          <w:color w:val="auto"/>
          <w:highlight w:val="none"/>
        </w:rPr>
        <w:drawing>
          <wp:inline distT="0" distB="0" distL="114300" distR="114300">
            <wp:extent cx="5245100" cy="6876415"/>
            <wp:effectExtent l="0" t="0" r="1270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a:stretch>
                      <a:fillRect/>
                    </a:stretch>
                  </pic:blipFill>
                  <pic:spPr>
                    <a:xfrm>
                      <a:off x="0" y="0"/>
                      <a:ext cx="5245100" cy="6876415"/>
                    </a:xfrm>
                    <a:prstGeom prst="rect">
                      <a:avLst/>
                    </a:prstGeom>
                    <a:noFill/>
                    <a:ln>
                      <a:noFill/>
                    </a:ln>
                  </pic:spPr>
                </pic:pic>
              </a:graphicData>
            </a:graphic>
          </wp:inline>
        </w:drawing>
      </w:r>
    </w:p>
    <w:p w14:paraId="659A4440">
      <w:pPr>
        <w:pStyle w:val="4"/>
        <w:jc w:val="center"/>
        <w:rPr>
          <w:rFonts w:hint="eastAsia" w:ascii="宋体" w:hAnsi="宋体" w:eastAsia="宋体" w:cs="宋体"/>
          <w:color w:val="auto"/>
          <w:highlight w:val="none"/>
          <w:lang w:eastAsia="zh-CN"/>
        </w:rPr>
      </w:pPr>
    </w:p>
    <w:p w14:paraId="01D50FF9">
      <w:pPr>
        <w:pStyle w:val="4"/>
        <w:jc w:val="center"/>
        <w:rPr>
          <w:rFonts w:hint="eastAsia" w:ascii="宋体" w:hAnsi="宋体" w:eastAsia="宋体" w:cs="宋体"/>
          <w:color w:val="auto"/>
          <w:highlight w:val="none"/>
          <w:lang w:eastAsia="zh-CN"/>
        </w:rPr>
      </w:pPr>
    </w:p>
    <w:p w14:paraId="0F904981">
      <w:pPr>
        <w:pStyle w:val="4"/>
        <w:jc w:val="center"/>
        <w:rPr>
          <w:rFonts w:hint="eastAsia" w:ascii="宋体" w:hAnsi="宋体" w:eastAsia="宋体" w:cs="宋体"/>
          <w:color w:val="auto"/>
          <w:highlight w:val="none"/>
          <w:lang w:eastAsia="zh-CN"/>
        </w:rPr>
      </w:pPr>
    </w:p>
    <w:p w14:paraId="75908612">
      <w:pPr>
        <w:pStyle w:val="4"/>
        <w:jc w:val="center"/>
        <w:rPr>
          <w:rFonts w:hint="eastAsia" w:ascii="宋体" w:hAnsi="宋体" w:eastAsia="宋体" w:cs="宋体"/>
          <w:color w:val="auto"/>
          <w:highlight w:val="none"/>
          <w:lang w:eastAsia="zh-CN"/>
        </w:rPr>
      </w:pPr>
    </w:p>
    <w:p w14:paraId="478FFD55">
      <w:pPr>
        <w:pStyle w:val="4"/>
        <w:jc w:val="center"/>
        <w:rPr>
          <w:rFonts w:hint="eastAsia" w:ascii="宋体" w:hAnsi="宋体" w:eastAsia="宋体" w:cs="宋体"/>
          <w:color w:val="auto"/>
          <w:highlight w:val="none"/>
          <w:lang w:eastAsia="zh-CN"/>
        </w:rPr>
      </w:pPr>
    </w:p>
    <w:p w14:paraId="2945C69C">
      <w:pPr>
        <w:pStyle w:val="4"/>
        <w:jc w:val="center"/>
        <w:rPr>
          <w:rFonts w:hint="eastAsia" w:ascii="宋体" w:hAnsi="宋体" w:eastAsia="宋体" w:cs="宋体"/>
          <w:color w:val="auto"/>
          <w:highlight w:val="none"/>
          <w:lang w:eastAsia="zh-CN"/>
        </w:rPr>
      </w:pPr>
    </w:p>
    <w:p w14:paraId="0CE49EE8">
      <w:pPr>
        <w:pStyle w:val="4"/>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八</w:t>
      </w:r>
      <w:r>
        <w:rPr>
          <w:rFonts w:hint="eastAsia" w:ascii="宋体" w:hAnsi="宋体" w:eastAsia="宋体" w:cs="宋体"/>
          <w:color w:val="auto"/>
          <w:highlight w:val="none"/>
        </w:rPr>
        <w:t>、残疾人福利性单位声明函</w:t>
      </w:r>
      <w:bookmarkEnd w:id="1286"/>
      <w:bookmarkEnd w:id="1287"/>
      <w:bookmarkEnd w:id="1288"/>
      <w:bookmarkEnd w:id="1289"/>
      <w:bookmarkEnd w:id="1290"/>
      <w:bookmarkEnd w:id="1291"/>
      <w:bookmarkEnd w:id="1292"/>
    </w:p>
    <w:p w14:paraId="3F2511E8">
      <w:pPr>
        <w:jc w:val="center"/>
        <w:rPr>
          <w:rFonts w:hint="eastAsia" w:ascii="宋体" w:hAnsi="宋体" w:cs="宋体"/>
          <w:color w:val="auto"/>
          <w:highlight w:val="none"/>
        </w:rPr>
      </w:pPr>
    </w:p>
    <w:p w14:paraId="0E671EDE">
      <w:pPr>
        <w:jc w:val="center"/>
        <w:rPr>
          <w:rFonts w:hint="eastAsia" w:ascii="宋体" w:hAnsi="宋体" w:cs="宋体"/>
          <w:color w:val="auto"/>
          <w:highlight w:val="none"/>
        </w:rPr>
      </w:pPr>
      <w:r>
        <w:rPr>
          <w:rFonts w:hint="eastAsia" w:ascii="宋体" w:hAnsi="宋体" w:cs="宋体"/>
          <w:color w:val="auto"/>
          <w:highlight w:val="none"/>
        </w:rPr>
        <w:t>（属于残疾人福利企业的填写，不属于的无需填写此项内容）</w:t>
      </w:r>
    </w:p>
    <w:p w14:paraId="14C43D2C">
      <w:pPr>
        <w:rPr>
          <w:rFonts w:hint="eastAsia" w:ascii="宋体" w:hAnsi="宋体" w:cs="宋体"/>
          <w:color w:val="auto"/>
          <w:highlight w:val="none"/>
        </w:rPr>
      </w:pPr>
    </w:p>
    <w:p w14:paraId="1C901FBB">
      <w:pPr>
        <w:ind w:firstLine="420" w:firstLineChars="200"/>
        <w:rPr>
          <w:rFonts w:hint="eastAsia" w:ascii="宋体" w:hAnsi="宋体" w:cs="宋体"/>
          <w:color w:val="auto"/>
          <w:highlight w:val="none"/>
        </w:rPr>
      </w:pPr>
      <w:r>
        <w:rPr>
          <w:rFonts w:hint="eastAsia" w:ascii="宋体" w:hAnsi="宋体" w:cs="宋体"/>
          <w:color w:val="auto"/>
          <w:highlight w:val="none"/>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由本单位承担工程/提供服务），或者提供（其他残疾人福利性单位名称）制造的货物（不包括使用非残疾人福利性单位注册商标的货物）。货物的名称品牌型号是</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748D380">
      <w:pPr>
        <w:ind w:firstLine="420" w:firstLineChars="200"/>
        <w:rPr>
          <w:rFonts w:hint="eastAsia" w:ascii="宋体" w:hAnsi="宋体" w:cs="宋体"/>
          <w:color w:val="auto"/>
          <w:highlight w:val="none"/>
        </w:rPr>
      </w:pPr>
      <w:r>
        <w:rPr>
          <w:rFonts w:hint="eastAsia" w:ascii="宋体" w:hAnsi="宋体" w:cs="宋体"/>
          <w:color w:val="auto"/>
          <w:highlight w:val="none"/>
        </w:rPr>
        <w:t>本单位对上述声明的真实性负责。如有虚假，将承担相应的法律责任。</w:t>
      </w:r>
    </w:p>
    <w:p w14:paraId="5B791AEA">
      <w:pPr>
        <w:rPr>
          <w:rFonts w:hint="eastAsia" w:ascii="宋体" w:hAnsi="宋体" w:cs="宋体"/>
          <w:color w:val="auto"/>
          <w:highlight w:val="none"/>
        </w:rPr>
      </w:pPr>
    </w:p>
    <w:p w14:paraId="7F374608">
      <w:pPr>
        <w:rPr>
          <w:rFonts w:hint="eastAsia" w:ascii="宋体" w:hAnsi="宋体" w:cs="宋体"/>
          <w:color w:val="auto"/>
          <w:highlight w:val="none"/>
        </w:rPr>
      </w:pPr>
    </w:p>
    <w:p w14:paraId="425288B2">
      <w:pPr>
        <w:ind w:left="3360" w:leftChars="1600"/>
        <w:rPr>
          <w:rFonts w:hint="eastAsia" w:ascii="宋体" w:hAnsi="宋体" w:cs="宋体"/>
          <w:color w:val="auto"/>
          <w:highlight w:val="none"/>
        </w:rPr>
      </w:pPr>
      <w:r>
        <w:rPr>
          <w:rFonts w:hint="eastAsia" w:ascii="宋体" w:hAnsi="宋体" w:cs="宋体"/>
          <w:color w:val="auto"/>
          <w:highlight w:val="none"/>
        </w:rPr>
        <w:t>供应商名称（单位电子签章）：</w:t>
      </w:r>
      <w:r>
        <w:rPr>
          <w:rFonts w:hint="eastAsia" w:ascii="宋体" w:hAnsi="宋体" w:cs="宋体"/>
          <w:color w:val="auto"/>
          <w:highlight w:val="none"/>
          <w:u w:val="single"/>
        </w:rPr>
        <w:t xml:space="preserve">         </w:t>
      </w:r>
    </w:p>
    <w:p w14:paraId="0BDDE81E">
      <w:pPr>
        <w:ind w:left="3360" w:leftChars="1600"/>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0979F5FF">
      <w:pPr>
        <w:rPr>
          <w:rFonts w:hint="eastAsia" w:ascii="宋体" w:hAnsi="宋体" w:cs="宋体"/>
          <w:b/>
          <w:color w:val="auto"/>
          <w:szCs w:val="21"/>
          <w:highlight w:val="none"/>
        </w:rPr>
      </w:pPr>
    </w:p>
    <w:p w14:paraId="42065D4D">
      <w:pPr>
        <w:pStyle w:val="24"/>
        <w:rPr>
          <w:rFonts w:hint="eastAsia" w:ascii="宋体" w:hAnsi="宋体" w:cs="宋体"/>
          <w:b/>
          <w:color w:val="auto"/>
          <w:sz w:val="21"/>
          <w:szCs w:val="21"/>
          <w:highlight w:val="none"/>
        </w:rPr>
      </w:pPr>
    </w:p>
    <w:p w14:paraId="53AB6178">
      <w:pPr>
        <w:pStyle w:val="24"/>
        <w:rPr>
          <w:rFonts w:hint="eastAsia" w:ascii="宋体" w:hAnsi="宋体" w:cs="宋体"/>
          <w:b/>
          <w:color w:val="auto"/>
          <w:sz w:val="21"/>
          <w:szCs w:val="21"/>
          <w:highlight w:val="none"/>
        </w:rPr>
      </w:pPr>
    </w:p>
    <w:p w14:paraId="7BC18268">
      <w:pPr>
        <w:pStyle w:val="24"/>
        <w:rPr>
          <w:rFonts w:hint="eastAsia" w:ascii="宋体" w:hAnsi="宋体" w:cs="宋体"/>
          <w:b/>
          <w:color w:val="auto"/>
          <w:sz w:val="21"/>
          <w:szCs w:val="21"/>
          <w:highlight w:val="none"/>
        </w:rPr>
      </w:pPr>
    </w:p>
    <w:p w14:paraId="11B93A9C">
      <w:pPr>
        <w:pStyle w:val="24"/>
        <w:rPr>
          <w:rFonts w:hint="eastAsia" w:ascii="宋体" w:hAnsi="宋体" w:cs="宋体"/>
          <w:b/>
          <w:color w:val="auto"/>
          <w:sz w:val="21"/>
          <w:szCs w:val="21"/>
          <w:highlight w:val="none"/>
        </w:rPr>
      </w:pPr>
    </w:p>
    <w:p w14:paraId="3FFFA042">
      <w:pPr>
        <w:pStyle w:val="24"/>
        <w:rPr>
          <w:rFonts w:hint="eastAsia" w:ascii="宋体" w:hAnsi="宋体" w:cs="宋体"/>
          <w:b/>
          <w:color w:val="auto"/>
          <w:sz w:val="21"/>
          <w:szCs w:val="21"/>
          <w:highlight w:val="none"/>
        </w:rPr>
      </w:pPr>
    </w:p>
    <w:p w14:paraId="70D742CE">
      <w:pPr>
        <w:pStyle w:val="24"/>
        <w:rPr>
          <w:rFonts w:hint="eastAsia" w:ascii="宋体" w:hAnsi="宋体" w:cs="宋体"/>
          <w:b/>
          <w:color w:val="auto"/>
          <w:sz w:val="21"/>
          <w:szCs w:val="21"/>
          <w:highlight w:val="none"/>
        </w:rPr>
      </w:pPr>
    </w:p>
    <w:p w14:paraId="6B5DC4BA">
      <w:pPr>
        <w:pStyle w:val="4"/>
        <w:jc w:val="center"/>
        <w:rPr>
          <w:rFonts w:hint="eastAsia" w:ascii="宋体" w:hAnsi="宋体" w:eastAsia="宋体" w:cs="宋体"/>
          <w:color w:val="auto"/>
          <w:highlight w:val="none"/>
        </w:rPr>
      </w:pPr>
      <w:bookmarkStart w:id="1293" w:name="_Toc4000"/>
      <w:bookmarkStart w:id="1294" w:name="_Toc28460"/>
      <w:bookmarkStart w:id="1295" w:name="_Toc31282"/>
      <w:bookmarkStart w:id="1296" w:name="_Toc22779"/>
      <w:bookmarkStart w:id="1297" w:name="_Toc13466"/>
      <w:bookmarkStart w:id="1298" w:name="_Toc19344"/>
      <w:bookmarkStart w:id="1299" w:name="_Toc19926"/>
      <w:bookmarkStart w:id="1300" w:name="_Toc28285"/>
      <w:r>
        <w:rPr>
          <w:rFonts w:hint="eastAsia" w:ascii="宋体" w:hAnsi="宋体" w:eastAsia="宋体" w:cs="宋体"/>
          <w:color w:val="auto"/>
          <w:highlight w:val="none"/>
          <w:lang w:eastAsia="zh-CN"/>
        </w:rPr>
        <w:t>九</w:t>
      </w:r>
      <w:r>
        <w:rPr>
          <w:rFonts w:hint="eastAsia" w:ascii="宋体" w:hAnsi="宋体" w:eastAsia="宋体" w:cs="宋体"/>
          <w:color w:val="auto"/>
          <w:highlight w:val="none"/>
        </w:rPr>
        <w:t>、监狱企业证明文件（如有）</w:t>
      </w:r>
      <w:bookmarkEnd w:id="1293"/>
      <w:bookmarkEnd w:id="1294"/>
      <w:bookmarkEnd w:id="1295"/>
      <w:bookmarkEnd w:id="1296"/>
      <w:bookmarkEnd w:id="1297"/>
      <w:bookmarkEnd w:id="1298"/>
      <w:bookmarkEnd w:id="1299"/>
      <w:bookmarkEnd w:id="1300"/>
    </w:p>
    <w:p w14:paraId="66F203C3">
      <w:pPr>
        <w:ind w:firstLine="420" w:firstLineChars="200"/>
        <w:rPr>
          <w:rFonts w:hint="eastAsia" w:ascii="宋体" w:hAnsi="宋体" w:cs="宋体"/>
          <w:color w:val="auto"/>
          <w:highlight w:val="none"/>
        </w:rPr>
      </w:pPr>
    </w:p>
    <w:p w14:paraId="2264BC5F">
      <w:pPr>
        <w:pStyle w:val="10"/>
        <w:rPr>
          <w:rFonts w:hint="eastAsia" w:ascii="宋体" w:hAnsi="宋体" w:cs="宋体"/>
          <w:color w:val="auto"/>
          <w:highlight w:val="none"/>
        </w:rPr>
      </w:pPr>
      <w:r>
        <w:rPr>
          <w:rFonts w:hint="eastAsia" w:ascii="宋体" w:hAnsi="宋体" w:cs="宋体"/>
          <w:color w:val="auto"/>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6354703D">
      <w:pPr>
        <w:pStyle w:val="10"/>
        <w:rPr>
          <w:rFonts w:hint="eastAsia" w:ascii="宋体" w:hAnsi="宋体" w:cs="宋体"/>
          <w:color w:val="auto"/>
          <w:highlight w:val="none"/>
        </w:rPr>
      </w:pPr>
    </w:p>
    <w:p w14:paraId="2F4547CA">
      <w:pPr>
        <w:pStyle w:val="10"/>
        <w:rPr>
          <w:rFonts w:hint="eastAsia" w:ascii="宋体" w:hAnsi="宋体" w:cs="宋体"/>
          <w:color w:val="auto"/>
          <w:highlight w:val="none"/>
        </w:rPr>
      </w:pPr>
    </w:p>
    <w:p w14:paraId="4A259E83">
      <w:pPr>
        <w:pStyle w:val="10"/>
        <w:rPr>
          <w:rFonts w:hint="eastAsia" w:ascii="宋体" w:hAnsi="宋体" w:cs="宋体"/>
          <w:color w:val="auto"/>
          <w:highlight w:val="none"/>
        </w:rPr>
      </w:pPr>
      <w:r>
        <w:rPr>
          <w:rFonts w:hint="eastAsia" w:ascii="宋体" w:hAnsi="宋体" w:cs="宋体"/>
          <w:color w:val="auto"/>
          <w:highlight w:val="none"/>
        </w:rPr>
        <w:t>注：在投标文件中附扫描件。</w:t>
      </w:r>
    </w:p>
    <w:p w14:paraId="40EB63E5">
      <w:pPr>
        <w:rPr>
          <w:rFonts w:hint="eastAsia" w:ascii="宋体" w:hAnsi="宋体" w:cs="宋体"/>
          <w:color w:val="auto"/>
          <w:highlight w:val="none"/>
        </w:rPr>
      </w:pPr>
    </w:p>
    <w:p w14:paraId="117D2A36">
      <w:pPr>
        <w:rPr>
          <w:rFonts w:hint="eastAsia" w:ascii="宋体" w:hAnsi="宋体" w:cs="宋体"/>
          <w:color w:val="auto"/>
          <w:highlight w:val="none"/>
        </w:rPr>
      </w:pPr>
    </w:p>
    <w:p w14:paraId="0BB87E7A">
      <w:pPr>
        <w:rPr>
          <w:rFonts w:hint="eastAsia" w:ascii="宋体" w:hAnsi="宋体" w:cs="宋体"/>
          <w:color w:val="auto"/>
          <w:highlight w:val="none"/>
        </w:rPr>
      </w:pPr>
    </w:p>
    <w:p w14:paraId="638CACB1">
      <w:pPr>
        <w:rPr>
          <w:rFonts w:hint="eastAsia" w:ascii="宋体" w:hAnsi="宋体" w:cs="宋体"/>
          <w:color w:val="auto"/>
          <w:highlight w:val="none"/>
        </w:rPr>
      </w:pPr>
    </w:p>
    <w:p w14:paraId="78A88913">
      <w:pPr>
        <w:rPr>
          <w:rFonts w:hint="eastAsia" w:ascii="宋体" w:hAnsi="宋体" w:cs="宋体"/>
          <w:color w:val="auto"/>
          <w:highlight w:val="none"/>
        </w:rPr>
      </w:pPr>
    </w:p>
    <w:p w14:paraId="4D1EAC24">
      <w:pPr>
        <w:rPr>
          <w:rFonts w:hint="eastAsia" w:ascii="宋体" w:hAnsi="宋体" w:cs="宋体"/>
          <w:color w:val="auto"/>
          <w:highlight w:val="none"/>
        </w:rPr>
      </w:pPr>
    </w:p>
    <w:p w14:paraId="26201A58">
      <w:pPr>
        <w:rPr>
          <w:rFonts w:hint="eastAsia" w:ascii="宋体" w:hAnsi="宋体" w:cs="宋体"/>
          <w:color w:val="auto"/>
          <w:highlight w:val="none"/>
        </w:rPr>
      </w:pPr>
    </w:p>
    <w:p w14:paraId="06CAD937">
      <w:pPr>
        <w:pStyle w:val="13"/>
        <w:spacing w:before="156" w:after="156"/>
        <w:rPr>
          <w:rFonts w:hint="eastAsia" w:ascii="宋体" w:hAnsi="宋体" w:cs="宋体"/>
          <w:color w:val="auto"/>
          <w:highlight w:val="none"/>
        </w:rPr>
      </w:pPr>
    </w:p>
    <w:p w14:paraId="4EC6276E">
      <w:pPr>
        <w:rPr>
          <w:rFonts w:hint="eastAsia" w:ascii="宋体" w:hAnsi="宋体" w:cs="宋体"/>
          <w:color w:val="auto"/>
          <w:highlight w:val="none"/>
        </w:rPr>
      </w:pPr>
    </w:p>
    <w:p w14:paraId="1581A2F3">
      <w:pPr>
        <w:pStyle w:val="13"/>
        <w:spacing w:before="156" w:after="156"/>
        <w:rPr>
          <w:rFonts w:hint="eastAsia" w:ascii="宋体" w:hAnsi="宋体" w:cs="宋体"/>
          <w:color w:val="auto"/>
          <w:highlight w:val="none"/>
        </w:rPr>
      </w:pPr>
    </w:p>
    <w:p w14:paraId="6E9A61EE">
      <w:pPr>
        <w:ind w:left="0" w:leftChars="0" w:firstLine="0" w:firstLineChars="0"/>
        <w:rPr>
          <w:rFonts w:hint="eastAsia" w:ascii="宋体" w:hAnsi="宋体" w:cs="宋体"/>
          <w:color w:val="auto"/>
          <w:highlight w:val="none"/>
        </w:rPr>
      </w:pPr>
      <w:bookmarkStart w:id="1301" w:name="_Toc30624"/>
      <w:bookmarkStart w:id="1302" w:name="_Toc24731"/>
    </w:p>
    <w:p w14:paraId="3070505D">
      <w:pPr>
        <w:pStyle w:val="4"/>
        <w:jc w:val="center"/>
        <w:rPr>
          <w:rFonts w:hint="eastAsia" w:ascii="宋体" w:hAnsi="宋体" w:eastAsia="宋体" w:cs="宋体"/>
          <w:color w:val="auto"/>
          <w:highlight w:val="none"/>
        </w:rPr>
      </w:pPr>
      <w:bookmarkStart w:id="1303" w:name="_Toc19521"/>
      <w:bookmarkStart w:id="1304" w:name="_Toc28665"/>
      <w:bookmarkStart w:id="1305" w:name="_Toc20441"/>
      <w:bookmarkStart w:id="1306" w:name="_Toc4604"/>
      <w:bookmarkStart w:id="1307" w:name="_Toc16988"/>
      <w:bookmarkStart w:id="1308" w:name="_Toc29950"/>
      <w:r>
        <w:rPr>
          <w:rFonts w:hint="eastAsia" w:ascii="宋体" w:hAnsi="宋体" w:eastAsia="宋体" w:cs="宋体"/>
          <w:color w:val="auto"/>
          <w:highlight w:val="none"/>
        </w:rPr>
        <w:t>十、其他材料</w:t>
      </w:r>
      <w:bookmarkEnd w:id="1301"/>
      <w:bookmarkEnd w:id="1302"/>
      <w:bookmarkEnd w:id="1303"/>
      <w:bookmarkEnd w:id="1304"/>
      <w:bookmarkEnd w:id="1305"/>
      <w:bookmarkEnd w:id="1306"/>
      <w:bookmarkEnd w:id="1307"/>
      <w:bookmarkEnd w:id="1308"/>
    </w:p>
    <w:p w14:paraId="72C4B48A">
      <w:pPr>
        <w:pStyle w:val="5"/>
        <w:jc w:val="center"/>
        <w:rPr>
          <w:rFonts w:hint="eastAsia" w:ascii="宋体" w:hAnsi="宋体" w:cs="宋体"/>
          <w:color w:val="auto"/>
          <w:highlight w:val="none"/>
        </w:rPr>
      </w:pPr>
      <w:bookmarkStart w:id="1309" w:name="_Toc29325"/>
      <w:bookmarkStart w:id="1310" w:name="_Toc22434"/>
      <w:bookmarkStart w:id="1311" w:name="_Toc26902"/>
      <w:bookmarkStart w:id="1312" w:name="_Toc9444"/>
      <w:bookmarkStart w:id="1313" w:name="_Toc11806"/>
      <w:r>
        <w:rPr>
          <w:rFonts w:hint="eastAsia" w:ascii="宋体" w:hAnsi="宋体" w:cs="宋体"/>
          <w:color w:val="auto"/>
          <w:highlight w:val="none"/>
        </w:rPr>
        <w:t>1、磋商承诺函</w:t>
      </w:r>
      <w:bookmarkEnd w:id="1309"/>
      <w:bookmarkEnd w:id="1310"/>
      <w:bookmarkEnd w:id="1311"/>
      <w:bookmarkEnd w:id="1312"/>
      <w:bookmarkEnd w:id="1313"/>
    </w:p>
    <w:p w14:paraId="79E3B72D">
      <w:pPr>
        <w:spacing w:line="400" w:lineRule="atLeast"/>
        <w:rPr>
          <w:rFonts w:hint="eastAsia"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（采购人及采购代理机构）：</w:t>
      </w:r>
    </w:p>
    <w:p w14:paraId="7E1572D1">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我公司作为本次采购项目的供应商，根据招标文件要求，现郑重承诺如下：</w:t>
      </w:r>
    </w:p>
    <w:p w14:paraId="4BF4558A">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一、具备《中华人民共和国政府采购法》第二十二条第一款和本项目规定的条件：</w:t>
      </w:r>
    </w:p>
    <w:p w14:paraId="0EC1542D">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（一）具有独立承担民事责任的能力； 　　</w:t>
      </w:r>
    </w:p>
    <w:p w14:paraId="080F8FE5">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（二）具有良好的商业信誉和健全的财务会计制度； 　</w:t>
      </w:r>
    </w:p>
    <w:p w14:paraId="3B4842E3">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（三）具有履行合同所必需的设备和专业技术能力； 　　</w:t>
      </w:r>
    </w:p>
    <w:p w14:paraId="4D2D6811">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（四）有依法缴纳税收和社会保障资金的良好记录； 　　</w:t>
      </w:r>
    </w:p>
    <w:p w14:paraId="604D806A">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（五）参加政府采购活动前三年内，在经营活动中没有重大违法记录；</w:t>
      </w:r>
    </w:p>
    <w:p w14:paraId="1D7112CF">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（六）法律、行政法规规定的其他条件；</w:t>
      </w:r>
    </w:p>
    <w:p w14:paraId="79967B25">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（七）根据采购项目提出的特殊条件。</w:t>
      </w:r>
    </w:p>
    <w:p w14:paraId="28E6DE72">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A78B335">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三、参加本次招标采购活动，不存在与单位负责人为同一人或者存在直接控股、管理关系的其他供应商参与同一合同项下的政府采购活动的行为。    </w:t>
      </w:r>
    </w:p>
    <w:p w14:paraId="4515E66F">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四、参加本次招标采购活动，不存在为采购项目提供整体设计、规范编制或者项目管理、监理、检测等服务的行为。</w:t>
      </w:r>
    </w:p>
    <w:p w14:paraId="46782535">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五、参加本次招标采购活动，不存在和其他供应商在同一合同项下的采购项目中，同时委托同一个自然人、同一家庭的人员、同一单位的人员作为代理人的行为。</w:t>
      </w:r>
    </w:p>
    <w:p w14:paraId="132CD7F9">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六、供应商参加本次政府采购活动要求在近三年内供应商和其法定代表人没有行贿犯罪行为。</w:t>
      </w:r>
    </w:p>
    <w:p w14:paraId="575EA736">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七、投标文件中提供的能够给予我公司带来优惠、好处的任何材料资料和技术、服务、商务等相应承诺情况都是真实的、有效的、合法的。</w:t>
      </w:r>
    </w:p>
    <w:p w14:paraId="5B7812A2">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7B9DC7DF">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九、存在以下行为之一的愿意接受相关部门的处理：</w:t>
      </w:r>
    </w:p>
    <w:p w14:paraId="6258EB3A">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（一）投标有效期内撤销投标文件的；</w:t>
      </w:r>
    </w:p>
    <w:p w14:paraId="7F713748">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（二）在采购人确定成交人以前放弃中标候选资格的；</w:t>
      </w:r>
    </w:p>
    <w:p w14:paraId="2828A1BD">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（三）由于成交人的原因未能按照招标文件的规定与采购人签订合同；</w:t>
      </w:r>
    </w:p>
    <w:p w14:paraId="17B84172">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（四）在投标文件中提供虚假材料谋取中标；</w:t>
      </w:r>
    </w:p>
    <w:p w14:paraId="714499AC">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（五）与采购人、其他供应商或者采购代理机构恶意串通的；</w:t>
      </w:r>
    </w:p>
    <w:p w14:paraId="7C4829B9">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（六）投标有效期内，供应商在政府采购活动中有违法、违规、违纪行为。</w:t>
      </w:r>
    </w:p>
    <w:p w14:paraId="1C4B2CA8">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 由此产生的一切法律后果和责任由我公司承担。我公司声明放弃对此提出任何异议和追索的权利。</w:t>
      </w:r>
    </w:p>
    <w:p w14:paraId="5A9FF699">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本公司对上述承诺的内容事项真实性负责。如经查实上述承诺的内容事项存在虚假，我公司愿意接受以提供虚假材料谋取中标追究法律责任。</w:t>
      </w:r>
    </w:p>
    <w:p w14:paraId="7F37F206">
      <w:pPr>
        <w:spacing w:line="400" w:lineRule="atLeast"/>
        <w:ind w:left="840" w:leftChars="400" w:firstLine="420" w:firstLineChars="200"/>
        <w:rPr>
          <w:rFonts w:hint="eastAsia" w:ascii="宋体" w:hAnsi="宋体" w:cs="宋体"/>
          <w:color w:val="auto"/>
          <w:highlight w:val="none"/>
        </w:rPr>
      </w:pPr>
      <w:r>
        <w:rPr>
          <w:rFonts w:hint="eastAsia" w:ascii="宋体" w:hAnsi="宋体" w:cs="宋体"/>
          <w:color w:val="auto"/>
          <w:highlight w:val="none"/>
        </w:rPr>
        <w:t>       </w:t>
      </w:r>
    </w:p>
    <w:p w14:paraId="235B8917">
      <w:pPr>
        <w:pStyle w:val="46"/>
        <w:rPr>
          <w:rFonts w:hint="eastAsia" w:ascii="宋体" w:hAnsi="宋体" w:cs="宋体"/>
          <w:color w:val="auto"/>
          <w:highlight w:val="none"/>
        </w:rPr>
      </w:pPr>
    </w:p>
    <w:p w14:paraId="031FDEEF">
      <w:pPr>
        <w:rPr>
          <w:rFonts w:hint="eastAsia" w:ascii="宋体" w:hAnsi="宋体" w:cs="宋体"/>
          <w:color w:val="auto"/>
          <w:highlight w:val="none"/>
        </w:rPr>
      </w:pPr>
    </w:p>
    <w:p w14:paraId="14C9A452">
      <w:pPr>
        <w:spacing w:line="360" w:lineRule="auto"/>
        <w:ind w:left="2730" w:leftChars="1300" w:firstLine="420" w:firstLineChars="200"/>
        <w:rPr>
          <w:rFonts w:hint="eastAsia" w:ascii="宋体" w:hAnsi="宋体" w:cs="宋体"/>
          <w:color w:val="auto"/>
          <w:highlight w:val="none"/>
        </w:rPr>
      </w:pPr>
      <w:r>
        <w:rPr>
          <w:rFonts w:hint="eastAsia" w:ascii="宋体" w:hAnsi="宋体" w:cs="宋体"/>
          <w:color w:val="auto"/>
          <w:highlight w:val="none"/>
        </w:rPr>
        <w:t>供应商名称：</w:t>
      </w:r>
      <w:r>
        <w:rPr>
          <w:rFonts w:hint="eastAsia" w:ascii="宋体" w:hAnsi="宋体" w:cs="宋体"/>
          <w:color w:val="auto"/>
          <w:highlight w:val="none"/>
          <w:u w:val="single"/>
        </w:rPr>
        <w:t>              </w:t>
      </w:r>
      <w:r>
        <w:rPr>
          <w:rFonts w:hint="eastAsia" w:ascii="宋体" w:hAnsi="宋体" w:cs="宋体"/>
          <w:color w:val="auto"/>
          <w:highlight w:val="none"/>
        </w:rPr>
        <w:t>（单位电子签章）</w:t>
      </w:r>
    </w:p>
    <w:p w14:paraId="621BB28B">
      <w:pPr>
        <w:spacing w:line="360" w:lineRule="auto"/>
        <w:ind w:left="2730" w:leftChars="1300" w:firstLine="420" w:firstLineChars="200"/>
        <w:rPr>
          <w:rFonts w:hint="eastAsia" w:ascii="宋体" w:hAnsi="宋体" w:cs="宋体"/>
          <w:color w:val="auto"/>
          <w:highlight w:val="none"/>
        </w:rPr>
      </w:pPr>
      <w:r>
        <w:rPr>
          <w:rFonts w:hint="eastAsia" w:ascii="宋体" w:hAnsi="宋体" w:cs="宋体"/>
          <w:color w:val="auto"/>
          <w:highlight w:val="none"/>
        </w:rPr>
        <w:t>法定代表人或授权代表：</w:t>
      </w:r>
      <w:r>
        <w:rPr>
          <w:rFonts w:hint="eastAsia" w:ascii="宋体" w:hAnsi="宋体" w:cs="宋体"/>
          <w:color w:val="auto"/>
          <w:highlight w:val="none"/>
          <w:u w:val="single"/>
        </w:rPr>
        <w:t>      </w:t>
      </w:r>
      <w:r>
        <w:rPr>
          <w:rFonts w:hint="eastAsia" w:ascii="宋体" w:hAnsi="宋体" w:cs="宋体"/>
          <w:color w:val="auto"/>
          <w:highlight w:val="none"/>
        </w:rPr>
        <w:t>（签字或盖章）</w:t>
      </w:r>
    </w:p>
    <w:p w14:paraId="78305E9D">
      <w:pPr>
        <w:spacing w:line="360" w:lineRule="auto"/>
        <w:ind w:left="2730" w:leftChars="1300" w:firstLine="420" w:firstLineChars="200"/>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w:t>
      </w:r>
    </w:p>
    <w:p w14:paraId="4D1F9F98">
      <w:pPr>
        <w:pStyle w:val="26"/>
        <w:shd w:val="clear" w:color="auto" w:fill="FFFFFF"/>
        <w:spacing w:before="0" w:beforeAutospacing="0" w:after="0" w:afterAutospacing="0" w:line="405" w:lineRule="atLeast"/>
        <w:ind w:firstLine="495"/>
        <w:jc w:val="center"/>
        <w:rPr>
          <w:rFonts w:hint="eastAsia" w:ascii="宋体" w:hAnsi="宋体" w:eastAsia="宋体" w:cs="宋体"/>
          <w:b/>
          <w:color w:val="auto"/>
          <w:sz w:val="21"/>
          <w:szCs w:val="21"/>
          <w:highlight w:val="none"/>
        </w:rPr>
      </w:pPr>
    </w:p>
    <w:p w14:paraId="26832E20">
      <w:pPr>
        <w:pStyle w:val="26"/>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14:paraId="682F8E38">
      <w:pPr>
        <w:pStyle w:val="26"/>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14:paraId="5042875F">
      <w:pPr>
        <w:pStyle w:val="26"/>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14:paraId="383B901D">
      <w:pPr>
        <w:pStyle w:val="26"/>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14:paraId="77280EC5">
      <w:pPr>
        <w:pStyle w:val="26"/>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14:paraId="367D1F5B">
      <w:pPr>
        <w:pStyle w:val="26"/>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14:paraId="02168901">
      <w:pPr>
        <w:pStyle w:val="26"/>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14:paraId="470C5138">
      <w:pPr>
        <w:pStyle w:val="26"/>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14:paraId="2B379890">
      <w:pPr>
        <w:pStyle w:val="26"/>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14:paraId="66123B4E">
      <w:pPr>
        <w:pStyle w:val="26"/>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14:paraId="713C2B36">
      <w:pPr>
        <w:pStyle w:val="26"/>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14:paraId="14D6BF03">
      <w:pPr>
        <w:pStyle w:val="26"/>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14:paraId="0533E1DD">
      <w:pPr>
        <w:pStyle w:val="26"/>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14:paraId="70A72331">
      <w:pPr>
        <w:pStyle w:val="26"/>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14:paraId="094BD4BF">
      <w:pPr>
        <w:pStyle w:val="26"/>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14:paraId="30216A85">
      <w:pPr>
        <w:pStyle w:val="5"/>
        <w:rPr>
          <w:rFonts w:hint="eastAsia" w:ascii="宋体" w:hAnsi="宋体" w:cs="宋体"/>
          <w:color w:val="auto"/>
          <w:highlight w:val="none"/>
        </w:rPr>
      </w:pPr>
      <w:bookmarkStart w:id="1314" w:name="_Toc5434"/>
      <w:bookmarkStart w:id="1315" w:name="_Toc19284"/>
      <w:bookmarkStart w:id="1316" w:name="_Toc27882"/>
      <w:bookmarkStart w:id="1317" w:name="_Toc20300"/>
      <w:bookmarkStart w:id="1318" w:name="_Toc20232"/>
      <w:bookmarkStart w:id="1319" w:name="_Toc27552"/>
    </w:p>
    <w:p w14:paraId="399C532E">
      <w:pPr>
        <w:rPr>
          <w:rFonts w:hint="eastAsia" w:ascii="宋体" w:hAnsi="宋体" w:cs="宋体"/>
          <w:color w:val="auto"/>
          <w:highlight w:val="none"/>
        </w:rPr>
      </w:pPr>
    </w:p>
    <w:p w14:paraId="0F7CE764">
      <w:pPr>
        <w:pStyle w:val="5"/>
        <w:jc w:val="center"/>
        <w:rPr>
          <w:rFonts w:hint="eastAsia" w:ascii="宋体" w:hAnsi="宋体" w:cs="宋体"/>
          <w:color w:val="auto"/>
          <w:highlight w:val="none"/>
        </w:rPr>
      </w:pPr>
      <w:r>
        <w:rPr>
          <w:rFonts w:hint="eastAsia" w:ascii="宋体" w:hAnsi="宋体" w:cs="宋体"/>
          <w:color w:val="auto"/>
          <w:highlight w:val="none"/>
        </w:rPr>
        <w:t>2、采购代理服务费承诺函</w:t>
      </w:r>
      <w:bookmarkEnd w:id="1314"/>
      <w:bookmarkEnd w:id="1315"/>
      <w:bookmarkEnd w:id="1316"/>
      <w:bookmarkEnd w:id="1317"/>
      <w:bookmarkEnd w:id="1318"/>
      <w:bookmarkEnd w:id="1319"/>
    </w:p>
    <w:p w14:paraId="6BB6520E">
      <w:pPr>
        <w:spacing w:line="480" w:lineRule="atLeast"/>
        <w:rPr>
          <w:rFonts w:hint="eastAsia"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（采购人及采购代理机构） ：</w:t>
      </w:r>
    </w:p>
    <w:p w14:paraId="10F68B3B">
      <w:pPr>
        <w:spacing w:line="480" w:lineRule="atLeast"/>
        <w:ind w:firstLine="420" w:firstLineChars="200"/>
        <w:rPr>
          <w:rFonts w:hint="eastAsia" w:ascii="宋体" w:hAnsi="宋体" w:cs="宋体"/>
          <w:color w:val="auto"/>
          <w:highlight w:val="none"/>
        </w:rPr>
      </w:pPr>
      <w:r>
        <w:rPr>
          <w:rFonts w:hint="eastAsia" w:ascii="宋体" w:hAnsi="宋体" w:cs="宋体"/>
          <w:color w:val="auto"/>
          <w:highlight w:val="none"/>
        </w:rPr>
        <w:t>我们在贵公司组织的（项目名称：</w:t>
      </w:r>
      <w:r>
        <w:rPr>
          <w:rFonts w:hint="eastAsia" w:ascii="宋体" w:hAnsi="宋体" w:cs="宋体"/>
          <w:color w:val="auto"/>
          <w:highlight w:val="none"/>
          <w:u w:val="single"/>
        </w:rPr>
        <w:t xml:space="preserve">            </w:t>
      </w:r>
      <w:r>
        <w:rPr>
          <w:rFonts w:hint="eastAsia" w:ascii="宋体" w:hAnsi="宋体" w:cs="宋体"/>
          <w:color w:val="auto"/>
          <w:highlight w:val="none"/>
        </w:rPr>
        <w:t>，采购编号：</w:t>
      </w:r>
      <w:r>
        <w:rPr>
          <w:rFonts w:hint="eastAsia" w:ascii="宋体" w:hAnsi="宋体" w:cs="宋体"/>
          <w:color w:val="auto"/>
          <w:highlight w:val="none"/>
          <w:u w:val="single"/>
        </w:rPr>
        <w:t xml:space="preserve">     </w:t>
      </w:r>
      <w:r>
        <w:rPr>
          <w:rFonts w:hint="eastAsia" w:ascii="宋体" w:hAnsi="宋体" w:cs="宋体"/>
          <w:color w:val="auto"/>
          <w:highlight w:val="none"/>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14:paraId="04EA7F75">
      <w:pPr>
        <w:spacing w:line="480" w:lineRule="atLeast"/>
        <w:ind w:firstLine="420" w:firstLineChars="200"/>
        <w:rPr>
          <w:rFonts w:hint="eastAsia" w:ascii="宋体" w:hAnsi="宋体" w:cs="宋体"/>
          <w:color w:val="auto"/>
          <w:highlight w:val="none"/>
        </w:rPr>
      </w:pPr>
      <w:r>
        <w:rPr>
          <w:rFonts w:hint="eastAsia" w:ascii="宋体" w:hAnsi="宋体" w:cs="宋体"/>
          <w:color w:val="auto"/>
          <w:highlight w:val="none"/>
        </w:rPr>
        <w:t>特此承诺。</w:t>
      </w:r>
    </w:p>
    <w:p w14:paraId="27476E98">
      <w:pPr>
        <w:pStyle w:val="26"/>
        <w:shd w:val="clear" w:color="auto" w:fill="FFFFFF"/>
        <w:spacing w:before="0" w:beforeAutospacing="0" w:after="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29F91D69">
      <w:pPr>
        <w:pStyle w:val="26"/>
        <w:shd w:val="clear" w:color="auto" w:fill="FFFFFF"/>
        <w:spacing w:before="0" w:beforeAutospacing="0" w:after="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7FE09B32">
      <w:pPr>
        <w:spacing w:line="360" w:lineRule="auto"/>
        <w:ind w:left="2520" w:leftChars="1200" w:firstLine="420" w:firstLineChars="200"/>
        <w:rPr>
          <w:rFonts w:hint="eastAsia" w:ascii="宋体" w:hAnsi="宋体" w:cs="宋体"/>
          <w:color w:val="auto"/>
          <w:highlight w:val="none"/>
        </w:rPr>
      </w:pPr>
      <w:r>
        <w:rPr>
          <w:rFonts w:hint="eastAsia" w:ascii="宋体" w:hAnsi="宋体" w:cs="宋体"/>
          <w:color w:val="auto"/>
          <w:highlight w:val="none"/>
        </w:rPr>
        <w:t>供应商名称：</w:t>
      </w:r>
      <w:r>
        <w:rPr>
          <w:rFonts w:hint="eastAsia" w:ascii="宋体" w:hAnsi="宋体" w:cs="宋体"/>
          <w:color w:val="auto"/>
          <w:highlight w:val="none"/>
          <w:u w:val="single"/>
        </w:rPr>
        <w:t>         </w:t>
      </w:r>
      <w:r>
        <w:rPr>
          <w:rFonts w:hint="eastAsia" w:ascii="宋体" w:hAnsi="宋体" w:cs="宋体"/>
          <w:color w:val="auto"/>
          <w:highlight w:val="none"/>
        </w:rPr>
        <w:t>（单位电子签章）</w:t>
      </w:r>
    </w:p>
    <w:p w14:paraId="24FAC475">
      <w:pPr>
        <w:spacing w:line="360" w:lineRule="auto"/>
        <w:ind w:left="2520" w:leftChars="1200" w:firstLine="420" w:firstLineChars="200"/>
        <w:rPr>
          <w:rFonts w:hint="eastAsia" w:ascii="宋体" w:hAnsi="宋体" w:cs="宋体"/>
          <w:color w:val="auto"/>
          <w:highlight w:val="none"/>
        </w:rPr>
      </w:pPr>
      <w:r>
        <w:rPr>
          <w:rFonts w:hint="eastAsia" w:ascii="宋体" w:hAnsi="宋体" w:cs="宋体"/>
          <w:color w:val="auto"/>
          <w:highlight w:val="none"/>
        </w:rPr>
        <w:t>法定代表人或授权代表：</w:t>
      </w:r>
      <w:r>
        <w:rPr>
          <w:rFonts w:hint="eastAsia" w:ascii="宋体" w:hAnsi="宋体" w:cs="宋体"/>
          <w:color w:val="auto"/>
          <w:highlight w:val="none"/>
          <w:u w:val="single"/>
        </w:rPr>
        <w:t>        </w:t>
      </w:r>
      <w:r>
        <w:rPr>
          <w:rFonts w:hint="eastAsia" w:ascii="宋体" w:hAnsi="宋体" w:cs="宋体"/>
          <w:color w:val="auto"/>
          <w:highlight w:val="none"/>
        </w:rPr>
        <w:t>（签字或盖章）</w:t>
      </w:r>
    </w:p>
    <w:p w14:paraId="08277A35">
      <w:pPr>
        <w:spacing w:line="360" w:lineRule="auto"/>
        <w:ind w:left="2520" w:leftChars="1200" w:firstLine="420" w:firstLineChars="200"/>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w:t>
      </w:r>
    </w:p>
    <w:p w14:paraId="667EE239">
      <w:pPr>
        <w:pStyle w:val="26"/>
        <w:shd w:val="clear" w:color="auto" w:fill="FFFFFF"/>
        <w:spacing w:before="0" w:beforeAutospacing="0" w:after="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4DDA46EB">
      <w:pPr>
        <w:rPr>
          <w:rFonts w:hint="eastAsia" w:ascii="宋体" w:hAnsi="宋体" w:cs="宋体"/>
          <w:color w:val="auto"/>
          <w:highlight w:val="none"/>
        </w:rPr>
      </w:pPr>
    </w:p>
    <w:p w14:paraId="221D6A64">
      <w:pPr>
        <w:rPr>
          <w:rFonts w:hint="eastAsia" w:ascii="宋体" w:hAnsi="宋体" w:cs="宋体"/>
          <w:color w:val="auto"/>
          <w:highlight w:val="none"/>
        </w:rPr>
      </w:pPr>
    </w:p>
    <w:p w14:paraId="61754AFA">
      <w:pPr>
        <w:pStyle w:val="13"/>
        <w:spacing w:before="156" w:after="156"/>
        <w:rPr>
          <w:rFonts w:hint="eastAsia" w:ascii="宋体" w:hAnsi="宋体" w:cs="宋体"/>
          <w:color w:val="auto"/>
          <w:highlight w:val="none"/>
        </w:rPr>
      </w:pPr>
    </w:p>
    <w:p w14:paraId="5F5B25C8">
      <w:pPr>
        <w:pStyle w:val="46"/>
        <w:rPr>
          <w:rFonts w:hint="eastAsia" w:ascii="宋体" w:hAnsi="宋体" w:cs="宋体"/>
          <w:color w:val="auto"/>
          <w:highlight w:val="none"/>
        </w:rPr>
      </w:pPr>
    </w:p>
    <w:p w14:paraId="2AF2818C">
      <w:pPr>
        <w:rPr>
          <w:rFonts w:hint="eastAsia" w:ascii="宋体" w:hAnsi="宋体" w:cs="宋体"/>
          <w:color w:val="auto"/>
          <w:highlight w:val="none"/>
        </w:rPr>
      </w:pPr>
    </w:p>
    <w:p w14:paraId="25A63184">
      <w:pPr>
        <w:pStyle w:val="13"/>
        <w:spacing w:before="156" w:after="156"/>
        <w:rPr>
          <w:rFonts w:hint="eastAsia" w:ascii="宋体" w:hAnsi="宋体" w:cs="宋体"/>
          <w:color w:val="auto"/>
          <w:highlight w:val="none"/>
        </w:rPr>
      </w:pPr>
    </w:p>
    <w:p w14:paraId="1FC22595">
      <w:pPr>
        <w:pStyle w:val="46"/>
        <w:rPr>
          <w:rFonts w:hint="eastAsia" w:ascii="宋体" w:hAnsi="宋体" w:cs="宋体"/>
          <w:color w:val="auto"/>
          <w:highlight w:val="none"/>
        </w:rPr>
      </w:pPr>
    </w:p>
    <w:p w14:paraId="5D4236F6">
      <w:pPr>
        <w:rPr>
          <w:rFonts w:hint="eastAsia" w:ascii="宋体" w:hAnsi="宋体" w:cs="宋体"/>
          <w:color w:val="auto"/>
          <w:highlight w:val="none"/>
        </w:rPr>
      </w:pPr>
    </w:p>
    <w:p w14:paraId="6A82C6EB">
      <w:pPr>
        <w:pStyle w:val="13"/>
        <w:spacing w:before="156" w:after="156"/>
        <w:rPr>
          <w:rFonts w:hint="eastAsia" w:ascii="宋体" w:hAnsi="宋体" w:cs="宋体"/>
          <w:color w:val="auto"/>
          <w:highlight w:val="none"/>
        </w:rPr>
      </w:pPr>
    </w:p>
    <w:p w14:paraId="1C19E775">
      <w:pPr>
        <w:rPr>
          <w:rFonts w:hint="eastAsia" w:ascii="宋体" w:hAnsi="宋体" w:cs="宋体"/>
          <w:color w:val="auto"/>
          <w:highlight w:val="none"/>
        </w:rPr>
      </w:pPr>
    </w:p>
    <w:p w14:paraId="2C109C6A">
      <w:pPr>
        <w:pStyle w:val="5"/>
        <w:jc w:val="center"/>
        <w:rPr>
          <w:rFonts w:hint="eastAsia" w:ascii="宋体" w:hAnsi="宋体" w:cs="宋体"/>
          <w:color w:val="auto"/>
          <w:highlight w:val="none"/>
        </w:rPr>
      </w:pPr>
      <w:bookmarkStart w:id="1320" w:name="_Toc173"/>
      <w:bookmarkStart w:id="1321" w:name="_Toc13180"/>
      <w:bookmarkStart w:id="1322" w:name="_Toc32575"/>
      <w:bookmarkStart w:id="1323" w:name="_Toc7652"/>
      <w:bookmarkStart w:id="1324" w:name="_Toc19686"/>
      <w:bookmarkStart w:id="1325" w:name="_Toc17802"/>
      <w:r>
        <w:rPr>
          <w:rFonts w:hint="eastAsia" w:ascii="宋体" w:hAnsi="宋体" w:cs="宋体"/>
          <w:color w:val="auto"/>
          <w:highlight w:val="none"/>
        </w:rPr>
        <w:t>3、供应商认为需要的其他资料</w:t>
      </w:r>
      <w:bookmarkEnd w:id="1320"/>
      <w:bookmarkEnd w:id="1321"/>
      <w:bookmarkEnd w:id="1322"/>
      <w:bookmarkEnd w:id="1323"/>
      <w:bookmarkEnd w:id="1324"/>
      <w:bookmarkEnd w:id="1325"/>
    </w:p>
    <w:p w14:paraId="3A910528">
      <w:pPr>
        <w:rPr>
          <w:rFonts w:hint="eastAsia" w:ascii="宋体" w:hAnsi="宋体" w:cs="宋体"/>
          <w:color w:val="auto"/>
          <w:highlight w:val="none"/>
        </w:rPr>
      </w:pPr>
    </w:p>
    <w:p w14:paraId="24A91EAB">
      <w:pPr>
        <w:rPr>
          <w:rFonts w:hint="eastAsia" w:ascii="宋体" w:hAnsi="宋体" w:cs="宋体"/>
          <w:color w:val="auto"/>
          <w:highlight w:val="none"/>
        </w:rPr>
      </w:pPr>
    </w:p>
    <w:p w14:paraId="5878EF60">
      <w:pPr>
        <w:rPr>
          <w:rFonts w:hint="eastAsia" w:ascii="宋体" w:hAnsi="宋体" w:cs="宋体"/>
          <w:color w:val="auto"/>
          <w:highlight w:val="none"/>
        </w:rPr>
      </w:pPr>
    </w:p>
    <w:p w14:paraId="149F0D52">
      <w:pPr>
        <w:rPr>
          <w:rFonts w:hint="eastAsia" w:ascii="宋体" w:hAnsi="宋体" w:cs="宋体"/>
          <w:color w:val="auto"/>
          <w:highlight w:val="none"/>
        </w:rPr>
      </w:pPr>
    </w:p>
    <w:p w14:paraId="2071060D">
      <w:pPr>
        <w:rPr>
          <w:rFonts w:hint="eastAsia" w:ascii="宋体" w:hAnsi="宋体" w:cs="宋体"/>
          <w:color w:val="auto"/>
          <w:highlight w:val="none"/>
        </w:rPr>
      </w:pPr>
    </w:p>
    <w:p w14:paraId="63E1EC45">
      <w:pPr>
        <w:rPr>
          <w:rFonts w:hint="eastAsia" w:ascii="宋体" w:hAnsi="宋体" w:cs="宋体"/>
          <w:color w:val="auto"/>
          <w:highlight w:val="none"/>
        </w:rPr>
      </w:pPr>
    </w:p>
    <w:bookmarkEnd w:id="1112"/>
    <w:bookmarkEnd w:id="1113"/>
    <w:p w14:paraId="3C48E708">
      <w:pPr>
        <w:rPr>
          <w:rFonts w:hint="eastAsia" w:ascii="宋体" w:hAnsi="宋体" w:cs="宋体"/>
          <w:color w:val="auto"/>
          <w:highlight w:val="none"/>
        </w:rPr>
      </w:pPr>
    </w:p>
    <w:sectPr>
      <w:headerReference r:id="rId10" w:type="first"/>
      <w:footerReference r:id="rId13" w:type="first"/>
      <w:headerReference r:id="rId8" w:type="default"/>
      <w:footerReference r:id="rId11" w:type="default"/>
      <w:headerReference r:id="rId9" w:type="even"/>
      <w:footerReference r:id="rId12" w:type="even"/>
      <w:pgSz w:w="11906" w:h="16838"/>
      <w:pgMar w:top="1701" w:right="1418" w:bottom="1701"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F4C41">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0AF3F">
    <w:pPr>
      <w:pStyle w:val="21"/>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01EE0AF">
                          <w:pPr>
                            <w:pStyle w:val="21"/>
                            <w:ind w:firstLine="360"/>
                          </w:pPr>
                          <w:r>
                            <w:fldChar w:fldCharType="begin"/>
                          </w:r>
                          <w:r>
                            <w:instrText xml:space="preserve"> PAGE  \* MERGEFORMAT </w:instrText>
                          </w:r>
                          <w:r>
                            <w:fldChar w:fldCharType="separate"/>
                          </w:r>
                          <w:r>
                            <w:t>- 5 -</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7lopNIBAACiAwAADgAAAAAAAAABACAAAAAfAQAA&#10;ZHJzL2Uyb0RvYy54bWxQSwUGAAAAAAYABgBZAQAAYwUAAAAA&#10;">
              <v:fill on="f" focussize="0,0"/>
              <v:stroke on="f" weight="0.5pt"/>
              <v:imagedata o:title=""/>
              <o:lock v:ext="edit" aspectratio="f"/>
              <v:textbox inset="0mm,0mm,0mm,0mm" style="mso-fit-shape-to-text:t;">
                <w:txbxContent>
                  <w:p w14:paraId="501EE0AF">
                    <w:pPr>
                      <w:pStyle w:val="21"/>
                      <w:ind w:firstLine="360"/>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E4185">
    <w:pPr>
      <w:pStyle w:val="2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0D446A">
                          <w:pPr>
                            <w:pStyle w:val="21"/>
                            <w:ind w:firstLine="360"/>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6D0D446A">
                    <w:pPr>
                      <w:pStyle w:val="21"/>
                      <w:ind w:firstLine="36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21304"/>
    </w:sdtPr>
    <w:sdtContent>
      <w:p w14:paraId="4A893EFE">
        <w:pPr>
          <w:pStyle w:val="21"/>
          <w:ind w:firstLine="360"/>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14:paraId="0F229CC1">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19AAE">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7BEC1">
    <w:pPr>
      <w:pStyle w:val="22"/>
      <w:pBdr>
        <w:bottom w:val="none" w:color="auto" w:sz="0" w:space="1"/>
      </w:pBdr>
      <w:ind w:firstLine="0" w:firstLineChars="0"/>
      <w:jc w:val="both"/>
      <w:rPr>
        <w:rFonts w:ascii="宋体" w:hAnsi="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906EC">
    <w:pPr>
      <w:pStyle w:val="2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DCF69">
    <w:pPr>
      <w:pStyle w:val="22"/>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22BC8">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64D61"/>
    <w:multiLevelType w:val="singleLevel"/>
    <w:tmpl w:val="C7864D61"/>
    <w:lvl w:ilvl="0" w:tentative="0">
      <w:start w:val="5"/>
      <w:numFmt w:val="chineseCounting"/>
      <w:suff w:val="space"/>
      <w:lvlText w:val="第%1章"/>
      <w:lvlJc w:val="left"/>
      <w:rPr>
        <w:rFonts w:hint="eastAsia"/>
      </w:rPr>
    </w:lvl>
  </w:abstractNum>
  <w:abstractNum w:abstractNumId="1">
    <w:nsid w:val="0000000E"/>
    <w:multiLevelType w:val="multilevel"/>
    <w:tmpl w:val="0000000E"/>
    <w:lvl w:ilvl="0" w:tentative="0">
      <w:start w:val="1"/>
      <w:numFmt w:val="decimal"/>
      <w:suff w:val="nothing"/>
      <w:lvlText w:val="第%1章 "/>
      <w:lvlJc w:val="left"/>
      <w:pPr>
        <w:ind w:left="0" w:firstLine="0"/>
      </w:pPr>
      <w:rPr>
        <w:rFonts w:hint="eastAsia" w:ascii="Cambria" w:eastAsia="Cambria"/>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微软雅黑" w:eastAsia="微软雅黑"/>
        <w:b/>
        <w:i w:val="0"/>
        <w:sz w:val="30"/>
        <w:szCs w:val="30"/>
      </w:rPr>
    </w:lvl>
    <w:lvl w:ilvl="2" w:tentative="0">
      <w:start w:val="1"/>
      <w:numFmt w:val="decimal"/>
      <w:suff w:val="nothing"/>
      <w:lvlText w:val="    %2.%3 "/>
      <w:lvlJc w:val="left"/>
      <w:pPr>
        <w:ind w:left="459" w:firstLine="0"/>
      </w:pPr>
      <w:rPr>
        <w:rFonts w:cs="楷体_GB2312"/>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monospace" w:eastAsia="monospace"/>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20055CD9"/>
    <w:multiLevelType w:val="singleLevel"/>
    <w:tmpl w:val="20055CD9"/>
    <w:lvl w:ilvl="0" w:tentative="0">
      <w:start w:val="1"/>
      <w:numFmt w:val="chineseCounting"/>
      <w:suff w:val="nothing"/>
      <w:lvlText w:val="（%1）"/>
      <w:lvlJc w:val="left"/>
      <w:pPr>
        <w:ind w:left="0" w:firstLine="420"/>
      </w:pPr>
      <w:rPr>
        <w:rFonts w:hint="eastAsia"/>
      </w:rPr>
    </w:lvl>
  </w:abstractNum>
  <w:abstractNum w:abstractNumId="3">
    <w:nsid w:val="64A5DBB2"/>
    <w:multiLevelType w:val="singleLevel"/>
    <w:tmpl w:val="64A5DBB2"/>
    <w:lvl w:ilvl="0" w:tentative="0">
      <w:start w:val="1"/>
      <w:numFmt w:val="decimal"/>
      <w:suff w:val="space"/>
      <w:lvlText w:val="%1."/>
      <w:lvlJc w:val="left"/>
    </w:lvl>
  </w:abstractNum>
  <w:abstractNum w:abstractNumId="4">
    <w:nsid w:val="6E9372FF"/>
    <w:multiLevelType w:val="singleLevel"/>
    <w:tmpl w:val="6E9372FF"/>
    <w:lvl w:ilvl="0" w:tentative="0">
      <w:start w:val="2"/>
      <w:numFmt w:val="decimal"/>
      <w:lvlText w:val="%1."/>
      <w:lvlJc w:val="left"/>
      <w:pPr>
        <w:tabs>
          <w:tab w:val="left" w:pos="312"/>
        </w:tabs>
        <w:ind w:left="400" w:firstLine="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NWI4ZWM5NjMzY2EwMTQxMzdkYjRjMTQ3MzdhMDAifQ=="/>
  </w:docVars>
  <w:rsids>
    <w:rsidRoot w:val="005F7F29"/>
    <w:rsid w:val="00037C70"/>
    <w:rsid w:val="00070034"/>
    <w:rsid w:val="000D4473"/>
    <w:rsid w:val="000E4995"/>
    <w:rsid w:val="000F4ABB"/>
    <w:rsid w:val="00115114"/>
    <w:rsid w:val="00144E11"/>
    <w:rsid w:val="00146E8C"/>
    <w:rsid w:val="00155351"/>
    <w:rsid w:val="00197FA8"/>
    <w:rsid w:val="00207852"/>
    <w:rsid w:val="0027491C"/>
    <w:rsid w:val="00294A18"/>
    <w:rsid w:val="002A7BFE"/>
    <w:rsid w:val="002C29D5"/>
    <w:rsid w:val="002F2062"/>
    <w:rsid w:val="00340787"/>
    <w:rsid w:val="00344E47"/>
    <w:rsid w:val="003962CF"/>
    <w:rsid w:val="003A567B"/>
    <w:rsid w:val="003B17DC"/>
    <w:rsid w:val="003B549C"/>
    <w:rsid w:val="003C0BFB"/>
    <w:rsid w:val="003D3D2F"/>
    <w:rsid w:val="0048631C"/>
    <w:rsid w:val="00487EBB"/>
    <w:rsid w:val="004B1EED"/>
    <w:rsid w:val="004E318D"/>
    <w:rsid w:val="00506C08"/>
    <w:rsid w:val="00557DFD"/>
    <w:rsid w:val="005873C2"/>
    <w:rsid w:val="005A2146"/>
    <w:rsid w:val="005C2551"/>
    <w:rsid w:val="005C6ADC"/>
    <w:rsid w:val="005E08D0"/>
    <w:rsid w:val="005F46D3"/>
    <w:rsid w:val="005F7F29"/>
    <w:rsid w:val="006B4F71"/>
    <w:rsid w:val="006C4BE3"/>
    <w:rsid w:val="006F735B"/>
    <w:rsid w:val="007306C8"/>
    <w:rsid w:val="00746EDC"/>
    <w:rsid w:val="007B0927"/>
    <w:rsid w:val="007F1BAB"/>
    <w:rsid w:val="008142D6"/>
    <w:rsid w:val="008E4D0E"/>
    <w:rsid w:val="008F6C18"/>
    <w:rsid w:val="00A57016"/>
    <w:rsid w:val="00A6528B"/>
    <w:rsid w:val="00B20DF2"/>
    <w:rsid w:val="00B24C30"/>
    <w:rsid w:val="00B3323C"/>
    <w:rsid w:val="00B83EE6"/>
    <w:rsid w:val="00BB2CC5"/>
    <w:rsid w:val="00BD1A50"/>
    <w:rsid w:val="00BD5AE6"/>
    <w:rsid w:val="00BF745E"/>
    <w:rsid w:val="00CB5A10"/>
    <w:rsid w:val="00CC248A"/>
    <w:rsid w:val="00CE759D"/>
    <w:rsid w:val="00CF58F9"/>
    <w:rsid w:val="00D0063A"/>
    <w:rsid w:val="00D26B29"/>
    <w:rsid w:val="00DA206C"/>
    <w:rsid w:val="00E40930"/>
    <w:rsid w:val="00E60299"/>
    <w:rsid w:val="00E645F8"/>
    <w:rsid w:val="00E64D26"/>
    <w:rsid w:val="00E90D98"/>
    <w:rsid w:val="00EB6732"/>
    <w:rsid w:val="00EE5312"/>
    <w:rsid w:val="00F77F05"/>
    <w:rsid w:val="00FB40EA"/>
    <w:rsid w:val="00FD0BE9"/>
    <w:rsid w:val="010158D6"/>
    <w:rsid w:val="013F518A"/>
    <w:rsid w:val="014324AF"/>
    <w:rsid w:val="01610122"/>
    <w:rsid w:val="01910A08"/>
    <w:rsid w:val="02750329"/>
    <w:rsid w:val="02783976"/>
    <w:rsid w:val="02BE0A08"/>
    <w:rsid w:val="03303116"/>
    <w:rsid w:val="035017A2"/>
    <w:rsid w:val="03555A65"/>
    <w:rsid w:val="03627DF1"/>
    <w:rsid w:val="0395553E"/>
    <w:rsid w:val="03B10EED"/>
    <w:rsid w:val="03D35138"/>
    <w:rsid w:val="03D81911"/>
    <w:rsid w:val="04246422"/>
    <w:rsid w:val="045A1585"/>
    <w:rsid w:val="04E715DC"/>
    <w:rsid w:val="04F35535"/>
    <w:rsid w:val="052C61D4"/>
    <w:rsid w:val="05340028"/>
    <w:rsid w:val="05676E89"/>
    <w:rsid w:val="05ED01D7"/>
    <w:rsid w:val="05F17CC7"/>
    <w:rsid w:val="06426774"/>
    <w:rsid w:val="065B5A88"/>
    <w:rsid w:val="06654211"/>
    <w:rsid w:val="06A72A7B"/>
    <w:rsid w:val="06DF451E"/>
    <w:rsid w:val="074E68E3"/>
    <w:rsid w:val="07547B8E"/>
    <w:rsid w:val="075524D7"/>
    <w:rsid w:val="079F5DEC"/>
    <w:rsid w:val="0842480A"/>
    <w:rsid w:val="08943F23"/>
    <w:rsid w:val="08986B20"/>
    <w:rsid w:val="08FB2C0B"/>
    <w:rsid w:val="09366A61"/>
    <w:rsid w:val="09AA6B0A"/>
    <w:rsid w:val="09B94F9F"/>
    <w:rsid w:val="09D41DD9"/>
    <w:rsid w:val="09E04896"/>
    <w:rsid w:val="0A157CFC"/>
    <w:rsid w:val="0A257920"/>
    <w:rsid w:val="0A8C6210"/>
    <w:rsid w:val="0A932B49"/>
    <w:rsid w:val="0A9B084E"/>
    <w:rsid w:val="0AE95411"/>
    <w:rsid w:val="0B043FF8"/>
    <w:rsid w:val="0B5331D2"/>
    <w:rsid w:val="0C3703FE"/>
    <w:rsid w:val="0CA27F6D"/>
    <w:rsid w:val="0D006A41"/>
    <w:rsid w:val="0D633294"/>
    <w:rsid w:val="0D6E60A1"/>
    <w:rsid w:val="0D7511DD"/>
    <w:rsid w:val="0DBE2B84"/>
    <w:rsid w:val="0E5B33B7"/>
    <w:rsid w:val="0EB6675E"/>
    <w:rsid w:val="0EE20AF5"/>
    <w:rsid w:val="0EEC54CF"/>
    <w:rsid w:val="0F2C75EB"/>
    <w:rsid w:val="0F537A2D"/>
    <w:rsid w:val="0FC63F72"/>
    <w:rsid w:val="0FE4089C"/>
    <w:rsid w:val="10150A56"/>
    <w:rsid w:val="104B4477"/>
    <w:rsid w:val="115E01DA"/>
    <w:rsid w:val="11B146B5"/>
    <w:rsid w:val="125A4E46"/>
    <w:rsid w:val="13141499"/>
    <w:rsid w:val="13953CC6"/>
    <w:rsid w:val="13C62793"/>
    <w:rsid w:val="13CA424E"/>
    <w:rsid w:val="14043900"/>
    <w:rsid w:val="148D1503"/>
    <w:rsid w:val="14A30806"/>
    <w:rsid w:val="14A70717"/>
    <w:rsid w:val="14C03BFB"/>
    <w:rsid w:val="14DB01F4"/>
    <w:rsid w:val="14F56B39"/>
    <w:rsid w:val="15673B02"/>
    <w:rsid w:val="15775423"/>
    <w:rsid w:val="15A9352E"/>
    <w:rsid w:val="15CC605B"/>
    <w:rsid w:val="160B6B83"/>
    <w:rsid w:val="166B7ACC"/>
    <w:rsid w:val="174409AB"/>
    <w:rsid w:val="174D31CB"/>
    <w:rsid w:val="183A54FD"/>
    <w:rsid w:val="184049EC"/>
    <w:rsid w:val="184C5231"/>
    <w:rsid w:val="18857388"/>
    <w:rsid w:val="18892E95"/>
    <w:rsid w:val="18DE232D"/>
    <w:rsid w:val="199C7AF2"/>
    <w:rsid w:val="19A90B8D"/>
    <w:rsid w:val="19C257AA"/>
    <w:rsid w:val="19C77265"/>
    <w:rsid w:val="19ED659F"/>
    <w:rsid w:val="1A5B79AD"/>
    <w:rsid w:val="1A620D3B"/>
    <w:rsid w:val="1A703458"/>
    <w:rsid w:val="1AA2382E"/>
    <w:rsid w:val="1AA2738A"/>
    <w:rsid w:val="1B437B1C"/>
    <w:rsid w:val="1B5C009B"/>
    <w:rsid w:val="1B8D1DE8"/>
    <w:rsid w:val="1BBB0703"/>
    <w:rsid w:val="1BCB7B6C"/>
    <w:rsid w:val="1C155F13"/>
    <w:rsid w:val="1C883C6F"/>
    <w:rsid w:val="1D7C13CA"/>
    <w:rsid w:val="1D8A7EF3"/>
    <w:rsid w:val="1E5C65D9"/>
    <w:rsid w:val="1E7D3C87"/>
    <w:rsid w:val="1F8654CC"/>
    <w:rsid w:val="1F873D3A"/>
    <w:rsid w:val="204D5FEA"/>
    <w:rsid w:val="206155F1"/>
    <w:rsid w:val="206B4350"/>
    <w:rsid w:val="20CE2C87"/>
    <w:rsid w:val="20EB5EB9"/>
    <w:rsid w:val="21076199"/>
    <w:rsid w:val="21CC0274"/>
    <w:rsid w:val="21D85218"/>
    <w:rsid w:val="21FE759C"/>
    <w:rsid w:val="221A34A8"/>
    <w:rsid w:val="221F6070"/>
    <w:rsid w:val="222363F6"/>
    <w:rsid w:val="22904457"/>
    <w:rsid w:val="23333275"/>
    <w:rsid w:val="237B0335"/>
    <w:rsid w:val="23A91789"/>
    <w:rsid w:val="241F68F2"/>
    <w:rsid w:val="24B34E27"/>
    <w:rsid w:val="24D26ABE"/>
    <w:rsid w:val="24F64D25"/>
    <w:rsid w:val="24FB7DC2"/>
    <w:rsid w:val="251175E6"/>
    <w:rsid w:val="254E083A"/>
    <w:rsid w:val="256C0CC0"/>
    <w:rsid w:val="25817846"/>
    <w:rsid w:val="261D1FBA"/>
    <w:rsid w:val="26DD1E76"/>
    <w:rsid w:val="26EF1618"/>
    <w:rsid w:val="26F23447"/>
    <w:rsid w:val="27607E24"/>
    <w:rsid w:val="277125BE"/>
    <w:rsid w:val="27EE1E60"/>
    <w:rsid w:val="27F127F2"/>
    <w:rsid w:val="27F751B9"/>
    <w:rsid w:val="28456613"/>
    <w:rsid w:val="28461C9C"/>
    <w:rsid w:val="284E0B51"/>
    <w:rsid w:val="294207DB"/>
    <w:rsid w:val="297E036A"/>
    <w:rsid w:val="29960578"/>
    <w:rsid w:val="29EC23D0"/>
    <w:rsid w:val="29FA5869"/>
    <w:rsid w:val="2A04559B"/>
    <w:rsid w:val="2A264090"/>
    <w:rsid w:val="2A4B7EDF"/>
    <w:rsid w:val="2A965577"/>
    <w:rsid w:val="2AC31382"/>
    <w:rsid w:val="2B4F0E68"/>
    <w:rsid w:val="2B8A00F2"/>
    <w:rsid w:val="2CC67D14"/>
    <w:rsid w:val="2CE91826"/>
    <w:rsid w:val="2D1759B5"/>
    <w:rsid w:val="2D8E640E"/>
    <w:rsid w:val="2E2F4299"/>
    <w:rsid w:val="2E9D0438"/>
    <w:rsid w:val="2F6D5D61"/>
    <w:rsid w:val="2F7470EF"/>
    <w:rsid w:val="2F776BDF"/>
    <w:rsid w:val="2F7B222C"/>
    <w:rsid w:val="2FB256BE"/>
    <w:rsid w:val="2FE222AB"/>
    <w:rsid w:val="31266FA0"/>
    <w:rsid w:val="31397A57"/>
    <w:rsid w:val="31426DCF"/>
    <w:rsid w:val="3163566D"/>
    <w:rsid w:val="317A74AA"/>
    <w:rsid w:val="31A41DB5"/>
    <w:rsid w:val="32764A7C"/>
    <w:rsid w:val="32955444"/>
    <w:rsid w:val="32A23ACC"/>
    <w:rsid w:val="331309CD"/>
    <w:rsid w:val="33422219"/>
    <w:rsid w:val="33F24A4C"/>
    <w:rsid w:val="34362BC5"/>
    <w:rsid w:val="353758FE"/>
    <w:rsid w:val="35BE7316"/>
    <w:rsid w:val="36147E72"/>
    <w:rsid w:val="364105D4"/>
    <w:rsid w:val="36453593"/>
    <w:rsid w:val="376E08C8"/>
    <w:rsid w:val="37BB320A"/>
    <w:rsid w:val="37C130EE"/>
    <w:rsid w:val="37E813AF"/>
    <w:rsid w:val="38DE1A7D"/>
    <w:rsid w:val="38EF77E6"/>
    <w:rsid w:val="393C086A"/>
    <w:rsid w:val="398E0DAD"/>
    <w:rsid w:val="39C80763"/>
    <w:rsid w:val="39CE65F6"/>
    <w:rsid w:val="39F53C22"/>
    <w:rsid w:val="39F77406"/>
    <w:rsid w:val="3A3000B7"/>
    <w:rsid w:val="3A7601BF"/>
    <w:rsid w:val="3AC54CA3"/>
    <w:rsid w:val="3ACD1DA9"/>
    <w:rsid w:val="3AFD61EB"/>
    <w:rsid w:val="3B0532F1"/>
    <w:rsid w:val="3B7A1263"/>
    <w:rsid w:val="3BB6283D"/>
    <w:rsid w:val="3C6346EB"/>
    <w:rsid w:val="3D393726"/>
    <w:rsid w:val="3D471F4B"/>
    <w:rsid w:val="3D5D7415"/>
    <w:rsid w:val="3D654FA6"/>
    <w:rsid w:val="3D78424E"/>
    <w:rsid w:val="3E157CEF"/>
    <w:rsid w:val="3E1C2297"/>
    <w:rsid w:val="3E265A58"/>
    <w:rsid w:val="3E392331"/>
    <w:rsid w:val="3E726EF0"/>
    <w:rsid w:val="3E864863"/>
    <w:rsid w:val="3EE32283"/>
    <w:rsid w:val="3F5E1222"/>
    <w:rsid w:val="3F8C2233"/>
    <w:rsid w:val="3F9115F7"/>
    <w:rsid w:val="402C217F"/>
    <w:rsid w:val="40347488"/>
    <w:rsid w:val="408353E4"/>
    <w:rsid w:val="40FE4A6B"/>
    <w:rsid w:val="41120516"/>
    <w:rsid w:val="413C5593"/>
    <w:rsid w:val="413D380E"/>
    <w:rsid w:val="41CE369A"/>
    <w:rsid w:val="426E79CE"/>
    <w:rsid w:val="4281242F"/>
    <w:rsid w:val="42D72041"/>
    <w:rsid w:val="43AC4C52"/>
    <w:rsid w:val="43B14016"/>
    <w:rsid w:val="43B753A5"/>
    <w:rsid w:val="43D05124"/>
    <w:rsid w:val="448252F0"/>
    <w:rsid w:val="4486676E"/>
    <w:rsid w:val="44867251"/>
    <w:rsid w:val="449000D0"/>
    <w:rsid w:val="44E2484F"/>
    <w:rsid w:val="44FA379B"/>
    <w:rsid w:val="45243044"/>
    <w:rsid w:val="460567F2"/>
    <w:rsid w:val="46511AE0"/>
    <w:rsid w:val="46DD3374"/>
    <w:rsid w:val="46DF56FD"/>
    <w:rsid w:val="47013507"/>
    <w:rsid w:val="470A0C21"/>
    <w:rsid w:val="47431429"/>
    <w:rsid w:val="47F72214"/>
    <w:rsid w:val="48861F15"/>
    <w:rsid w:val="48A759E8"/>
    <w:rsid w:val="497A560D"/>
    <w:rsid w:val="49CE0F69"/>
    <w:rsid w:val="4A056E6A"/>
    <w:rsid w:val="4A233794"/>
    <w:rsid w:val="4A835FE1"/>
    <w:rsid w:val="4AD54A8E"/>
    <w:rsid w:val="4B0E345E"/>
    <w:rsid w:val="4B1E3247"/>
    <w:rsid w:val="4B46598C"/>
    <w:rsid w:val="4B8E2E8F"/>
    <w:rsid w:val="4BDF36EB"/>
    <w:rsid w:val="4C001FDF"/>
    <w:rsid w:val="4C0D4A3E"/>
    <w:rsid w:val="4C6836E0"/>
    <w:rsid w:val="4C746529"/>
    <w:rsid w:val="4C92075D"/>
    <w:rsid w:val="4C9A553A"/>
    <w:rsid w:val="4CBD1C7E"/>
    <w:rsid w:val="4D294B06"/>
    <w:rsid w:val="4D92310A"/>
    <w:rsid w:val="4DD6155F"/>
    <w:rsid w:val="4DE1199C"/>
    <w:rsid w:val="4DE47862"/>
    <w:rsid w:val="4DF91468"/>
    <w:rsid w:val="4E10402F"/>
    <w:rsid w:val="4E125FF9"/>
    <w:rsid w:val="4E60700D"/>
    <w:rsid w:val="4E6879C7"/>
    <w:rsid w:val="4EE26A2D"/>
    <w:rsid w:val="4F495A4B"/>
    <w:rsid w:val="4FF77255"/>
    <w:rsid w:val="50C33A43"/>
    <w:rsid w:val="51383FC9"/>
    <w:rsid w:val="51656440"/>
    <w:rsid w:val="519D3E2C"/>
    <w:rsid w:val="51A83C84"/>
    <w:rsid w:val="51BF3DA2"/>
    <w:rsid w:val="51D140A4"/>
    <w:rsid w:val="524924C9"/>
    <w:rsid w:val="52D65847"/>
    <w:rsid w:val="53004672"/>
    <w:rsid w:val="531E2D4A"/>
    <w:rsid w:val="53E30ECE"/>
    <w:rsid w:val="54B0031A"/>
    <w:rsid w:val="54BE47E5"/>
    <w:rsid w:val="5540344C"/>
    <w:rsid w:val="55581486"/>
    <w:rsid w:val="558A7637"/>
    <w:rsid w:val="55AC288F"/>
    <w:rsid w:val="55BE25C3"/>
    <w:rsid w:val="55CA0F67"/>
    <w:rsid w:val="561B7A15"/>
    <w:rsid w:val="561C4531"/>
    <w:rsid w:val="56D46542"/>
    <w:rsid w:val="575C5ED5"/>
    <w:rsid w:val="57825F9E"/>
    <w:rsid w:val="5840354A"/>
    <w:rsid w:val="586631C9"/>
    <w:rsid w:val="589E6E07"/>
    <w:rsid w:val="58B156E2"/>
    <w:rsid w:val="58C15CEE"/>
    <w:rsid w:val="58DA7713"/>
    <w:rsid w:val="59205A6E"/>
    <w:rsid w:val="59A0095D"/>
    <w:rsid w:val="5A5D3DA9"/>
    <w:rsid w:val="5A8570CB"/>
    <w:rsid w:val="5ABF3065"/>
    <w:rsid w:val="5AC84C04"/>
    <w:rsid w:val="5B5C6B06"/>
    <w:rsid w:val="5BE014E5"/>
    <w:rsid w:val="5C3D1996"/>
    <w:rsid w:val="5C643EC4"/>
    <w:rsid w:val="5C8836C4"/>
    <w:rsid w:val="5CD31049"/>
    <w:rsid w:val="5CD419DE"/>
    <w:rsid w:val="5CFC5FEF"/>
    <w:rsid w:val="5D5E0913"/>
    <w:rsid w:val="5D635F29"/>
    <w:rsid w:val="5D9A56C3"/>
    <w:rsid w:val="5DD306ED"/>
    <w:rsid w:val="5E192A8C"/>
    <w:rsid w:val="5F105200"/>
    <w:rsid w:val="5F5C0E82"/>
    <w:rsid w:val="5FB52D33"/>
    <w:rsid w:val="5FCA6734"/>
    <w:rsid w:val="602C4A56"/>
    <w:rsid w:val="605B738C"/>
    <w:rsid w:val="60765F74"/>
    <w:rsid w:val="6098238E"/>
    <w:rsid w:val="60A26D69"/>
    <w:rsid w:val="61261A91"/>
    <w:rsid w:val="61BB46D0"/>
    <w:rsid w:val="61C96577"/>
    <w:rsid w:val="61FE0917"/>
    <w:rsid w:val="6213234D"/>
    <w:rsid w:val="62375AA1"/>
    <w:rsid w:val="62AD7C47"/>
    <w:rsid w:val="63A96660"/>
    <w:rsid w:val="63C5259B"/>
    <w:rsid w:val="64555BF0"/>
    <w:rsid w:val="650F6997"/>
    <w:rsid w:val="656E7B61"/>
    <w:rsid w:val="65817895"/>
    <w:rsid w:val="65FA450E"/>
    <w:rsid w:val="65FF2EBD"/>
    <w:rsid w:val="66012783"/>
    <w:rsid w:val="664310AC"/>
    <w:rsid w:val="667F4123"/>
    <w:rsid w:val="66B617C0"/>
    <w:rsid w:val="66BC3D6A"/>
    <w:rsid w:val="66D94689"/>
    <w:rsid w:val="66F45E44"/>
    <w:rsid w:val="67386679"/>
    <w:rsid w:val="677133AF"/>
    <w:rsid w:val="67746F85"/>
    <w:rsid w:val="67DA3E79"/>
    <w:rsid w:val="683326BB"/>
    <w:rsid w:val="68A37B22"/>
    <w:rsid w:val="68CD2DF1"/>
    <w:rsid w:val="68E8706E"/>
    <w:rsid w:val="690F51B7"/>
    <w:rsid w:val="6990454A"/>
    <w:rsid w:val="699456BD"/>
    <w:rsid w:val="69F83E9D"/>
    <w:rsid w:val="6AE86227"/>
    <w:rsid w:val="6B264A3A"/>
    <w:rsid w:val="6B2D401B"/>
    <w:rsid w:val="6B431148"/>
    <w:rsid w:val="6B886DE5"/>
    <w:rsid w:val="6C0E0C75"/>
    <w:rsid w:val="6C450EF0"/>
    <w:rsid w:val="6C7672FB"/>
    <w:rsid w:val="6D0D5EB2"/>
    <w:rsid w:val="6D2A25C0"/>
    <w:rsid w:val="6D4F2026"/>
    <w:rsid w:val="6D605FE2"/>
    <w:rsid w:val="6E056B89"/>
    <w:rsid w:val="6E3663FC"/>
    <w:rsid w:val="6E510020"/>
    <w:rsid w:val="6FBD7CF3"/>
    <w:rsid w:val="707F3EC5"/>
    <w:rsid w:val="708425F2"/>
    <w:rsid w:val="711772FF"/>
    <w:rsid w:val="71453E6C"/>
    <w:rsid w:val="71A843FB"/>
    <w:rsid w:val="71B763EC"/>
    <w:rsid w:val="72691DDC"/>
    <w:rsid w:val="72A526E9"/>
    <w:rsid w:val="72B25F01"/>
    <w:rsid w:val="72CB03A1"/>
    <w:rsid w:val="72DD6345"/>
    <w:rsid w:val="734343DB"/>
    <w:rsid w:val="735E5441"/>
    <w:rsid w:val="73CD1EF7"/>
    <w:rsid w:val="73F90F3E"/>
    <w:rsid w:val="74554E1A"/>
    <w:rsid w:val="749B64FC"/>
    <w:rsid w:val="74BA1094"/>
    <w:rsid w:val="75802AC1"/>
    <w:rsid w:val="75EB0611"/>
    <w:rsid w:val="765863F0"/>
    <w:rsid w:val="76BD44A5"/>
    <w:rsid w:val="76FE3487"/>
    <w:rsid w:val="7702635B"/>
    <w:rsid w:val="7731279D"/>
    <w:rsid w:val="77370B62"/>
    <w:rsid w:val="775B3CEA"/>
    <w:rsid w:val="77631821"/>
    <w:rsid w:val="776C7C79"/>
    <w:rsid w:val="7773713D"/>
    <w:rsid w:val="77C903B7"/>
    <w:rsid w:val="786F5C73"/>
    <w:rsid w:val="78970D25"/>
    <w:rsid w:val="78A70F68"/>
    <w:rsid w:val="78FF6FF6"/>
    <w:rsid w:val="79004225"/>
    <w:rsid w:val="79857A05"/>
    <w:rsid w:val="799B65F3"/>
    <w:rsid w:val="7A044199"/>
    <w:rsid w:val="7A440A39"/>
    <w:rsid w:val="7A664E53"/>
    <w:rsid w:val="7B064216"/>
    <w:rsid w:val="7B503B39"/>
    <w:rsid w:val="7B5D0004"/>
    <w:rsid w:val="7B71585E"/>
    <w:rsid w:val="7BDA3403"/>
    <w:rsid w:val="7C7F0171"/>
    <w:rsid w:val="7CCC5441"/>
    <w:rsid w:val="7D1B0177"/>
    <w:rsid w:val="7D5E1E12"/>
    <w:rsid w:val="7DBA10EA"/>
    <w:rsid w:val="7DF34C50"/>
    <w:rsid w:val="7E0557AD"/>
    <w:rsid w:val="7E941F8F"/>
    <w:rsid w:val="7E9F0934"/>
    <w:rsid w:val="7F352E10"/>
    <w:rsid w:val="7FBB35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jc w:val="center"/>
      <w:outlineLvl w:val="0"/>
    </w:pPr>
    <w:rPr>
      <w:b/>
      <w:bCs/>
      <w:color w:val="000000"/>
      <w:sz w:val="32"/>
    </w:rPr>
  </w:style>
  <w:style w:type="paragraph" w:styleId="3">
    <w:name w:val="heading 2"/>
    <w:basedOn w:val="1"/>
    <w:next w:val="1"/>
    <w:autoRedefine/>
    <w:qFormat/>
    <w:uiPriority w:val="0"/>
    <w:pPr>
      <w:keepNext/>
      <w:keepLines/>
      <w:spacing w:line="460" w:lineRule="exact"/>
      <w:outlineLvl w:val="1"/>
    </w:pPr>
    <w:rPr>
      <w:rFonts w:ascii="宋体" w:hAnsi="宋体"/>
      <w:b/>
      <w:sz w:val="30"/>
      <w:szCs w:val="30"/>
    </w:rPr>
  </w:style>
  <w:style w:type="paragraph" w:styleId="4">
    <w:name w:val="heading 3"/>
    <w:basedOn w:val="1"/>
    <w:next w:val="1"/>
    <w:autoRedefine/>
    <w:qFormat/>
    <w:uiPriority w:val="0"/>
    <w:pPr>
      <w:keepNext/>
      <w:keepLines/>
      <w:spacing w:line="460" w:lineRule="exact"/>
      <w:jc w:val="left"/>
      <w:outlineLvl w:val="2"/>
    </w:pPr>
    <w:rPr>
      <w:b/>
      <w:sz w:val="24"/>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5"/>
    <w:basedOn w:val="1"/>
    <w:next w:val="1"/>
    <w:autoRedefine/>
    <w:qFormat/>
    <w:uiPriority w:val="0"/>
    <w:pPr>
      <w:keepNext/>
      <w:keepLines/>
      <w:numPr>
        <w:ilvl w:val="4"/>
        <w:numId w:val="1"/>
      </w:numPr>
      <w:spacing w:before="280" w:after="290" w:line="374" w:lineRule="auto"/>
      <w:outlineLvl w:val="4"/>
    </w:pPr>
    <w:rPr>
      <w:rFonts w:ascii="楷体_GB2312" w:hAnsi="楷体_GB2312" w:eastAsia="monospace"/>
      <w:b/>
      <w:bCs/>
      <w:kern w:val="0"/>
      <w:sz w:val="28"/>
      <w:szCs w:val="28"/>
    </w:rPr>
  </w:style>
  <w:style w:type="paragraph" w:styleId="7">
    <w:name w:val="heading 6"/>
    <w:basedOn w:val="1"/>
    <w:next w:val="1"/>
    <w:autoRedefine/>
    <w:qFormat/>
    <w:uiPriority w:val="0"/>
    <w:pPr>
      <w:keepNext/>
      <w:keepLines/>
      <w:numPr>
        <w:ilvl w:val="5"/>
        <w:numId w:val="1"/>
      </w:numPr>
      <w:spacing w:before="240" w:after="64" w:line="319" w:lineRule="auto"/>
      <w:outlineLvl w:val="5"/>
    </w:pPr>
    <w:rPr>
      <w:rFonts w:ascii="Arial Unicode MS" w:hAnsi="Arial Unicode MS" w:eastAsia="微软雅黑"/>
      <w:b/>
      <w:bCs/>
      <w:kern w:val="0"/>
      <w:sz w:val="24"/>
    </w:rPr>
  </w:style>
  <w:style w:type="character" w:default="1" w:styleId="32">
    <w:name w:val="Default Paragraph Font"/>
    <w:autoRedefine/>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qFormat/>
    <w:uiPriority w:val="39"/>
    <w:pPr>
      <w:spacing w:before="50" w:beforeLines="50" w:after="50" w:afterLines="50" w:line="560" w:lineRule="atLeast"/>
      <w:ind w:left="0" w:leftChars="0" w:firstLine="480" w:firstLineChars="200"/>
    </w:pPr>
    <w:rPr>
      <w:rFonts w:ascii="Tahoma" w:hAnsi="Tahoma"/>
      <w:sz w:val="28"/>
      <w:szCs w:val="22"/>
    </w:rPr>
  </w:style>
  <w:style w:type="paragraph" w:styleId="9">
    <w:name w:val="table of authorities"/>
    <w:basedOn w:val="1"/>
    <w:next w:val="1"/>
    <w:autoRedefine/>
    <w:qFormat/>
    <w:uiPriority w:val="0"/>
    <w:pPr>
      <w:spacing w:line="240" w:lineRule="auto"/>
      <w:ind w:left="420" w:firstLine="0"/>
    </w:pPr>
    <w:rPr>
      <w:rFonts w:ascii="Calibri" w:eastAsia="宋体"/>
    </w:rPr>
  </w:style>
  <w:style w:type="paragraph" w:styleId="10">
    <w:name w:val="Normal Indent"/>
    <w:basedOn w:val="1"/>
    <w:autoRedefine/>
    <w:qFormat/>
    <w:uiPriority w:val="0"/>
    <w:pPr>
      <w:ind w:firstLine="420"/>
    </w:pPr>
  </w:style>
  <w:style w:type="paragraph" w:styleId="11">
    <w:name w:val="annotation text"/>
    <w:basedOn w:val="1"/>
    <w:autoRedefine/>
    <w:qFormat/>
    <w:uiPriority w:val="99"/>
    <w:pPr>
      <w:jc w:val="left"/>
    </w:pPr>
  </w:style>
  <w:style w:type="paragraph" w:styleId="12">
    <w:name w:val="Body Text 3"/>
    <w:basedOn w:val="1"/>
    <w:autoRedefine/>
    <w:qFormat/>
    <w:uiPriority w:val="0"/>
    <w:rPr>
      <w:rFonts w:hAnsi="Times New Roman"/>
      <w:kern w:val="0"/>
      <w:sz w:val="24"/>
      <w:szCs w:val="20"/>
    </w:rPr>
  </w:style>
  <w:style w:type="paragraph" w:styleId="13">
    <w:name w:val="Body Text"/>
    <w:basedOn w:val="1"/>
    <w:next w:val="14"/>
    <w:autoRedefine/>
    <w:qFormat/>
    <w:uiPriority w:val="0"/>
  </w:style>
  <w:style w:type="paragraph" w:styleId="14">
    <w:name w:val="Body Text 2"/>
    <w:basedOn w:val="1"/>
    <w:next w:val="13"/>
    <w:autoRedefine/>
    <w:qFormat/>
    <w:uiPriority w:val="0"/>
    <w:pPr>
      <w:spacing w:line="480" w:lineRule="auto"/>
    </w:pPr>
  </w:style>
  <w:style w:type="paragraph" w:styleId="15">
    <w:name w:val="Body Text Indent"/>
    <w:basedOn w:val="1"/>
    <w:next w:val="16"/>
    <w:autoRedefine/>
    <w:qFormat/>
    <w:uiPriority w:val="0"/>
    <w:pPr>
      <w:spacing w:line="312" w:lineRule="auto"/>
      <w:ind w:firstLine="735" w:firstLineChars="245"/>
    </w:p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rPr>
      <w:szCs w:val="24"/>
    </w:rPr>
  </w:style>
  <w:style w:type="paragraph" w:styleId="18">
    <w:name w:val="toc 3"/>
    <w:basedOn w:val="1"/>
    <w:next w:val="1"/>
    <w:autoRedefine/>
    <w:semiHidden/>
    <w:unhideWhenUsed/>
    <w:qFormat/>
    <w:uiPriority w:val="39"/>
    <w:pPr>
      <w:ind w:left="840" w:leftChars="400"/>
    </w:pPr>
  </w:style>
  <w:style w:type="paragraph" w:styleId="19">
    <w:name w:val="Plain Text"/>
    <w:basedOn w:val="1"/>
    <w:next w:val="13"/>
    <w:autoRedefine/>
    <w:qFormat/>
    <w:uiPriority w:val="0"/>
    <w:rPr>
      <w:rFonts w:hAnsi="Courier New"/>
      <w:kern w:val="0"/>
      <w:sz w:val="20"/>
      <w:szCs w:val="21"/>
    </w:rPr>
  </w:style>
  <w:style w:type="paragraph" w:styleId="20">
    <w:name w:val="Date"/>
    <w:basedOn w:val="1"/>
    <w:next w:val="1"/>
    <w:autoRedefine/>
    <w:qFormat/>
    <w:uiPriority w:val="0"/>
    <w:rPr>
      <w:rFonts w:ascii="楷体_GB2312" w:hAnsi="楷体_GB2312"/>
      <w:kern w:val="0"/>
      <w:sz w:val="24"/>
      <w:szCs w:val="20"/>
    </w:rPr>
  </w:style>
  <w:style w:type="paragraph" w:styleId="21">
    <w:name w:val="footer"/>
    <w:basedOn w:val="1"/>
    <w:link w:val="53"/>
    <w:autoRedefine/>
    <w:unhideWhenUsed/>
    <w:qFormat/>
    <w:uiPriority w:val="99"/>
    <w:pPr>
      <w:tabs>
        <w:tab w:val="center" w:pos="4153"/>
        <w:tab w:val="right" w:pos="8306"/>
      </w:tabs>
      <w:snapToGrid w:val="0"/>
      <w:spacing w:line="240" w:lineRule="atLeast"/>
      <w:jc w:val="left"/>
    </w:pPr>
    <w:rPr>
      <w:sz w:val="18"/>
      <w:szCs w:val="18"/>
    </w:rPr>
  </w:style>
  <w:style w:type="paragraph" w:styleId="22">
    <w:name w:val="header"/>
    <w:basedOn w:val="1"/>
    <w:link w:val="52"/>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3">
    <w:name w:val="toc 1"/>
    <w:basedOn w:val="1"/>
    <w:next w:val="1"/>
    <w:autoRedefine/>
    <w:qFormat/>
    <w:uiPriority w:val="39"/>
  </w:style>
  <w:style w:type="paragraph" w:styleId="24">
    <w:name w:val="footnote text"/>
    <w:basedOn w:val="1"/>
    <w:autoRedefine/>
    <w:qFormat/>
    <w:uiPriority w:val="0"/>
    <w:pPr>
      <w:snapToGrid w:val="0"/>
      <w:jc w:val="left"/>
    </w:pPr>
    <w:rPr>
      <w:sz w:val="18"/>
      <w:szCs w:val="18"/>
    </w:rPr>
  </w:style>
  <w:style w:type="paragraph" w:styleId="25">
    <w:name w:val="toc 2"/>
    <w:basedOn w:val="1"/>
    <w:next w:val="1"/>
    <w:autoRedefine/>
    <w:qFormat/>
    <w:uiPriority w:val="39"/>
    <w:pPr>
      <w:widowControl/>
      <w:spacing w:line="276" w:lineRule="auto"/>
      <w:ind w:left="220"/>
      <w:jc w:val="left"/>
    </w:pPr>
    <w:rPr>
      <w:rFonts w:ascii="Calibri" w:hAnsi="Calibri"/>
      <w:kern w:val="0"/>
      <w:sz w:val="22"/>
    </w:rPr>
  </w:style>
  <w:style w:type="paragraph" w:styleId="26">
    <w:name w:val="Normal (Web)"/>
    <w:basedOn w:val="1"/>
    <w:autoRedefine/>
    <w:qFormat/>
    <w:uiPriority w:val="0"/>
    <w:pPr>
      <w:widowControl/>
      <w:spacing w:beforeAutospacing="1" w:afterAutospacing="1"/>
      <w:jc w:val="left"/>
    </w:pPr>
    <w:rPr>
      <w:rFonts w:ascii="宋体" w:hAnsi="宋体" w:cs="宋体"/>
      <w:kern w:val="0"/>
      <w:sz w:val="24"/>
      <w:szCs w:val="24"/>
    </w:rPr>
  </w:style>
  <w:style w:type="paragraph" w:styleId="27">
    <w:name w:val="Title"/>
    <w:basedOn w:val="1"/>
    <w:next w:val="1"/>
    <w:autoRedefine/>
    <w:qFormat/>
    <w:uiPriority w:val="0"/>
    <w:pPr>
      <w:jc w:val="center"/>
      <w:outlineLvl w:val="0"/>
    </w:pPr>
    <w:rPr>
      <w:rFonts w:ascii="Cambria" w:hAnsi="Cambria"/>
      <w:b/>
      <w:bCs/>
      <w:sz w:val="32"/>
      <w:szCs w:val="32"/>
    </w:rPr>
  </w:style>
  <w:style w:type="paragraph" w:styleId="28">
    <w:name w:val="Body Text First Indent"/>
    <w:basedOn w:val="13"/>
    <w:next w:val="29"/>
    <w:autoRedefine/>
    <w:qFormat/>
    <w:uiPriority w:val="0"/>
    <w:pPr>
      <w:ind w:firstLine="420" w:firstLineChars="100"/>
    </w:pPr>
  </w:style>
  <w:style w:type="paragraph" w:styleId="29">
    <w:name w:val="Body Text First Indent 2"/>
    <w:basedOn w:val="15"/>
    <w:next w:val="1"/>
    <w:autoRedefine/>
    <w:qFormat/>
    <w:uiPriority w:val="0"/>
    <w:pPr>
      <w:spacing w:line="240" w:lineRule="auto"/>
      <w:ind w:left="420" w:leftChars="200" w:firstLine="420" w:firstLineChars="200"/>
    </w:pPr>
  </w:style>
  <w:style w:type="table" w:styleId="31">
    <w:name w:val="Table Grid"/>
    <w:basedOn w:val="3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3">
    <w:name w:val="page number"/>
    <w:basedOn w:val="32"/>
    <w:autoRedefine/>
    <w:qFormat/>
    <w:uiPriority w:val="0"/>
  </w:style>
  <w:style w:type="character" w:styleId="34">
    <w:name w:val="FollowedHyperlink"/>
    <w:basedOn w:val="32"/>
    <w:autoRedefine/>
    <w:semiHidden/>
    <w:unhideWhenUsed/>
    <w:qFormat/>
    <w:uiPriority w:val="99"/>
    <w:rPr>
      <w:color w:val="800080"/>
      <w:u w:val="none"/>
    </w:rPr>
  </w:style>
  <w:style w:type="character" w:styleId="35">
    <w:name w:val="HTML Definition"/>
    <w:basedOn w:val="32"/>
    <w:autoRedefine/>
    <w:semiHidden/>
    <w:unhideWhenUsed/>
    <w:qFormat/>
    <w:uiPriority w:val="99"/>
  </w:style>
  <w:style w:type="character" w:styleId="36">
    <w:name w:val="HTML Typewriter"/>
    <w:basedOn w:val="32"/>
    <w:autoRedefine/>
    <w:semiHidden/>
    <w:unhideWhenUsed/>
    <w:qFormat/>
    <w:uiPriority w:val="99"/>
    <w:rPr>
      <w:rFonts w:hint="default" w:ascii="monospace" w:hAnsi="monospace" w:eastAsia="monospace" w:cs="monospace"/>
      <w:sz w:val="20"/>
    </w:rPr>
  </w:style>
  <w:style w:type="character" w:styleId="37">
    <w:name w:val="HTML Acronym"/>
    <w:basedOn w:val="32"/>
    <w:autoRedefine/>
    <w:semiHidden/>
    <w:unhideWhenUsed/>
    <w:qFormat/>
    <w:uiPriority w:val="99"/>
  </w:style>
  <w:style w:type="character" w:styleId="38">
    <w:name w:val="HTML Variable"/>
    <w:basedOn w:val="32"/>
    <w:autoRedefine/>
    <w:semiHidden/>
    <w:unhideWhenUsed/>
    <w:qFormat/>
    <w:uiPriority w:val="99"/>
  </w:style>
  <w:style w:type="character" w:styleId="39">
    <w:name w:val="Hyperlink"/>
    <w:basedOn w:val="32"/>
    <w:autoRedefine/>
    <w:semiHidden/>
    <w:unhideWhenUsed/>
    <w:qFormat/>
    <w:uiPriority w:val="99"/>
    <w:rPr>
      <w:color w:val="0000FF"/>
      <w:u w:val="none"/>
    </w:rPr>
  </w:style>
  <w:style w:type="character" w:styleId="40">
    <w:name w:val="HTML Code"/>
    <w:basedOn w:val="32"/>
    <w:autoRedefine/>
    <w:semiHidden/>
    <w:unhideWhenUsed/>
    <w:qFormat/>
    <w:uiPriority w:val="99"/>
    <w:rPr>
      <w:rFonts w:hint="default" w:ascii="monospace" w:hAnsi="monospace" w:eastAsia="monospace" w:cs="monospace"/>
      <w:sz w:val="20"/>
    </w:rPr>
  </w:style>
  <w:style w:type="character" w:styleId="41">
    <w:name w:val="HTML Cite"/>
    <w:basedOn w:val="32"/>
    <w:autoRedefine/>
    <w:semiHidden/>
    <w:unhideWhenUsed/>
    <w:qFormat/>
    <w:uiPriority w:val="99"/>
  </w:style>
  <w:style w:type="character" w:styleId="42">
    <w:name w:val="HTML Keyboard"/>
    <w:basedOn w:val="32"/>
    <w:autoRedefine/>
    <w:semiHidden/>
    <w:unhideWhenUsed/>
    <w:qFormat/>
    <w:uiPriority w:val="99"/>
    <w:rPr>
      <w:rFonts w:ascii="monospace" w:hAnsi="monospace" w:eastAsia="monospace" w:cs="monospace"/>
      <w:sz w:val="20"/>
    </w:rPr>
  </w:style>
  <w:style w:type="character" w:styleId="43">
    <w:name w:val="HTML Sample"/>
    <w:basedOn w:val="32"/>
    <w:autoRedefine/>
    <w:semiHidden/>
    <w:unhideWhenUsed/>
    <w:qFormat/>
    <w:uiPriority w:val="99"/>
    <w:rPr>
      <w:rFonts w:hint="default" w:ascii="monospace" w:hAnsi="monospace" w:eastAsia="monospace" w:cs="monospace"/>
    </w:rPr>
  </w:style>
  <w:style w:type="paragraph" w:customStyle="1" w:styleId="44">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5">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46">
    <w:name w:val="Default"/>
    <w:basedOn w:val="19"/>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7">
    <w:name w:val="style4"/>
    <w:basedOn w:val="48"/>
    <w:next w:val="49"/>
    <w:autoRedefine/>
    <w:qFormat/>
    <w:uiPriority w:val="0"/>
    <w:pPr>
      <w:widowControl/>
      <w:spacing w:beforeAutospacing="1" w:afterAutospacing="1"/>
      <w:jc w:val="left"/>
    </w:pPr>
    <w:rPr>
      <w:rFonts w:ascii="宋体" w:hAnsi="宋体" w:cs="宋体"/>
      <w:kern w:val="0"/>
      <w:sz w:val="18"/>
      <w:szCs w:val="18"/>
    </w:rPr>
  </w:style>
  <w:style w:type="paragraph" w:customStyle="1" w:styleId="48">
    <w:name w:val="正文_0"/>
    <w:next w:val="28"/>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pPr>
    <w:rPr>
      <w:rFonts w:ascii="Arial" w:hAnsi="Arial"/>
      <w:kern w:val="0"/>
    </w:rPr>
  </w:style>
  <w:style w:type="table" w:customStyle="1" w:styleId="51">
    <w:name w:val="Light Shading"/>
    <w:basedOn w:val="30"/>
    <w:autoRedefine/>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52">
    <w:name w:val="页眉 Char"/>
    <w:basedOn w:val="32"/>
    <w:link w:val="22"/>
    <w:autoRedefine/>
    <w:semiHidden/>
    <w:qFormat/>
    <w:uiPriority w:val="99"/>
    <w:rPr>
      <w:kern w:val="2"/>
      <w:sz w:val="18"/>
      <w:szCs w:val="18"/>
    </w:rPr>
  </w:style>
  <w:style w:type="character" w:customStyle="1" w:styleId="53">
    <w:name w:val="页脚 Char"/>
    <w:basedOn w:val="32"/>
    <w:link w:val="21"/>
    <w:autoRedefine/>
    <w:qFormat/>
    <w:uiPriority w:val="99"/>
    <w:rPr>
      <w:kern w:val="2"/>
      <w:sz w:val="18"/>
      <w:szCs w:val="18"/>
    </w:rPr>
  </w:style>
  <w:style w:type="paragraph" w:customStyle="1" w:styleId="54">
    <w:name w:val="无间隔1"/>
    <w:basedOn w:val="1"/>
    <w:next w:val="1"/>
    <w:autoRedefine/>
    <w:qFormat/>
    <w:uiPriority w:val="1"/>
    <w:pPr>
      <w:spacing w:line="400" w:lineRule="exact"/>
    </w:pPr>
  </w:style>
  <w:style w:type="paragraph" w:customStyle="1" w:styleId="55">
    <w:name w:val="*正文"/>
    <w:basedOn w:val="1"/>
    <w:next w:val="1"/>
    <w:autoRedefine/>
    <w:qFormat/>
    <w:uiPriority w:val="0"/>
    <w:pPr>
      <w:spacing w:line="360" w:lineRule="auto"/>
    </w:pPr>
    <w:rPr>
      <w:rFonts w:hint="eastAsia" w:ascii="宋体" w:hAnsi="宋体" w:eastAsia="宋体" w:cs="Times New Roman"/>
      <w:kern w:val="0"/>
      <w:sz w:val="20"/>
      <w:szCs w:val="24"/>
    </w:rPr>
  </w:style>
  <w:style w:type="paragraph" w:customStyle="1" w:styleId="56">
    <w:name w:val="WPSOffice手动目录 1"/>
    <w:autoRedefine/>
    <w:qFormat/>
    <w:uiPriority w:val="0"/>
    <w:rPr>
      <w:rFonts w:ascii="Times New Roman" w:hAnsi="Times New Roman" w:eastAsia="宋体" w:cs="Times New Roman"/>
      <w:lang w:val="en-US" w:eastAsia="zh-CN" w:bidi="ar-SA"/>
    </w:rPr>
  </w:style>
  <w:style w:type="paragraph" w:styleId="57">
    <w:name w:val="List Paragraph"/>
    <w:basedOn w:val="1"/>
    <w:autoRedefine/>
    <w:qFormat/>
    <w:uiPriority w:val="0"/>
    <w:pPr>
      <w:ind w:firstLine="420"/>
    </w:pPr>
    <w:rPr>
      <w:szCs w:val="24"/>
    </w:rPr>
  </w:style>
  <w:style w:type="paragraph" w:customStyle="1" w:styleId="58">
    <w:name w:val="招标正文"/>
    <w:basedOn w:val="1"/>
    <w:autoRedefine/>
    <w:qFormat/>
    <w:uiPriority w:val="0"/>
    <w:pPr>
      <w:spacing w:line="360" w:lineRule="auto"/>
      <w:ind w:firstLine="480"/>
    </w:pPr>
    <w:rPr>
      <w:rFonts w:ascii="宋体" w:hAnsi="宋体"/>
      <w:sz w:val="24"/>
      <w:szCs w:val="24"/>
    </w:rPr>
  </w:style>
  <w:style w:type="paragraph" w:customStyle="1" w:styleId="59">
    <w:name w:val="Table Paragraph"/>
    <w:basedOn w:val="1"/>
    <w:autoRedefine/>
    <w:qFormat/>
    <w:uiPriority w:val="0"/>
    <w:pPr>
      <w:autoSpaceDE w:val="0"/>
      <w:autoSpaceDN w:val="0"/>
      <w:jc w:val="left"/>
    </w:pPr>
    <w:rPr>
      <w:rFonts w:hint="eastAsia" w:ascii="宋体" w:hAnsi="宋体" w:eastAsia="宋体" w:cs="Times New Roman"/>
      <w:kern w:val="0"/>
      <w:sz w:val="22"/>
    </w:rPr>
  </w:style>
  <w:style w:type="paragraph" w:customStyle="1" w:styleId="60">
    <w:name w:val="BodyText1I2"/>
    <w:basedOn w:val="61"/>
    <w:next w:val="62"/>
    <w:autoRedefine/>
    <w:qFormat/>
    <w:uiPriority w:val="0"/>
    <w:pPr>
      <w:ind w:firstLine="420"/>
    </w:pPr>
    <w:rPr>
      <w:rFonts w:ascii="Calibri" w:hAnsi="Calibri" w:eastAsia="楷体_GB2312"/>
      <w:kern w:val="44"/>
      <w:sz w:val="44"/>
    </w:rPr>
  </w:style>
  <w:style w:type="paragraph" w:customStyle="1" w:styleId="61">
    <w:name w:val="BodyTextIndent"/>
    <w:basedOn w:val="1"/>
    <w:autoRedefine/>
    <w:qFormat/>
    <w:uiPriority w:val="0"/>
    <w:pPr>
      <w:spacing w:after="120"/>
      <w:ind w:left="420" w:leftChars="200"/>
    </w:pPr>
    <w:rPr>
      <w:rFonts w:ascii="Times New Roman" w:hAnsi="Times New Roman"/>
      <w:kern w:val="0"/>
      <w:sz w:val="20"/>
    </w:rPr>
  </w:style>
  <w:style w:type="paragraph" w:customStyle="1" w:styleId="62">
    <w:name w:val="UserStyle_136"/>
    <w:basedOn w:val="1"/>
    <w:next w:val="1"/>
    <w:autoRedefine/>
    <w:qFormat/>
    <w:uiPriority w:val="0"/>
    <w:pPr>
      <w:spacing w:after="120" w:line="320" w:lineRule="atLeast"/>
    </w:pPr>
    <w:rPr>
      <w:rFonts w:ascii="Arial" w:hAnsi="Arial"/>
      <w:kern w:val="0"/>
    </w:rPr>
  </w:style>
  <w:style w:type="paragraph" w:customStyle="1" w:styleId="63">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66">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sz w:val="28"/>
      <w:szCs w:val="20"/>
    </w:rPr>
  </w:style>
  <w:style w:type="paragraph" w:customStyle="1" w:styleId="68">
    <w:name w:val="样式 标题 3 + (中文) 黑体 小四 非加粗 段前: 7.8 磅 段后: 0 磅 行距: 固定值 20 磅"/>
    <w:basedOn w:val="4"/>
    <w:autoRedefine/>
    <w:qFormat/>
    <w:uiPriority w:val="0"/>
    <w:pPr>
      <w:spacing w:line="400" w:lineRule="exact"/>
    </w:pPr>
    <w:rPr>
      <w:rFonts w:eastAsia="黑体" w:cs="宋体"/>
      <w:b w:val="0"/>
      <w:szCs w:val="20"/>
    </w:rPr>
  </w:style>
  <w:style w:type="paragraph" w:customStyle="1" w:styleId="69">
    <w:name w:val="TOC 标题1"/>
    <w:basedOn w:val="2"/>
    <w:next w:val="1"/>
    <w:autoRedefine/>
    <w:qFormat/>
    <w:uiPriority w:val="99"/>
    <w:pPr>
      <w:outlineLvl w:val="9"/>
    </w:pPr>
    <w:rPr>
      <w:rFonts w:ascii="Calibri" w:hAnsi="Calibri"/>
    </w:rPr>
  </w:style>
  <w:style w:type="paragraph" w:customStyle="1" w:styleId="70">
    <w:name w:val="正文1"/>
    <w:next w:val="28"/>
    <w:autoRedefine/>
    <w:qFormat/>
    <w:uiPriority w:val="0"/>
    <w:pPr>
      <w:widowControl w:val="0"/>
      <w:jc w:val="both"/>
    </w:pPr>
    <w:rPr>
      <w:rFonts w:ascii="仿宋_GB2312" w:hAnsi="仿宋_GB2312" w:eastAsia="仿宋_GB2312" w:cs="??"/>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D50D8-6173-4D0C-AEB3-16ED1309D95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18722</Words>
  <Characters>20292</Characters>
  <Lines>187</Lines>
  <Paragraphs>52</Paragraphs>
  <TotalTime>6</TotalTime>
  <ScaleCrop>false</ScaleCrop>
  <LinksUpToDate>false</LinksUpToDate>
  <CharactersWithSpaces>20772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2021-11-03T13:26:00Z</dcterms:created>
  <dc:creator>wxk</dc:creator>
  <cp:lastModifiedBy>Never Forget</cp:lastModifiedBy>
  <cp:lastPrinted>2024-09-10T05:50:00Z</cp:lastPrinted>
  <dcterms:modified xsi:type="dcterms:W3CDTF">2025-07-07T02:40:46Z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FF8F8F70F0554095922B598B07D323CC_13</vt:lpwstr>
  </property>
  <property fmtid="{D5CDD505-2E9C-101B-9397-08002B2CF9AE}" pid="4" name="KSOTemplateDocerSaveRecord">
    <vt:lpwstr>eyJoZGlkIjoiYjgyNWI4ZWM5NjMzY2EwMTQxMzdkYjRjMTQ3MzdhMDAiLCJ1c2VySWQiOiIyMDg5NDIxNDAifQ==</vt:lpwstr>
  </property>
</Properties>
</file>