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ascii="仿宋" w:hAnsi="仿宋" w:eastAsia="仿宋" w:cs="仿宋"/>
          <w:b/>
          <w:bCs/>
          <w:snapToGrid w:val="0"/>
          <w:sz w:val="40"/>
          <w:szCs w:val="40"/>
          <w:lang w:val="en-US"/>
        </w:rPr>
      </w:pPr>
    </w:p>
    <w:p>
      <w:pPr>
        <w:spacing w:line="600" w:lineRule="auto"/>
        <w:jc w:val="center"/>
        <w:rPr>
          <w:rFonts w:ascii="仿宋" w:hAnsi="仿宋" w:eastAsia="仿宋" w:cs="仿宋"/>
          <w:b/>
          <w:bCs/>
          <w:snapToGrid w:val="0"/>
          <w:sz w:val="40"/>
          <w:szCs w:val="40"/>
          <w:lang w:val="en-US"/>
        </w:rPr>
      </w:pPr>
      <w:r>
        <w:rPr>
          <w:rFonts w:hint="eastAsia" w:ascii="仿宋" w:hAnsi="仿宋" w:eastAsia="仿宋" w:cs="仿宋"/>
          <w:b/>
          <w:bCs/>
          <w:snapToGrid w:val="0"/>
          <w:sz w:val="40"/>
          <w:szCs w:val="40"/>
          <w:lang w:val="en-US"/>
        </w:rPr>
        <w:t>伊川县市场监督管理局伊川县2024年食品安全</w:t>
      </w:r>
    </w:p>
    <w:p>
      <w:pPr>
        <w:spacing w:line="600" w:lineRule="auto"/>
        <w:jc w:val="center"/>
        <w:rPr>
          <w:rFonts w:ascii="仿宋" w:hAnsi="仿宋" w:eastAsia="仿宋" w:cs="仿宋"/>
          <w:b/>
          <w:bCs/>
          <w:snapToGrid w:val="0"/>
          <w:sz w:val="40"/>
          <w:szCs w:val="40"/>
          <w:lang w:val="en-US"/>
        </w:rPr>
      </w:pPr>
      <w:r>
        <w:rPr>
          <w:rFonts w:hint="eastAsia" w:ascii="仿宋" w:hAnsi="仿宋" w:eastAsia="仿宋" w:cs="仿宋"/>
          <w:b/>
          <w:bCs/>
          <w:snapToGrid w:val="0"/>
          <w:sz w:val="40"/>
          <w:szCs w:val="40"/>
          <w:lang w:val="en-US"/>
        </w:rPr>
        <w:t>抽检采购项目</w:t>
      </w:r>
    </w:p>
    <w:p>
      <w:pPr>
        <w:spacing w:line="360" w:lineRule="auto"/>
        <w:jc w:val="center"/>
        <w:rPr>
          <w:rFonts w:ascii="仿宋" w:hAnsi="仿宋" w:eastAsia="仿宋" w:cs="仿宋"/>
          <w:b/>
          <w:bCs/>
          <w:snapToGrid w:val="0"/>
          <w:sz w:val="72"/>
          <w:szCs w:val="72"/>
        </w:rPr>
      </w:pPr>
    </w:p>
    <w:p>
      <w:pPr>
        <w:spacing w:line="360" w:lineRule="auto"/>
        <w:jc w:val="center"/>
        <w:rPr>
          <w:rFonts w:ascii="仿宋" w:hAnsi="仿宋" w:eastAsia="仿宋" w:cs="仿宋"/>
          <w:b/>
          <w:bCs/>
          <w:snapToGrid w:val="0"/>
          <w:sz w:val="32"/>
          <w:szCs w:val="32"/>
        </w:rPr>
      </w:pPr>
      <w:r>
        <w:rPr>
          <w:rFonts w:hint="eastAsia" w:ascii="仿宋" w:hAnsi="仿宋" w:eastAsia="仿宋" w:cs="仿宋"/>
          <w:b/>
          <w:bCs/>
          <w:snapToGrid w:val="0"/>
          <w:sz w:val="84"/>
          <w:szCs w:val="84"/>
        </w:rPr>
        <w:t>招 标 文 件</w:t>
      </w:r>
    </w:p>
    <w:p>
      <w:pPr>
        <w:pStyle w:val="7"/>
        <w:spacing w:line="360" w:lineRule="auto"/>
        <w:jc w:val="center"/>
        <w:rPr>
          <w:rFonts w:ascii="仿宋" w:hAnsi="仿宋" w:eastAsia="仿宋" w:cs="仿宋"/>
          <w:sz w:val="28"/>
          <w:szCs w:val="28"/>
          <w:lang w:val="en-US"/>
        </w:rPr>
      </w:pPr>
      <w:r>
        <w:rPr>
          <w:rFonts w:hint="eastAsia" w:ascii="仿宋" w:hAnsi="仿宋" w:eastAsia="仿宋" w:cs="仿宋"/>
          <w:b/>
          <w:sz w:val="28"/>
          <w:szCs w:val="28"/>
        </w:rPr>
        <w:t>政府采购管理部门备案编号：</w:t>
      </w:r>
      <w:r>
        <w:rPr>
          <w:rFonts w:hint="eastAsia" w:ascii="仿宋" w:hAnsi="仿宋" w:eastAsia="仿宋" w:cs="仿宋"/>
          <w:b/>
          <w:sz w:val="28"/>
          <w:szCs w:val="28"/>
          <w:lang w:val="en-US"/>
        </w:rPr>
        <w:t>伊川政采公开-2024-30</w:t>
      </w:r>
    </w:p>
    <w:p>
      <w:pPr>
        <w:pStyle w:val="36"/>
        <w:ind w:firstLine="2530" w:firstLineChars="900"/>
        <w:rPr>
          <w:rFonts w:ascii="仿宋" w:hAnsi="仿宋" w:eastAsia="仿宋" w:cs="仿宋"/>
          <w:b/>
          <w:sz w:val="28"/>
          <w:szCs w:val="28"/>
          <w:lang w:val="zh-CN" w:bidi="zh-CN"/>
        </w:rPr>
      </w:pPr>
      <w:r>
        <w:rPr>
          <w:rFonts w:hint="eastAsia" w:ascii="仿宋" w:hAnsi="仿宋" w:eastAsia="仿宋" w:cs="仿宋"/>
          <w:b/>
          <w:sz w:val="28"/>
          <w:szCs w:val="28"/>
          <w:lang w:val="zh-CN" w:bidi="zh-CN"/>
        </w:rPr>
        <w:t>项目编号:伊川政采招标(2024)0078号</w:t>
      </w:r>
    </w:p>
    <w:p>
      <w:pPr>
        <w:pStyle w:val="36"/>
        <w:jc w:val="center"/>
        <w:rPr>
          <w:rFonts w:ascii="仿宋" w:hAnsi="仿宋" w:eastAsia="仿宋" w:cs="仿宋"/>
          <w:snapToGrid w:val="0"/>
          <w:sz w:val="32"/>
          <w:szCs w:val="32"/>
        </w:rPr>
      </w:pPr>
      <w:r>
        <w:rPr>
          <w:rFonts w:hint="eastAsia" w:ascii="宋体" w:hAnsi="宋体" w:cs="宋体"/>
          <w:b/>
          <w:bCs/>
          <w:spacing w:val="20"/>
          <w:sz w:val="28"/>
          <w:szCs w:val="36"/>
        </w:rPr>
        <w:drawing>
          <wp:anchor distT="0" distB="0" distL="114300" distR="114300" simplePos="0" relativeHeight="251659264" behindDoc="0" locked="0" layoutInCell="1" allowOverlap="1">
            <wp:simplePos x="0" y="0"/>
            <wp:positionH relativeFrom="column">
              <wp:posOffset>1779905</wp:posOffset>
            </wp:positionH>
            <wp:positionV relativeFrom="paragraph">
              <wp:posOffset>181610</wp:posOffset>
            </wp:positionV>
            <wp:extent cx="2618105" cy="2200275"/>
            <wp:effectExtent l="0" t="0" r="10795" b="9525"/>
            <wp:wrapSquare wrapText="bothSides"/>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7"/>
                    <a:stretch>
                      <a:fillRect/>
                    </a:stretch>
                  </pic:blipFill>
                  <pic:spPr>
                    <a:xfrm>
                      <a:off x="0" y="0"/>
                      <a:ext cx="2618105" cy="2200275"/>
                    </a:xfrm>
                    <a:prstGeom prst="rect">
                      <a:avLst/>
                    </a:prstGeom>
                    <a:noFill/>
                    <a:ln>
                      <a:noFill/>
                    </a:ln>
                  </pic:spPr>
                </pic:pic>
              </a:graphicData>
            </a:graphic>
          </wp:anchor>
        </w:drawing>
      </w:r>
    </w:p>
    <w:p>
      <w:pPr>
        <w:pStyle w:val="8"/>
        <w:jc w:val="both"/>
        <w:rPr>
          <w:rFonts w:ascii="仿宋" w:hAnsi="仿宋" w:eastAsia="仿宋" w:cs="仿宋"/>
          <w:snapToGrid w:val="0"/>
          <w:sz w:val="32"/>
          <w:szCs w:val="32"/>
        </w:rPr>
      </w:pPr>
    </w:p>
    <w:p>
      <w:pPr>
        <w:pStyle w:val="8"/>
        <w:rPr>
          <w:rFonts w:ascii="仿宋" w:hAnsi="仿宋" w:eastAsia="仿宋" w:cs="仿宋"/>
          <w:snapToGrid w:val="0"/>
          <w:sz w:val="32"/>
          <w:szCs w:val="32"/>
        </w:rPr>
      </w:pPr>
    </w:p>
    <w:p>
      <w:pPr>
        <w:pStyle w:val="7"/>
        <w:spacing w:line="360" w:lineRule="auto"/>
        <w:jc w:val="center"/>
        <w:rPr>
          <w:rFonts w:ascii="仿宋" w:hAnsi="仿宋" w:eastAsia="仿宋" w:cs="仿宋"/>
          <w:snapToGrid w:val="0"/>
          <w:sz w:val="32"/>
          <w:szCs w:val="32"/>
        </w:rPr>
      </w:pPr>
    </w:p>
    <w:p>
      <w:pPr>
        <w:pStyle w:val="7"/>
        <w:spacing w:line="360" w:lineRule="auto"/>
        <w:jc w:val="center"/>
        <w:rPr>
          <w:rFonts w:ascii="仿宋" w:hAnsi="仿宋" w:eastAsia="仿宋" w:cs="仿宋"/>
          <w:snapToGrid w:val="0"/>
          <w:sz w:val="32"/>
          <w:szCs w:val="32"/>
        </w:rPr>
      </w:pPr>
    </w:p>
    <w:p>
      <w:pPr>
        <w:pStyle w:val="7"/>
        <w:spacing w:line="360" w:lineRule="auto"/>
        <w:jc w:val="center"/>
        <w:rPr>
          <w:rFonts w:ascii="仿宋" w:hAnsi="仿宋" w:eastAsia="仿宋" w:cs="仿宋"/>
          <w:snapToGrid w:val="0"/>
          <w:sz w:val="32"/>
          <w:szCs w:val="32"/>
        </w:rPr>
      </w:pPr>
    </w:p>
    <w:p>
      <w:pPr>
        <w:pStyle w:val="7"/>
        <w:spacing w:line="360" w:lineRule="auto"/>
        <w:jc w:val="center"/>
        <w:rPr>
          <w:rFonts w:ascii="仿宋" w:hAnsi="仿宋" w:eastAsia="仿宋" w:cs="仿宋"/>
          <w:snapToGrid w:val="0"/>
          <w:sz w:val="32"/>
          <w:szCs w:val="32"/>
        </w:rPr>
      </w:pPr>
    </w:p>
    <w:p>
      <w:pPr>
        <w:pStyle w:val="8"/>
        <w:rPr>
          <w:rFonts w:ascii="仿宋" w:hAnsi="仿宋" w:eastAsia="仿宋" w:cs="仿宋"/>
          <w:snapToGrid w:val="0"/>
          <w:sz w:val="32"/>
          <w:szCs w:val="32"/>
        </w:rPr>
      </w:pPr>
    </w:p>
    <w:p>
      <w:pPr>
        <w:pStyle w:val="8"/>
        <w:jc w:val="both"/>
        <w:rPr>
          <w:rFonts w:ascii="仿宋" w:hAnsi="仿宋" w:eastAsia="仿宋" w:cs="仿宋"/>
          <w:snapToGrid w:val="0"/>
          <w:sz w:val="32"/>
          <w:szCs w:val="32"/>
        </w:rPr>
      </w:pPr>
    </w:p>
    <w:p>
      <w:pPr>
        <w:spacing w:line="360" w:lineRule="auto"/>
        <w:jc w:val="center"/>
        <w:rPr>
          <w:rFonts w:ascii="仿宋" w:hAnsi="仿宋" w:eastAsia="仿宋" w:cs="仿宋"/>
          <w:b/>
          <w:bCs/>
          <w:snapToGrid w:val="0"/>
          <w:sz w:val="28"/>
        </w:rPr>
      </w:pPr>
      <w:r>
        <w:rPr>
          <w:rFonts w:hint="eastAsia" w:ascii="仿宋" w:hAnsi="仿宋" w:eastAsia="仿宋" w:cs="仿宋"/>
          <w:b/>
          <w:bCs/>
          <w:snapToGrid w:val="0"/>
          <w:sz w:val="28"/>
          <w:lang w:val="en-US"/>
        </w:rPr>
        <w:t>招标</w:t>
      </w:r>
      <w:r>
        <w:rPr>
          <w:rFonts w:hint="eastAsia" w:ascii="仿宋" w:hAnsi="仿宋" w:eastAsia="仿宋" w:cs="仿宋"/>
          <w:b/>
          <w:bCs/>
          <w:snapToGrid w:val="0"/>
          <w:sz w:val="28"/>
        </w:rPr>
        <w:t>人：</w:t>
      </w:r>
      <w:r>
        <w:rPr>
          <w:rFonts w:hint="eastAsia" w:ascii="仿宋" w:hAnsi="仿宋" w:eastAsia="仿宋" w:cs="仿宋"/>
          <w:b/>
          <w:bCs/>
          <w:snapToGrid w:val="0"/>
          <w:sz w:val="28"/>
          <w:lang w:val="en-US"/>
        </w:rPr>
        <w:t>伊川县市场监督管理局</w:t>
      </w:r>
    </w:p>
    <w:p>
      <w:pPr>
        <w:spacing w:line="360" w:lineRule="auto"/>
        <w:jc w:val="center"/>
        <w:rPr>
          <w:rFonts w:ascii="仿宋" w:hAnsi="仿宋" w:eastAsia="仿宋" w:cs="仿宋"/>
          <w:b/>
          <w:bCs/>
          <w:snapToGrid w:val="0"/>
          <w:sz w:val="28"/>
        </w:rPr>
      </w:pPr>
      <w:r>
        <w:rPr>
          <w:rFonts w:hint="eastAsia" w:ascii="仿宋" w:hAnsi="仿宋" w:eastAsia="仿宋" w:cs="仿宋"/>
          <w:b/>
          <w:bCs/>
          <w:snapToGrid w:val="0"/>
          <w:sz w:val="28"/>
          <w:lang w:val="en-US"/>
        </w:rPr>
        <w:t>招标</w:t>
      </w:r>
      <w:r>
        <w:rPr>
          <w:rFonts w:hint="eastAsia" w:ascii="仿宋" w:hAnsi="仿宋" w:eastAsia="仿宋" w:cs="仿宋"/>
          <w:b/>
          <w:bCs/>
          <w:snapToGrid w:val="0"/>
          <w:sz w:val="28"/>
        </w:rPr>
        <w:t>代理机构：河南衡霄工程管理有限公司</w:t>
      </w:r>
    </w:p>
    <w:p>
      <w:pPr>
        <w:spacing w:line="360" w:lineRule="auto"/>
        <w:jc w:val="center"/>
        <w:rPr>
          <w:rFonts w:ascii="仿宋" w:hAnsi="仿宋" w:eastAsia="仿宋" w:cs="仿宋"/>
          <w:b/>
          <w:bCs/>
          <w:snapToGrid w:val="0"/>
          <w:sz w:val="28"/>
        </w:rPr>
      </w:pPr>
      <w:r>
        <w:rPr>
          <w:rFonts w:hint="eastAsia" w:ascii="仿宋" w:hAnsi="仿宋" w:eastAsia="仿宋" w:cs="仿宋"/>
          <w:b/>
          <w:bCs/>
          <w:snapToGrid w:val="0"/>
          <w:sz w:val="28"/>
        </w:rPr>
        <w:t>日期：二○二</w:t>
      </w:r>
      <w:r>
        <w:rPr>
          <w:rFonts w:hint="eastAsia" w:ascii="仿宋" w:hAnsi="仿宋" w:eastAsia="仿宋" w:cs="仿宋"/>
          <w:b/>
          <w:bCs/>
          <w:snapToGrid w:val="0"/>
          <w:sz w:val="28"/>
          <w:lang w:val="en-US"/>
        </w:rPr>
        <w:t>四</w:t>
      </w:r>
      <w:r>
        <w:rPr>
          <w:rFonts w:hint="eastAsia" w:ascii="仿宋" w:hAnsi="仿宋" w:eastAsia="仿宋" w:cs="仿宋"/>
          <w:b/>
          <w:bCs/>
          <w:snapToGrid w:val="0"/>
          <w:sz w:val="28"/>
        </w:rPr>
        <w:t>年</w:t>
      </w:r>
      <w:r>
        <w:rPr>
          <w:rFonts w:hint="eastAsia" w:ascii="仿宋" w:hAnsi="仿宋" w:eastAsia="仿宋" w:cs="仿宋"/>
          <w:b/>
          <w:bCs/>
          <w:snapToGrid w:val="0"/>
          <w:sz w:val="28"/>
          <w:lang w:val="en-US"/>
        </w:rPr>
        <w:t>四</w:t>
      </w:r>
      <w:r>
        <w:rPr>
          <w:rFonts w:hint="eastAsia" w:ascii="仿宋" w:hAnsi="仿宋" w:eastAsia="仿宋" w:cs="仿宋"/>
          <w:b/>
          <w:bCs/>
          <w:snapToGrid w:val="0"/>
          <w:sz w:val="28"/>
        </w:rPr>
        <w:t>月</w:t>
      </w:r>
    </w:p>
    <w:p>
      <w:pPr>
        <w:rPr>
          <w:rFonts w:ascii="仿宋" w:hAnsi="仿宋" w:eastAsia="仿宋" w:cs="仿宋"/>
          <w:snapToGrid w:val="0"/>
        </w:rPr>
        <w:sectPr>
          <w:headerReference r:id="rId3" w:type="default"/>
          <w:footerReference r:id="rId4" w:type="default"/>
          <w:pgSz w:w="11906" w:h="16838"/>
          <w:pgMar w:top="1134" w:right="1134" w:bottom="1134" w:left="1134" w:header="851" w:footer="992" w:gutter="0"/>
          <w:pgNumType w:start="1"/>
          <w:cols w:space="425" w:num="1"/>
          <w:docGrid w:type="lines" w:linePitch="312" w:charSpace="0"/>
        </w:sectPr>
      </w:pPr>
    </w:p>
    <w:p>
      <w:pPr>
        <w:rPr>
          <w:rFonts w:ascii="仿宋" w:hAnsi="仿宋" w:eastAsia="仿宋" w:cs="仿宋"/>
          <w:b/>
          <w:bCs/>
          <w:snapToGrid w:val="0"/>
          <w:sz w:val="32"/>
          <w:szCs w:val="32"/>
        </w:rPr>
      </w:pPr>
      <w:r>
        <w:rPr>
          <w:rFonts w:hint="eastAsia" w:ascii="仿宋" w:hAnsi="仿宋" w:eastAsia="仿宋" w:cs="仿宋"/>
          <w:b/>
          <w:bCs/>
          <w:snapToGrid w:val="0"/>
          <w:sz w:val="32"/>
          <w:szCs w:val="32"/>
          <w:lang w:val="en-US" w:bidi="ar-SA"/>
        </w:rPr>
        <w:drawing>
          <wp:inline distT="0" distB="0" distL="114300" distR="114300">
            <wp:extent cx="6029325" cy="8058150"/>
            <wp:effectExtent l="0" t="0" r="9525" b="0"/>
            <wp:docPr id="1" name="图片 1" descr="68ad46d27c4a79a8f8e822684d54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8ad46d27c4a79a8f8e822684d5452a"/>
                    <pic:cNvPicPr>
                      <a:picLocks noChangeAspect="1"/>
                    </pic:cNvPicPr>
                  </pic:nvPicPr>
                  <pic:blipFill>
                    <a:blip r:embed="rId8"/>
                    <a:stretch>
                      <a:fillRect/>
                    </a:stretch>
                  </pic:blipFill>
                  <pic:spPr>
                    <a:xfrm>
                      <a:off x="0" y="0"/>
                      <a:ext cx="6029325" cy="8058150"/>
                    </a:xfrm>
                    <a:prstGeom prst="rect">
                      <a:avLst/>
                    </a:prstGeom>
                  </pic:spPr>
                </pic:pic>
              </a:graphicData>
            </a:graphic>
          </wp:inline>
        </w:drawing>
      </w:r>
    </w:p>
    <w:p>
      <w:pPr>
        <w:rPr>
          <w:rFonts w:ascii="仿宋" w:hAnsi="仿宋" w:eastAsia="仿宋" w:cs="仿宋"/>
          <w:b/>
          <w:bCs/>
          <w:snapToGrid w:val="0"/>
          <w:sz w:val="32"/>
          <w:szCs w:val="32"/>
        </w:rPr>
      </w:pPr>
      <w:r>
        <w:rPr>
          <w:rFonts w:hint="eastAsia" w:ascii="仿宋" w:hAnsi="仿宋" w:eastAsia="仿宋" w:cs="仿宋"/>
          <w:b/>
          <w:bCs/>
          <w:snapToGrid w:val="0"/>
          <w:sz w:val="32"/>
          <w:szCs w:val="32"/>
        </w:rPr>
        <w:br w:type="page"/>
      </w:r>
    </w:p>
    <w:p>
      <w:pPr>
        <w:pStyle w:val="6"/>
        <w:spacing w:line="360" w:lineRule="auto"/>
        <w:ind w:left="0" w:leftChars="0"/>
        <w:jc w:val="center"/>
        <w:rPr>
          <w:rFonts w:ascii="仿宋" w:hAnsi="仿宋" w:eastAsia="仿宋" w:cs="仿宋"/>
          <w:b/>
          <w:bCs/>
          <w:snapToGrid w:val="0"/>
          <w:sz w:val="32"/>
          <w:szCs w:val="32"/>
        </w:rPr>
      </w:pPr>
      <w:r>
        <w:rPr>
          <w:rFonts w:hint="eastAsia" w:ascii="仿宋" w:hAnsi="仿宋" w:eastAsia="仿宋" w:cs="仿宋"/>
          <w:b/>
          <w:bCs/>
          <w:snapToGrid w:val="0"/>
          <w:sz w:val="32"/>
          <w:szCs w:val="32"/>
        </w:rPr>
        <w:t>特 别 提 示</w:t>
      </w:r>
    </w:p>
    <w:p>
      <w:pPr>
        <w:pStyle w:val="6"/>
        <w:spacing w:line="360" w:lineRule="auto"/>
        <w:ind w:left="0" w:leftChars="0" w:firstLine="482" w:firstLineChars="200"/>
        <w:rPr>
          <w:rFonts w:ascii="仿宋" w:hAnsi="仿宋" w:eastAsia="仿宋" w:cs="仿宋"/>
          <w:b/>
          <w:bCs/>
          <w:snapToGrid w:val="0"/>
          <w:sz w:val="24"/>
          <w:szCs w:val="24"/>
        </w:rPr>
      </w:pPr>
      <w:r>
        <w:rPr>
          <w:rFonts w:hint="eastAsia" w:ascii="仿宋" w:hAnsi="仿宋" w:eastAsia="仿宋" w:cs="仿宋"/>
          <w:b/>
          <w:bCs/>
          <w:snapToGrid w:val="0"/>
          <w:sz w:val="24"/>
          <w:szCs w:val="24"/>
        </w:rPr>
        <w:t>1、投标文件制作</w:t>
      </w:r>
    </w:p>
    <w:p>
      <w:pPr>
        <w:pStyle w:val="6"/>
        <w:spacing w:line="360" w:lineRule="auto"/>
        <w:ind w:left="0" w:leftChars="0"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1.1 供应商登录“洛阳市公共资源交易中心”网站，进入【办事指南】-【下载中心】-【操作手册】下载“新点投标文件制作软件”。</w:t>
      </w:r>
    </w:p>
    <w:p>
      <w:pPr>
        <w:pStyle w:val="6"/>
        <w:spacing w:line="360" w:lineRule="auto"/>
        <w:ind w:left="0" w:leftChars="0"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 xml:space="preserve">1.2 供应商凭 CA 锁登录，并按网上提示自行下载招标文件。使用“新点投标文件制作软件”按要求制作电子投标文件。供应商在制作电子投标文件时，应按要求进行电子签章。供应商编辑电子投标文件时，根据招标文件要求用法定代表人CA锁和企业CA锁进行签章制作；最后一步生成电子投标文件（*.lytf格式）时，只能用本单位的企业 CA 锁。联合体投标的，投标文件由联合体牵头人按上述规定进行签章。 </w:t>
      </w:r>
    </w:p>
    <w:p>
      <w:pPr>
        <w:pStyle w:val="6"/>
        <w:spacing w:line="360" w:lineRule="auto"/>
        <w:ind w:left="0" w:leftChars="0"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1.3 加密的电子投标文件为“洛阳市公共资源交易中心”网站提供的“新点投标文件制作软件”制作生成的加密版投标文件。</w:t>
      </w:r>
    </w:p>
    <w:p>
      <w:pPr>
        <w:pStyle w:val="6"/>
        <w:spacing w:line="360" w:lineRule="auto"/>
        <w:ind w:left="0" w:leftChars="0"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 xml:space="preserve">1.4 招标文件格式所要求包含的全部资料应全部制作在投标文件内，严格按照本项目招标文件所有格式如实填写（不涉及的内容除外），不应存在漏项或缺项，否则将存在投标被否决的风险。 </w:t>
      </w:r>
    </w:p>
    <w:p>
      <w:pPr>
        <w:pStyle w:val="6"/>
        <w:spacing w:line="360" w:lineRule="auto"/>
        <w:ind w:left="0" w:leftChars="0"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 xml:space="preserve">1.5 投标文件所附证明材料均为原件的扫描件（或照片），尺寸和清晰度应该能够在电脑上被阅读、识别和判断；若供应商未按要求提供证明材料或提供不清晰的扫描件（或照片）的，评标委员会有权认定其投标文件未对招标文件有关要求进行响应。 </w:t>
      </w:r>
    </w:p>
    <w:p>
      <w:pPr>
        <w:pStyle w:val="6"/>
        <w:spacing w:line="360" w:lineRule="auto"/>
        <w:ind w:left="0" w:leftChars="0" w:firstLine="482" w:firstLineChars="200"/>
        <w:rPr>
          <w:rFonts w:ascii="仿宋" w:hAnsi="仿宋" w:eastAsia="仿宋" w:cs="仿宋"/>
          <w:b/>
          <w:bCs/>
          <w:snapToGrid w:val="0"/>
          <w:sz w:val="24"/>
          <w:szCs w:val="24"/>
        </w:rPr>
      </w:pPr>
      <w:r>
        <w:rPr>
          <w:rFonts w:hint="eastAsia" w:ascii="仿宋" w:hAnsi="仿宋" w:eastAsia="仿宋" w:cs="仿宋"/>
          <w:b/>
          <w:bCs/>
          <w:snapToGrid w:val="0"/>
          <w:sz w:val="24"/>
          <w:szCs w:val="24"/>
        </w:rPr>
        <w:t>2、投标文件的提交</w:t>
      </w:r>
    </w:p>
    <w:p>
      <w:pPr>
        <w:pStyle w:val="6"/>
        <w:spacing w:line="360" w:lineRule="auto"/>
        <w:ind w:left="0" w:leftChars="0"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2.1 除电子投标文件外，投标时不再接受任何纸质文件、资料等。</w:t>
      </w:r>
    </w:p>
    <w:p>
      <w:pPr>
        <w:pStyle w:val="6"/>
        <w:spacing w:line="360" w:lineRule="auto"/>
        <w:ind w:left="0" w:leftChars="0"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 xml:space="preserve">2.2 供应商应在投标截止时间前上传加密的电子投标文件（*.lytf）到洛阳市电子招投标交易平台指定位置。上传时供应商须使用制作该投标文件的同一CA 锁进行上传操作。请供应商在上传时认真检查上传投标文件是否完整、正确。供应商应充分考虑上传文件时的不可预见因素，未在投标截止时间前完成上传的，视为逾期送达，洛阳市电子招投标交易平台将拒绝接收。上传成功后将得到上传成功的确认。 </w:t>
      </w:r>
    </w:p>
    <w:p>
      <w:pPr>
        <w:pStyle w:val="6"/>
        <w:spacing w:line="360" w:lineRule="auto"/>
        <w:ind w:left="0" w:leftChars="0"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2.3 供应商因洛阳市电子招投标交易平台问题无法上传电子投标文件时，请在工作时间与交易中心联系。</w:t>
      </w:r>
    </w:p>
    <w:p>
      <w:pPr>
        <w:pStyle w:val="6"/>
        <w:spacing w:line="360" w:lineRule="auto"/>
        <w:ind w:left="0" w:leftChars="0" w:firstLine="482" w:firstLineChars="200"/>
        <w:rPr>
          <w:rFonts w:ascii="仿宋" w:hAnsi="仿宋" w:eastAsia="仿宋" w:cs="仿宋"/>
          <w:b/>
          <w:bCs/>
          <w:snapToGrid w:val="0"/>
          <w:sz w:val="24"/>
          <w:szCs w:val="24"/>
        </w:rPr>
      </w:pPr>
      <w:r>
        <w:rPr>
          <w:rFonts w:hint="eastAsia" w:ascii="仿宋" w:hAnsi="仿宋" w:eastAsia="仿宋" w:cs="仿宋"/>
          <w:b/>
          <w:bCs/>
          <w:snapToGrid w:val="0"/>
          <w:sz w:val="24"/>
          <w:szCs w:val="24"/>
        </w:rPr>
        <w:t>3、招标文件的澄清、修改</w:t>
      </w:r>
    </w:p>
    <w:p>
      <w:pPr>
        <w:pStyle w:val="6"/>
        <w:spacing w:line="360" w:lineRule="auto"/>
        <w:ind w:left="0" w:leftChars="0"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 xml:space="preserve">3.1招标文件的澄清、修改将在洛阳市公共资源交易中心网站上发布“变更公告”，如需修改招标文件，则同时在洛阳市电子招投标交易平台发布“答疑文件”（答疑文件指修改后最新的招标文件）。对于各项目中已经成功下载招标文件的供应商，将通过第三方短信群发方式提醒供应商进行查询。各供应商须重新下载最新的“答疑文件”，并以此编制投标文件。如不以最新发布的“答疑文件”编制投标文件，造成投标无效的后果由供应商自己承担。 </w:t>
      </w:r>
    </w:p>
    <w:p>
      <w:pPr>
        <w:pStyle w:val="6"/>
        <w:spacing w:line="360" w:lineRule="auto"/>
        <w:ind w:left="0" w:leftChars="0"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 xml:space="preserve">3.2 因洛阳市电子招投标交易平台在开标前具有保密性，供应商在投标文件递交截止时间前须自行查看项目进展、变更通知、澄清及回复，因供应商未及时查看而造成的后果自负。 </w:t>
      </w:r>
    </w:p>
    <w:p>
      <w:pPr>
        <w:pStyle w:val="6"/>
        <w:spacing w:line="360" w:lineRule="auto"/>
        <w:ind w:left="0" w:leftChars="0" w:firstLine="482" w:firstLineChars="200"/>
        <w:rPr>
          <w:rFonts w:ascii="仿宋" w:hAnsi="仿宋" w:eastAsia="仿宋" w:cs="仿宋"/>
          <w:b/>
          <w:bCs/>
          <w:snapToGrid w:val="0"/>
          <w:sz w:val="24"/>
          <w:szCs w:val="24"/>
        </w:rPr>
      </w:pPr>
      <w:r>
        <w:rPr>
          <w:rFonts w:hint="eastAsia" w:ascii="仿宋" w:hAnsi="仿宋" w:eastAsia="仿宋" w:cs="仿宋"/>
          <w:b/>
          <w:bCs/>
          <w:snapToGrid w:val="0"/>
          <w:sz w:val="24"/>
          <w:szCs w:val="24"/>
        </w:rPr>
        <w:t>4、开标</w:t>
      </w:r>
    </w:p>
    <w:p>
      <w:pPr>
        <w:pStyle w:val="6"/>
        <w:spacing w:line="360" w:lineRule="auto"/>
        <w:ind w:left="0" w:leftChars="0" w:firstLine="480" w:firstLineChars="200"/>
        <w:rPr>
          <w:rFonts w:ascii="仿宋" w:hAnsi="仿宋" w:eastAsia="仿宋" w:cs="仿宋"/>
          <w:snapToGrid w:val="0"/>
          <w:sz w:val="24"/>
          <w:szCs w:val="24"/>
        </w:rPr>
      </w:pPr>
      <w:r>
        <w:rPr>
          <w:rFonts w:hint="eastAsia" w:ascii="仿宋" w:hAnsi="仿宋" w:eastAsia="仿宋" w:cs="仿宋"/>
          <w:snapToGrid w:val="0"/>
          <w:sz w:val="24"/>
          <w:szCs w:val="24"/>
          <w:lang w:val="en-US"/>
        </w:rPr>
        <w:t>本项目采用远程不见面交易的模式，开标当日，供应商无需到开标现场参加开标会议，供应商应当在投标截止时间前，登录到洛阳市电子招投标交易平台（http://lyggzyjy.ly.gov.cn/TPBidderr），点击右上方【不见面开标大厅】按钮进入，在线准时参加开标活动并进行投标文件解密等。因供应商原因未能解密、解密失败或解密超时的将被拒绝。请参照洛阳市公共资源交易中心首页-办事指南-下载中心-操作手册-《洛阳市公共资源交易中心不见面开标大厅操作手册（供应商）》。</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为便于供应商（供应商）制作投标（响应）文件，本投标（响应）文件格式所列招标投标的主体称呼及专业术语，也适用于政府采购非招标方式（竞争性谈判、竞争性磋商、询价）对应的主体称呼及专业术语。</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6、供应商《参与评审打分的证书（证件）一览表》及《参与评审打分的合同业绩一览表》中所填写内容须与表后所附的参与评审打分的证书（证件）扫描件、合同业绩扫描件相对应，否则将不予评审打分。采用竞争性谈判、询价方式的，该两表不进行评审打分。</w:t>
      </w:r>
    </w:p>
    <w:p>
      <w:pPr>
        <w:pStyle w:val="6"/>
        <w:spacing w:line="360" w:lineRule="auto"/>
        <w:ind w:left="0" w:leftChars="0" w:firstLine="480" w:firstLineChars="200"/>
        <w:rPr>
          <w:rFonts w:ascii="仿宋" w:hAnsi="仿宋" w:eastAsia="仿宋" w:cs="仿宋"/>
          <w:snapToGrid w:val="0"/>
          <w:sz w:val="24"/>
          <w:szCs w:val="24"/>
          <w:lang w:val="en-US"/>
        </w:rPr>
        <w:sectPr>
          <w:pgSz w:w="11906" w:h="16838"/>
          <w:pgMar w:top="1134" w:right="1134" w:bottom="1134" w:left="1134" w:header="851" w:footer="992" w:gutter="0"/>
          <w:cols w:space="425" w:num="1"/>
          <w:docGrid w:type="lines" w:linePitch="312" w:charSpace="0"/>
        </w:sectPr>
      </w:pPr>
      <w:r>
        <w:rPr>
          <w:rFonts w:hint="eastAsia" w:ascii="仿宋" w:hAnsi="仿宋" w:eastAsia="仿宋" w:cs="仿宋"/>
          <w:snapToGrid w:val="0"/>
          <w:sz w:val="24"/>
          <w:szCs w:val="24"/>
          <w:lang w:val="en-US"/>
        </w:rPr>
        <w:t>7、采购代理机构有权将《报价明细表》、《参与评审打分的证书（证件）一览表》及《参与评审打分的合同业绩一览表》内容进行公示。</w:t>
      </w:r>
    </w:p>
    <w:sdt>
      <w:sdtPr>
        <w:rPr>
          <w:snapToGrid w:val="0"/>
          <w:sz w:val="21"/>
        </w:rPr>
        <w:id w:val="147453679"/>
        <w:docPartObj>
          <w:docPartGallery w:val="Table of Contents"/>
          <w:docPartUnique/>
        </w:docPartObj>
      </w:sdtPr>
      <w:sdtEndPr>
        <w:rPr>
          <w:rFonts w:hint="eastAsia" w:ascii="仿宋" w:hAnsi="仿宋" w:eastAsia="仿宋" w:cs="仿宋"/>
          <w:snapToGrid w:val="0"/>
          <w:sz w:val="22"/>
          <w:szCs w:val="24"/>
          <w:lang w:val="en-US"/>
        </w:rPr>
      </w:sdtEndPr>
      <w:sdtContent>
        <w:p>
          <w:pPr>
            <w:spacing w:line="480" w:lineRule="auto"/>
            <w:jc w:val="center"/>
            <w:rPr>
              <w:snapToGrid w:val="0"/>
              <w:sz w:val="21"/>
            </w:rPr>
          </w:pPr>
        </w:p>
        <w:p>
          <w:pPr>
            <w:spacing w:line="720" w:lineRule="auto"/>
            <w:jc w:val="center"/>
            <w:rPr>
              <w:rFonts w:ascii="仿宋" w:hAnsi="仿宋" w:eastAsia="仿宋" w:cs="仿宋"/>
              <w:b/>
              <w:bCs/>
              <w:snapToGrid w:val="0"/>
              <w:sz w:val="36"/>
              <w:szCs w:val="36"/>
            </w:rPr>
          </w:pPr>
          <w:r>
            <w:rPr>
              <w:rFonts w:hint="eastAsia" w:ascii="仿宋" w:hAnsi="仿宋" w:eastAsia="仿宋" w:cs="仿宋"/>
              <w:b/>
              <w:bCs/>
              <w:snapToGrid w:val="0"/>
              <w:sz w:val="36"/>
              <w:szCs w:val="36"/>
            </w:rPr>
            <w:t>目录</w:t>
          </w:r>
        </w:p>
        <w:p>
          <w:pPr>
            <w:pStyle w:val="15"/>
            <w:tabs>
              <w:tab w:val="right" w:leader="dot" w:pos="9638"/>
            </w:tabs>
            <w:rPr>
              <w:rFonts w:ascii="仿宋" w:hAnsi="仿宋" w:eastAsia="仿宋" w:cs="仿宋"/>
              <w:b/>
              <w:bCs/>
              <w:snapToGrid w:val="0"/>
              <w:sz w:val="28"/>
              <w:szCs w:val="28"/>
            </w:rPr>
          </w:pPr>
          <w:r>
            <w:rPr>
              <w:rFonts w:hint="eastAsia" w:ascii="仿宋" w:hAnsi="仿宋" w:eastAsia="仿宋" w:cs="仿宋"/>
              <w:snapToGrid w:val="0"/>
              <w:sz w:val="28"/>
              <w:szCs w:val="28"/>
              <w:lang w:val="en-US"/>
            </w:rPr>
            <w:fldChar w:fldCharType="begin"/>
          </w:r>
          <w:r>
            <w:rPr>
              <w:rFonts w:hint="eastAsia" w:ascii="仿宋" w:hAnsi="仿宋" w:eastAsia="仿宋" w:cs="仿宋"/>
              <w:snapToGrid w:val="0"/>
              <w:sz w:val="28"/>
              <w:szCs w:val="28"/>
              <w:lang w:val="en-US"/>
            </w:rPr>
            <w:instrText xml:space="preserve">TOC \o "1-1" \h \u </w:instrText>
          </w:r>
          <w:r>
            <w:rPr>
              <w:rFonts w:hint="eastAsia" w:ascii="仿宋" w:hAnsi="仿宋" w:eastAsia="仿宋" w:cs="仿宋"/>
              <w:snapToGrid w:val="0"/>
              <w:sz w:val="28"/>
              <w:szCs w:val="28"/>
              <w:lang w:val="en-US"/>
            </w:rPr>
            <w:fldChar w:fldCharType="separate"/>
          </w:r>
          <w:r>
            <w:fldChar w:fldCharType="begin"/>
          </w:r>
          <w:r>
            <w:instrText xml:space="preserve"> HYPERLINK \l "_Toc7647" </w:instrText>
          </w:r>
          <w:r>
            <w:fldChar w:fldCharType="separate"/>
          </w:r>
          <w:r>
            <w:rPr>
              <w:rFonts w:hint="eastAsia" w:ascii="仿宋" w:hAnsi="仿宋" w:eastAsia="仿宋" w:cs="仿宋"/>
              <w:b/>
              <w:bCs/>
              <w:snapToGrid w:val="0"/>
              <w:sz w:val="28"/>
              <w:szCs w:val="28"/>
              <w:lang w:val="en-US"/>
            </w:rPr>
            <w:t>第一章  招标公告</w:t>
          </w:r>
          <w:r>
            <w:rPr>
              <w:rFonts w:hint="eastAsia" w:ascii="仿宋" w:hAnsi="仿宋" w:eastAsia="仿宋" w:cs="仿宋"/>
              <w:b/>
              <w:bCs/>
              <w:snapToGrid w:val="0"/>
              <w:sz w:val="28"/>
              <w:szCs w:val="28"/>
            </w:rPr>
            <w:tab/>
          </w:r>
          <w:r>
            <w:rPr>
              <w:rFonts w:hint="eastAsia" w:ascii="仿宋" w:hAnsi="仿宋" w:eastAsia="仿宋" w:cs="仿宋"/>
              <w:b/>
              <w:bCs/>
              <w:snapToGrid w:val="0"/>
              <w:sz w:val="28"/>
              <w:szCs w:val="28"/>
            </w:rPr>
            <w:fldChar w:fldCharType="begin"/>
          </w:r>
          <w:r>
            <w:rPr>
              <w:rFonts w:hint="eastAsia" w:ascii="仿宋" w:hAnsi="仿宋" w:eastAsia="仿宋" w:cs="仿宋"/>
              <w:b/>
              <w:bCs/>
              <w:snapToGrid w:val="0"/>
              <w:sz w:val="28"/>
              <w:szCs w:val="28"/>
            </w:rPr>
            <w:instrText xml:space="preserve"> PAGEREF _Toc7647 \h </w:instrText>
          </w:r>
          <w:r>
            <w:rPr>
              <w:rFonts w:hint="eastAsia" w:ascii="仿宋" w:hAnsi="仿宋" w:eastAsia="仿宋" w:cs="仿宋"/>
              <w:b/>
              <w:bCs/>
              <w:snapToGrid w:val="0"/>
              <w:sz w:val="28"/>
              <w:szCs w:val="28"/>
            </w:rPr>
            <w:fldChar w:fldCharType="separate"/>
          </w:r>
          <w:r>
            <w:rPr>
              <w:rFonts w:hint="eastAsia" w:ascii="仿宋" w:hAnsi="仿宋" w:eastAsia="仿宋" w:cs="仿宋"/>
              <w:b/>
              <w:bCs/>
              <w:snapToGrid w:val="0"/>
              <w:sz w:val="28"/>
              <w:szCs w:val="28"/>
            </w:rPr>
            <w:t>5</w:t>
          </w:r>
          <w:r>
            <w:rPr>
              <w:rFonts w:hint="eastAsia" w:ascii="仿宋" w:hAnsi="仿宋" w:eastAsia="仿宋" w:cs="仿宋"/>
              <w:b/>
              <w:bCs/>
              <w:snapToGrid w:val="0"/>
              <w:sz w:val="28"/>
              <w:szCs w:val="28"/>
            </w:rPr>
            <w:fldChar w:fldCharType="end"/>
          </w:r>
          <w:r>
            <w:rPr>
              <w:rFonts w:hint="eastAsia" w:ascii="仿宋" w:hAnsi="仿宋" w:eastAsia="仿宋" w:cs="仿宋"/>
              <w:b/>
              <w:bCs/>
              <w:snapToGrid w:val="0"/>
              <w:sz w:val="28"/>
              <w:szCs w:val="28"/>
            </w:rPr>
            <w:fldChar w:fldCharType="end"/>
          </w:r>
        </w:p>
        <w:p>
          <w:pPr>
            <w:pStyle w:val="15"/>
            <w:tabs>
              <w:tab w:val="right" w:leader="dot" w:pos="9638"/>
            </w:tabs>
            <w:rPr>
              <w:rFonts w:ascii="仿宋" w:hAnsi="仿宋" w:eastAsia="仿宋" w:cs="仿宋"/>
              <w:b/>
              <w:bCs/>
              <w:snapToGrid w:val="0"/>
              <w:sz w:val="28"/>
              <w:szCs w:val="28"/>
            </w:rPr>
          </w:pPr>
          <w:r>
            <w:fldChar w:fldCharType="begin"/>
          </w:r>
          <w:r>
            <w:instrText xml:space="preserve"> HYPERLINK \l "_Toc27346" </w:instrText>
          </w:r>
          <w:r>
            <w:fldChar w:fldCharType="separate"/>
          </w:r>
          <w:r>
            <w:rPr>
              <w:rFonts w:hint="eastAsia" w:ascii="仿宋" w:hAnsi="仿宋" w:eastAsia="仿宋" w:cs="仿宋"/>
              <w:b/>
              <w:bCs/>
              <w:snapToGrid w:val="0"/>
              <w:sz w:val="28"/>
              <w:szCs w:val="28"/>
              <w:lang w:val="en-US"/>
            </w:rPr>
            <w:t>第二章  投标人须知</w:t>
          </w:r>
          <w:r>
            <w:rPr>
              <w:rFonts w:hint="eastAsia" w:ascii="仿宋" w:hAnsi="仿宋" w:eastAsia="仿宋" w:cs="仿宋"/>
              <w:b/>
              <w:bCs/>
              <w:snapToGrid w:val="0"/>
              <w:sz w:val="28"/>
              <w:szCs w:val="28"/>
            </w:rPr>
            <w:tab/>
          </w:r>
          <w:r>
            <w:rPr>
              <w:rFonts w:hint="eastAsia" w:ascii="仿宋" w:hAnsi="仿宋" w:eastAsia="仿宋" w:cs="仿宋"/>
              <w:b/>
              <w:bCs/>
              <w:snapToGrid w:val="0"/>
              <w:sz w:val="28"/>
              <w:szCs w:val="28"/>
              <w:lang w:val="en-US"/>
            </w:rPr>
            <w:t>8</w:t>
          </w:r>
          <w:r>
            <w:rPr>
              <w:rFonts w:hint="eastAsia" w:ascii="仿宋" w:hAnsi="仿宋" w:eastAsia="仿宋" w:cs="仿宋"/>
              <w:b/>
              <w:bCs/>
              <w:snapToGrid w:val="0"/>
              <w:sz w:val="28"/>
              <w:szCs w:val="28"/>
              <w:lang w:val="en-US"/>
            </w:rPr>
            <w:fldChar w:fldCharType="end"/>
          </w:r>
        </w:p>
        <w:p>
          <w:pPr>
            <w:pStyle w:val="15"/>
            <w:tabs>
              <w:tab w:val="right" w:leader="dot" w:pos="9638"/>
            </w:tabs>
            <w:rPr>
              <w:rFonts w:ascii="仿宋" w:hAnsi="仿宋" w:eastAsia="仿宋" w:cs="仿宋"/>
              <w:b/>
              <w:bCs/>
              <w:snapToGrid w:val="0"/>
              <w:sz w:val="28"/>
              <w:szCs w:val="28"/>
            </w:rPr>
          </w:pPr>
          <w:r>
            <w:fldChar w:fldCharType="begin"/>
          </w:r>
          <w:r>
            <w:instrText xml:space="preserve"> HYPERLINK \l "_Toc9329" </w:instrText>
          </w:r>
          <w:r>
            <w:fldChar w:fldCharType="separate"/>
          </w:r>
          <w:r>
            <w:rPr>
              <w:rFonts w:hint="eastAsia" w:ascii="仿宋" w:hAnsi="仿宋" w:eastAsia="仿宋" w:cs="仿宋"/>
              <w:b/>
              <w:bCs/>
              <w:snapToGrid w:val="0"/>
              <w:sz w:val="28"/>
              <w:szCs w:val="28"/>
              <w:lang w:val="en-US"/>
            </w:rPr>
            <w:t>第三章  采购需求</w:t>
          </w:r>
          <w:r>
            <w:rPr>
              <w:rFonts w:hint="eastAsia" w:ascii="仿宋" w:hAnsi="仿宋" w:eastAsia="仿宋" w:cs="仿宋"/>
              <w:b/>
              <w:bCs/>
              <w:snapToGrid w:val="0"/>
              <w:sz w:val="28"/>
              <w:szCs w:val="28"/>
            </w:rPr>
            <w:tab/>
          </w:r>
          <w:r>
            <w:rPr>
              <w:rFonts w:hint="eastAsia" w:ascii="仿宋" w:hAnsi="仿宋" w:eastAsia="仿宋" w:cs="仿宋"/>
              <w:b/>
              <w:bCs/>
              <w:snapToGrid w:val="0"/>
              <w:sz w:val="28"/>
              <w:szCs w:val="28"/>
            </w:rPr>
            <w:fldChar w:fldCharType="begin"/>
          </w:r>
          <w:r>
            <w:rPr>
              <w:rFonts w:hint="eastAsia" w:ascii="仿宋" w:hAnsi="仿宋" w:eastAsia="仿宋" w:cs="仿宋"/>
              <w:b/>
              <w:bCs/>
              <w:snapToGrid w:val="0"/>
              <w:sz w:val="28"/>
              <w:szCs w:val="28"/>
            </w:rPr>
            <w:instrText xml:space="preserve"> PAGEREF _Toc9329 \h </w:instrText>
          </w:r>
          <w:r>
            <w:rPr>
              <w:rFonts w:hint="eastAsia" w:ascii="仿宋" w:hAnsi="仿宋" w:eastAsia="仿宋" w:cs="仿宋"/>
              <w:b/>
              <w:bCs/>
              <w:snapToGrid w:val="0"/>
              <w:sz w:val="28"/>
              <w:szCs w:val="28"/>
            </w:rPr>
            <w:fldChar w:fldCharType="separate"/>
          </w:r>
          <w:r>
            <w:rPr>
              <w:rFonts w:hint="eastAsia" w:ascii="仿宋" w:hAnsi="仿宋" w:eastAsia="仿宋" w:cs="仿宋"/>
              <w:b/>
              <w:bCs/>
              <w:snapToGrid w:val="0"/>
              <w:sz w:val="28"/>
              <w:szCs w:val="28"/>
            </w:rPr>
            <w:t>2</w:t>
          </w:r>
          <w:r>
            <w:rPr>
              <w:rFonts w:hint="eastAsia" w:ascii="仿宋" w:hAnsi="仿宋" w:eastAsia="仿宋" w:cs="仿宋"/>
              <w:b/>
              <w:bCs/>
              <w:snapToGrid w:val="0"/>
              <w:sz w:val="28"/>
              <w:szCs w:val="28"/>
              <w:lang w:val="en-US"/>
            </w:rPr>
            <w:t>8</w:t>
          </w:r>
          <w:r>
            <w:rPr>
              <w:rFonts w:hint="eastAsia" w:ascii="仿宋" w:hAnsi="仿宋" w:eastAsia="仿宋" w:cs="仿宋"/>
              <w:b/>
              <w:bCs/>
              <w:snapToGrid w:val="0"/>
              <w:sz w:val="28"/>
              <w:szCs w:val="28"/>
            </w:rPr>
            <w:fldChar w:fldCharType="end"/>
          </w:r>
          <w:r>
            <w:rPr>
              <w:rFonts w:hint="eastAsia" w:ascii="仿宋" w:hAnsi="仿宋" w:eastAsia="仿宋" w:cs="仿宋"/>
              <w:b/>
              <w:bCs/>
              <w:snapToGrid w:val="0"/>
              <w:sz w:val="28"/>
              <w:szCs w:val="28"/>
            </w:rPr>
            <w:fldChar w:fldCharType="end"/>
          </w:r>
        </w:p>
        <w:p>
          <w:pPr>
            <w:pStyle w:val="15"/>
            <w:tabs>
              <w:tab w:val="right" w:leader="dot" w:pos="9638"/>
            </w:tabs>
            <w:rPr>
              <w:rFonts w:ascii="仿宋" w:hAnsi="仿宋" w:eastAsia="仿宋" w:cs="仿宋"/>
              <w:b/>
              <w:bCs/>
              <w:snapToGrid w:val="0"/>
              <w:sz w:val="28"/>
              <w:szCs w:val="28"/>
              <w:lang w:val="en-US"/>
            </w:rPr>
          </w:pPr>
          <w:r>
            <w:fldChar w:fldCharType="begin"/>
          </w:r>
          <w:r>
            <w:instrText xml:space="preserve"> HYPERLINK \l "_Toc29594" </w:instrText>
          </w:r>
          <w:r>
            <w:fldChar w:fldCharType="separate"/>
          </w:r>
          <w:r>
            <w:rPr>
              <w:rFonts w:hint="eastAsia" w:ascii="仿宋" w:hAnsi="仿宋" w:eastAsia="仿宋" w:cs="仿宋"/>
              <w:b/>
              <w:bCs/>
              <w:snapToGrid w:val="0"/>
              <w:sz w:val="28"/>
              <w:szCs w:val="28"/>
              <w:lang w:val="en-US"/>
            </w:rPr>
            <w:t>第四章  合 同(样本)</w:t>
          </w:r>
          <w:r>
            <w:rPr>
              <w:rFonts w:hint="eastAsia" w:ascii="仿宋" w:hAnsi="仿宋" w:eastAsia="仿宋" w:cs="仿宋"/>
              <w:b/>
              <w:bCs/>
              <w:snapToGrid w:val="0"/>
              <w:sz w:val="28"/>
              <w:szCs w:val="28"/>
            </w:rPr>
            <w:tab/>
          </w:r>
          <w:r>
            <w:rPr>
              <w:rFonts w:hint="eastAsia" w:ascii="仿宋" w:hAnsi="仿宋" w:eastAsia="仿宋" w:cs="仿宋"/>
              <w:b/>
              <w:bCs/>
              <w:snapToGrid w:val="0"/>
              <w:sz w:val="28"/>
              <w:szCs w:val="28"/>
              <w:lang w:val="en-US"/>
            </w:rPr>
            <w:t>2</w:t>
          </w:r>
          <w:r>
            <w:rPr>
              <w:rFonts w:hint="eastAsia" w:ascii="仿宋" w:hAnsi="仿宋" w:eastAsia="仿宋" w:cs="仿宋"/>
              <w:b/>
              <w:bCs/>
              <w:snapToGrid w:val="0"/>
              <w:sz w:val="28"/>
              <w:szCs w:val="28"/>
              <w:lang w:val="en-US"/>
            </w:rPr>
            <w:fldChar w:fldCharType="end"/>
          </w:r>
          <w:r>
            <w:rPr>
              <w:rFonts w:hint="eastAsia" w:ascii="仿宋" w:hAnsi="仿宋" w:eastAsia="仿宋" w:cs="仿宋"/>
              <w:b/>
              <w:bCs/>
              <w:snapToGrid w:val="0"/>
              <w:sz w:val="28"/>
              <w:szCs w:val="28"/>
              <w:lang w:val="en-US"/>
            </w:rPr>
            <w:t>9</w:t>
          </w:r>
        </w:p>
        <w:p>
          <w:pPr>
            <w:pStyle w:val="15"/>
            <w:tabs>
              <w:tab w:val="right" w:leader="dot" w:pos="9638"/>
            </w:tabs>
            <w:rPr>
              <w:rFonts w:ascii="仿宋" w:hAnsi="仿宋" w:eastAsia="仿宋" w:cs="仿宋"/>
              <w:b/>
              <w:bCs/>
              <w:snapToGrid w:val="0"/>
              <w:sz w:val="28"/>
              <w:szCs w:val="28"/>
            </w:rPr>
          </w:pPr>
          <w:r>
            <w:fldChar w:fldCharType="begin"/>
          </w:r>
          <w:r>
            <w:instrText xml:space="preserve"> HYPERLINK \l "_Toc14781" </w:instrText>
          </w:r>
          <w:r>
            <w:fldChar w:fldCharType="separate"/>
          </w:r>
          <w:r>
            <w:rPr>
              <w:rFonts w:hint="eastAsia" w:ascii="仿宋" w:hAnsi="仿宋" w:eastAsia="仿宋" w:cs="仿宋"/>
              <w:b/>
              <w:bCs/>
              <w:snapToGrid w:val="0"/>
              <w:sz w:val="28"/>
              <w:szCs w:val="28"/>
              <w:lang w:val="en-US"/>
            </w:rPr>
            <w:t>第五章  资格审查与评审办法</w:t>
          </w:r>
          <w:r>
            <w:rPr>
              <w:rFonts w:hint="eastAsia" w:ascii="仿宋" w:hAnsi="仿宋" w:eastAsia="仿宋" w:cs="仿宋"/>
              <w:b/>
              <w:bCs/>
              <w:snapToGrid w:val="0"/>
              <w:sz w:val="28"/>
              <w:szCs w:val="28"/>
            </w:rPr>
            <w:tab/>
          </w:r>
          <w:r>
            <w:rPr>
              <w:rFonts w:hint="eastAsia" w:ascii="仿宋" w:hAnsi="仿宋" w:eastAsia="仿宋" w:cs="仿宋"/>
              <w:b/>
              <w:bCs/>
              <w:snapToGrid w:val="0"/>
              <w:sz w:val="28"/>
              <w:szCs w:val="28"/>
            </w:rPr>
            <w:fldChar w:fldCharType="begin"/>
          </w:r>
          <w:r>
            <w:rPr>
              <w:rFonts w:hint="eastAsia" w:ascii="仿宋" w:hAnsi="仿宋" w:eastAsia="仿宋" w:cs="仿宋"/>
              <w:b/>
              <w:bCs/>
              <w:snapToGrid w:val="0"/>
              <w:sz w:val="28"/>
              <w:szCs w:val="28"/>
            </w:rPr>
            <w:instrText xml:space="preserve"> PAGEREF _Toc14781 \h </w:instrText>
          </w:r>
          <w:r>
            <w:rPr>
              <w:rFonts w:hint="eastAsia" w:ascii="仿宋" w:hAnsi="仿宋" w:eastAsia="仿宋" w:cs="仿宋"/>
              <w:b/>
              <w:bCs/>
              <w:snapToGrid w:val="0"/>
              <w:sz w:val="28"/>
              <w:szCs w:val="28"/>
            </w:rPr>
            <w:fldChar w:fldCharType="separate"/>
          </w:r>
          <w:r>
            <w:rPr>
              <w:rFonts w:hint="eastAsia" w:ascii="仿宋" w:hAnsi="仿宋" w:eastAsia="仿宋" w:cs="仿宋"/>
              <w:b/>
              <w:bCs/>
              <w:snapToGrid w:val="0"/>
              <w:sz w:val="28"/>
              <w:szCs w:val="28"/>
            </w:rPr>
            <w:t>31</w:t>
          </w:r>
          <w:r>
            <w:rPr>
              <w:rFonts w:hint="eastAsia" w:ascii="仿宋" w:hAnsi="仿宋" w:eastAsia="仿宋" w:cs="仿宋"/>
              <w:b/>
              <w:bCs/>
              <w:snapToGrid w:val="0"/>
              <w:sz w:val="28"/>
              <w:szCs w:val="28"/>
            </w:rPr>
            <w:fldChar w:fldCharType="end"/>
          </w:r>
          <w:r>
            <w:rPr>
              <w:rFonts w:hint="eastAsia" w:ascii="仿宋" w:hAnsi="仿宋" w:eastAsia="仿宋" w:cs="仿宋"/>
              <w:b/>
              <w:bCs/>
              <w:snapToGrid w:val="0"/>
              <w:sz w:val="28"/>
              <w:szCs w:val="28"/>
            </w:rPr>
            <w:fldChar w:fldCharType="end"/>
          </w:r>
        </w:p>
        <w:p>
          <w:pPr>
            <w:pStyle w:val="15"/>
            <w:tabs>
              <w:tab w:val="right" w:leader="dot" w:pos="9638"/>
            </w:tabs>
            <w:rPr>
              <w:rFonts w:ascii="仿宋" w:hAnsi="仿宋" w:eastAsia="仿宋" w:cs="仿宋"/>
              <w:b/>
              <w:bCs/>
              <w:snapToGrid w:val="0"/>
              <w:sz w:val="28"/>
              <w:szCs w:val="28"/>
            </w:rPr>
          </w:pPr>
          <w:r>
            <w:fldChar w:fldCharType="begin"/>
          </w:r>
          <w:r>
            <w:instrText xml:space="preserve"> HYPERLINK \l "_Toc5485" </w:instrText>
          </w:r>
          <w:r>
            <w:fldChar w:fldCharType="separate"/>
          </w:r>
          <w:r>
            <w:rPr>
              <w:rFonts w:hint="eastAsia" w:ascii="仿宋" w:hAnsi="仿宋" w:eastAsia="仿宋" w:cs="仿宋"/>
              <w:b/>
              <w:bCs/>
              <w:snapToGrid w:val="0"/>
              <w:sz w:val="28"/>
              <w:szCs w:val="28"/>
              <w:lang w:val="en-US"/>
            </w:rPr>
            <w:t>第六章  资格审查与评审标准</w:t>
          </w:r>
          <w:r>
            <w:rPr>
              <w:rFonts w:hint="eastAsia" w:ascii="仿宋" w:hAnsi="仿宋" w:eastAsia="仿宋" w:cs="仿宋"/>
              <w:b/>
              <w:bCs/>
              <w:snapToGrid w:val="0"/>
              <w:sz w:val="28"/>
              <w:szCs w:val="28"/>
            </w:rPr>
            <w:tab/>
          </w:r>
          <w:r>
            <w:rPr>
              <w:rFonts w:hint="eastAsia" w:ascii="仿宋" w:hAnsi="仿宋" w:eastAsia="仿宋" w:cs="仿宋"/>
              <w:b/>
              <w:bCs/>
              <w:snapToGrid w:val="0"/>
              <w:sz w:val="28"/>
              <w:szCs w:val="28"/>
            </w:rPr>
            <w:fldChar w:fldCharType="begin"/>
          </w:r>
          <w:r>
            <w:rPr>
              <w:rFonts w:hint="eastAsia" w:ascii="仿宋" w:hAnsi="仿宋" w:eastAsia="仿宋" w:cs="仿宋"/>
              <w:b/>
              <w:bCs/>
              <w:snapToGrid w:val="0"/>
              <w:sz w:val="28"/>
              <w:szCs w:val="28"/>
            </w:rPr>
            <w:instrText xml:space="preserve"> PAGEREF _Toc5485 \h </w:instrText>
          </w:r>
          <w:r>
            <w:rPr>
              <w:rFonts w:hint="eastAsia" w:ascii="仿宋" w:hAnsi="仿宋" w:eastAsia="仿宋" w:cs="仿宋"/>
              <w:b/>
              <w:bCs/>
              <w:snapToGrid w:val="0"/>
              <w:sz w:val="28"/>
              <w:szCs w:val="28"/>
            </w:rPr>
            <w:fldChar w:fldCharType="separate"/>
          </w:r>
          <w:r>
            <w:rPr>
              <w:rFonts w:hint="eastAsia" w:ascii="仿宋" w:hAnsi="仿宋" w:eastAsia="仿宋" w:cs="仿宋"/>
              <w:b/>
              <w:bCs/>
              <w:snapToGrid w:val="0"/>
              <w:sz w:val="28"/>
              <w:szCs w:val="28"/>
            </w:rPr>
            <w:t>34</w:t>
          </w:r>
          <w:r>
            <w:rPr>
              <w:rFonts w:hint="eastAsia" w:ascii="仿宋" w:hAnsi="仿宋" w:eastAsia="仿宋" w:cs="仿宋"/>
              <w:b/>
              <w:bCs/>
              <w:snapToGrid w:val="0"/>
              <w:sz w:val="28"/>
              <w:szCs w:val="28"/>
            </w:rPr>
            <w:fldChar w:fldCharType="end"/>
          </w:r>
          <w:r>
            <w:rPr>
              <w:rFonts w:hint="eastAsia" w:ascii="仿宋" w:hAnsi="仿宋" w:eastAsia="仿宋" w:cs="仿宋"/>
              <w:b/>
              <w:bCs/>
              <w:snapToGrid w:val="0"/>
              <w:sz w:val="28"/>
              <w:szCs w:val="28"/>
            </w:rPr>
            <w:fldChar w:fldCharType="end"/>
          </w:r>
        </w:p>
        <w:p>
          <w:pPr>
            <w:pStyle w:val="15"/>
            <w:tabs>
              <w:tab w:val="right" w:leader="dot" w:pos="9638"/>
            </w:tabs>
            <w:rPr>
              <w:rFonts w:ascii="仿宋" w:hAnsi="仿宋" w:eastAsia="仿宋" w:cs="仿宋"/>
              <w:snapToGrid w:val="0"/>
              <w:sz w:val="28"/>
              <w:szCs w:val="28"/>
              <w:lang w:val="en-US"/>
            </w:rPr>
          </w:pPr>
          <w:r>
            <w:fldChar w:fldCharType="begin"/>
          </w:r>
          <w:r>
            <w:instrText xml:space="preserve"> HYPERLINK \l "_Toc23879" </w:instrText>
          </w:r>
          <w:r>
            <w:fldChar w:fldCharType="separate"/>
          </w:r>
          <w:r>
            <w:rPr>
              <w:rFonts w:hint="eastAsia" w:ascii="仿宋" w:hAnsi="仿宋" w:eastAsia="仿宋" w:cs="仿宋"/>
              <w:b/>
              <w:bCs/>
              <w:snapToGrid w:val="0"/>
              <w:sz w:val="28"/>
              <w:szCs w:val="28"/>
              <w:lang w:val="en-US"/>
            </w:rPr>
            <w:t>第七章  投标文件格式</w:t>
          </w:r>
          <w:r>
            <w:rPr>
              <w:rFonts w:hint="eastAsia" w:ascii="仿宋" w:hAnsi="仿宋" w:eastAsia="仿宋" w:cs="仿宋"/>
              <w:b/>
              <w:bCs/>
              <w:snapToGrid w:val="0"/>
              <w:sz w:val="28"/>
              <w:szCs w:val="28"/>
            </w:rPr>
            <w:tab/>
          </w:r>
          <w:r>
            <w:rPr>
              <w:rFonts w:hint="eastAsia" w:ascii="仿宋" w:hAnsi="仿宋" w:eastAsia="仿宋" w:cs="仿宋"/>
              <w:b/>
              <w:bCs/>
              <w:snapToGrid w:val="0"/>
              <w:sz w:val="28"/>
              <w:szCs w:val="28"/>
              <w:lang w:val="en-US"/>
            </w:rPr>
            <w:t>3</w:t>
          </w:r>
          <w:r>
            <w:rPr>
              <w:rFonts w:hint="eastAsia" w:ascii="仿宋" w:hAnsi="仿宋" w:eastAsia="仿宋" w:cs="仿宋"/>
              <w:b/>
              <w:bCs/>
              <w:snapToGrid w:val="0"/>
              <w:sz w:val="28"/>
              <w:szCs w:val="28"/>
              <w:lang w:val="en-US"/>
            </w:rPr>
            <w:fldChar w:fldCharType="end"/>
          </w:r>
          <w:r>
            <w:rPr>
              <w:rFonts w:hint="eastAsia" w:ascii="仿宋" w:hAnsi="仿宋" w:eastAsia="仿宋" w:cs="仿宋"/>
              <w:b/>
              <w:bCs/>
              <w:snapToGrid w:val="0"/>
              <w:sz w:val="28"/>
              <w:szCs w:val="28"/>
              <w:lang w:val="en-US"/>
            </w:rPr>
            <w:t>7</w:t>
          </w:r>
        </w:p>
        <w:p>
          <w:pPr>
            <w:pStyle w:val="15"/>
            <w:tabs>
              <w:tab w:val="right" w:leader="dot" w:pos="9638"/>
            </w:tabs>
            <w:spacing w:line="480" w:lineRule="auto"/>
            <w:rPr>
              <w:rFonts w:ascii="仿宋" w:hAnsi="仿宋" w:eastAsia="仿宋" w:cs="仿宋"/>
              <w:snapToGrid w:val="0"/>
              <w:sz w:val="28"/>
              <w:szCs w:val="28"/>
            </w:rPr>
          </w:pPr>
        </w:p>
        <w:p>
          <w:pPr>
            <w:spacing w:line="480" w:lineRule="auto"/>
            <w:rPr>
              <w:rFonts w:ascii="仿宋" w:hAnsi="仿宋" w:eastAsia="仿宋" w:cs="仿宋"/>
              <w:snapToGrid w:val="0"/>
              <w:sz w:val="24"/>
              <w:szCs w:val="24"/>
              <w:lang w:val="en-US"/>
            </w:rPr>
            <w:sectPr>
              <w:pgSz w:w="11906" w:h="16838"/>
              <w:pgMar w:top="1134" w:right="1134" w:bottom="1134" w:left="1134" w:header="851" w:footer="992" w:gutter="0"/>
              <w:cols w:space="425" w:num="1"/>
              <w:docGrid w:type="lines" w:linePitch="312" w:charSpace="0"/>
            </w:sectPr>
          </w:pPr>
          <w:r>
            <w:rPr>
              <w:rFonts w:hint="eastAsia" w:ascii="仿宋" w:hAnsi="仿宋" w:eastAsia="仿宋" w:cs="仿宋"/>
              <w:snapToGrid w:val="0"/>
              <w:sz w:val="28"/>
              <w:szCs w:val="28"/>
              <w:lang w:val="en-US"/>
            </w:rPr>
            <w:fldChar w:fldCharType="end"/>
          </w:r>
        </w:p>
      </w:sdtContent>
    </w:sdt>
    <w:p>
      <w:pPr>
        <w:pStyle w:val="6"/>
        <w:spacing w:line="360" w:lineRule="auto"/>
        <w:ind w:left="0" w:leftChars="0"/>
        <w:jc w:val="center"/>
        <w:outlineLvl w:val="0"/>
        <w:rPr>
          <w:rFonts w:ascii="仿宋" w:hAnsi="仿宋" w:eastAsia="仿宋" w:cs="仿宋"/>
          <w:b/>
          <w:bCs/>
          <w:snapToGrid w:val="0"/>
          <w:sz w:val="32"/>
          <w:szCs w:val="32"/>
          <w:lang w:val="en-US"/>
        </w:rPr>
      </w:pPr>
      <w:bookmarkStart w:id="0" w:name="_Toc2308"/>
      <w:bookmarkStart w:id="1" w:name="_Toc7647"/>
      <w:r>
        <w:rPr>
          <w:rFonts w:hint="eastAsia" w:ascii="仿宋" w:hAnsi="仿宋" w:eastAsia="仿宋" w:cs="仿宋"/>
          <w:b/>
          <w:bCs/>
          <w:snapToGrid w:val="0"/>
          <w:sz w:val="32"/>
          <w:szCs w:val="32"/>
          <w:lang w:val="en-US"/>
        </w:rPr>
        <w:t>第一章  招标公告</w:t>
      </w:r>
      <w:bookmarkEnd w:id="0"/>
      <w:bookmarkEnd w:id="1"/>
    </w:p>
    <w:p>
      <w:pPr>
        <w:pStyle w:val="6"/>
        <w:spacing w:line="360" w:lineRule="auto"/>
        <w:ind w:left="0" w:leftChars="0"/>
        <w:rPr>
          <w:rFonts w:ascii="仿宋" w:hAnsi="仿宋" w:eastAsia="仿宋" w:cs="仿宋"/>
          <w:snapToGrid w:val="0"/>
          <w:sz w:val="24"/>
          <w:szCs w:val="24"/>
          <w:lang w:val="en-US"/>
        </w:rPr>
      </w:pPr>
      <w:bookmarkStart w:id="2" w:name="_Toc19673"/>
      <w:bookmarkStart w:id="3" w:name="_Toc3581"/>
      <w:r>
        <w:rPr>
          <w:rFonts w:hint="eastAsia" w:ascii="仿宋" w:hAnsi="仿宋" w:eastAsia="仿宋" w:cs="仿宋"/>
          <w:snapToGrid w:val="0"/>
          <w:sz w:val="24"/>
          <w:szCs w:val="24"/>
          <w:lang w:val="en-US"/>
        </w:rPr>
        <w:t>项目概况：</w:t>
      </w:r>
    </w:p>
    <w:p>
      <w:pPr>
        <w:pStyle w:val="6"/>
        <w:spacing w:line="360" w:lineRule="auto"/>
        <w:ind w:left="44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伊川县市场监督管理局伊川县2024年食品安全抽检采购项目的潜在投标人应在洛阳市公共资源交易中心网站（lyggzyjy.ly.gov.cn）获取招标文件，并于2024年5月21日上午09时30分（北京时间）前提交投标文件。</w:t>
      </w:r>
    </w:p>
    <w:p>
      <w:pPr>
        <w:pStyle w:val="6"/>
        <w:spacing w:line="336"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一、项目基本情况</w:t>
      </w:r>
      <w:bookmarkEnd w:id="2"/>
      <w:bookmarkEnd w:id="3"/>
    </w:p>
    <w:p>
      <w:pPr>
        <w:pStyle w:val="6"/>
        <w:spacing w:line="336" w:lineRule="auto"/>
        <w:ind w:left="0" w:leftChars="0" w:firstLine="480" w:firstLineChars="200"/>
        <w:rPr>
          <w:rFonts w:ascii="仿宋" w:hAnsi="仿宋" w:eastAsia="仿宋" w:cs="仿宋"/>
          <w:snapToGrid w:val="0"/>
          <w:sz w:val="24"/>
          <w:szCs w:val="24"/>
          <w:lang w:val="en-US"/>
        </w:rPr>
      </w:pPr>
      <w:bookmarkStart w:id="4" w:name="_Toc6838"/>
      <w:bookmarkStart w:id="5" w:name="_Toc27616"/>
      <w:r>
        <w:rPr>
          <w:rFonts w:hint="eastAsia" w:ascii="仿宋" w:hAnsi="仿宋" w:eastAsia="仿宋" w:cs="仿宋"/>
          <w:snapToGrid w:val="0"/>
          <w:sz w:val="24"/>
          <w:szCs w:val="24"/>
          <w:lang w:val="en-US"/>
        </w:rPr>
        <w:t>1、项目编号：</w:t>
      </w:r>
      <w:bookmarkEnd w:id="4"/>
      <w:bookmarkEnd w:id="5"/>
      <w:bookmarkStart w:id="6" w:name="_Toc6400"/>
      <w:bookmarkStart w:id="7" w:name="_Toc19750"/>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2、项目名称：</w:t>
      </w:r>
      <w:bookmarkEnd w:id="6"/>
      <w:bookmarkEnd w:id="7"/>
      <w:bookmarkStart w:id="8" w:name="_Toc14958"/>
      <w:bookmarkStart w:id="9" w:name="_Toc13426"/>
      <w:r>
        <w:rPr>
          <w:rFonts w:hint="eastAsia" w:ascii="仿宋" w:hAnsi="仿宋" w:eastAsia="仿宋" w:cs="仿宋"/>
          <w:snapToGrid w:val="0"/>
          <w:sz w:val="24"/>
          <w:szCs w:val="24"/>
          <w:lang w:val="en-US"/>
        </w:rPr>
        <w:t>伊川县市场监督管理局伊川县2024年食品安全抽检采购项目</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3、采购方式：公开招标</w:t>
      </w:r>
      <w:bookmarkEnd w:id="8"/>
      <w:bookmarkEnd w:id="9"/>
    </w:p>
    <w:p>
      <w:pPr>
        <w:pStyle w:val="6"/>
        <w:spacing w:line="336" w:lineRule="auto"/>
        <w:ind w:left="0" w:leftChars="0" w:firstLine="480" w:firstLineChars="200"/>
        <w:rPr>
          <w:rFonts w:ascii="仿宋" w:hAnsi="仿宋" w:eastAsia="仿宋" w:cs="仿宋"/>
          <w:snapToGrid w:val="0"/>
          <w:sz w:val="24"/>
          <w:szCs w:val="24"/>
          <w:lang w:val="en-US"/>
        </w:rPr>
      </w:pPr>
      <w:bookmarkStart w:id="10" w:name="_Toc9266"/>
      <w:bookmarkStart w:id="11" w:name="_Toc19112"/>
      <w:r>
        <w:rPr>
          <w:rFonts w:hint="eastAsia" w:ascii="仿宋" w:hAnsi="仿宋" w:eastAsia="仿宋" w:cs="仿宋"/>
          <w:snapToGrid w:val="0"/>
          <w:sz w:val="24"/>
          <w:szCs w:val="24"/>
          <w:lang w:val="en-US"/>
        </w:rPr>
        <w:t>4、预算金额：</w:t>
      </w:r>
      <w:bookmarkEnd w:id="10"/>
      <w:bookmarkEnd w:id="11"/>
      <w:r>
        <w:rPr>
          <w:rFonts w:hint="eastAsia" w:ascii="仿宋" w:hAnsi="仿宋" w:eastAsia="仿宋" w:cs="仿宋"/>
          <w:snapToGrid w:val="0"/>
          <w:sz w:val="24"/>
          <w:szCs w:val="24"/>
          <w:lang w:val="en-US"/>
        </w:rPr>
        <w:t>903000.00元</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最高限价：903000.00元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000"/>
        <w:gridCol w:w="2346"/>
        <w:gridCol w:w="1351"/>
        <w:gridCol w:w="1351"/>
        <w:gridCol w:w="1351"/>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707" w:type="dxa"/>
            <w:noWrap/>
          </w:tcPr>
          <w:p>
            <w:pPr>
              <w:pStyle w:val="51"/>
              <w:spacing w:line="216" w:lineRule="auto"/>
              <w:ind w:firstLine="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序号</w:t>
            </w:r>
          </w:p>
        </w:tc>
        <w:tc>
          <w:tcPr>
            <w:tcW w:w="1000" w:type="dxa"/>
            <w:noWrap/>
          </w:tcPr>
          <w:p>
            <w:pPr>
              <w:pStyle w:val="51"/>
              <w:spacing w:line="216" w:lineRule="auto"/>
              <w:ind w:firstLine="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包号</w:t>
            </w:r>
          </w:p>
        </w:tc>
        <w:tc>
          <w:tcPr>
            <w:tcW w:w="2346" w:type="dxa"/>
            <w:noWrap/>
          </w:tcPr>
          <w:p>
            <w:pPr>
              <w:pStyle w:val="51"/>
              <w:spacing w:line="216" w:lineRule="auto"/>
              <w:ind w:firstLine="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包名称</w:t>
            </w:r>
          </w:p>
        </w:tc>
        <w:tc>
          <w:tcPr>
            <w:tcW w:w="1351" w:type="dxa"/>
            <w:noWrap/>
          </w:tcPr>
          <w:p>
            <w:pPr>
              <w:pStyle w:val="51"/>
              <w:spacing w:line="216" w:lineRule="auto"/>
              <w:ind w:firstLine="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包预算（元）</w:t>
            </w:r>
          </w:p>
        </w:tc>
        <w:tc>
          <w:tcPr>
            <w:tcW w:w="1351" w:type="dxa"/>
            <w:noWrap/>
          </w:tcPr>
          <w:p>
            <w:pPr>
              <w:pStyle w:val="51"/>
              <w:spacing w:line="216" w:lineRule="auto"/>
              <w:ind w:firstLine="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包最高限价（元）</w:t>
            </w:r>
          </w:p>
        </w:tc>
        <w:tc>
          <w:tcPr>
            <w:tcW w:w="1351" w:type="dxa"/>
            <w:noWrap/>
          </w:tcPr>
          <w:p>
            <w:pPr>
              <w:pStyle w:val="51"/>
              <w:spacing w:line="216" w:lineRule="auto"/>
              <w:ind w:firstLine="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是否专门面向中小企业</w:t>
            </w:r>
          </w:p>
        </w:tc>
        <w:tc>
          <w:tcPr>
            <w:tcW w:w="1351" w:type="dxa"/>
            <w:noWrap/>
          </w:tcPr>
          <w:p>
            <w:pPr>
              <w:pStyle w:val="51"/>
              <w:spacing w:line="216" w:lineRule="auto"/>
              <w:ind w:firstLine="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7" w:type="dxa"/>
            <w:noWrap/>
            <w:vAlign w:val="center"/>
          </w:tcPr>
          <w:p>
            <w:pPr>
              <w:pStyle w:val="51"/>
              <w:spacing w:line="216" w:lineRule="auto"/>
              <w:ind w:firstLine="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w:t>
            </w:r>
          </w:p>
        </w:tc>
        <w:tc>
          <w:tcPr>
            <w:tcW w:w="1000" w:type="dxa"/>
            <w:noWrap/>
            <w:vAlign w:val="center"/>
          </w:tcPr>
          <w:p>
            <w:pPr>
              <w:pStyle w:val="51"/>
              <w:spacing w:line="216" w:lineRule="auto"/>
              <w:ind w:firstLine="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w:t>
            </w:r>
          </w:p>
        </w:tc>
        <w:tc>
          <w:tcPr>
            <w:tcW w:w="2346" w:type="dxa"/>
            <w:noWrap/>
          </w:tcPr>
          <w:p>
            <w:pPr>
              <w:pStyle w:val="51"/>
              <w:spacing w:line="216" w:lineRule="auto"/>
              <w:ind w:firstLine="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伊川县市场监督管理局伊川县2024年食品安全抽检采购项目</w:t>
            </w:r>
          </w:p>
        </w:tc>
        <w:tc>
          <w:tcPr>
            <w:tcW w:w="1351" w:type="dxa"/>
            <w:noWrap/>
            <w:vAlign w:val="center"/>
          </w:tcPr>
          <w:p>
            <w:pPr>
              <w:pStyle w:val="51"/>
              <w:spacing w:line="216" w:lineRule="auto"/>
              <w:ind w:firstLine="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903000.00</w:t>
            </w:r>
          </w:p>
        </w:tc>
        <w:tc>
          <w:tcPr>
            <w:tcW w:w="1351" w:type="dxa"/>
            <w:noWrap/>
            <w:vAlign w:val="center"/>
          </w:tcPr>
          <w:p>
            <w:pPr>
              <w:pStyle w:val="51"/>
              <w:spacing w:line="216" w:lineRule="auto"/>
              <w:ind w:firstLine="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903000.00</w:t>
            </w:r>
          </w:p>
        </w:tc>
        <w:tc>
          <w:tcPr>
            <w:tcW w:w="1351" w:type="dxa"/>
            <w:noWrap/>
            <w:vAlign w:val="center"/>
          </w:tcPr>
          <w:p>
            <w:pPr>
              <w:pStyle w:val="51"/>
              <w:spacing w:line="216" w:lineRule="auto"/>
              <w:ind w:firstLine="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是</w:t>
            </w:r>
          </w:p>
        </w:tc>
        <w:tc>
          <w:tcPr>
            <w:tcW w:w="1351" w:type="dxa"/>
            <w:noWrap/>
            <w:vAlign w:val="center"/>
          </w:tcPr>
          <w:p>
            <w:pPr>
              <w:pStyle w:val="51"/>
              <w:spacing w:line="216" w:lineRule="auto"/>
              <w:ind w:firstLine="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903000.00</w:t>
            </w:r>
          </w:p>
        </w:tc>
      </w:tr>
    </w:tbl>
    <w:p>
      <w:pPr>
        <w:pStyle w:val="6"/>
        <w:spacing w:line="336" w:lineRule="auto"/>
        <w:ind w:left="0" w:leftChars="0" w:firstLine="480" w:firstLineChars="200"/>
        <w:rPr>
          <w:rFonts w:ascii="仿宋" w:hAnsi="仿宋" w:eastAsia="仿宋" w:cs="仿宋"/>
          <w:snapToGrid w:val="0"/>
          <w:sz w:val="24"/>
          <w:szCs w:val="24"/>
          <w:lang w:val="en-US"/>
        </w:rPr>
      </w:pPr>
      <w:bookmarkStart w:id="12" w:name="_Toc7015"/>
      <w:bookmarkStart w:id="13" w:name="_Toc21488"/>
      <w:r>
        <w:rPr>
          <w:rFonts w:hint="eastAsia" w:ascii="仿宋" w:hAnsi="仿宋" w:eastAsia="仿宋" w:cs="仿宋"/>
          <w:snapToGrid w:val="0"/>
          <w:sz w:val="24"/>
          <w:szCs w:val="24"/>
          <w:lang w:val="en-US"/>
        </w:rPr>
        <w:t>5、采购需求（包括但不限于标的的名称、数量、简要技术需求或服务要求等）：</w:t>
      </w:r>
      <w:bookmarkEnd w:id="12"/>
      <w:bookmarkEnd w:id="13"/>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5.1、本项目为伊川县市场监督管理局伊川县2024年食品安全抽检采购项目，具体内容详见招标文件。</w:t>
      </w:r>
    </w:p>
    <w:p>
      <w:pPr>
        <w:pStyle w:val="6"/>
        <w:spacing w:line="336" w:lineRule="auto"/>
        <w:ind w:left="0" w:leftChars="0" w:firstLine="480" w:firstLineChars="200"/>
        <w:rPr>
          <w:lang w:val="en-US"/>
        </w:rPr>
      </w:pPr>
      <w:r>
        <w:rPr>
          <w:rFonts w:hint="eastAsia" w:ascii="仿宋" w:hAnsi="仿宋" w:eastAsia="仿宋" w:cs="仿宋"/>
          <w:snapToGrid w:val="0"/>
          <w:sz w:val="24"/>
          <w:szCs w:val="24"/>
          <w:lang w:val="en-US"/>
        </w:rPr>
        <w:t>5.2、服务要求：符合国家、省、市或行业相关最新规定标准；</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5.3、服务期：一年（具体时间按本项目工作计划为准）；</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5.4、资金来源：财政资金。</w:t>
      </w:r>
    </w:p>
    <w:p>
      <w:pPr>
        <w:pStyle w:val="6"/>
        <w:spacing w:line="336" w:lineRule="auto"/>
        <w:ind w:left="0" w:leftChars="0" w:firstLine="480" w:firstLineChars="200"/>
        <w:rPr>
          <w:lang w:val="en-US"/>
        </w:rPr>
      </w:pPr>
      <w:r>
        <w:rPr>
          <w:rFonts w:hint="eastAsia" w:ascii="仿宋" w:hAnsi="仿宋" w:eastAsia="仿宋" w:cs="仿宋"/>
          <w:snapToGrid w:val="0"/>
          <w:sz w:val="24"/>
          <w:szCs w:val="24"/>
          <w:lang w:val="en-US"/>
        </w:rPr>
        <w:t>5.5、标段划分：本次采购共1包。</w:t>
      </w:r>
      <w:r>
        <w:rPr>
          <w:rFonts w:hint="eastAsia" w:ascii="仿宋" w:hAnsi="仿宋" w:eastAsia="仿宋" w:cs="仿宋"/>
          <w:snapToGrid w:val="0"/>
          <w:sz w:val="24"/>
          <w:szCs w:val="24"/>
          <w:lang w:val="en-US"/>
        </w:rPr>
        <w:tab/>
      </w:r>
    </w:p>
    <w:p>
      <w:pPr>
        <w:pStyle w:val="6"/>
        <w:spacing w:line="336" w:lineRule="auto"/>
        <w:ind w:left="0" w:leftChars="0" w:firstLine="480" w:firstLineChars="200"/>
        <w:rPr>
          <w:rFonts w:ascii="仿宋" w:hAnsi="仿宋" w:eastAsia="仿宋" w:cs="仿宋"/>
          <w:snapToGrid w:val="0"/>
          <w:sz w:val="24"/>
          <w:szCs w:val="24"/>
          <w:lang w:val="en-US"/>
        </w:rPr>
      </w:pPr>
      <w:bookmarkStart w:id="14" w:name="_Toc32378"/>
      <w:bookmarkStart w:id="15" w:name="_Toc2137"/>
      <w:r>
        <w:rPr>
          <w:rFonts w:hint="eastAsia" w:ascii="仿宋" w:hAnsi="仿宋" w:eastAsia="仿宋" w:cs="仿宋"/>
          <w:snapToGrid w:val="0"/>
          <w:sz w:val="24"/>
          <w:szCs w:val="24"/>
          <w:lang w:val="en-US"/>
        </w:rPr>
        <w:t>6、合同履行期限：同服务期</w:t>
      </w:r>
    </w:p>
    <w:p>
      <w:pPr>
        <w:pStyle w:val="6"/>
        <w:spacing w:line="336" w:lineRule="auto"/>
        <w:ind w:left="0" w:leftChars="0" w:firstLine="480" w:firstLineChars="200"/>
        <w:rPr>
          <w:rFonts w:ascii="仿宋" w:hAnsi="仿宋" w:eastAsia="仿宋" w:cs="仿宋"/>
          <w:snapToGrid w:val="0"/>
          <w:sz w:val="24"/>
          <w:szCs w:val="24"/>
          <w:lang w:val="en-US"/>
        </w:rPr>
      </w:pPr>
      <w:bookmarkStart w:id="16" w:name="_Toc6937"/>
      <w:bookmarkStart w:id="17" w:name="_Toc17044"/>
      <w:r>
        <w:rPr>
          <w:rFonts w:hint="eastAsia" w:ascii="仿宋" w:hAnsi="仿宋" w:eastAsia="仿宋" w:cs="仿宋"/>
          <w:snapToGrid w:val="0"/>
          <w:sz w:val="24"/>
          <w:szCs w:val="24"/>
          <w:lang w:val="en-US"/>
        </w:rPr>
        <w:t>7、本项目是否接受联合体投标：否</w:t>
      </w:r>
      <w:bookmarkEnd w:id="16"/>
      <w:bookmarkEnd w:id="17"/>
      <w:r>
        <w:rPr>
          <w:rFonts w:hint="eastAsia" w:ascii="仿宋" w:hAnsi="仿宋" w:eastAsia="仿宋" w:cs="仿宋"/>
          <w:snapToGrid w:val="0"/>
          <w:sz w:val="24"/>
          <w:szCs w:val="24"/>
          <w:lang w:val="en-US"/>
        </w:rPr>
        <w:tab/>
      </w:r>
    </w:p>
    <w:p>
      <w:pPr>
        <w:pStyle w:val="6"/>
        <w:spacing w:line="336" w:lineRule="auto"/>
        <w:ind w:left="0" w:leftChars="0" w:firstLine="480" w:firstLineChars="200"/>
        <w:rPr>
          <w:rFonts w:ascii="仿宋" w:hAnsi="仿宋" w:eastAsia="仿宋" w:cs="仿宋"/>
          <w:snapToGrid w:val="0"/>
          <w:sz w:val="24"/>
          <w:szCs w:val="24"/>
          <w:lang w:val="en-US"/>
        </w:rPr>
      </w:pPr>
      <w:bookmarkStart w:id="18" w:name="_Toc14261"/>
      <w:bookmarkStart w:id="19" w:name="_Toc3186"/>
      <w:r>
        <w:rPr>
          <w:rFonts w:hint="eastAsia" w:ascii="仿宋" w:hAnsi="仿宋" w:eastAsia="仿宋" w:cs="仿宋"/>
          <w:snapToGrid w:val="0"/>
          <w:sz w:val="24"/>
          <w:szCs w:val="24"/>
          <w:lang w:val="en-US"/>
        </w:rPr>
        <w:t>8、是否接受进口产品：否</w:t>
      </w:r>
      <w:bookmarkEnd w:id="18"/>
      <w:bookmarkEnd w:id="19"/>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9、是否专门面向中小企业：是</w:t>
      </w:r>
    </w:p>
    <w:p>
      <w:pPr>
        <w:pStyle w:val="6"/>
        <w:spacing w:line="336"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二、申请人资格要求</w:t>
      </w:r>
      <w:bookmarkEnd w:id="14"/>
      <w:bookmarkEnd w:id="15"/>
      <w:bookmarkStart w:id="20" w:name="_Toc30800"/>
      <w:bookmarkStart w:id="21" w:name="_Toc1426"/>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1、满足《中华人民共和国政府采购法》第二十二条规定；</w:t>
      </w:r>
      <w:bookmarkEnd w:id="20"/>
      <w:bookmarkEnd w:id="21"/>
    </w:p>
    <w:p>
      <w:pPr>
        <w:pStyle w:val="6"/>
        <w:spacing w:line="336" w:lineRule="auto"/>
        <w:ind w:left="0" w:leftChars="0" w:firstLine="480" w:firstLineChars="200"/>
        <w:rPr>
          <w:rFonts w:ascii="仿宋" w:hAnsi="仿宋" w:eastAsia="仿宋" w:cs="仿宋"/>
          <w:snapToGrid w:val="0"/>
          <w:sz w:val="24"/>
          <w:szCs w:val="24"/>
          <w:lang w:val="en-US"/>
        </w:rPr>
      </w:pPr>
      <w:bookmarkStart w:id="22" w:name="_Toc717"/>
      <w:bookmarkStart w:id="23" w:name="_Toc29833"/>
      <w:r>
        <w:rPr>
          <w:rFonts w:hint="eastAsia" w:ascii="仿宋" w:hAnsi="仿宋" w:eastAsia="仿宋" w:cs="仿宋"/>
          <w:snapToGrid w:val="0"/>
          <w:sz w:val="24"/>
          <w:szCs w:val="24"/>
          <w:lang w:val="en-US"/>
        </w:rPr>
        <w:t>2、落实政府采购政策满足的资格要求：</w:t>
      </w:r>
      <w:bookmarkEnd w:id="22"/>
      <w:bookmarkEnd w:id="23"/>
    </w:p>
    <w:p>
      <w:pPr>
        <w:spacing w:line="336" w:lineRule="auto"/>
        <w:ind w:firstLine="480" w:firstLineChars="200"/>
        <w:rPr>
          <w:rFonts w:ascii="仿宋" w:hAnsi="仿宋" w:eastAsia="仿宋" w:cs="仿宋"/>
          <w:snapToGrid w:val="0"/>
          <w:sz w:val="24"/>
          <w:szCs w:val="24"/>
          <w:lang w:val="en-US"/>
        </w:rPr>
      </w:pPr>
      <w:bookmarkStart w:id="24" w:name="_Toc1567"/>
      <w:bookmarkStart w:id="25" w:name="_Toc5466"/>
      <w:r>
        <w:rPr>
          <w:rFonts w:hint="eastAsia" w:ascii="仿宋" w:hAnsi="仿宋" w:eastAsia="仿宋" w:cs="仿宋"/>
          <w:snapToGrid w:val="0"/>
          <w:sz w:val="24"/>
          <w:szCs w:val="24"/>
          <w:lang w:val="en-US"/>
        </w:rPr>
        <w:t>（1）本项目面向中小微企业（监狱企业、残疾人福利性单位，节约能源，保护环境，落实绿色建筑、绿色建材，扶持不发达、少数民族地区的企业，促进自主创新产业发展，支持脱贫攻坚。</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根据豫财办[2020]33号文件要求，参加政府采购项目的中小微企业供应商，持中标(成交)通知书可向金融机构申请合同融资。详情请登录河南省政府采购网(http://www.hngp.gov.cn/)，进入网站飘窗或业务指南窗口了解金融机构提供的融资服务内容。</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（3）中小企业划分标准所属行业为：本项目采购标的对应的中小企业划分标准所属行业为其他未列明行业。</w:t>
      </w:r>
    </w:p>
    <w:p>
      <w:pPr>
        <w:pStyle w:val="6"/>
        <w:spacing w:line="336"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3、本项目的特定资格要求：</w:t>
      </w:r>
      <w:bookmarkEnd w:id="24"/>
      <w:bookmarkEnd w:id="25"/>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3.1、投标人须具有独立法人资格，持有有效的营业执照或事业单位法人证书；（须在投标文件中附证明资料的扫描件，并加盖单位公章。）</w:t>
      </w:r>
    </w:p>
    <w:p>
      <w:pPr>
        <w:pStyle w:val="6"/>
        <w:spacing w:line="336" w:lineRule="auto"/>
        <w:ind w:left="0" w:leftChars="0" w:firstLine="480" w:firstLineChars="200"/>
        <w:rPr>
          <w:rFonts w:ascii="仿宋" w:hAnsi="仿宋" w:eastAsia="仿宋" w:cs="仿宋"/>
          <w:snapToGrid w:val="0"/>
          <w:sz w:val="24"/>
          <w:szCs w:val="24"/>
          <w:lang w:val="en-US"/>
        </w:rPr>
      </w:pPr>
      <w:bookmarkStart w:id="26" w:name="_Toc17445"/>
      <w:bookmarkStart w:id="27" w:name="_Toc13386"/>
      <w:r>
        <w:rPr>
          <w:rFonts w:hint="eastAsia" w:ascii="仿宋" w:hAnsi="仿宋" w:eastAsia="仿宋" w:cs="仿宋"/>
          <w:snapToGrid w:val="0"/>
          <w:sz w:val="24"/>
          <w:szCs w:val="24"/>
          <w:lang w:val="en-US"/>
        </w:rPr>
        <w:t xml:space="preserve">3.2 投标人须具有有效的检验检测机构资质认定证书（CMA）（须在投标文件中附以上证书原件的扫描件，并加盖单位公章。） </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3.3、根据洛财购〔2021〕11号《洛阳市财政局关于推行政府采购信用承诺制的通知》，供应商须提供洛阳市政府采购供应商信用承诺函（详见响应文件格式），采购人有权在签订合同前要求中标供应商提供相关证明材料以核实中标供应商承诺事项的真实性。</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3.4、本项目不接受联合体投标，单位负责人为同一人或者存在控股、管理关系的不同单位，不得同时对本项目投标；</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3.5、本次招标实行资格后审，资格审查的具体要求见招标文件。资格审查不合格的投标人投标文件将按无效标处理。</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三、获取招标文件</w:t>
      </w:r>
      <w:bookmarkEnd w:id="26"/>
      <w:bookmarkEnd w:id="27"/>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1、时间：2024年4月29日至2024年5月8日，每天上午00:00至12:00，下午12:00至23:59（北京时间，法定节假日除外。）</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2、地点：洛阳市公共资源交易中心网站（lyggzyjy.ly.gov.cn）</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方式：洛阳市公共资源交易中心网站（lyggzyjy.ly.gov.cn）上获取。请在“洛阳市电子招投标交易平台（http://lyggzyjy.ly.gov.cn/TPBidder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4、售价：0元</w:t>
      </w:r>
    </w:p>
    <w:p>
      <w:pPr>
        <w:pStyle w:val="6"/>
        <w:spacing w:line="336" w:lineRule="auto"/>
        <w:ind w:left="0" w:leftChars="0" w:firstLine="482" w:firstLineChars="200"/>
        <w:rPr>
          <w:rFonts w:ascii="仿宋" w:hAnsi="仿宋" w:eastAsia="仿宋" w:cs="仿宋"/>
          <w:b/>
          <w:bCs/>
          <w:snapToGrid w:val="0"/>
          <w:sz w:val="24"/>
          <w:szCs w:val="24"/>
          <w:lang w:val="en-US"/>
        </w:rPr>
      </w:pPr>
      <w:bookmarkStart w:id="28" w:name="_Toc13536"/>
      <w:bookmarkStart w:id="29" w:name="_Toc24568"/>
      <w:r>
        <w:rPr>
          <w:rFonts w:hint="eastAsia" w:ascii="仿宋" w:hAnsi="仿宋" w:eastAsia="仿宋" w:cs="仿宋"/>
          <w:b/>
          <w:bCs/>
          <w:snapToGrid w:val="0"/>
          <w:sz w:val="24"/>
          <w:szCs w:val="24"/>
          <w:lang w:val="en-US"/>
        </w:rPr>
        <w:t>四、投标截止时间及地点</w:t>
      </w:r>
      <w:bookmarkEnd w:id="28"/>
      <w:bookmarkEnd w:id="29"/>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1、时间：2024年5月21日09时30分（北京时间）</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地点：洛阳市公共资源交易中心网站（lyggzyjy.ly.gov.cn）。获取招标（采购）文件后，请下载并安装最新版本投标文件制作工具，制作电子投标（响应）文件，在投标截止时间前，上传加密的投标（响应）文件。投标人未在投标截止时间前完成上传的，视为逾期送达，洛阳市电子招投标交易平台将拒绝接收。</w:t>
      </w:r>
    </w:p>
    <w:p>
      <w:pPr>
        <w:pStyle w:val="6"/>
        <w:spacing w:line="336" w:lineRule="auto"/>
        <w:ind w:left="0" w:leftChars="0" w:firstLine="482" w:firstLineChars="200"/>
        <w:rPr>
          <w:rFonts w:ascii="仿宋" w:hAnsi="仿宋" w:eastAsia="仿宋" w:cs="仿宋"/>
          <w:b/>
          <w:bCs/>
          <w:snapToGrid w:val="0"/>
          <w:sz w:val="24"/>
          <w:szCs w:val="24"/>
          <w:lang w:val="en-US"/>
        </w:rPr>
      </w:pPr>
      <w:bookmarkStart w:id="30" w:name="_Toc23951"/>
      <w:bookmarkStart w:id="31" w:name="_Toc6666"/>
      <w:r>
        <w:rPr>
          <w:rFonts w:hint="eastAsia" w:ascii="仿宋" w:hAnsi="仿宋" w:eastAsia="仿宋" w:cs="仿宋"/>
          <w:b/>
          <w:bCs/>
          <w:snapToGrid w:val="0"/>
          <w:sz w:val="24"/>
          <w:szCs w:val="24"/>
          <w:lang w:val="en-US"/>
        </w:rPr>
        <w:t>五、开标时间及地点</w:t>
      </w:r>
      <w:bookmarkEnd w:id="30"/>
      <w:bookmarkEnd w:id="31"/>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1、时间：2024年5月21日09时30分（北京时间）</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地点：伊川县公共资源交易中心开标一室。本项目采用远程不见面交易的模式，开标当日，投标人无需到现场参加开标会议，应在投标截止时间前，登录“不见面开标大厅”，在线准时参加开标活动并进行投标（响应）文件解密等。因投标人原因未能解密或解密失败的将被拒绝。详见洛阳市公共资源交易中心网站-办事指南内的“洛阳市公共资源交易中心不见面开标大厅操作手册（投标人）”。除电子投标（响应）文件外，投标时不再接受任何纸质文件、资料等。</w:t>
      </w:r>
    </w:p>
    <w:p>
      <w:pPr>
        <w:pStyle w:val="6"/>
        <w:spacing w:line="336" w:lineRule="auto"/>
        <w:ind w:left="0" w:leftChars="0" w:firstLine="482" w:firstLineChars="200"/>
        <w:rPr>
          <w:rFonts w:ascii="仿宋" w:hAnsi="仿宋" w:eastAsia="仿宋" w:cs="仿宋"/>
          <w:b/>
          <w:bCs/>
          <w:snapToGrid w:val="0"/>
          <w:sz w:val="24"/>
          <w:szCs w:val="24"/>
          <w:lang w:val="en-US"/>
        </w:rPr>
      </w:pPr>
      <w:bookmarkStart w:id="32" w:name="_Toc30823"/>
      <w:bookmarkStart w:id="33" w:name="_Toc14674"/>
      <w:r>
        <w:rPr>
          <w:rFonts w:hint="eastAsia" w:ascii="仿宋" w:hAnsi="仿宋" w:eastAsia="仿宋" w:cs="仿宋"/>
          <w:b/>
          <w:bCs/>
          <w:snapToGrid w:val="0"/>
          <w:sz w:val="24"/>
          <w:szCs w:val="24"/>
          <w:lang w:val="en-US"/>
        </w:rPr>
        <w:t>六、发布公告的媒介及招标公告期限</w:t>
      </w:r>
      <w:bookmarkEnd w:id="32"/>
      <w:bookmarkEnd w:id="33"/>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本次招标公告在《河南省（洛阳市）政府采购网》和《洛阳市公共资源交易中心网》网站上发布，招标公告期限为五个工作日。</w:t>
      </w:r>
    </w:p>
    <w:p>
      <w:pPr>
        <w:pStyle w:val="6"/>
        <w:spacing w:line="336" w:lineRule="auto"/>
        <w:ind w:left="0" w:leftChars="0" w:firstLine="482" w:firstLineChars="200"/>
        <w:rPr>
          <w:rFonts w:ascii="仿宋" w:hAnsi="仿宋" w:eastAsia="仿宋" w:cs="仿宋"/>
          <w:b/>
          <w:bCs/>
          <w:snapToGrid w:val="0"/>
          <w:sz w:val="24"/>
          <w:szCs w:val="24"/>
          <w:lang w:val="en-US"/>
        </w:rPr>
      </w:pPr>
      <w:bookmarkStart w:id="34" w:name="_Toc25891"/>
      <w:bookmarkStart w:id="35" w:name="_Toc22512"/>
      <w:r>
        <w:rPr>
          <w:rFonts w:hint="eastAsia" w:ascii="仿宋" w:hAnsi="仿宋" w:eastAsia="仿宋" w:cs="仿宋"/>
          <w:b/>
          <w:bCs/>
          <w:snapToGrid w:val="0"/>
          <w:sz w:val="24"/>
          <w:szCs w:val="24"/>
          <w:lang w:val="en-US"/>
        </w:rPr>
        <w:t>七、其他补充事宜</w:t>
      </w:r>
      <w:bookmarkEnd w:id="34"/>
      <w:bookmarkEnd w:id="35"/>
    </w:p>
    <w:p>
      <w:pPr>
        <w:pStyle w:val="6"/>
        <w:spacing w:line="336" w:lineRule="auto"/>
        <w:ind w:left="0" w:leftChars="0" w:firstLine="480" w:firstLineChars="200"/>
        <w:rPr>
          <w:rFonts w:ascii="仿宋" w:hAnsi="仿宋" w:eastAsia="仿宋" w:cs="仿宋"/>
          <w:snapToGrid w:val="0"/>
          <w:sz w:val="24"/>
          <w:szCs w:val="24"/>
          <w:lang w:val="en-US"/>
        </w:rPr>
      </w:pPr>
      <w:bookmarkStart w:id="36" w:name="_Toc11860"/>
      <w:bookmarkStart w:id="37" w:name="_Toc7403"/>
      <w:r>
        <w:rPr>
          <w:rFonts w:hint="eastAsia" w:ascii="仿宋" w:hAnsi="仿宋" w:eastAsia="仿宋" w:cs="仿宋"/>
          <w:snapToGrid w:val="0"/>
          <w:sz w:val="24"/>
          <w:szCs w:val="24"/>
          <w:lang w:val="en-US"/>
        </w:rPr>
        <w:t xml:space="preserve">1、本项目招标代理服务费由中标人向招标代理机构缴纳； </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2、投标人在参与本项目招标采购活动期间应及时关注相关网站获取相关澄清或变更等信息（如果有）。</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3.监管部门：伊川县财政局</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监管部门联系人：伊川县财政局</w:t>
      </w:r>
    </w:p>
    <w:p>
      <w:pPr>
        <w:pStyle w:val="6"/>
        <w:spacing w:line="336" w:lineRule="auto"/>
        <w:ind w:left="0" w:leftChars="0" w:firstLine="480" w:firstLineChars="200"/>
        <w:rPr>
          <w:rFonts w:eastAsia="仿宋"/>
          <w:lang w:val="en-US"/>
        </w:rPr>
      </w:pPr>
      <w:r>
        <w:rPr>
          <w:rFonts w:hint="eastAsia" w:ascii="仿宋" w:hAnsi="仿宋" w:eastAsia="仿宋" w:cs="仿宋"/>
          <w:snapToGrid w:val="0"/>
          <w:sz w:val="24"/>
          <w:szCs w:val="24"/>
          <w:lang w:val="en-US"/>
        </w:rPr>
        <w:t>监管部门联系方式：0379-68365915</w:t>
      </w:r>
    </w:p>
    <w:p>
      <w:pPr>
        <w:pStyle w:val="6"/>
        <w:spacing w:line="336"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八、凡是对本次招标提出询问，请按照以下方式联系</w:t>
      </w:r>
      <w:bookmarkEnd w:id="36"/>
      <w:bookmarkEnd w:id="37"/>
    </w:p>
    <w:p>
      <w:pPr>
        <w:pStyle w:val="6"/>
        <w:spacing w:line="336" w:lineRule="auto"/>
        <w:ind w:left="0" w:leftChars="0" w:firstLine="480" w:firstLineChars="200"/>
        <w:rPr>
          <w:rFonts w:ascii="仿宋" w:hAnsi="仿宋" w:eastAsia="仿宋" w:cs="仿宋"/>
          <w:snapToGrid w:val="0"/>
          <w:sz w:val="24"/>
          <w:szCs w:val="24"/>
          <w:lang w:val="en-US"/>
        </w:rPr>
      </w:pPr>
      <w:bookmarkStart w:id="38" w:name="_Toc3846"/>
      <w:bookmarkStart w:id="39" w:name="_Toc26855"/>
      <w:r>
        <w:rPr>
          <w:rFonts w:hint="eastAsia" w:ascii="仿宋" w:hAnsi="仿宋" w:eastAsia="仿宋" w:cs="仿宋"/>
          <w:snapToGrid w:val="0"/>
          <w:sz w:val="24"/>
          <w:szCs w:val="24"/>
          <w:lang w:val="en-US"/>
        </w:rPr>
        <w:t>1、招标人信息</w:t>
      </w:r>
      <w:bookmarkEnd w:id="38"/>
      <w:bookmarkEnd w:id="39"/>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名称：伊川县市场监督管理局</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地址：伊川县立奇商务大厦A区7楼</w:t>
      </w:r>
    </w:p>
    <w:p>
      <w:pPr>
        <w:pStyle w:val="6"/>
        <w:spacing w:line="336" w:lineRule="auto"/>
        <w:ind w:left="0" w:leftChars="0" w:firstLine="480" w:firstLineChars="200"/>
        <w:rPr>
          <w:rFonts w:ascii="仿宋" w:hAnsi="仿宋" w:eastAsia="仿宋" w:cs="仿宋"/>
          <w:snapToGrid w:val="0"/>
          <w:sz w:val="24"/>
          <w:szCs w:val="24"/>
          <w:lang w:val="en-US"/>
        </w:rPr>
      </w:pPr>
      <w:bookmarkStart w:id="40" w:name="_Toc8982"/>
      <w:bookmarkStart w:id="41" w:name="_Toc4489"/>
      <w:r>
        <w:rPr>
          <w:rFonts w:hint="eastAsia" w:ascii="仿宋" w:hAnsi="仿宋" w:eastAsia="仿宋" w:cs="仿宋"/>
          <w:snapToGrid w:val="0"/>
          <w:sz w:val="24"/>
          <w:szCs w:val="24"/>
          <w:lang w:val="en-US"/>
        </w:rPr>
        <w:t xml:space="preserve">联系人：付先生  </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电话：13938850503</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2、招标代理机构信息</w:t>
      </w:r>
      <w:bookmarkEnd w:id="40"/>
      <w:bookmarkEnd w:id="41"/>
    </w:p>
    <w:p>
      <w:pPr>
        <w:pStyle w:val="6"/>
        <w:spacing w:line="336" w:lineRule="auto"/>
        <w:ind w:left="0" w:leftChars="0" w:firstLine="480" w:firstLineChars="200"/>
        <w:rPr>
          <w:rFonts w:ascii="仿宋" w:hAnsi="仿宋" w:eastAsia="仿宋" w:cs="仿宋"/>
          <w:snapToGrid w:val="0"/>
          <w:sz w:val="24"/>
          <w:szCs w:val="24"/>
          <w:lang w:val="en-US"/>
        </w:rPr>
      </w:pPr>
      <w:bookmarkStart w:id="42" w:name="_Toc3409"/>
      <w:bookmarkStart w:id="43" w:name="_Toc20453"/>
      <w:r>
        <w:rPr>
          <w:rFonts w:hint="eastAsia" w:ascii="仿宋" w:hAnsi="仿宋" w:eastAsia="仿宋" w:cs="仿宋"/>
          <w:snapToGrid w:val="0"/>
          <w:sz w:val="24"/>
          <w:szCs w:val="24"/>
          <w:lang w:val="en-US"/>
        </w:rPr>
        <w:t>名称：河南衡霄工程管理有限公司</w:t>
      </w:r>
    </w:p>
    <w:bookmarkEnd w:id="42"/>
    <w:bookmarkEnd w:id="43"/>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地址：洛阳市洛龙区顺兴信息通信产业园11号楼C座1301</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联系人：赵工</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电话：0379-63636336、15837968559</w:t>
      </w:r>
    </w:p>
    <w:p>
      <w:pPr>
        <w:pStyle w:val="6"/>
        <w:spacing w:line="336" w:lineRule="auto"/>
        <w:ind w:left="0" w:leftChars="0" w:firstLine="480" w:firstLineChars="200"/>
        <w:jc w:val="right"/>
        <w:rPr>
          <w:rFonts w:ascii="仿宋" w:hAnsi="仿宋" w:eastAsia="仿宋" w:cs="仿宋"/>
          <w:snapToGrid w:val="0"/>
          <w:color w:val="0000FF"/>
          <w:sz w:val="24"/>
          <w:szCs w:val="24"/>
          <w:lang w:val="en-US"/>
        </w:rPr>
      </w:pPr>
    </w:p>
    <w:p>
      <w:pPr>
        <w:pStyle w:val="6"/>
        <w:spacing w:line="336" w:lineRule="auto"/>
        <w:ind w:left="0" w:leftChars="0" w:firstLine="480" w:firstLineChars="200"/>
        <w:jc w:val="right"/>
        <w:rPr>
          <w:rFonts w:ascii="仿宋" w:hAnsi="仿宋" w:eastAsia="仿宋" w:cs="仿宋"/>
          <w:b/>
          <w:bCs/>
          <w:snapToGrid w:val="0"/>
          <w:sz w:val="32"/>
          <w:szCs w:val="32"/>
          <w:lang w:val="en-US"/>
        </w:rPr>
      </w:pPr>
      <w:r>
        <w:rPr>
          <w:rFonts w:hint="eastAsia" w:ascii="仿宋" w:hAnsi="仿宋" w:eastAsia="仿宋" w:cs="仿宋"/>
          <w:snapToGrid w:val="0"/>
          <w:sz w:val="24"/>
          <w:szCs w:val="24"/>
          <w:lang w:val="en-US"/>
        </w:rPr>
        <w:t>2024年4月28日</w:t>
      </w:r>
      <w:bookmarkStart w:id="44" w:name="_Toc27346"/>
      <w:bookmarkStart w:id="45" w:name="_Toc30448"/>
    </w:p>
    <w:p>
      <w:pPr>
        <w:rPr>
          <w:rFonts w:ascii="仿宋" w:hAnsi="仿宋" w:eastAsia="仿宋" w:cs="仿宋"/>
          <w:b/>
          <w:bCs/>
          <w:snapToGrid w:val="0"/>
          <w:sz w:val="32"/>
          <w:szCs w:val="32"/>
          <w:lang w:val="en-US"/>
        </w:rPr>
      </w:pPr>
      <w:r>
        <w:rPr>
          <w:rFonts w:hint="eastAsia" w:ascii="仿宋" w:hAnsi="仿宋" w:eastAsia="仿宋" w:cs="仿宋"/>
          <w:b/>
          <w:bCs/>
          <w:snapToGrid w:val="0"/>
          <w:sz w:val="32"/>
          <w:szCs w:val="32"/>
          <w:lang w:val="en-US"/>
        </w:rPr>
        <w:br w:type="page"/>
      </w:r>
    </w:p>
    <w:p>
      <w:pPr>
        <w:pStyle w:val="6"/>
        <w:spacing w:line="360" w:lineRule="auto"/>
        <w:ind w:left="0" w:leftChars="0"/>
        <w:jc w:val="center"/>
        <w:outlineLvl w:val="0"/>
        <w:rPr>
          <w:rFonts w:ascii="仿宋" w:hAnsi="仿宋" w:eastAsia="仿宋" w:cs="仿宋"/>
          <w:b/>
          <w:bCs/>
          <w:snapToGrid w:val="0"/>
          <w:sz w:val="32"/>
          <w:szCs w:val="32"/>
          <w:lang w:val="en-US"/>
        </w:rPr>
      </w:pPr>
      <w:r>
        <w:rPr>
          <w:rFonts w:hint="eastAsia" w:ascii="仿宋" w:hAnsi="仿宋" w:eastAsia="仿宋" w:cs="仿宋"/>
          <w:b/>
          <w:bCs/>
          <w:snapToGrid w:val="0"/>
          <w:sz w:val="32"/>
          <w:szCs w:val="32"/>
          <w:lang w:val="en-US"/>
        </w:rPr>
        <w:t>第二章  投标人须知</w:t>
      </w:r>
      <w:bookmarkEnd w:id="44"/>
      <w:bookmarkEnd w:id="45"/>
    </w:p>
    <w:p>
      <w:pPr>
        <w:pStyle w:val="6"/>
        <w:spacing w:line="360" w:lineRule="auto"/>
        <w:ind w:left="0" w:leftChars="0"/>
        <w:jc w:val="center"/>
        <w:rPr>
          <w:rFonts w:ascii="仿宋" w:hAnsi="仿宋" w:eastAsia="仿宋" w:cs="仿宋"/>
          <w:b/>
          <w:bCs/>
          <w:snapToGrid w:val="0"/>
          <w:sz w:val="28"/>
          <w:szCs w:val="28"/>
          <w:lang w:val="en-US"/>
        </w:rPr>
      </w:pPr>
      <w:r>
        <w:rPr>
          <w:rFonts w:hint="eastAsia" w:ascii="仿宋" w:hAnsi="仿宋" w:eastAsia="仿宋" w:cs="仿宋"/>
          <w:b/>
          <w:bCs/>
          <w:snapToGrid w:val="0"/>
          <w:sz w:val="28"/>
          <w:szCs w:val="28"/>
          <w:lang w:val="en-US"/>
        </w:rPr>
        <w:t>投标人须知前附表</w:t>
      </w:r>
    </w:p>
    <w:tbl>
      <w:tblPr>
        <w:tblStyle w:val="20"/>
        <w:tblW w:w="9817" w:type="dxa"/>
        <w:tblInd w:w="-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2"/>
        <w:gridCol w:w="3443"/>
        <w:gridCol w:w="5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72" w:type="dxa"/>
            <w:vAlign w:val="center"/>
          </w:tcPr>
          <w:p>
            <w:pPr>
              <w:pStyle w:val="6"/>
              <w:spacing w:line="360" w:lineRule="auto"/>
              <w:ind w:left="0" w:leftChars="0"/>
              <w:jc w:val="center"/>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序号</w:t>
            </w:r>
          </w:p>
        </w:tc>
        <w:tc>
          <w:tcPr>
            <w:tcW w:w="3443" w:type="dxa"/>
            <w:vAlign w:val="center"/>
          </w:tcPr>
          <w:p>
            <w:pPr>
              <w:pStyle w:val="6"/>
              <w:spacing w:line="360" w:lineRule="auto"/>
              <w:ind w:left="0" w:leftChars="0"/>
              <w:jc w:val="center"/>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名  称</w:t>
            </w:r>
          </w:p>
        </w:tc>
        <w:tc>
          <w:tcPr>
            <w:tcW w:w="5502" w:type="dxa"/>
            <w:vAlign w:val="center"/>
          </w:tcPr>
          <w:p>
            <w:pPr>
              <w:pStyle w:val="6"/>
              <w:spacing w:line="360" w:lineRule="auto"/>
              <w:ind w:left="0" w:leftChars="0"/>
              <w:jc w:val="center"/>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1.1.2</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招标人</w:t>
            </w:r>
          </w:p>
        </w:tc>
        <w:tc>
          <w:tcPr>
            <w:tcW w:w="5502" w:type="dxa"/>
            <w:vAlign w:val="center"/>
          </w:tcPr>
          <w:p>
            <w:pPr>
              <w:pStyle w:val="6"/>
              <w:spacing w:line="360" w:lineRule="auto"/>
              <w:ind w:left="0" w:leftChars="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名称：伊川县市场监督管理局</w:t>
            </w:r>
          </w:p>
          <w:p>
            <w:pPr>
              <w:pStyle w:val="6"/>
              <w:spacing w:line="360" w:lineRule="auto"/>
              <w:ind w:left="0" w:leftChars="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地址：伊川县立奇商务大厦A区7楼</w:t>
            </w:r>
          </w:p>
          <w:p>
            <w:pPr>
              <w:pStyle w:val="6"/>
              <w:spacing w:line="360" w:lineRule="auto"/>
              <w:ind w:left="0" w:leftChars="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 xml:space="preserve">联系人：付先生  </w:t>
            </w:r>
          </w:p>
          <w:p>
            <w:pPr>
              <w:pStyle w:val="6"/>
              <w:spacing w:line="360" w:lineRule="auto"/>
              <w:ind w:left="0" w:leftChars="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电话：13938850503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5"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1.1.3</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招标代理机构</w:t>
            </w:r>
          </w:p>
        </w:tc>
        <w:tc>
          <w:tcPr>
            <w:tcW w:w="5502" w:type="dxa"/>
            <w:vAlign w:val="center"/>
          </w:tcPr>
          <w:p>
            <w:pPr>
              <w:pStyle w:val="6"/>
              <w:spacing w:line="360" w:lineRule="auto"/>
              <w:ind w:left="0" w:leftChars="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名称：河南衡霄工程管理有限公司</w:t>
            </w:r>
          </w:p>
          <w:p>
            <w:pPr>
              <w:pStyle w:val="6"/>
              <w:spacing w:line="336" w:lineRule="auto"/>
              <w:ind w:left="0" w:leftChars="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地址：洛阳市洛龙区顺兴信息通信产业园11号楼C座1301</w:t>
            </w:r>
          </w:p>
          <w:p>
            <w:pPr>
              <w:pStyle w:val="6"/>
              <w:spacing w:line="360" w:lineRule="auto"/>
              <w:ind w:left="0" w:leftChars="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联系人：赵工</w:t>
            </w:r>
          </w:p>
          <w:p>
            <w:pPr>
              <w:pStyle w:val="6"/>
              <w:spacing w:line="360" w:lineRule="auto"/>
              <w:ind w:left="0" w:leftChars="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电话：0379-63636336、15837968559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1.1.4</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招标项目名称</w:t>
            </w:r>
          </w:p>
        </w:tc>
        <w:tc>
          <w:tcPr>
            <w:tcW w:w="5502" w:type="dxa"/>
            <w:vAlign w:val="center"/>
          </w:tcPr>
          <w:p>
            <w:pPr>
              <w:pStyle w:val="6"/>
              <w:spacing w:line="336" w:lineRule="auto"/>
              <w:ind w:left="0" w:leftChars="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伊川县市场监督管理局伊川县2024年食品安全抽检采购项目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1.1.5</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落实政府采购政策要求</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（1）本项目面向中小微企业（监狱企业、残疾人福利性单位），节约能源，保护环境，落实绿色建筑、绿色建材，扶持不发达、少数民族地区的企业，促进自主创新产业发展，支持脱贫攻坚。</w:t>
            </w:r>
          </w:p>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 xml:space="preserve">（2）根据豫财办[2020]33号文件要求，参加政府采购项目的中小微企业供应商，持中标(成交)通知书可向金融机构申请合同融资。详情请登录河南省政府采购网(http://www.hngp.gov.cn/)，进入网站飘窗或业务指南窗口了解金融机构提供的融资服务内容。 </w:t>
            </w:r>
          </w:p>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（3）中小企业划分标准所属行业为：本项目采购标的对应的中小企业划分标准所属行业为其他未列明行业。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1.1.6</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政府采购管理部门备案编号</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伊川政采公开-2024-30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1.1.7</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项目编号</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伊川政采招标(2024)0078号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1.1.8</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标段划分</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本次招标共一个标段。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1.2.1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资金来源</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1.2.2</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付款方式</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由招标人付款，招标人对中标人的食品抽检计划完成情况予以审核确认，确认合格后支付抽检费用。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1.3.1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服务期</w:t>
            </w:r>
          </w:p>
        </w:tc>
        <w:tc>
          <w:tcPr>
            <w:tcW w:w="5502" w:type="dxa"/>
            <w:vAlign w:val="center"/>
          </w:tcPr>
          <w:p>
            <w:pPr>
              <w:pStyle w:val="6"/>
              <w:spacing w:line="336" w:lineRule="auto"/>
              <w:ind w:left="0" w:leftChars="0"/>
              <w:rPr>
                <w:rFonts w:ascii="仿宋" w:hAnsi="仿宋" w:eastAsia="仿宋" w:cs="仿宋"/>
                <w:snapToGrid w:val="0"/>
                <w:sz w:val="24"/>
                <w:szCs w:val="24"/>
                <w:highlight w:val="yellow"/>
                <w:lang w:val="en-US"/>
              </w:rPr>
            </w:pPr>
            <w:r>
              <w:rPr>
                <w:rFonts w:hint="eastAsia" w:ascii="仿宋" w:hAnsi="仿宋" w:eastAsia="仿宋" w:cs="仿宋"/>
                <w:snapToGrid w:val="0"/>
                <w:sz w:val="24"/>
                <w:szCs w:val="24"/>
                <w:lang w:val="en-US"/>
              </w:rPr>
              <w:t>一年（具体时间按本项目工作计划为准）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1.3.2</w:t>
            </w:r>
          </w:p>
        </w:tc>
        <w:tc>
          <w:tcPr>
            <w:tcW w:w="3443" w:type="dxa"/>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服务要求</w:t>
            </w:r>
          </w:p>
        </w:tc>
        <w:tc>
          <w:tcPr>
            <w:tcW w:w="5502" w:type="dxa"/>
          </w:tcPr>
          <w:p>
            <w:pPr>
              <w:pStyle w:val="6"/>
              <w:spacing w:line="336" w:lineRule="auto"/>
              <w:ind w:left="0" w:leftChars="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符合国家、省、市或行业相关最新规定标准；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1.3.3</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履约验收</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招标人根据国家有关规定、招标文件、中标人的投标文件以及合同约定的内容和验收标准进行验收。验收情况作为支付货款的依据。如有异议，以相关质量技术检验检测机构的检验结果为准，如产生检验检测费用，则该费用由过失方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1.4.1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投标人资格要求</w:t>
            </w:r>
          </w:p>
        </w:tc>
        <w:tc>
          <w:tcPr>
            <w:tcW w:w="5502" w:type="dxa"/>
            <w:vAlign w:val="center"/>
          </w:tcPr>
          <w:p>
            <w:pPr>
              <w:pStyle w:val="6"/>
              <w:spacing w:line="360" w:lineRule="auto"/>
              <w:ind w:left="0" w:leftChars="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1.4.2</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是否接受联合体</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1.4.3</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投标人不得存在的其他情形</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1.9.1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踏勘现场</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1.10.1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投标预备会</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1.10.2</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投标人在投标预备会前提出问题</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时间：/</w:t>
            </w:r>
          </w:p>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1.11.1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分包</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1.12.1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实质性要求和条件</w:t>
            </w:r>
          </w:p>
        </w:tc>
        <w:tc>
          <w:tcPr>
            <w:tcW w:w="5502" w:type="dxa"/>
            <w:vAlign w:val="center"/>
          </w:tcPr>
          <w:p>
            <w:pPr>
              <w:pStyle w:val="6"/>
              <w:spacing w:line="360" w:lineRule="auto"/>
              <w:ind w:left="110" w:leftChars="50"/>
              <w:jc w:val="both"/>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 xml:space="preserve">服务期； </w:t>
            </w:r>
          </w:p>
          <w:p>
            <w:pPr>
              <w:pStyle w:val="6"/>
              <w:spacing w:line="360" w:lineRule="auto"/>
              <w:ind w:left="110" w:leftChars="50"/>
              <w:jc w:val="both"/>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 xml:space="preserve">付款方式； </w:t>
            </w:r>
          </w:p>
          <w:p>
            <w:pPr>
              <w:pStyle w:val="6"/>
              <w:spacing w:line="360" w:lineRule="auto"/>
              <w:ind w:left="110" w:leftChars="50"/>
              <w:jc w:val="both"/>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 xml:space="preserve">质量要求； </w:t>
            </w:r>
          </w:p>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b/>
                <w:bCs/>
                <w:snapToGrid w:val="0"/>
                <w:sz w:val="24"/>
                <w:szCs w:val="24"/>
                <w:lang w:val="en-US"/>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1.12.3</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偏差</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构成招标文件的其他资料</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2.2.1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p>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投标人提出问题或要求澄清招标文件的截止时间</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提交投标文件截止时间10日前，由投标人通过交易系统线上提出。</w:t>
            </w:r>
          </w:p>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在提交投标文件截止时间前10日内，招标人、招标代理机构不再受理投标人提出的问题。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2.2.2</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招标文件澄清、修改发出的形式</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招标文件的澄清、修改将在《河南省（洛阳市）政府采购网》和《洛阳市公共资源交易中心网》上发布“变更公告”，如需修改招标文件，则同时在洛阳市电子招投标交易平台发布“答疑文件”（答疑文件指修改后最新的招标文件）。对于各项目中已经成功报名并下载招标文件的供应商，将通过第三方短信群发方式提醒供应商进行查询。各供应商须重新下载最新的“答疑文件”，并以此编制投标文件。如不以最新发布的“答疑文件”编制投标文件，造成响应无效的后果由供应商自己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3.1.1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构成投标文件的其他资料</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3.2.3</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报价方式</w:t>
            </w:r>
          </w:p>
        </w:tc>
        <w:tc>
          <w:tcPr>
            <w:tcW w:w="5502" w:type="dxa"/>
            <w:vAlign w:val="center"/>
          </w:tcPr>
          <w:p>
            <w:pPr>
              <w:pStyle w:val="6"/>
              <w:spacing w:line="360" w:lineRule="auto"/>
              <w:ind w:left="0" w:leftChars="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3.2.4</w:t>
            </w:r>
          </w:p>
        </w:tc>
        <w:tc>
          <w:tcPr>
            <w:tcW w:w="3443" w:type="dxa"/>
            <w:vAlign w:val="center"/>
          </w:tcPr>
          <w:p>
            <w:pPr>
              <w:pStyle w:val="51"/>
              <w:ind w:firstLine="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预算控制金额</w:t>
            </w:r>
          </w:p>
        </w:tc>
        <w:tc>
          <w:tcPr>
            <w:tcW w:w="5502" w:type="dxa"/>
            <w:vAlign w:val="center"/>
          </w:tcPr>
          <w:p>
            <w:pPr>
              <w:pStyle w:val="51"/>
              <w:ind w:firstLine="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预算控制金额903000.00元。</w:t>
            </w:r>
          </w:p>
          <w:p>
            <w:pPr>
              <w:pStyle w:val="51"/>
              <w:ind w:firstLine="0"/>
              <w:rPr>
                <w:rFonts w:ascii="仿宋" w:hAnsi="仿宋" w:eastAsia="仿宋" w:cs="仿宋"/>
                <w:snapToGrid w:val="0"/>
                <w:sz w:val="24"/>
                <w:szCs w:val="24"/>
                <w:lang w:val="en-US"/>
              </w:rPr>
            </w:pPr>
            <w:r>
              <w:rPr>
                <w:rFonts w:hint="eastAsia" w:ascii="仿宋" w:hAnsi="仿宋" w:eastAsia="仿宋" w:cs="仿宋"/>
                <w:b/>
                <w:bCs/>
                <w:snapToGrid w:val="0"/>
                <w:sz w:val="24"/>
                <w:szCs w:val="24"/>
                <w:lang w:val="en-US"/>
              </w:rPr>
              <w:t>供应商的报价超过本预算的，其响应将被否决。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3.2.5</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报价的其他要求</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报价应包含为完成本项目所需要的全部费用和税金。</w:t>
            </w:r>
          </w:p>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3.3.1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投标文件有效期</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提交投标文件截止时间后90天，有效期短于该期限的响应将被拒绝。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3.4.1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投标保证金</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本项目不收取投标保证金。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3.4.4</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其他可以不予退还投标保证金的情形</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3.5.3</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资格审查资料的特殊要求</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3.6.1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是否允许提交备选方案</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4.2.1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提交投标文件截止时间</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见第一章招标公告。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4.2.2</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提交投标文件地点</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见第一章招标公告。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4.2.5</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p>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投标文件上传问题</w:t>
            </w:r>
          </w:p>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联系方式</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供应商因洛阳市电子招投标交易平台问题无法上传电子投标文件时，请在工作时间与交易中心联系。联系方式： 400-998-0000；0379-69921055。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投标开启时间和地点</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开启时间：同提交投标文件截止时间</w:t>
            </w:r>
          </w:p>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开启地点：同提交投标文件地点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5.3</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开标疑义</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远程开标现场提出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6.1.1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评标委员会的组建</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评标委员会构成：5 人</w:t>
            </w:r>
          </w:p>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其中招标人代表 1 人，专家 4 人。</w:t>
            </w:r>
          </w:p>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评标专家确定方式：经济、技术专家从相关专家库中随机抽取。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7.1.1</w:t>
            </w:r>
          </w:p>
        </w:tc>
        <w:tc>
          <w:tcPr>
            <w:tcW w:w="3443" w:type="dxa"/>
            <w:vAlign w:val="center"/>
          </w:tcPr>
          <w:p>
            <w:pPr>
              <w:pStyle w:val="6"/>
              <w:spacing w:line="360" w:lineRule="auto"/>
              <w:ind w:left="0" w:leftChars="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是否授权评标委员会确定中标人</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p>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☑是</w:t>
            </w:r>
          </w:p>
          <w:p>
            <w:pPr>
              <w:pStyle w:val="6"/>
              <w:spacing w:line="360" w:lineRule="auto"/>
              <w:ind w:left="110" w:leftChars="50"/>
              <w:jc w:val="both"/>
              <w:rPr>
                <w:rFonts w:ascii="仿宋" w:hAnsi="仿宋" w:eastAsia="仿宋" w:cs="仿宋"/>
                <w:snapToGrid w:val="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7.1.2</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定标原则</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评标委员会根据评标排列顺序确定第一名、第二名、第三名为中标候选人，并确定第一名为中标人。如中标候选人出现并列，由评标委员会投票确定中标人。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7.1.3</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代理服务费</w:t>
            </w:r>
          </w:p>
        </w:tc>
        <w:tc>
          <w:tcPr>
            <w:tcW w:w="5502" w:type="dxa"/>
            <w:vAlign w:val="center"/>
          </w:tcPr>
          <w:p>
            <w:pPr>
              <w:pStyle w:val="6"/>
              <w:spacing w:line="360" w:lineRule="auto"/>
              <w:ind w:left="0" w:leftChars="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本项目招标代理服务费收费标准参照计委计价格[2002]1980号文件及国家发改委计价格[2011]534号文件规定收取，由中标人向代理机构支付。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7.2</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中标结果公布媒介及</w:t>
            </w:r>
          </w:p>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期限</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公布媒介：《河南省（洛阳市）政府采购网》和《洛阳市公共资源交易中心网》上公布。</w:t>
            </w:r>
          </w:p>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公告期限：1 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7.4.1</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履约保证金</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☑免收履约保证金。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2"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8.5.2</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质疑函的递交方式</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质疑函应当面递交；因情况特殊而邮寄的，交邮前应通知招标人、招标代理机构。接受质疑函的采购人、采购代理机构的联系部门、联系电话和通讯地址详见本项目招标公告和投标人须知前附表。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7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9</w:t>
            </w:r>
          </w:p>
        </w:tc>
        <w:tc>
          <w:tcPr>
            <w:tcW w:w="3443"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需要补充的其它同容</w:t>
            </w:r>
          </w:p>
        </w:tc>
        <w:tc>
          <w:tcPr>
            <w:tcW w:w="5502" w:type="dxa"/>
            <w:vAlign w:val="center"/>
          </w:tcPr>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 xml:space="preserve">1、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投标人须知、招标公告、评标办法、投标文件格式的顺序解释；同一组成文件中就同一事项的规定或约定不一致的，以编排顺序在后者为准；同一组成文件不同版本之间有不一致的，以形成时间在后者为准。按本款前述规定仍不能形成结论的，由采购人负责解释。 </w:t>
            </w:r>
          </w:p>
          <w:p>
            <w:pPr>
              <w:pStyle w:val="6"/>
              <w:spacing w:line="360" w:lineRule="auto"/>
              <w:ind w:left="110" w:leftChars="50"/>
              <w:jc w:val="both"/>
              <w:rPr>
                <w:rFonts w:ascii="仿宋" w:hAnsi="仿宋" w:eastAsia="仿宋" w:cs="仿宋"/>
                <w:b/>
                <w:bCs/>
                <w:snapToGrid w:val="0"/>
                <w:sz w:val="24"/>
                <w:szCs w:val="24"/>
                <w:lang w:val="en-US"/>
              </w:rPr>
            </w:pPr>
            <w:r>
              <w:rPr>
                <w:rFonts w:hint="eastAsia" w:ascii="仿宋" w:hAnsi="仿宋" w:eastAsia="仿宋" w:cs="仿宋"/>
                <w:snapToGrid w:val="0"/>
                <w:sz w:val="24"/>
                <w:szCs w:val="24"/>
                <w:lang w:val="en-US"/>
              </w:rPr>
              <w:t>2、依据《关于印发中小企业划型标准规定的通知》（工信部联企业[2011]300 号）的规定，本次采购项目对应的中小企业划分标准所属行业为</w:t>
            </w:r>
            <w:r>
              <w:rPr>
                <w:rFonts w:hint="eastAsia" w:ascii="仿宋" w:hAnsi="仿宋" w:eastAsia="仿宋" w:cs="仿宋"/>
                <w:b/>
                <w:bCs/>
                <w:snapToGrid w:val="0"/>
                <w:sz w:val="24"/>
                <w:szCs w:val="24"/>
                <w:lang w:val="en-US"/>
              </w:rPr>
              <w:t>其他未列明行业。</w:t>
            </w:r>
          </w:p>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2、监督部门及电话：伊川县财政局 0379-68365915</w:t>
            </w:r>
          </w:p>
          <w:p>
            <w:pPr>
              <w:pStyle w:val="6"/>
              <w:spacing w:line="360" w:lineRule="auto"/>
              <w:ind w:left="110" w:leftChars="50"/>
              <w:jc w:val="both"/>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3、其它未尽事宜，按国家有关法律、法规执行。</w:t>
            </w:r>
          </w:p>
        </w:tc>
      </w:tr>
    </w:tbl>
    <w:p>
      <w:pPr>
        <w:pStyle w:val="6"/>
        <w:spacing w:line="360" w:lineRule="auto"/>
        <w:ind w:left="0" w:leftChars="0"/>
        <w:rPr>
          <w:rFonts w:ascii="仿宋" w:hAnsi="仿宋" w:eastAsia="仿宋" w:cs="仿宋"/>
          <w:snapToGrid w:val="0"/>
          <w:sz w:val="24"/>
          <w:szCs w:val="24"/>
          <w:lang w:val="en-US"/>
        </w:rPr>
        <w:sectPr>
          <w:footerReference r:id="rId5" w:type="default"/>
          <w:pgSz w:w="11906" w:h="16838"/>
          <w:pgMar w:top="1134" w:right="1134" w:bottom="1134" w:left="1134" w:header="851" w:footer="992" w:gutter="0"/>
          <w:cols w:space="425" w:num="1"/>
          <w:docGrid w:type="lines" w:linePitch="312" w:charSpace="0"/>
        </w:sectPr>
      </w:pPr>
    </w:p>
    <w:p>
      <w:pPr>
        <w:pStyle w:val="6"/>
        <w:spacing w:line="360" w:lineRule="auto"/>
        <w:ind w:left="0" w:leftChars="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1、总则</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1.1 招标项目概况</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1.1.1 根据《中华人民共和国政府采购法》、《中华人民共和国政府采购法实施条例》等有关法律、法规和规章的规定，本招标项目已具备招标条件，现进行招标。</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1.1.2 招标人：见投标人须知前附表。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1.1.3 招标代理机构：见投标人须知前附表。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1.1.4 招标项目名称：见投标人须知前附表。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1.1.5 落实政府采购政策要求: 见投标人须知前附表。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（1）根据财政部工业和信息化部《政府采购促进中小企业发展管理办法》（财库﹝2020﹞46号）的规定，本项目专门面向中小企业或小微企业采购的，评审中价格将均不予扣除。</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（2）根据财政部司法部《关于政府采购支持监狱企业发展有关问题的通知》（财库〔2014〕68 号）规定，监狱企业视同小型、微型企业，享受评审中价格扣除等政府采购促进中小企业发展的政府采购政策。</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（3）根据财政部民政部中国残疾人联合会《关于促进残疾人就业政府采购政策的通知》（财库〔2017〕141 号）规定，残疾人福利性单位视同小型、微型企业，享受评审中价格扣除等政府采购促进中小企业发展的政府采购政策。</w:t>
      </w:r>
    </w:p>
    <w:p>
      <w:pPr>
        <w:pStyle w:val="6"/>
        <w:spacing w:line="360" w:lineRule="auto"/>
        <w:ind w:left="0" w:leftChars="0" w:firstLine="480" w:firstLineChars="200"/>
        <w:rPr>
          <w:rFonts w:ascii="仿宋" w:hAnsi="仿宋" w:eastAsia="仿宋" w:cs="仿宋"/>
          <w:b/>
          <w:bCs/>
          <w:snapToGrid w:val="0"/>
          <w:sz w:val="24"/>
          <w:szCs w:val="24"/>
          <w:lang w:val="en-US"/>
        </w:rPr>
      </w:pPr>
      <w:r>
        <w:rPr>
          <w:rFonts w:hint="eastAsia" w:ascii="仿宋" w:hAnsi="仿宋" w:eastAsia="仿宋" w:cs="仿宋"/>
          <w:snapToGrid w:val="0"/>
          <w:sz w:val="24"/>
          <w:szCs w:val="24"/>
          <w:lang w:val="en-US"/>
        </w:rPr>
        <w:t>（4）同一供应商（包括联合体），中小微企业产品、监狱企业产品、残疾人福利性单位价格扣除优惠只享受一次，不得重复享受。根据财政部工业和信息化部《政府采购促进中小企业发展管理办法》（财库﹝2020﹞46号）的规定，</w:t>
      </w:r>
      <w:r>
        <w:rPr>
          <w:rFonts w:hint="eastAsia" w:ascii="仿宋" w:hAnsi="仿宋" w:eastAsia="仿宋" w:cs="仿宋"/>
          <w:b/>
          <w:bCs/>
          <w:snapToGrid w:val="0"/>
          <w:sz w:val="24"/>
          <w:szCs w:val="24"/>
          <w:lang w:val="en-US"/>
        </w:rPr>
        <w:t>本项目专门面向中小企业或小微企业采购的，评审中价格将均不予扣除。</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1.1.6 政府采购管理部门备案编号: 见投标人须知前附表。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1.1.7 项目编号: 见投标人须知前附表。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1.1.8 标段划分: 见投标人须知前附表。</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1.2 招标项目的资金来源及付款方式</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1.2.1 资金来源: 见投标人须知前附表。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1.2.2 付款方式: 见投标人须知前附表，不接受该条件的投标将被否决。</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1.3 服务期限及履约验收</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1.3.1 服务期：见投标人须知前附表，不接受该条件的投标将被否决。</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1.3.2 服务要求：见投标人须知前附表，不接受该条件的投标将被否决。</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1.3.3 履约验收：见投标人须知前附表。</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1.4 投标人资格要求</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1.4.1 投标人资格要求：供应商应当符合《政府采购法》第二十二条第一款规定的条件，具体见投标人须知前附表。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1.4.2 投标人须知前附表规定接受联合体投标的，联合体除应符合本章 1.4.1 项和供应商须知前附表的要求外，还应遵守以下规定：</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（1）联合体各方应按招标文件提供的格式签订联合体协议书，明确联合体牵头人和各方权利义务，并承诺就中标项目向采购人承担连带责任。</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（2）两个以上的自然人、法人或者其他组织可以组成一个联合体，以一个供应商的身份共同参加政府采购。</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联合体各方均应当符合《政府采购法》第二十二条第一款规定的条件，根据采购项目的特殊要求规定供应商特定条件的，联合体各方中至少应当有一方符合招标公告规定的供应商资格条件。联合体中有同类资质的供应商按照联合体分工承担相同工作的，应当按照资质等级较低的供应商确定资质等级。</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（4）联合体各方不得再以自己名义单独或参加其他联合体在本招标项目中投标，否则各相关投标均无效。</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1.4.3 投标人不得存在下列情形之一：</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（1）与招标人存在利害关系且可能影响招标公正性；</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（2）与本招标项目的其他供应商为同一个单位负责人；</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（3）与本招标项目的其他供应商存在直接控股、管理关系；</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（4）为本招标项目提供整体设计、规范编制或者项目管理、监理、检测等服务；</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（5）为本招标项目的采购代理机构或与采购代理机构同为一个法定代表人；</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（6）因违法经营受到刑事处罚或者责令停产停业、吊销许可证或者执照、较大数额罚款等行政处罚；</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（7）进入清算程序，或被宣告破产，或其他丧失履约能力的情形；</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（8）法律法规或供应商须知前附表规定的其他情形。</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1.5 费用承担</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投标人准备和参加投标活动发生的费用自理。</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1.6 保密</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参与招标投标活动的各方应对招标文件和投标文件中的商业和技术等秘密保密，否则应承担相应的法律责任。</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1.7 语言文字</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招标投标文件使用的语言文字为中文。专用术语使用外文的，应附有中文注释。</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1.8 计量单位</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所有计量均采用中华人民共和国法定计量单位。</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1.9 踏勘现场</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1.9.1 投标人须知前附表规定组织踏勘现场的，采购人按投标人须知前附表规定的时间、地点组织投标人踏勘项目现场。部分供应商未按时参加踏勘现场的，不影响踏勘现场的正常进行。</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1.9.2 供应商踏勘现场发生的费用自理。</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1.9.3 除招标人的原因外，投标人自行负责在踏勘现场中所发生的人员伤亡和财产损失。</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1.9.4 招标人在踏勘现场中介绍的工程场地和相关的周边环境情况，投标人在编制投标文件时参考，招标人不对投标人据此作出的判断和决策负责。</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1.10 投标预备会</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1.10.1 投标人须知前附表规定召开投标预备会的，招标人按投标人须知前附表规定的时间和地点召开投标预备会，澄清投标人提出的问题。</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1.10.2 投标人应按投标人须知前附表规定的时间和形式将提出的问题送达招标人， 以便招标人在会议期间澄清。</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1.10.3 投标预备会后，招标人对投标人所提问题的澄清为招标文件的组成部分。</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1.11 分包</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1.11.1 投标人拟在中标后将中标项目的非主体内容进行分包的，应符合投标人须知前附表规定的分包内容、分包金额和资质要求等限制性条件，除投标人须知前附表规定的非主体内容外，其他工作不得分包。</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1.11.2 中标人不得向他人转让中标项目，接受分包的人不得再次分包。中标人应当就分包项目向招标人负责，接受分包的人就分包项目承担连带责任。</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1.12 响应和偏差</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1.12.1 投标文件应当对招标文件的实质性要求和条件作出满足性或更有利于招标人的响应，否则投标人的投标将被否决。实质性要求和条件见投标人须知前附表。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1.12.2 投标人应根据招标文件的要求提供服务要求响应与偏差表、商务要求响应与偏差表等内容以对招标文件作出响应。</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1.12.3 投标人须知前附表规定了可以偏差的范围和最高偏差项数的，偏差应当符合投标人须知前附表规定的偏差范围和最高项数，超出偏差范围和最高偏差项数的投标将被否决。</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1.12.4 投标文件对招标文件的全部偏差，均应在投标文件的服务要求响应与偏差表、商务要求响应与偏差表中列明，除列明的内容外，视为投标人响应招标文件的全部要求。</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1.12.5 如投标文件服务要求响应与偏差表、商务要求响应与偏差表中列明的内容与投标文件的其他地方存在不一致，以服务要求响应与偏差表、商务要求响应与偏差表中列明的内容为准。</w:t>
      </w:r>
    </w:p>
    <w:p>
      <w:pPr>
        <w:pStyle w:val="6"/>
        <w:spacing w:line="360" w:lineRule="auto"/>
        <w:ind w:left="0" w:leftChars="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2、招标文件</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2.1 招标文件的组成</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（1）本招标文件包括：</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（2）招标公告；</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（3）投标人须知；</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（4）采购需求；</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（5）合同（样本）；</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（6）资格审查与评标办法；</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（7）资格审查与评审标准；</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（8）投标文件格式；</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根据本章第 1.9 款、第 2.2 款对招标文件所作的澄清、修改，构成招标文件的组成部分。</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2.2 招标文件的澄清</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2.2.1 投标人应仔细阅读和检查招标文件的全部内容。如发现缺页或附件不全，应及时向招标代理机构提出，以便补齐。如有疑问，应按投标人须知前附表规定的时间和形式将提出的问题送达招标代理机构，要求对招标文件予以澄清。</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2.2.2 招标文件的澄清、修改按投标人须知前附表规定的形式发出。澄清、修改发出的时间距投标截止时间不足 15 日的，并且修改内容可能影响投标文件编制的，将相应延长投标截止时间。</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2.2.3 除非招标人认为确有必要答复，否则，招标人有权拒绝回复投标人在本章第2.2.1 项规定的时间后的任何澄清要求。</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2.3 招标文件的异议</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投标人或者其他利害关系人对招标文件有质疑的，应当在投标截止时间 10 日前以书面形式提出。</w:t>
      </w:r>
    </w:p>
    <w:p>
      <w:pPr>
        <w:pStyle w:val="6"/>
        <w:spacing w:line="360" w:lineRule="auto"/>
        <w:ind w:left="0" w:leftChars="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3、投标文件</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3.1 投标文件的组成</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3.1.1 投标文件应包括下列内容（详见招标文件第七章“投标文件格式”）：</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（1）投标函；</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（2）法定代表人授权书；</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（3）法人被授权人身份证扫描件；</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（4）资格证明材料；</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（5）开标一览表；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（6）报价明细表；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w:t>
      </w:r>
      <w:r>
        <w:rPr>
          <w:rFonts w:hint="eastAsia" w:ascii="仿宋" w:hAnsi="仿宋" w:eastAsia="仿宋" w:cs="仿宋"/>
          <w:snapToGrid w:val="0"/>
          <w:sz w:val="24"/>
          <w:szCs w:val="24"/>
        </w:rPr>
        <w:t>服务要求响应与偏差表；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w:t>
      </w:r>
      <w:r>
        <w:rPr>
          <w:rFonts w:hint="eastAsia" w:ascii="仿宋" w:hAnsi="仿宋" w:eastAsia="仿宋" w:cs="仿宋"/>
          <w:snapToGrid w:val="0"/>
          <w:sz w:val="24"/>
          <w:szCs w:val="24"/>
        </w:rPr>
        <w:t>商务要求响应与偏差表；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（9）项目实施方案；</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（10）辅助资料表；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（11）后续服务及优惠条件；</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（12）其他需要提供的资料；</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（13）参与评审打分的证书（证件）一览表；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（14）参与评审打分的合同业绩一览表。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供应商在评标过程中作出的符合法律法规和招标文件规定的澄清确认，构成投标文件的组成部分。</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3.2 投标报价</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3.2.1 投标报价涉及货币的应为人民币，包括国家规定的增值税税金。投标人应按第七章“投标文件格式”的要求进行报价并填写报价明细表。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3.2.2 投标人应充分了解该项目的总体情况以及影响投标报价的其他要素。总报价为各分项报价金额之和，总报价与分项报价的合价不一致的，应以各分项合价累计数为准，修正总报价；如分项报价中存在缺漏项，则视为缺漏项价格已包含在其他分项报价之中。</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3.2.3 本项目的报价方式见投标人须知前附表。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3.2.4 招标人设有预算控制金额的，投标人的投标报价不得超过预算控制金额，预算控制金额在投标人须知前附表中载明。</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3.2.5 投标报价的其他要求见投标人须知前附表。</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3.3 投标有效期</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3.3.1 除投标人须知前附表另有规定外，投标有效期为 90 天。</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3.3.2 在投标有效期内，投标人撤销投标文件的，应承担招标文件和法律规定的责任。</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3.4 投标保证金（本项目不要求）</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3.4.1 投标人在提交投标文件的同时，应按投标人须知前附表规定缴纳投标保证金， 并作为其投标文件的组成部分。联合体投标的，其投标保证金由牵头人提交，并应符合投标人须知前附表的规定。</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3.4.2 投标人不按本章第 3.4.1 项要求提交投标保证金的，评标委员会将否决其投标。自《中标通知书》发出之日起 5 个工作日内退还未中标人的投标保证金，自采购合同签订之日起 5 个工作日内（中标人通过洛阳市电子招投标交易平台上传合同扫描件，提交退还保证金申请）退还中标人的投标保证金。</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3.4.3 有下列情形之一的，投标保证金将不予退还：</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（1）投标人在投标有效期内撤销投标文件；</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（2）在禁止参加政府采购活动的处罚有效期内，投标人仍参加政府采购活动；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（3）中标人无正当理由不与采购人订立合同，在签订合同时向招标人提出附加条件，或者不按照招标文件要求提交履约保证金；</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（4）发生投标人须知前附表规定的其他可以不予退还投标保证金的情形。</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3.5 资格审查资料</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3.5.1 根据第六章内容提供证明材料。</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3.5.2 投标人须知前附表规定接受联合体投标的，联合体各方均应提供资格审查资料。</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3.5.3 资格审查资料的特殊要求见投标人须知前附表。</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3.6 备选投标方案</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3.6.1 除投标人须知前附表规定允许外，投标人不得提交备选投标方案，否则其投标将被否决。</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3.6.2 允许投标人提交备选投标方案的，只有中标人所提交的备选投标方案方可予以考虑。评标委员会认为中标人的备选投标方案优于其按照招标文件要求编制的投标方案的，招标人可以接受该备选投标方案。</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3.6.3 投标人提供两个或两个以上投标报价，或者在投标文件中提供一个报价，但同时提供两个或两个以上供货方案的，视为提供备选方案。</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3.7 投标文件的制作</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3.7.1 投标文件应按第七章“投标文件格式”进行编写，如有必要，可以增加附页，作为投标文件的组成部分。其中，投标函在满足招标文件实质性要求的基础上，可以提出比招标文件要求更有利于招标人的承诺。</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3.7.2 投标文件应当对招标文件有关服务期限、投标有效期、投标报价、服务要求等实质性内容作出响应。</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3.7.3 投标人登录“洛阳市公共资源交易中心”网站，按要求下载“新点投标文件制作软件”。</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3.7.4 投标人凭CA锁登录，并按网上提示自行下载招标文件。使用“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格式）时，只能用本单位的企业CA锁。联合体投标的，投标文件由联合体牵头人按上述规定进行签章。</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3.7.5 加密的电子投标文件为“洛阳市公共资源交易中心”网站提供的“新点投标文件制作软件”制作生成的加密版投标文件。</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3.7.6 招标文件格式所要求包含的全部资料应全部制作在投标文件内，严格按照本项目招标文件所有格式如实填写（不涉及的内容除外），不应存在漏项或缺项，否则将存在投标文件被否决的风险。</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3.7.7 投标文件所附证明材料均为原件的扫描件（或照片），尺寸和清晰度应该能够在电脑上被阅读、识别和判断；若供应商未按要求提供证明材料或提供不清晰的扫描件（或照片）的，评标委员会有权认定其投标文件未对招标文件有关要求进行响应，涉及资格审查或符合性审查的将不予通过。</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3.7.8 投标文件制作的具体方法详见“全国公共资源交易平台（河南省·洛阳市）”-办事指南-下载中心-操作手册-《洛阳市投标文件制作工具操作手册》及投标文件制作工具中的帮助文档。</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3.7.9 因投标人自身原因而导致投标文件无法导入“全国公共资源交易平台（河南省·洛阳市）”（http://lyggzyjy.ly.gov.cn）-“洛阳市电子招投标交易平台”电子开标、评标系统，该投标视为无效投标，投标人自行承担由此导致的全部责任。</w:t>
      </w:r>
    </w:p>
    <w:p>
      <w:pPr>
        <w:pStyle w:val="6"/>
        <w:spacing w:line="360" w:lineRule="auto"/>
        <w:ind w:left="0" w:leftChars="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4、投标</w:t>
      </w:r>
    </w:p>
    <w:p>
      <w:pPr>
        <w:pStyle w:val="6"/>
        <w:spacing w:line="360" w:lineRule="auto"/>
        <w:ind w:left="0" w:leftChars="0" w:firstLine="482" w:firstLineChars="200"/>
        <w:rPr>
          <w:rFonts w:ascii="仿宋" w:hAnsi="仿宋" w:eastAsia="仿宋" w:cs="仿宋"/>
          <w:b/>
          <w:bCs/>
          <w:snapToGrid w:val="0"/>
          <w:sz w:val="24"/>
          <w:szCs w:val="24"/>
          <w:lang w:val="en-US"/>
        </w:rPr>
      </w:pPr>
      <w:bookmarkStart w:id="46" w:name="_Toc799_WPSOffice_Level2"/>
      <w:r>
        <w:rPr>
          <w:rFonts w:hint="eastAsia" w:ascii="仿宋" w:hAnsi="仿宋" w:eastAsia="仿宋" w:cs="仿宋"/>
          <w:b/>
          <w:bCs/>
          <w:snapToGrid w:val="0"/>
          <w:sz w:val="24"/>
          <w:szCs w:val="24"/>
          <w:lang w:val="en-US"/>
        </w:rPr>
        <w:t>4.1 投标文件的递交</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4.1.1 投标人应在投标人须知前附表规定的投标截止时间前提交投标文件。不接受邮寄、电报、电话、传真等方式投标。除电子投标文件外，投标时不再接受任何纸质文件、资料等。</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4.1.2 投标人提交投标文件的地点：见投标人须知前附表。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4.1.3 投标文件份数及其他要求：见投标人须知前附表。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4.1.4 投标人应在投标截止时间前上传加密的电子投标文件（*.lytf）到洛阳市电子招投标交易平台指定位置。上传时投标人须使用制作该投标文件的同一CA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4.1.5 投标人因洛阳市电子招投标交易平台问题无法上传电子投标文件时，请在工作时间与交易中心联系。联系方式见投标人须知前附表。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4.1.6 除投标人须知前附表另有规定外，投标人所提交的投标文件不予退还。</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4.2 投标文件的修改与撤回</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4.2.1 在投标截止时间前，投标人可以修改或撤回已递交的投标文件。投标人对加密的投标文件进行撤回的，应在“洛阳市电子招投标交易平台”直接进行撤回操作；投标人对加密的投标文件进行修改的，应在投标截止时间前完成上传。</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4.2.2 投标人修改投标文件的，应使用规定的投标文件制作工具制作成完整的投标文件，并按照规定进行编制、加密和递交。对采用网上递交的加密的投标文件，以投标截止时间前最后完成上传的文件为准。</w:t>
      </w:r>
    </w:p>
    <w:bookmarkEnd w:id="46"/>
    <w:p>
      <w:pPr>
        <w:pStyle w:val="6"/>
        <w:spacing w:line="360" w:lineRule="auto"/>
        <w:ind w:left="0" w:leftChars="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5、开标</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5.1 开标时间和地点</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招标人在本章第 4.2.1 项规定的投标截止时间（开标时间）和投标人须知前附表规定的地点公开开标。</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5.2 开标程序</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5.2.1 本项目采用远程不见面交易的模式。开标当日，招标人在招标文件规定的时间和地点开标，投标人无需到开标现场参加开标会议，投标人应当在投标截止时间前，登录远程开标大厅选择洛阳市公共资源电子招投标系统进行登录，在线准时参加开标活动并进行投标文件解密等。因投标人原因未能解密、解密失败或解密超时的将被拒绝。请参照洛阳市公共资源交易中心首页—办事指南—下载中心—操作手册—《洛阳市公共资源交易中心不见面开标大厅操作手册（投标人）》。</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5.2.2 开标时，各投标人应在规定时间内对本单位的投标文件解密。</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5.2.3 开标时，招标代理机构将通过洛阳市电子招投标交易平台进行唱标。</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5.3 开标异常处理</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当出现以下情况时，应对未开标的中止电子开标，对原有资料及信息作出妥善保密处理，并在恢复正常后及时安排时间开标：</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（1）系统服务器发生故障，无法访问或无法使用系统；</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（2）系统的软件或数据库出现错误，不能进行正常操作；</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（3）系统发现有安全漏洞，有潜在的泄密危险；</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（4）出现断电事故且短时间内无法恢复供电；</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（5）其他无法保证招投标过程正常进行的情形。</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5.4 开标异议</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投标人对开标有异议的，应当在开标现场提出，招标人当场作出答复，并制作记录。</w:t>
      </w:r>
    </w:p>
    <w:p>
      <w:pPr>
        <w:pStyle w:val="6"/>
        <w:spacing w:line="360" w:lineRule="auto"/>
        <w:ind w:left="0" w:leftChars="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 xml:space="preserve">6、资格审查与评标 </w:t>
      </w:r>
    </w:p>
    <w:p>
      <w:pPr>
        <w:pStyle w:val="6"/>
        <w:spacing w:line="360" w:lineRule="auto"/>
        <w:ind w:left="0" w:leftChars="0" w:firstLine="482" w:firstLineChars="200"/>
        <w:rPr>
          <w:rFonts w:ascii="仿宋" w:hAnsi="仿宋" w:eastAsia="仿宋" w:cs="仿宋"/>
          <w:b/>
          <w:bCs/>
          <w:snapToGrid w:val="0"/>
          <w:sz w:val="24"/>
          <w:szCs w:val="24"/>
          <w:lang w:val="en-US"/>
        </w:rPr>
      </w:pPr>
      <w:bookmarkStart w:id="47" w:name="_Toc19933_WPSOffice_Level2"/>
      <w:r>
        <w:rPr>
          <w:rFonts w:hint="eastAsia" w:ascii="仿宋" w:hAnsi="仿宋" w:eastAsia="仿宋" w:cs="仿宋"/>
          <w:b/>
          <w:bCs/>
          <w:snapToGrid w:val="0"/>
          <w:sz w:val="24"/>
          <w:szCs w:val="24"/>
          <w:lang w:val="en-US"/>
        </w:rPr>
        <w:t>6.1 资格审查小组与评标委员会</w:t>
      </w:r>
      <w:bookmarkEnd w:id="47"/>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6.1.1 招标人负责资格审查。采购人组建资格审查小组，可以由招标人代表以及评审专家、招标代理机构组成，在资格审查中为招标人提供支持和帮助。评标由招标人依法组建的评标委员会负责。评标委员会由招标人代表以及评审专家组成。评标委员会成员人数以及评审专家的确定方式见投标人须知前附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6.1.2 评标委员会成员有下列情形之一的，应当回避：</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（1）参加采购活动前 3 年内与投标人存在劳动关系；</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（2）参加采购活动前 3 年内担任供应商的董事、监事；</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（3）参加采购活动前 3 年内是投标人的控股股东或者实际控制人；</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（4）与投标人的法定代表人或者负责人有夫妻、直系血亲、三代以内旁系血亲或者近姻亲关系；</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（5）与投标人有其他可能影响政府采购活动公平、公正进行的关系。</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6"/>
        <w:spacing w:line="360" w:lineRule="auto"/>
        <w:ind w:left="0" w:leftChars="0" w:firstLine="482" w:firstLineChars="200"/>
        <w:rPr>
          <w:rFonts w:ascii="仿宋" w:hAnsi="仿宋" w:eastAsia="仿宋" w:cs="仿宋"/>
          <w:b/>
          <w:bCs/>
          <w:snapToGrid w:val="0"/>
          <w:sz w:val="24"/>
          <w:szCs w:val="24"/>
          <w:lang w:val="en-US"/>
        </w:rPr>
      </w:pPr>
      <w:bookmarkStart w:id="48" w:name="_Toc11321_WPSOffice_Level2"/>
      <w:r>
        <w:rPr>
          <w:rFonts w:hint="eastAsia" w:ascii="仿宋" w:hAnsi="仿宋" w:eastAsia="仿宋" w:cs="仿宋"/>
          <w:b/>
          <w:bCs/>
          <w:snapToGrid w:val="0"/>
          <w:sz w:val="24"/>
          <w:szCs w:val="24"/>
          <w:lang w:val="en-US"/>
        </w:rPr>
        <w:t>6.2 资格审查与评标原则</w:t>
      </w:r>
      <w:bookmarkEnd w:id="48"/>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审查遵循公平、公正的原则，评标活动遵循公平、公正、科学和择优的原则。</w:t>
      </w:r>
    </w:p>
    <w:p>
      <w:pPr>
        <w:pStyle w:val="6"/>
        <w:spacing w:line="360" w:lineRule="auto"/>
        <w:ind w:left="0" w:leftChars="0" w:firstLine="482" w:firstLineChars="200"/>
        <w:rPr>
          <w:rFonts w:ascii="仿宋" w:hAnsi="仿宋" w:eastAsia="仿宋" w:cs="仿宋"/>
          <w:b/>
          <w:bCs/>
          <w:snapToGrid w:val="0"/>
          <w:sz w:val="24"/>
          <w:szCs w:val="24"/>
          <w:lang w:val="en-US"/>
        </w:rPr>
      </w:pPr>
      <w:bookmarkStart w:id="49" w:name="_Toc24361_WPSOffice_Level2"/>
      <w:r>
        <w:rPr>
          <w:rFonts w:hint="eastAsia" w:ascii="仿宋" w:hAnsi="仿宋" w:eastAsia="仿宋" w:cs="仿宋"/>
          <w:b/>
          <w:bCs/>
          <w:snapToGrid w:val="0"/>
          <w:sz w:val="24"/>
          <w:szCs w:val="24"/>
          <w:lang w:val="en-US"/>
        </w:rPr>
        <w:t>6.3 资格审查与评标</w:t>
      </w:r>
      <w:bookmarkEnd w:id="49"/>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6.3.1 资格审查小组与评标委员会按照第五章“资格审查与评标办法”规定的方法、评审因素、标准和程序对供应商进行资格审查，并对投标文件进行评审。第五章“资格审查与评标办法”没有规定的方法、评审因素和标准，不作为资格审查与评标依据。</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6.3.2 通过资格审查的投标人的投标文件由评标委员会进行评审。评标完成后，评标委员会应当提交书面评标报告和中标候选人名单。评标委员会推荐中标候选人的人数见投标人须知前附表。</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6.3.3 本次招标采用电子化评标，如“洛阳市电子招投标交易平台”系统出现故障，导致无法继续评审工作的，可暂停评标，对原有资料及信息作出妥善保密处理，待电子评标系统恢复正常之后组织评审。</w:t>
      </w:r>
    </w:p>
    <w:p>
      <w:pPr>
        <w:pStyle w:val="6"/>
        <w:spacing w:line="360" w:lineRule="auto"/>
        <w:ind w:left="0" w:leftChars="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7、定标及合同授予</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7.1 定标</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7.1.1 按照供应商须知前附表的规定，招标人或招标人授权的评标委员会依法确定中标人。</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7.1.2 按投标人须知前附表的规定的定标原则确定中标人。</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7.2 中标结果</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自中标人确定之日起 2 个工作日内，在投标人须知前附表规定的媒体上公告中标结果，招标文件随中标结果同时公告。</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7.3 中标通知</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7.3.1 由本项目代理机构向中标人发出《中标通知书》，中标人应在发布中标结果公告后的2个工作日内领取中标通知书，逾期未领的，视同第1个工作日内已领取。《中标通知书》对采购人和中标人均具有法律效力。</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7.3.2 《中标通知书》、招标文件、中标人的投标文件及其澄清文件均为签订合同的依据。</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7.4 履约保证金（本项目不收取）</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7.4.1 在签订合同前，中标人应按投标人须知前附表规定的形式、金额和事先经过招标人书面认可的履约保证金格式向招标人提交履约保证金。除投标人须知前附表另有规定外，履约保证金为中标合同金额的 10% 联合体中标的，其履约保证金以联合体各方或者联合体中牵头人的名义提交。</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7.4.2 中标人不能按本章第 7.4.1 项要求提交履约保证金的，视为放弃中标资格， 其投标保证金不予退还，给采购人造成的损失超过投标保证金数额的，中标人还应当对超过部分予以赔偿。</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7.5 签订合同</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7.5.1 采购人和中标人应当在中标通知书发出之日起 1 个工作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7.5.2 发出中标通知书后，招标人无正当理由拒签合同，或者在签订合同时向中标人提出附加条件的，招标人向中标人退还投标保证金；给中标人造成损失的，还应当赔偿损失。</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7.5.3 联合体中标的，联合体各方应当共同与招标人签订合同，就中标项目向招标人承担连带责任。</w:t>
      </w:r>
    </w:p>
    <w:p>
      <w:pPr>
        <w:pStyle w:val="6"/>
        <w:spacing w:line="360" w:lineRule="auto"/>
        <w:ind w:left="0" w:leftChars="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8、纪律和监督</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8.1 对招标人的纪律要求</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8.1.1 不得以不合理的条件对投标人实行差别待遇或者歧视待遇，排斥其他投标人公平参与竞争；</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8.1.2 不得与投标人或招标代理机构串通损害国家利益、社会公共利益或者他人合法权益；</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8.1.3 不得诱导、干预或影响评标委员会依法依规评标，不得诱导、干预或影响评标专家依法依规独立评标；</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8.1.4 不得泄漏采购活动中应当保密的情况和资料；</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8.1.5 不得接受投标人或招标代理机构的贿赂，或获取其他不正当利益；</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8.1.6 不得无正当理拒绝与中标人签订合同；</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8.1.7 参与采购活动的相关人员与投标人有利害关系的应当回避；</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8.1.8 采购过程中，不得有其他违法违规行为。</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8.2 对供应商的纪律要求</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8.2.1 不得以他人名义投标；</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8.2.2 供应商不得相互串通投标，不得与招标人、与招标代理机构串通投标；</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8.2.3 不得向招标人或者评标委员会成员行贿，或提供其他不正当利益谋取中标；</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8.2.4 不得弄虚作假骗取中标，不得虚假应标，不得恶意低价抢标；</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8.2.5 投标人不得以任何方式干扰、影响评标工作；</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8.2.6 不得无正当理由弃标或中标后拒绝与招标人签订合同；</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8.2.7 不得恶意诋毁其他供应商、采招标人或招标代理机构；</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8.2.8 在参与政府采购活动中，不得有其他违法违规行为。</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8.3 对评标委员会成员的纪律要求</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8.3.1 确定参与评标至评标结束前，不得私自接触投标人；</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8.3.2 不得与投标人或招标代理机构串通损害国家利益、社会公共利益或者他人合法权益；</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8.3.3 不得接受投标人主动提出的与投标文件不一致的澄清和说明；</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8.3.4 不得征询招标人的倾向性意见；</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8.3.5 不得对主观评审因素协商评分；</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8.3.6 不得对客观评审因素评分不一致；</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8.3.7 评标委员会成员不得接受供应商、招标人和招标代理机构等他人的贿赂或者其他不正当利益；</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8.3.8 不得以不合理的条件对投标人实行差别待遇或者歧视待遇，排斥其他投标人公平参与竞争；</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8.3.9 不得使用招标文件没有规定的评标方法和评标标准进行评标；</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8.3.10 不得诱导、干预或影响其他评标专家依法依规独立评标；</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8.3.11 在评标活动中，评标委员会成员不得擅离职守，影响评标工作正常进行；</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8.3.12 不得记录、复制或带走任何评标资料；</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8.3.13 不得泄露评标过程中获悉的对投标文件的评审和比较、中标候选人的推荐情况以及与评标有关的应当保密的情况和资料；</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 xml:space="preserve">8.3.14 评标委员会成员与投标人存在利害关系应当回避； </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8.3.15 在参与政府采购评标活动中，不得有其他违法违规行为。</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8.4 对与评标活动有关的工作人员的纪律要求</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8.4.1 不得接受投标人、招标人和招标代理机构等他人的贿赂或者其他不正当利益；</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8.4.2 不得与投标人、采购代理机构或评标专家串通损害国家利益、社会公共利益或者他人合法权益；</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8.4.3 不得以不合理的条件对投标人实行差别待遇或者歧视待遇，排斥其他投标人公平参与竞争；</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8.4.4 不得诱导、干预或影响评标委员会及其成员依法依规独立评标；</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8.4.5 不得擅离职守，影响评标工作正常进行；</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8.4.6 不得泄漏采购活动中应当保密的情况和资料；</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8.4.7 与投标人有利害关系的应当回避；</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8.4.8 在参与或服务政府采购活动中，不得有其他违法违规行为。</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8.5 质疑和投诉</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8.5.1 投标人认为本次招标活动的招标文件、采购过程和中标结果使自己的权益受到损害的，在知道或应知其权益受到损害之日起 7 个工作日内有权在法定质疑期内，按规定的程序针对同一采购程序环节一次性实名向招标人、招标代理机构提出书面质疑。质疑函应采用中华人民共和国财政部制定的范本（见附件：质疑函范本）。质疑函及授权委托书应按规定签字并加盖公章。</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 xml:space="preserve">8.5.2 质疑函的递交方式：见供应商须知前附表。 </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8.5.3 对招标人、招标代理机构的答复不满意或者采购人、招标代理机构未在规定的时间内作出答复的，投标人可以在质疑答复期满后 15 个工作日内实名向（项目所属）同级政府采购监督管理部门投诉。</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8.5.4 质疑和投诉应有具体的质疑（投诉）事项和必要的证明材料或事实根据，投标人对其质疑和投诉内容的真实性及其来源的合法性承担法律责任。</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9、需要补充的其他内容</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需要补充的其他内容：见投标人须知前附表。</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10、公开招标失败转为竞争性谈判方式采购</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10.1 本项目（标段）招标过程中提交投标文件并经评标委员会评审实质性响应招标文件要求的投标人只有两家时，招标人、招标代理机构按照规定程序报经本级财政部门批准后可以与该两家供应商进行竞争性谈判采购，招标人、招标代理机构应当根据招标文件中的采购需求编制谈判文件，成立谈判小组，由谈判小组对谈判文件进行确认。</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10.2 公开招标失败项目转为竞争性谈判方式采购的，原招标文件的采购需求转为谈判文件的相应内容。投标人的原投标文件转为谈判响应文件。评标委员会转为谈判小组，不再按原评标办法对原投标人（以下称为投标人）进行评审打分，并按下述程序确定成交投标人。</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10.3 谈判的主要程序</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10.3.1 谈判小组对投标人的响应文件进行评审。未实质性响应谈判文件的响应文件按无效处理。</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10.3.2 谈判小组所有成员集中与实质性响应谈判文件要求的单一供应商分别进行谈判，并给予所有参加谈判的投标人平等的谈判机会。</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10.3.3 在谈判过程中，谈判小组可以根据谈判文件和谈判情况实质性变动采购需求中的技术、服务要求以及合同草案条款。对谈判文件做出的实质性变动是谈判文件的有效组成部分，须经招标人代表签字确认。谈判小组以书面形式同时通知所有参加谈判的投标人。</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10.3.4 投标人按照谈判文件的变动情况和谈判小组的要求重新提交响应文件的，由其法定代表人或其委托代理人签字或者加盖公章。</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10.3.5 谈判文件详细列明采购项目的技术、服务要求后，谈判小组要求所有继续参加谈判的投标人在规定时间内提交最后报价。</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10.3.6 最后报价是投标人响应文件的有效组成部分。</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10.3.7 谈判小组从质量和服务均能满足谈判文件实质性响应要求的投标人中，按照最后报价由低到高的顺序推荐成交候选人。</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11、落实政府采购政策</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1、本项目执行财政部、工业和信息化部《政府采购促进中小企业发展管理办法》（财库〔2020〕46 号）的规定。</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以联合体形式参加政府采购活动，联合体各方均为中小企业的，联合体视同中小企业。</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其中，联合体各方均为小微企业的，联合体视同小微企业。</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非专门面向中小企业采购的采购项目（采购包）对符合《政府采购促进中小企业发展管理办法》规定的小微企业报价给予扣除；专门面向中小企业采购的采购项目（采购包），不执行价格扣除政策。</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2、根据财政部司法部《关于政府采购支持监狱企业发展有关问题的通知》（财库〔2014〕68 号）规定，监狱企业视同小型、微型企业，享受评审中价格扣除等政府采购促进中小企业发展的政府采购政策。</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（3）根据财政部民政部中国残疾人联合会《关于促进残疾人就业政府采购政策的通知》（财库〔2017〕141 号）规定，残疾人福利性单位视同小型、微型企业，享受评审中价格扣除等政府采购促进中小企业发展的政府采购政策。</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（4）同一供应商（包括联合体），中小微企业产品、监狱企业产品、残疾人福利性单位产品价格扣除优惠只享受一次，不得重复享受。</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（5）根据财政部工业和信息化部《政府采购促进中小企业发展管理办法》（财库〔2020〕46 号）的规定，</w:t>
      </w:r>
      <w:r>
        <w:rPr>
          <w:rFonts w:hint="eastAsia" w:ascii="仿宋" w:hAnsi="仿宋" w:eastAsia="仿宋" w:cs="仿宋"/>
          <w:b/>
          <w:bCs/>
          <w:snapToGrid w:val="0"/>
          <w:sz w:val="24"/>
          <w:szCs w:val="24"/>
          <w:lang w:val="en-US"/>
        </w:rPr>
        <w:t>本项目专门面向中小微（监狱、残疾人福利性单位）企业采购（监狱、残疾人福利性单位视同小型、微型企业），评审中价格将均不予扣除。</w:t>
      </w:r>
    </w:p>
    <w:p>
      <w:pPr>
        <w:pStyle w:val="6"/>
        <w:spacing w:line="360" w:lineRule="auto"/>
        <w:ind w:left="0" w:leftChars="0"/>
        <w:rPr>
          <w:rFonts w:ascii="仿宋" w:hAnsi="仿宋" w:eastAsia="仿宋" w:cs="仿宋"/>
          <w:snapToGrid w:val="0"/>
          <w:sz w:val="24"/>
          <w:szCs w:val="24"/>
          <w:lang w:val="en-US"/>
        </w:rPr>
      </w:pPr>
      <w:r>
        <w:rPr>
          <w:rFonts w:hint="eastAsia" w:ascii="仿宋" w:hAnsi="仿宋" w:eastAsia="仿宋" w:cs="仿宋"/>
          <w:snapToGrid w:val="0"/>
          <w:sz w:val="24"/>
          <w:szCs w:val="24"/>
          <w:lang w:val="en-US"/>
        </w:rPr>
        <w:br w:type="page"/>
      </w:r>
    </w:p>
    <w:p>
      <w:pPr>
        <w:rPr>
          <w:rFonts w:ascii="仿宋" w:hAnsi="仿宋" w:eastAsia="仿宋" w:cs="仿宋"/>
          <w:b/>
          <w:bCs/>
          <w:snapToGrid w:val="0"/>
          <w:sz w:val="28"/>
          <w:szCs w:val="28"/>
          <w:lang w:val="en-US"/>
        </w:rPr>
      </w:pPr>
      <w:r>
        <w:rPr>
          <w:rFonts w:hint="eastAsia" w:ascii="仿宋" w:hAnsi="仿宋" w:eastAsia="仿宋" w:cs="仿宋"/>
          <w:b/>
          <w:bCs/>
          <w:snapToGrid w:val="0"/>
          <w:sz w:val="28"/>
          <w:szCs w:val="28"/>
          <w:lang w:val="en-US"/>
        </w:rPr>
        <w:t>附件：质疑函范本</w:t>
      </w:r>
    </w:p>
    <w:p>
      <w:pPr>
        <w:jc w:val="center"/>
        <w:rPr>
          <w:rFonts w:ascii="仿宋" w:hAnsi="仿宋" w:eastAsia="仿宋" w:cs="仿宋"/>
          <w:b/>
          <w:bCs/>
          <w:snapToGrid w:val="0"/>
          <w:sz w:val="28"/>
          <w:szCs w:val="28"/>
          <w:lang w:val="en-US"/>
        </w:rPr>
      </w:pPr>
      <w:bookmarkStart w:id="50" w:name="_Toc1359_WPSOffice_Level2"/>
      <w:bookmarkStart w:id="51" w:name="_Toc12670_WPSOffice_Level2"/>
      <w:bookmarkStart w:id="52" w:name="_Toc10079_WPSOffice_Level2"/>
      <w:r>
        <w:rPr>
          <w:rFonts w:hint="eastAsia" w:ascii="仿宋" w:hAnsi="仿宋" w:eastAsia="仿宋" w:cs="仿宋"/>
          <w:b/>
          <w:bCs/>
          <w:snapToGrid w:val="0"/>
          <w:sz w:val="28"/>
          <w:szCs w:val="28"/>
          <w:lang w:val="en-US"/>
        </w:rPr>
        <w:t>质疑函</w:t>
      </w:r>
      <w:bookmarkEnd w:id="50"/>
      <w:bookmarkEnd w:id="51"/>
      <w:bookmarkEnd w:id="52"/>
    </w:p>
    <w:p>
      <w:pPr>
        <w:ind w:firstLine="480" w:firstLineChars="200"/>
        <w:rPr>
          <w:rFonts w:ascii="仿宋" w:hAnsi="仿宋" w:eastAsia="仿宋" w:cs="仿宋"/>
          <w:snapToGrid w:val="0"/>
          <w:sz w:val="24"/>
          <w:szCs w:val="24"/>
          <w:lang w:val="en-US"/>
        </w:rPr>
      </w:pPr>
    </w:p>
    <w:p>
      <w:pPr>
        <w:rPr>
          <w:rFonts w:ascii="仿宋" w:hAnsi="仿宋" w:eastAsia="仿宋" w:cs="仿宋"/>
          <w:snapToGrid w:val="0"/>
          <w:sz w:val="24"/>
          <w:szCs w:val="24"/>
          <w:lang w:val="en-US"/>
        </w:rPr>
      </w:pPr>
      <w:bookmarkStart w:id="53" w:name="_Toc4171_WPSOffice_Level2"/>
      <w:bookmarkStart w:id="54" w:name="_Toc21510_WPSOffice_Level2"/>
      <w:bookmarkStart w:id="55" w:name="_Toc2161_WPSOffice_Level2"/>
      <w:r>
        <w:rPr>
          <w:rFonts w:hint="eastAsia" w:ascii="仿宋" w:hAnsi="仿宋" w:eastAsia="仿宋" w:cs="仿宋"/>
          <w:snapToGrid w:val="0"/>
          <w:sz w:val="24"/>
          <w:szCs w:val="24"/>
          <w:lang w:val="en-US"/>
        </w:rPr>
        <w:t>一、质疑投标人基本信息</w:t>
      </w:r>
      <w:bookmarkEnd w:id="53"/>
      <w:bookmarkEnd w:id="54"/>
      <w:bookmarkEnd w:id="55"/>
    </w:p>
    <w:p>
      <w:pPr>
        <w:ind w:firstLine="480" w:firstLineChars="200"/>
        <w:rPr>
          <w:rFonts w:ascii="仿宋" w:hAnsi="仿宋" w:eastAsia="仿宋" w:cs="仿宋"/>
          <w:snapToGrid w:val="0"/>
          <w:sz w:val="24"/>
          <w:szCs w:val="24"/>
          <w:u w:val="dotted"/>
          <w:lang w:val="en-US"/>
        </w:rPr>
      </w:pPr>
      <w:r>
        <w:rPr>
          <w:rFonts w:hint="eastAsia" w:ascii="仿宋" w:hAnsi="仿宋" w:eastAsia="仿宋" w:cs="仿宋"/>
          <w:snapToGrid w:val="0"/>
          <w:sz w:val="24"/>
          <w:szCs w:val="24"/>
          <w:lang w:val="en-US"/>
        </w:rPr>
        <w:t>质疑投标人：</w:t>
      </w:r>
    </w:p>
    <w:p>
      <w:pPr>
        <w:ind w:firstLine="480" w:firstLineChars="200"/>
        <w:rPr>
          <w:rFonts w:ascii="仿宋" w:hAnsi="仿宋" w:eastAsia="仿宋" w:cs="仿宋"/>
          <w:snapToGrid w:val="0"/>
          <w:sz w:val="24"/>
          <w:szCs w:val="24"/>
          <w:u w:val="dotted"/>
          <w:lang w:val="en-US"/>
        </w:rPr>
      </w:pPr>
      <w:r>
        <w:rPr>
          <w:rFonts w:hint="eastAsia" w:ascii="仿宋" w:hAnsi="仿宋" w:eastAsia="仿宋" w:cs="仿宋"/>
          <w:snapToGrid w:val="0"/>
          <w:sz w:val="24"/>
          <w:szCs w:val="24"/>
          <w:lang w:val="en-US"/>
        </w:rPr>
        <w:t>地址：邮编：</w:t>
      </w:r>
    </w:p>
    <w:p>
      <w:pPr>
        <w:ind w:firstLine="480" w:firstLineChars="200"/>
        <w:rPr>
          <w:rFonts w:ascii="仿宋" w:hAnsi="仿宋" w:eastAsia="仿宋" w:cs="仿宋"/>
          <w:snapToGrid w:val="0"/>
          <w:sz w:val="24"/>
          <w:szCs w:val="24"/>
          <w:u w:val="dotted"/>
          <w:lang w:val="en-US"/>
        </w:rPr>
      </w:pPr>
      <w:r>
        <w:rPr>
          <w:rFonts w:hint="eastAsia" w:ascii="仿宋" w:hAnsi="仿宋" w:eastAsia="仿宋" w:cs="仿宋"/>
          <w:snapToGrid w:val="0"/>
          <w:sz w:val="24"/>
          <w:szCs w:val="24"/>
          <w:lang w:val="en-US"/>
        </w:rPr>
        <w:t>联系人：联系电话：</w:t>
      </w:r>
    </w:p>
    <w:p>
      <w:pPr>
        <w:ind w:firstLine="480" w:firstLineChars="200"/>
        <w:rPr>
          <w:rFonts w:ascii="仿宋" w:hAnsi="仿宋" w:eastAsia="仿宋" w:cs="仿宋"/>
          <w:snapToGrid w:val="0"/>
          <w:sz w:val="24"/>
          <w:szCs w:val="24"/>
          <w:u w:val="dotted"/>
          <w:lang w:val="en-US"/>
        </w:rPr>
      </w:pPr>
      <w:r>
        <w:rPr>
          <w:rFonts w:hint="eastAsia" w:ascii="仿宋" w:hAnsi="仿宋" w:eastAsia="仿宋" w:cs="仿宋"/>
          <w:snapToGrid w:val="0"/>
          <w:sz w:val="24"/>
          <w:szCs w:val="24"/>
          <w:lang w:val="en-US"/>
        </w:rPr>
        <w:t>授权代表：</w:t>
      </w:r>
    </w:p>
    <w:p>
      <w:pPr>
        <w:ind w:firstLine="480" w:firstLineChars="200"/>
        <w:rPr>
          <w:rFonts w:ascii="仿宋" w:hAnsi="仿宋" w:eastAsia="仿宋" w:cs="仿宋"/>
          <w:snapToGrid w:val="0"/>
          <w:sz w:val="24"/>
          <w:szCs w:val="24"/>
          <w:u w:val="dotted"/>
          <w:lang w:val="en-US"/>
        </w:rPr>
      </w:pPr>
      <w:r>
        <w:rPr>
          <w:rFonts w:hint="eastAsia" w:ascii="仿宋" w:hAnsi="仿宋" w:eastAsia="仿宋" w:cs="仿宋"/>
          <w:snapToGrid w:val="0"/>
          <w:sz w:val="24"/>
          <w:szCs w:val="24"/>
          <w:lang w:val="en-US"/>
        </w:rPr>
        <w:t>联系电话：</w:t>
      </w:r>
    </w:p>
    <w:p>
      <w:pPr>
        <w:ind w:firstLine="480" w:firstLineChars="200"/>
        <w:rPr>
          <w:rFonts w:ascii="仿宋" w:hAnsi="仿宋" w:eastAsia="仿宋" w:cs="仿宋"/>
          <w:snapToGrid w:val="0"/>
          <w:sz w:val="24"/>
          <w:szCs w:val="24"/>
          <w:u w:val="dotted"/>
          <w:lang w:val="en-US"/>
        </w:rPr>
      </w:pPr>
      <w:r>
        <w:rPr>
          <w:rFonts w:hint="eastAsia" w:ascii="仿宋" w:hAnsi="仿宋" w:eastAsia="仿宋" w:cs="仿宋"/>
          <w:snapToGrid w:val="0"/>
          <w:sz w:val="24"/>
          <w:szCs w:val="24"/>
          <w:lang w:val="en-US"/>
        </w:rPr>
        <w:t>地址：邮编：</w:t>
      </w:r>
    </w:p>
    <w:p>
      <w:pPr>
        <w:rPr>
          <w:rFonts w:ascii="仿宋" w:hAnsi="仿宋" w:eastAsia="仿宋" w:cs="仿宋"/>
          <w:snapToGrid w:val="0"/>
          <w:sz w:val="24"/>
          <w:szCs w:val="24"/>
          <w:lang w:val="en-US"/>
        </w:rPr>
      </w:pPr>
      <w:bookmarkStart w:id="56" w:name="_Toc18070_WPSOffice_Level2"/>
      <w:bookmarkStart w:id="57" w:name="_Toc15995_WPSOffice_Level2"/>
      <w:bookmarkStart w:id="58" w:name="_Toc18859_WPSOffice_Level2"/>
      <w:r>
        <w:rPr>
          <w:rFonts w:hint="eastAsia" w:ascii="仿宋" w:hAnsi="仿宋" w:eastAsia="仿宋" w:cs="仿宋"/>
          <w:snapToGrid w:val="0"/>
          <w:sz w:val="24"/>
          <w:szCs w:val="24"/>
          <w:lang w:val="en-US"/>
        </w:rPr>
        <w:t>二、质疑项目基本情况</w:t>
      </w:r>
      <w:bookmarkEnd w:id="56"/>
      <w:bookmarkEnd w:id="57"/>
      <w:bookmarkEnd w:id="58"/>
    </w:p>
    <w:p>
      <w:pPr>
        <w:ind w:firstLine="480" w:firstLineChars="200"/>
        <w:rPr>
          <w:rFonts w:ascii="仿宋" w:hAnsi="仿宋" w:eastAsia="仿宋" w:cs="仿宋"/>
          <w:snapToGrid w:val="0"/>
          <w:sz w:val="24"/>
          <w:szCs w:val="24"/>
          <w:u w:val="dotted"/>
          <w:lang w:val="en-US"/>
        </w:rPr>
      </w:pPr>
      <w:r>
        <w:rPr>
          <w:rFonts w:hint="eastAsia" w:ascii="仿宋" w:hAnsi="仿宋" w:eastAsia="仿宋" w:cs="仿宋"/>
          <w:snapToGrid w:val="0"/>
          <w:sz w:val="24"/>
          <w:szCs w:val="24"/>
          <w:lang w:val="en-US"/>
        </w:rPr>
        <w:t>质疑项目的名称：</w:t>
      </w:r>
    </w:p>
    <w:p>
      <w:pPr>
        <w:ind w:firstLine="480" w:firstLineChars="200"/>
        <w:rPr>
          <w:rFonts w:ascii="仿宋" w:hAnsi="仿宋" w:eastAsia="仿宋" w:cs="仿宋"/>
          <w:snapToGrid w:val="0"/>
          <w:sz w:val="24"/>
          <w:szCs w:val="24"/>
          <w:u w:val="dotted"/>
          <w:lang w:val="en-US"/>
        </w:rPr>
      </w:pPr>
      <w:r>
        <w:rPr>
          <w:rFonts w:hint="eastAsia" w:ascii="仿宋" w:hAnsi="仿宋" w:eastAsia="仿宋" w:cs="仿宋"/>
          <w:snapToGrid w:val="0"/>
          <w:sz w:val="24"/>
          <w:szCs w:val="24"/>
          <w:lang w:val="en-US"/>
        </w:rPr>
        <w:t>质疑项目的编号：包号：</w:t>
      </w:r>
    </w:p>
    <w:p>
      <w:pPr>
        <w:ind w:firstLine="480" w:firstLineChars="200"/>
        <w:rPr>
          <w:rFonts w:ascii="仿宋" w:hAnsi="仿宋" w:eastAsia="仿宋" w:cs="仿宋"/>
          <w:snapToGrid w:val="0"/>
          <w:sz w:val="24"/>
          <w:szCs w:val="24"/>
          <w:u w:val="dotted"/>
          <w:lang w:val="en-US"/>
        </w:rPr>
      </w:pPr>
      <w:r>
        <w:rPr>
          <w:rFonts w:hint="eastAsia" w:ascii="仿宋" w:hAnsi="仿宋" w:eastAsia="仿宋" w:cs="仿宋"/>
          <w:snapToGrid w:val="0"/>
          <w:sz w:val="24"/>
          <w:szCs w:val="24"/>
          <w:lang w:val="en-US"/>
        </w:rPr>
        <w:t>招标人名称：</w:t>
      </w:r>
    </w:p>
    <w:p>
      <w:pPr>
        <w:ind w:firstLine="480" w:firstLineChars="200"/>
        <w:rPr>
          <w:rFonts w:ascii="仿宋" w:hAnsi="仿宋" w:eastAsia="仿宋" w:cs="仿宋"/>
          <w:snapToGrid w:val="0"/>
          <w:sz w:val="24"/>
          <w:szCs w:val="24"/>
          <w:u w:val="dotted"/>
          <w:lang w:val="en-US"/>
        </w:rPr>
      </w:pPr>
      <w:r>
        <w:rPr>
          <w:rFonts w:hint="eastAsia" w:ascii="仿宋" w:hAnsi="仿宋" w:eastAsia="仿宋" w:cs="仿宋"/>
          <w:snapToGrid w:val="0"/>
          <w:sz w:val="24"/>
          <w:szCs w:val="24"/>
          <w:lang w:val="en-US"/>
        </w:rPr>
        <w:t>招标文件获取日期：</w:t>
      </w:r>
    </w:p>
    <w:p>
      <w:pPr>
        <w:rPr>
          <w:rFonts w:ascii="仿宋" w:hAnsi="仿宋" w:eastAsia="仿宋" w:cs="仿宋"/>
          <w:snapToGrid w:val="0"/>
          <w:sz w:val="24"/>
          <w:szCs w:val="24"/>
          <w:lang w:val="en-US"/>
        </w:rPr>
      </w:pPr>
      <w:bookmarkStart w:id="59" w:name="_Toc17364_WPSOffice_Level2"/>
      <w:bookmarkStart w:id="60" w:name="_Toc30647_WPSOffice_Level2"/>
      <w:bookmarkStart w:id="61" w:name="_Toc19359_WPSOffice_Level2"/>
      <w:r>
        <w:rPr>
          <w:rFonts w:hint="eastAsia" w:ascii="仿宋" w:hAnsi="仿宋" w:eastAsia="仿宋" w:cs="仿宋"/>
          <w:snapToGrid w:val="0"/>
          <w:sz w:val="24"/>
          <w:szCs w:val="24"/>
          <w:lang w:val="en-US"/>
        </w:rPr>
        <w:t>三、质疑事项具体内容</w:t>
      </w:r>
      <w:bookmarkEnd w:id="59"/>
      <w:bookmarkEnd w:id="60"/>
      <w:bookmarkEnd w:id="61"/>
    </w:p>
    <w:p>
      <w:pPr>
        <w:ind w:firstLine="480" w:firstLineChars="200"/>
        <w:rPr>
          <w:rFonts w:ascii="仿宋" w:hAnsi="仿宋" w:eastAsia="仿宋" w:cs="仿宋"/>
          <w:snapToGrid w:val="0"/>
          <w:sz w:val="24"/>
          <w:szCs w:val="24"/>
          <w:u w:val="dotted"/>
          <w:lang w:val="en-US"/>
        </w:rPr>
      </w:pPr>
      <w:r>
        <w:rPr>
          <w:rFonts w:hint="eastAsia" w:ascii="仿宋" w:hAnsi="仿宋" w:eastAsia="仿宋" w:cs="仿宋"/>
          <w:snapToGrid w:val="0"/>
          <w:sz w:val="24"/>
          <w:szCs w:val="24"/>
          <w:lang w:val="en-US"/>
        </w:rPr>
        <w:t>质疑事项1：</w:t>
      </w:r>
    </w:p>
    <w:p>
      <w:pPr>
        <w:ind w:firstLine="480" w:firstLineChars="200"/>
        <w:rPr>
          <w:rFonts w:ascii="仿宋" w:hAnsi="仿宋" w:eastAsia="仿宋" w:cs="仿宋"/>
          <w:snapToGrid w:val="0"/>
          <w:sz w:val="24"/>
          <w:szCs w:val="24"/>
          <w:u w:val="dotted"/>
          <w:lang w:val="en-US"/>
        </w:rPr>
      </w:pPr>
      <w:r>
        <w:rPr>
          <w:rFonts w:hint="eastAsia" w:ascii="仿宋" w:hAnsi="仿宋" w:eastAsia="仿宋" w:cs="仿宋"/>
          <w:snapToGrid w:val="0"/>
          <w:sz w:val="24"/>
          <w:szCs w:val="24"/>
          <w:lang w:val="en-US"/>
        </w:rPr>
        <w:t>事实依据：</w:t>
      </w:r>
    </w:p>
    <w:p>
      <w:pPr>
        <w:ind w:firstLine="480" w:firstLineChars="200"/>
        <w:rPr>
          <w:rFonts w:ascii="仿宋" w:hAnsi="仿宋" w:eastAsia="仿宋" w:cs="仿宋"/>
          <w:snapToGrid w:val="0"/>
          <w:sz w:val="24"/>
          <w:szCs w:val="24"/>
          <w:u w:val="dotted"/>
          <w:lang w:val="en-US"/>
        </w:rPr>
      </w:pPr>
    </w:p>
    <w:p>
      <w:pPr>
        <w:ind w:firstLine="480" w:firstLineChars="200"/>
        <w:rPr>
          <w:rFonts w:ascii="仿宋" w:hAnsi="仿宋" w:eastAsia="仿宋" w:cs="仿宋"/>
          <w:snapToGrid w:val="0"/>
          <w:sz w:val="24"/>
          <w:szCs w:val="24"/>
          <w:u w:val="dotted"/>
          <w:lang w:val="en-US"/>
        </w:rPr>
      </w:pPr>
      <w:r>
        <w:rPr>
          <w:rFonts w:hint="eastAsia" w:ascii="仿宋" w:hAnsi="仿宋" w:eastAsia="仿宋" w:cs="仿宋"/>
          <w:snapToGrid w:val="0"/>
          <w:sz w:val="24"/>
          <w:szCs w:val="24"/>
          <w:lang w:val="en-US"/>
        </w:rPr>
        <w:t>法律依据：</w:t>
      </w:r>
    </w:p>
    <w:p>
      <w:pPr>
        <w:ind w:firstLine="480" w:firstLineChars="200"/>
        <w:rPr>
          <w:rFonts w:ascii="仿宋" w:hAnsi="仿宋" w:eastAsia="仿宋" w:cs="仿宋"/>
          <w:snapToGrid w:val="0"/>
          <w:sz w:val="24"/>
          <w:szCs w:val="24"/>
          <w:u w:val="dotted"/>
          <w:lang w:val="en-US"/>
        </w:rPr>
      </w:pPr>
    </w:p>
    <w:p>
      <w:pPr>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质疑事项2</w:t>
      </w:r>
    </w:p>
    <w:p>
      <w:pPr>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w:t>
      </w:r>
    </w:p>
    <w:p>
      <w:pPr>
        <w:rPr>
          <w:rFonts w:ascii="仿宋" w:hAnsi="仿宋" w:eastAsia="仿宋" w:cs="仿宋"/>
          <w:snapToGrid w:val="0"/>
          <w:sz w:val="24"/>
          <w:szCs w:val="24"/>
          <w:lang w:val="en-US"/>
        </w:rPr>
      </w:pPr>
      <w:bookmarkStart w:id="62" w:name="_Toc29954_WPSOffice_Level2"/>
      <w:bookmarkStart w:id="63" w:name="_Toc23562_WPSOffice_Level2"/>
      <w:bookmarkStart w:id="64" w:name="_Toc6934_WPSOffice_Level2"/>
      <w:r>
        <w:rPr>
          <w:rFonts w:hint="eastAsia" w:ascii="仿宋" w:hAnsi="仿宋" w:eastAsia="仿宋" w:cs="仿宋"/>
          <w:snapToGrid w:val="0"/>
          <w:sz w:val="24"/>
          <w:szCs w:val="24"/>
          <w:lang w:val="en-US"/>
        </w:rPr>
        <w:t>四、与质疑事项相关的质疑请求</w:t>
      </w:r>
      <w:bookmarkEnd w:id="62"/>
      <w:bookmarkEnd w:id="63"/>
      <w:bookmarkEnd w:id="64"/>
    </w:p>
    <w:p>
      <w:pPr>
        <w:ind w:firstLine="480" w:firstLineChars="200"/>
        <w:rPr>
          <w:rFonts w:ascii="仿宋" w:hAnsi="仿宋" w:eastAsia="仿宋" w:cs="仿宋"/>
          <w:snapToGrid w:val="0"/>
          <w:sz w:val="24"/>
          <w:szCs w:val="24"/>
          <w:u w:val="dotted"/>
          <w:lang w:val="en-US"/>
        </w:rPr>
      </w:pPr>
      <w:r>
        <w:rPr>
          <w:rFonts w:hint="eastAsia" w:ascii="仿宋" w:hAnsi="仿宋" w:eastAsia="仿宋" w:cs="仿宋"/>
          <w:snapToGrid w:val="0"/>
          <w:sz w:val="24"/>
          <w:szCs w:val="24"/>
          <w:lang w:val="en-US"/>
        </w:rPr>
        <w:t>请求：</w:t>
      </w:r>
    </w:p>
    <w:p>
      <w:pPr>
        <w:ind w:firstLine="480" w:firstLineChars="200"/>
        <w:rPr>
          <w:rFonts w:ascii="仿宋" w:hAnsi="仿宋" w:eastAsia="仿宋" w:cs="仿宋"/>
          <w:snapToGrid w:val="0"/>
          <w:sz w:val="24"/>
          <w:szCs w:val="24"/>
          <w:lang w:val="en-US"/>
        </w:rPr>
      </w:pPr>
    </w:p>
    <w:p>
      <w:pPr>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 xml:space="preserve">签字(签章)：                      公章：               </w:t>
      </w:r>
    </w:p>
    <w:p>
      <w:pPr>
        <w:ind w:firstLine="480" w:firstLineChars="200"/>
        <w:rPr>
          <w:rFonts w:ascii="仿宋" w:hAnsi="仿宋" w:eastAsia="仿宋" w:cs="仿宋"/>
          <w:snapToGrid w:val="0"/>
          <w:sz w:val="24"/>
          <w:szCs w:val="24"/>
          <w:lang w:val="en-US"/>
        </w:rPr>
      </w:pPr>
    </w:p>
    <w:p>
      <w:pPr>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日期：</w:t>
      </w:r>
    </w:p>
    <w:p>
      <w:pPr>
        <w:pStyle w:val="7"/>
        <w:keepLines/>
        <w:widowControl/>
        <w:wordWrap w:val="0"/>
        <w:topLinePunct/>
        <w:ind w:firstLine="480" w:firstLineChars="200"/>
        <w:rPr>
          <w:rFonts w:ascii="仿宋" w:hAnsi="仿宋" w:eastAsia="仿宋" w:cs="仿宋"/>
          <w:snapToGrid w:val="0"/>
          <w:lang w:val="en-US"/>
        </w:rPr>
      </w:pPr>
    </w:p>
    <w:p>
      <w:pPr>
        <w:pStyle w:val="7"/>
        <w:keepLines/>
        <w:widowControl/>
        <w:wordWrap w:val="0"/>
        <w:topLinePunct/>
        <w:ind w:firstLine="480" w:firstLineChars="200"/>
        <w:rPr>
          <w:rFonts w:ascii="仿宋" w:hAnsi="仿宋" w:eastAsia="仿宋" w:cs="仿宋"/>
          <w:snapToGrid w:val="0"/>
          <w:lang w:val="en-US"/>
        </w:rPr>
      </w:pPr>
      <w:r>
        <w:rPr>
          <w:rFonts w:hint="eastAsia" w:ascii="仿宋" w:hAnsi="仿宋" w:eastAsia="仿宋" w:cs="仿宋"/>
          <w:snapToGrid w:val="0"/>
          <w:lang w:val="en-US"/>
        </w:rPr>
        <w:t>质疑函制作说明：</w:t>
      </w:r>
    </w:p>
    <w:p>
      <w:pPr>
        <w:pStyle w:val="7"/>
        <w:keepLines/>
        <w:widowControl/>
        <w:wordWrap w:val="0"/>
        <w:topLinePunct/>
        <w:ind w:firstLine="480" w:firstLineChars="200"/>
        <w:rPr>
          <w:rFonts w:ascii="仿宋" w:hAnsi="仿宋" w:eastAsia="仿宋" w:cs="仿宋"/>
          <w:snapToGrid w:val="0"/>
          <w:lang w:val="en-US"/>
        </w:rPr>
      </w:pPr>
      <w:r>
        <w:rPr>
          <w:rFonts w:hint="eastAsia" w:ascii="仿宋" w:hAnsi="仿宋" w:eastAsia="仿宋" w:cs="仿宋"/>
          <w:snapToGrid w:val="0"/>
          <w:lang w:val="en-US"/>
        </w:rPr>
        <w:t>1、投标人提出质疑时，应提交质疑函和必要的证明材料。</w:t>
      </w:r>
    </w:p>
    <w:p>
      <w:pPr>
        <w:pStyle w:val="7"/>
        <w:keepLines/>
        <w:widowControl/>
        <w:wordWrap w:val="0"/>
        <w:topLinePunct/>
        <w:ind w:firstLine="480" w:firstLineChars="200"/>
        <w:rPr>
          <w:rFonts w:ascii="仿宋" w:hAnsi="仿宋" w:eastAsia="仿宋" w:cs="仿宋"/>
          <w:snapToGrid w:val="0"/>
          <w:lang w:val="en-US"/>
        </w:rPr>
      </w:pPr>
      <w:r>
        <w:rPr>
          <w:rFonts w:hint="eastAsia" w:ascii="仿宋" w:hAnsi="仿宋" w:eastAsia="仿宋" w:cs="仿宋"/>
          <w:snapToGrid w:val="0"/>
          <w:lang w:val="en-US"/>
        </w:rPr>
        <w:t>2、质疑投标人若委托代理人进行质疑的，质疑函应按要求列明“授权代表”的有关内容，并在附件中提交由质疑供应商签署的授权委托书。授权委托书应载明代理人的姓名或者名称、代理事项、具体权限、期限和相关事项。</w:t>
      </w:r>
    </w:p>
    <w:p>
      <w:pPr>
        <w:pStyle w:val="7"/>
        <w:keepLines/>
        <w:widowControl/>
        <w:wordWrap w:val="0"/>
        <w:topLinePunct/>
        <w:ind w:firstLine="480" w:firstLineChars="200"/>
        <w:rPr>
          <w:rFonts w:ascii="仿宋" w:hAnsi="仿宋" w:eastAsia="仿宋" w:cs="仿宋"/>
          <w:snapToGrid w:val="0"/>
          <w:lang w:val="en-US"/>
        </w:rPr>
      </w:pPr>
      <w:r>
        <w:rPr>
          <w:rFonts w:hint="eastAsia" w:ascii="仿宋" w:hAnsi="仿宋" w:eastAsia="仿宋" w:cs="仿宋"/>
          <w:snapToGrid w:val="0"/>
          <w:lang w:val="en-US"/>
        </w:rPr>
        <w:t>3、质疑投标人若对项目的某一分包进行质疑，质疑函中应列明具体分包号。</w:t>
      </w:r>
    </w:p>
    <w:p>
      <w:pPr>
        <w:pStyle w:val="7"/>
        <w:keepLines/>
        <w:widowControl/>
        <w:wordWrap w:val="0"/>
        <w:topLinePunct/>
        <w:ind w:firstLine="480" w:firstLineChars="200"/>
        <w:rPr>
          <w:rFonts w:ascii="仿宋" w:hAnsi="仿宋" w:eastAsia="仿宋" w:cs="仿宋"/>
          <w:snapToGrid w:val="0"/>
          <w:lang w:val="en-US"/>
        </w:rPr>
      </w:pPr>
      <w:r>
        <w:rPr>
          <w:rFonts w:hint="eastAsia" w:ascii="仿宋" w:hAnsi="仿宋" w:eastAsia="仿宋" w:cs="仿宋"/>
          <w:snapToGrid w:val="0"/>
          <w:lang w:val="en-US"/>
        </w:rPr>
        <w:t>4、质疑函的质疑事项应具体、明确，并有必要的事实依据和法律依据。</w:t>
      </w:r>
    </w:p>
    <w:p>
      <w:pPr>
        <w:pStyle w:val="7"/>
        <w:keepLines/>
        <w:widowControl/>
        <w:wordWrap w:val="0"/>
        <w:topLinePunct/>
        <w:ind w:firstLine="480" w:firstLineChars="200"/>
        <w:rPr>
          <w:rFonts w:ascii="仿宋" w:hAnsi="仿宋" w:eastAsia="仿宋" w:cs="仿宋"/>
          <w:snapToGrid w:val="0"/>
          <w:lang w:val="en-US"/>
        </w:rPr>
      </w:pPr>
      <w:r>
        <w:rPr>
          <w:rFonts w:hint="eastAsia" w:ascii="仿宋" w:hAnsi="仿宋" w:eastAsia="仿宋" w:cs="仿宋"/>
          <w:snapToGrid w:val="0"/>
          <w:lang w:val="en-US"/>
        </w:rPr>
        <w:t>5、质疑函的质疑请求应与质疑事项相关。</w:t>
      </w:r>
    </w:p>
    <w:p>
      <w:pPr>
        <w:pStyle w:val="7"/>
        <w:keepLines/>
        <w:widowControl/>
        <w:wordWrap w:val="0"/>
        <w:topLinePunct/>
        <w:ind w:firstLine="480" w:firstLineChars="200"/>
        <w:rPr>
          <w:rFonts w:ascii="仿宋" w:hAnsi="仿宋" w:eastAsia="仿宋" w:cs="仿宋"/>
          <w:snapToGrid w:val="0"/>
          <w:lang w:val="en-US"/>
        </w:rPr>
      </w:pPr>
      <w:r>
        <w:rPr>
          <w:rFonts w:hint="eastAsia" w:ascii="仿宋" w:hAnsi="仿宋" w:eastAsia="仿宋" w:cs="仿宋"/>
          <w:snapToGrid w:val="0"/>
          <w:lang w:val="en-US"/>
        </w:rPr>
        <w:t>6、质疑投标人为自然人的，质疑函应由本人签字；质疑投标人为法人或者其他组织的，质疑函应由法定代表人、主要负责人，或者其授权代表签字或者盖章，并加盖公章。</w:t>
      </w:r>
    </w:p>
    <w:p>
      <w:pPr>
        <w:rPr>
          <w:rFonts w:ascii="仿宋" w:hAnsi="仿宋" w:eastAsia="仿宋" w:cs="仿宋"/>
          <w:snapToGrid w:val="0"/>
          <w:sz w:val="24"/>
          <w:szCs w:val="24"/>
          <w:lang w:val="en-US"/>
        </w:rPr>
      </w:pPr>
      <w:r>
        <w:rPr>
          <w:rFonts w:hint="eastAsia" w:ascii="仿宋" w:hAnsi="仿宋" w:eastAsia="仿宋" w:cs="仿宋"/>
          <w:snapToGrid w:val="0"/>
          <w:sz w:val="24"/>
          <w:szCs w:val="24"/>
          <w:lang w:val="en-US"/>
        </w:rPr>
        <w:br w:type="page"/>
      </w:r>
    </w:p>
    <w:p>
      <w:pPr>
        <w:pStyle w:val="6"/>
        <w:spacing w:line="360" w:lineRule="auto"/>
        <w:ind w:left="0" w:leftChars="0"/>
        <w:jc w:val="center"/>
        <w:outlineLvl w:val="0"/>
        <w:rPr>
          <w:rFonts w:ascii="仿宋" w:hAnsi="仿宋" w:eastAsia="仿宋" w:cs="仿宋"/>
          <w:snapToGrid w:val="0"/>
          <w:sz w:val="24"/>
          <w:szCs w:val="24"/>
          <w:lang w:val="en-US"/>
        </w:rPr>
      </w:pPr>
      <w:bookmarkStart w:id="65" w:name="_Toc9329"/>
      <w:bookmarkStart w:id="66" w:name="_Toc4242"/>
      <w:r>
        <w:rPr>
          <w:rFonts w:hint="eastAsia" w:ascii="仿宋" w:hAnsi="仿宋" w:eastAsia="仿宋" w:cs="仿宋"/>
          <w:b/>
          <w:bCs/>
          <w:snapToGrid w:val="0"/>
          <w:sz w:val="32"/>
          <w:szCs w:val="32"/>
          <w:lang w:val="en-US"/>
        </w:rPr>
        <w:t>第三章  采购需求</w:t>
      </w:r>
      <w:bookmarkEnd w:id="65"/>
      <w:bookmarkEnd w:id="66"/>
    </w:p>
    <w:p>
      <w:pPr>
        <w:autoSpaceDE/>
        <w:autoSpaceDN/>
        <w:spacing w:line="336" w:lineRule="auto"/>
        <w:ind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一、</w:t>
      </w:r>
      <w:r>
        <w:rPr>
          <w:rFonts w:hint="eastAsia" w:ascii="仿宋" w:hAnsi="仿宋" w:eastAsia="仿宋" w:cs="仿宋"/>
          <w:b/>
          <w:bCs/>
          <w:spacing w:val="14"/>
          <w:sz w:val="24"/>
          <w:szCs w:val="24"/>
          <w:lang w:val="en-US" w:bidi="ar-SA"/>
        </w:rPr>
        <w:t>项目概况</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1、项目名称：伊川县市场监督管理局伊川县2024年食品安全抽检采购项目</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2、项目编号：</w:t>
      </w:r>
    </w:p>
    <w:p>
      <w:pPr>
        <w:pStyle w:val="6"/>
        <w:spacing w:line="336" w:lineRule="auto"/>
        <w:ind w:left="0" w:leftChars="0" w:firstLine="480" w:firstLineChars="200"/>
        <w:rPr>
          <w:lang w:val="en-US"/>
        </w:rPr>
      </w:pPr>
      <w:r>
        <w:rPr>
          <w:rFonts w:hint="eastAsia" w:ascii="仿宋" w:hAnsi="仿宋" w:eastAsia="仿宋" w:cs="仿宋"/>
          <w:snapToGrid w:val="0"/>
          <w:sz w:val="24"/>
          <w:szCs w:val="24"/>
          <w:lang w:val="en-US"/>
        </w:rPr>
        <w:t>3、服务要求：符合国家、省、市或行业相关最新规定标准；</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4、服务期限：一年（具体时间按本项目工作计划为准）；</w:t>
      </w:r>
    </w:p>
    <w:p>
      <w:pPr>
        <w:pStyle w:val="6"/>
        <w:spacing w:line="336"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5、标段划分：本次招标共一个标段。</w:t>
      </w:r>
    </w:p>
    <w:p>
      <w:pPr>
        <w:pStyle w:val="35"/>
        <w:rPr>
          <w:rFonts w:ascii="仿宋" w:hAnsi="仿宋" w:eastAsia="仿宋" w:cs="仿宋"/>
          <w:b/>
          <w:bCs/>
          <w:snapToGrid w:val="0"/>
          <w:color w:val="auto"/>
          <w:lang w:bidi="zh-CN"/>
        </w:rPr>
      </w:pPr>
      <w:r>
        <w:rPr>
          <w:rFonts w:hint="eastAsia" w:ascii="仿宋" w:hAnsi="仿宋" w:eastAsia="仿宋" w:cs="仿宋"/>
          <w:snapToGrid w:val="0"/>
        </w:rPr>
        <w:tab/>
      </w:r>
      <w:r>
        <w:rPr>
          <w:rFonts w:hint="eastAsia" w:ascii="仿宋" w:hAnsi="仿宋" w:eastAsia="仿宋" w:cs="仿宋"/>
          <w:b/>
          <w:bCs/>
          <w:snapToGrid w:val="0"/>
          <w:color w:val="auto"/>
          <w:lang w:bidi="zh-CN"/>
        </w:rPr>
        <w:t>二、抽检清单（后附）：</w:t>
      </w:r>
    </w:p>
    <w:p>
      <w:pPr>
        <w:pStyle w:val="6"/>
        <w:spacing w:line="336" w:lineRule="auto"/>
        <w:ind w:left="0" w:leftChars="0" w:firstLine="480" w:firstLineChars="200"/>
        <w:rPr>
          <w:rFonts w:ascii="仿宋" w:hAnsi="仿宋" w:eastAsia="仿宋" w:cs="仿宋"/>
          <w:snapToGrid w:val="0"/>
          <w:sz w:val="24"/>
          <w:szCs w:val="24"/>
          <w:lang w:val="en-US"/>
        </w:rPr>
      </w:pPr>
    </w:p>
    <w:p>
      <w:pPr>
        <w:rPr>
          <w:rFonts w:ascii="黑体" w:hAnsi="黑体" w:eastAsia="黑体" w:cs="仿宋_GB2312"/>
          <w:sz w:val="32"/>
          <w:szCs w:val="32"/>
        </w:rPr>
      </w:pPr>
      <w:r>
        <w:rPr>
          <w:rFonts w:hint="eastAsia" w:ascii="黑体" w:hAnsi="黑体" w:eastAsia="黑体" w:cs="仿宋_GB2312"/>
          <w:sz w:val="32"/>
          <w:szCs w:val="32"/>
        </w:rPr>
        <w:br w:type="page"/>
      </w:r>
    </w:p>
    <w:p>
      <w:pPr>
        <w:overflowPunct w:val="0"/>
        <w:adjustRightInd w:val="0"/>
        <w:snapToGrid w:val="0"/>
        <w:spacing w:line="592" w:lineRule="exact"/>
        <w:rPr>
          <w:rFonts w:ascii="黑体" w:hAnsi="黑体" w:eastAsia="黑体" w:cs="仿宋_GB2312"/>
          <w:sz w:val="32"/>
          <w:szCs w:val="32"/>
          <w:lang w:val="en-US"/>
        </w:rPr>
      </w:pPr>
      <w:r>
        <w:rPr>
          <w:rFonts w:hint="eastAsia" w:ascii="黑体" w:hAnsi="黑体" w:eastAsia="黑体" w:cs="仿宋_GB2312"/>
          <w:sz w:val="32"/>
          <w:szCs w:val="32"/>
        </w:rPr>
        <w:t>附件</w:t>
      </w:r>
      <w:r>
        <w:rPr>
          <w:rFonts w:hint="eastAsia" w:ascii="黑体" w:hAnsi="黑体" w:eastAsia="黑体" w:cs="仿宋_GB2312"/>
          <w:sz w:val="32"/>
          <w:szCs w:val="32"/>
          <w:lang w:val="en-US"/>
        </w:rPr>
        <w:t>1</w:t>
      </w:r>
    </w:p>
    <w:p>
      <w:pPr>
        <w:overflowPunct w:val="0"/>
        <w:adjustRightInd w:val="0"/>
        <w:snapToGrid w:val="0"/>
        <w:spacing w:beforeLines="50" w:afterLines="50" w:line="592" w:lineRule="exact"/>
        <w:jc w:val="center"/>
        <w:rPr>
          <w:rFonts w:ascii="黑体" w:hAnsi="黑体" w:eastAsia="黑体" w:cs="仿宋_GB2312"/>
          <w:sz w:val="32"/>
          <w:szCs w:val="32"/>
          <w:lang w:val="en-US"/>
        </w:rPr>
      </w:pPr>
      <w:r>
        <w:rPr>
          <w:rFonts w:hint="eastAsia" w:ascii="方正小标宋_GBK" w:hAnsi="Times New Roman" w:eastAsia="方正小标宋_GBK" w:cs="仿宋_GB2312"/>
          <w:sz w:val="44"/>
          <w:szCs w:val="44"/>
        </w:rPr>
        <w:t>伊川县2024年市级食品安全抽检计划</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95"/>
        <w:gridCol w:w="564"/>
        <w:gridCol w:w="686"/>
        <w:gridCol w:w="1034"/>
        <w:gridCol w:w="1504"/>
        <w:gridCol w:w="278"/>
        <w:gridCol w:w="5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trPr>
        <w:tc>
          <w:tcPr>
            <w:tcW w:w="245" w:type="pct"/>
            <w:shd w:val="clear" w:color="auto" w:fill="FFFFFF"/>
            <w:noWrap/>
            <w:vAlign w:val="center"/>
          </w:tcPr>
          <w:p>
            <w:pPr>
              <w:widowControl/>
              <w:overflowPunct w:val="0"/>
              <w:spacing w:line="300" w:lineRule="exact"/>
              <w:jc w:val="center"/>
              <w:textAlignment w:val="center"/>
              <w:rPr>
                <w:rFonts w:ascii="黑体" w:hAnsi="黑体" w:eastAsia="黑体" w:cs="仿宋_GB2312"/>
                <w:color w:val="000000"/>
                <w:sz w:val="24"/>
              </w:rPr>
            </w:pPr>
            <w:r>
              <w:rPr>
                <w:rFonts w:hint="eastAsia" w:ascii="黑体" w:hAnsi="黑体" w:eastAsia="黑体" w:cs="仿宋_GB2312"/>
                <w:color w:val="000000"/>
                <w:sz w:val="24"/>
              </w:rPr>
              <w:t>序号</w:t>
            </w:r>
          </w:p>
        </w:tc>
        <w:tc>
          <w:tcPr>
            <w:tcW w:w="474" w:type="pct"/>
            <w:shd w:val="clear" w:color="auto" w:fill="FFFFFF"/>
            <w:noWrap/>
            <w:vAlign w:val="center"/>
          </w:tcPr>
          <w:p>
            <w:pPr>
              <w:widowControl/>
              <w:overflowPunct w:val="0"/>
              <w:spacing w:line="300" w:lineRule="exact"/>
              <w:jc w:val="center"/>
              <w:textAlignment w:val="center"/>
              <w:rPr>
                <w:rFonts w:ascii="黑体" w:hAnsi="黑体" w:eastAsia="黑体" w:cs="仿宋_GB2312"/>
                <w:color w:val="000000"/>
                <w:sz w:val="24"/>
              </w:rPr>
            </w:pPr>
            <w:r>
              <w:rPr>
                <w:rFonts w:hint="eastAsia" w:ascii="黑体" w:hAnsi="黑体" w:eastAsia="黑体" w:cs="仿宋_GB2312"/>
                <w:color w:val="000000"/>
                <w:sz w:val="24"/>
              </w:rPr>
              <w:t>食品大类（一级）</w:t>
            </w:r>
          </w:p>
        </w:tc>
        <w:tc>
          <w:tcPr>
            <w:tcW w:w="433" w:type="pct"/>
            <w:shd w:val="clear" w:color="auto" w:fill="FFFFFF"/>
            <w:noWrap/>
            <w:vAlign w:val="center"/>
          </w:tcPr>
          <w:p>
            <w:pPr>
              <w:widowControl/>
              <w:overflowPunct w:val="0"/>
              <w:spacing w:line="300" w:lineRule="exact"/>
              <w:jc w:val="center"/>
              <w:textAlignment w:val="center"/>
              <w:rPr>
                <w:rFonts w:ascii="黑体" w:hAnsi="黑体" w:eastAsia="黑体" w:cs="仿宋_GB2312"/>
                <w:color w:val="000000"/>
                <w:sz w:val="24"/>
              </w:rPr>
            </w:pPr>
            <w:r>
              <w:rPr>
                <w:rFonts w:hint="eastAsia" w:ascii="黑体" w:hAnsi="黑体" w:eastAsia="黑体" w:cs="仿宋_GB2312"/>
                <w:color w:val="000000"/>
                <w:sz w:val="24"/>
              </w:rPr>
              <w:t>食品亚类（二级）</w:t>
            </w:r>
          </w:p>
        </w:tc>
        <w:tc>
          <w:tcPr>
            <w:tcW w:w="433" w:type="pct"/>
            <w:shd w:val="clear" w:color="auto" w:fill="FFFFFF"/>
            <w:noWrap/>
            <w:vAlign w:val="center"/>
          </w:tcPr>
          <w:p>
            <w:pPr>
              <w:widowControl/>
              <w:overflowPunct w:val="0"/>
              <w:spacing w:line="300" w:lineRule="exact"/>
              <w:jc w:val="center"/>
              <w:textAlignment w:val="center"/>
              <w:rPr>
                <w:rFonts w:ascii="黑体" w:hAnsi="黑体" w:eastAsia="黑体" w:cs="仿宋_GB2312"/>
                <w:color w:val="000000"/>
                <w:sz w:val="24"/>
              </w:rPr>
            </w:pPr>
            <w:r>
              <w:rPr>
                <w:rFonts w:hint="eastAsia" w:ascii="黑体" w:hAnsi="黑体" w:eastAsia="黑体" w:cs="仿宋_GB2312"/>
                <w:color w:val="000000"/>
                <w:sz w:val="24"/>
              </w:rPr>
              <w:t>食品品种（三级）</w:t>
            </w:r>
          </w:p>
        </w:tc>
        <w:tc>
          <w:tcPr>
            <w:tcW w:w="427" w:type="pct"/>
            <w:shd w:val="clear" w:color="auto" w:fill="FFFFFF"/>
            <w:noWrap/>
            <w:vAlign w:val="center"/>
          </w:tcPr>
          <w:p>
            <w:pPr>
              <w:widowControl/>
              <w:overflowPunct w:val="0"/>
              <w:spacing w:line="300" w:lineRule="exact"/>
              <w:jc w:val="center"/>
              <w:textAlignment w:val="center"/>
              <w:rPr>
                <w:rFonts w:ascii="黑体" w:hAnsi="黑体" w:eastAsia="黑体" w:cs="仿宋_GB2312"/>
                <w:color w:val="000000"/>
                <w:sz w:val="24"/>
              </w:rPr>
            </w:pPr>
            <w:r>
              <w:rPr>
                <w:rFonts w:hint="eastAsia" w:ascii="黑体" w:hAnsi="黑体" w:eastAsia="黑体" w:cs="仿宋_GB2312"/>
                <w:color w:val="000000"/>
                <w:sz w:val="24"/>
              </w:rPr>
              <w:t>食品细类（四级）</w:t>
            </w:r>
          </w:p>
        </w:tc>
        <w:tc>
          <w:tcPr>
            <w:tcW w:w="271" w:type="pct"/>
            <w:shd w:val="clear" w:color="auto" w:fill="FFFFFF"/>
            <w:noWrap/>
            <w:vAlign w:val="center"/>
          </w:tcPr>
          <w:p>
            <w:pPr>
              <w:widowControl/>
              <w:overflowPunct w:val="0"/>
              <w:spacing w:line="300" w:lineRule="exact"/>
              <w:jc w:val="center"/>
              <w:textAlignment w:val="center"/>
              <w:rPr>
                <w:rFonts w:ascii="黑体" w:hAnsi="黑体" w:eastAsia="黑体" w:cs="仿宋_GB2312"/>
                <w:color w:val="000000"/>
                <w:sz w:val="24"/>
              </w:rPr>
            </w:pPr>
            <w:r>
              <w:rPr>
                <w:rFonts w:hint="eastAsia" w:ascii="黑体" w:hAnsi="黑体" w:eastAsia="黑体" w:cs="仿宋_GB2312"/>
                <w:color w:val="000000"/>
                <w:sz w:val="24"/>
              </w:rPr>
              <w:t>风险等级</w:t>
            </w:r>
          </w:p>
        </w:tc>
        <w:tc>
          <w:tcPr>
            <w:tcW w:w="2714" w:type="pct"/>
            <w:shd w:val="clear" w:color="auto" w:fill="FFFFFF"/>
            <w:noWrap/>
            <w:vAlign w:val="center"/>
          </w:tcPr>
          <w:p>
            <w:pPr>
              <w:widowControl/>
              <w:overflowPunct w:val="0"/>
              <w:spacing w:line="300" w:lineRule="exact"/>
              <w:jc w:val="center"/>
              <w:textAlignment w:val="center"/>
              <w:rPr>
                <w:rFonts w:ascii="黑体" w:hAnsi="黑体" w:eastAsia="黑体" w:cs="仿宋_GB2312"/>
                <w:color w:val="000000"/>
                <w:sz w:val="24"/>
              </w:rPr>
            </w:pPr>
            <w:r>
              <w:rPr>
                <w:rFonts w:hint="eastAsia" w:ascii="黑体" w:hAnsi="黑体" w:eastAsia="黑体" w:cs="仿宋_GB2312"/>
                <w:color w:val="000000"/>
                <w:sz w:val="24"/>
              </w:rPr>
              <w:t>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w:t>
            </w:r>
          </w:p>
        </w:tc>
        <w:tc>
          <w:tcPr>
            <w:tcW w:w="474"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粮食加工品</w:t>
            </w:r>
          </w:p>
          <w:p>
            <w:pPr>
              <w:widowControl/>
              <w:overflowPunct w:val="0"/>
              <w:spacing w:line="26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lang w:val="en-US"/>
              </w:rPr>
              <w:t>200份</w:t>
            </w:r>
          </w:p>
        </w:tc>
        <w:tc>
          <w:tcPr>
            <w:tcW w:w="433"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小麦粉</w:t>
            </w:r>
          </w:p>
        </w:tc>
        <w:tc>
          <w:tcPr>
            <w:tcW w:w="433"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小麦粉</w:t>
            </w: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小麦粉</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镉（以Cd计）、苯并[a]芘、玉米赤霉烯酮、脱氧雪腐镰刀菌烯醇、赭曲霉毒素A、黄曲霉毒素B1、偶氮甲酰胺、过氧化苯甲酰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大米</w:t>
            </w:r>
          </w:p>
        </w:tc>
        <w:tc>
          <w:tcPr>
            <w:tcW w:w="433"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大米</w:t>
            </w: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大米</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铅（以Pb计）、镉（以Cd计）、无机砷（以As计）、苯并[a]芘、黄曲霉毒素B1、赭曲霉毒素A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挂面</w:t>
            </w:r>
          </w:p>
        </w:tc>
        <w:tc>
          <w:tcPr>
            <w:tcW w:w="433"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挂面</w:t>
            </w: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挂面</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铅（以Pb计）、黄曲霉毒素B1、脱氢乙酸及其钠盐（以脱氢乙酸计）、合成着色剂（柠檬黄、日落黄）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其它粮食加工品</w:t>
            </w:r>
          </w:p>
        </w:tc>
        <w:tc>
          <w:tcPr>
            <w:tcW w:w="433"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谷物加工品</w:t>
            </w: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谷物加工品</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铅（以Pb计）、镉（以Cd计）、黄曲霉毒素B1、赭曲霉毒素A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谷物研磨加工品</w:t>
            </w: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玉米粉（片、渣）</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苯并[a]芘、黄曲霉毒素B1、赭曲霉毒素A、玉米赤霉烯酮、脱氧雪腐镰刀菌烯醇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谷物粉类制成品</w:t>
            </w: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生湿面制品</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铅（以Pb计）、苯甲酸及其钠盐（以苯甲酸计）、山梨酸及其钾盐（以山梨酸计）、脱氢乙酸及其钠盐（以脱氢乙酸计）、二氧化硫残留量、柠檬黄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发酵面制品</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苯甲酸及其钠盐（以苯甲酸计）、山梨酸及其钾盐（以山梨酸计）、脱氢乙酸及其钠盐（以脱氢乙酸 计）、糖精钠（以糖精计）、甜蜜素（以环己基氨基磺酸计）、安赛蜜、合成着色剂（柠檬黄、胭脂红）、菌落总数、大肠菌群、沙门氏菌、金黄色葡萄球菌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27"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米粉制品</w:t>
            </w:r>
          </w:p>
        </w:tc>
        <w:tc>
          <w:tcPr>
            <w:tcW w:w="271"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vMerge w:val="restar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苯甲酸及其钠盐（以苯甲酸计）、山梨酸及其钾盐（以山梨酸计）、脱氢乙酸及其钠盐（以脱氢乙酸 计）、二氧化硫残留量、菌落总数、大肠菌群、沙门氏菌、金黄色葡萄球菌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vMerge w:val="continue"/>
            <w:noWrap/>
            <w:vAlign w:val="center"/>
          </w:tcPr>
          <w:p>
            <w:pPr>
              <w:overflowPunct w:val="0"/>
              <w:spacing w:line="300" w:lineRule="exact"/>
              <w:jc w:val="center"/>
              <w:rPr>
                <w:rFonts w:ascii="仿宋_GB2312" w:eastAsia="仿宋_GB2312" w:cs="仿宋_GB2312"/>
                <w:color w:val="000000"/>
                <w:sz w:val="24"/>
              </w:rPr>
            </w:pPr>
          </w:p>
        </w:tc>
        <w:tc>
          <w:tcPr>
            <w:tcW w:w="271" w:type="pct"/>
            <w:vMerge w:val="continue"/>
            <w:noWrap/>
            <w:vAlign w:val="center"/>
          </w:tcPr>
          <w:p>
            <w:pPr>
              <w:overflowPunct w:val="0"/>
              <w:spacing w:line="300" w:lineRule="exact"/>
              <w:jc w:val="center"/>
              <w:rPr>
                <w:rFonts w:ascii="仿宋_GB2312" w:eastAsia="仿宋_GB2312" w:cs="仿宋_GB2312"/>
                <w:color w:val="000000"/>
                <w:sz w:val="24"/>
              </w:rPr>
            </w:pPr>
          </w:p>
        </w:tc>
        <w:tc>
          <w:tcPr>
            <w:tcW w:w="2714" w:type="pct"/>
            <w:vMerge w:val="continue"/>
            <w:noWrap/>
            <w:vAlign w:val="center"/>
          </w:tcPr>
          <w:p>
            <w:pPr>
              <w:overflowPunct w:val="0"/>
              <w:spacing w:line="300" w:lineRule="exact"/>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w:t>
            </w:r>
          </w:p>
        </w:tc>
        <w:tc>
          <w:tcPr>
            <w:tcW w:w="474"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食用油、油脂及其制品</w:t>
            </w:r>
          </w:p>
          <w:p>
            <w:pPr>
              <w:widowControl/>
              <w:overflowPunct w:val="0"/>
              <w:spacing w:line="26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lang w:val="en-US"/>
              </w:rPr>
              <w:t>25份</w:t>
            </w:r>
          </w:p>
        </w:tc>
        <w:tc>
          <w:tcPr>
            <w:tcW w:w="433"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食用植物油</w:t>
            </w:r>
          </w:p>
        </w:tc>
        <w:tc>
          <w:tcPr>
            <w:tcW w:w="433"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食用植物油</w:t>
            </w: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食用植物油</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酸值/酸价、过氧化值、铅（以Pb计）、黄曲霉毒素B1、苯并（α）芘、溶剂残留量、特丁基对苯二酚（TBHQ）、乙基麦芽酚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3</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调味品</w:t>
            </w:r>
          </w:p>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lang w:val="en-US"/>
              </w:rPr>
              <w:t>35份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酱油</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酱油</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酱油</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氨基酸态氮、全氮（以氮计）、铵盐（以占氨基酸态氮的百分比计）、苯甲酸及其钠盐（以苯甲酸计）、山梨酸及其钾盐（以山梨酸计）、脱氢乙酸及其钠盐（以脱氢乙酸计）、对羟基苯甲酸酯类及其钠盐 （以对羟基苯甲酸计）、防腐剂混合使用时各自用量占其最大使用量的比例之和、糖精钠（以糖精计）、三氯蔗糖、甜蜜素（以环己基氨基磺酸计）、菌落总数、大肠菌群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食醋</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食醋</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食醋</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总酸（以乙酸计）、不挥发酸（以乳酸计）、苯甲酸及其钠盐（以苯甲酸计）、山梨酸及其钾盐（以山梨酸计）、脱氢乙酸及其钠盐（以脱氢乙酸计）、对羟基苯甲酸酯类及其钠盐 （以对羟基苯甲酸计）、防腐剂混合使用时各自用量占其最大使用量的比例之和、糖精钠（以糖精计）、三氯蔗糖、甜蜜素（以环己基氨基磺酸计）、菌落总数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酿造酱</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酿造酱</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酿造酱</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氨基酸态氮、黄曲霉毒素 B1、苯甲酸及其钠盐（以苯甲酸计）、山梨酸及其钾盐（以山梨酸计）、脱氢乙酸及其钠盐（以脱氢乙酸计）、防腐剂混合使用时各自用量占其最大使用量的比例之和、糖精钠（以糖精计）、三氯蔗糖、甜蜜素（以环己基氨基磺酸计）、安赛蜜、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调味料酒</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调味料酒</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料酒</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氨基酸态氮（以氮计）、苯甲酸及其钠盐（以苯甲酸计）、山梨酸及其钾盐（以山梨酸计）、脱氢乙酸及其钠（以脱氢乙酸计）、糖精钠（以糖精计）、甜蜜素（以环己基氨基磺酸计）、三氯蔗糖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香辛料类</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香辛料类</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香辛料调味油</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酸价/酸值、过氧化值、铅（以 Pb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辣椒、花椒、辣椒粉、花椒粉</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 Pb 计）、罗丹明 B、苏丹红I、苏丹红II、苏丹红III、苏丹红 IV、脱氢乙酸及其钠盐（以脱氢乙酸计）、二氧化硫残留量、合成着色剂（ 柠檬黄、日落黄、胭脂红）、沙门氏菌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其他香辛料调味品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 Pb 计）、脱氢乙酸及其钠盐（以脱氢乙酸计）、二氧化硫残留量、甜蜜素（以环己基氨基磺酸计）、合成着色剂（ 柠檬黄、日落黄、苋菜红、胭脂红、亮蓝）、丙溴磷、氯氰菊酯和高效氯氰菊酯、多菌灵、沙门氏菌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3</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调味品</w:t>
            </w:r>
          </w:p>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lang w:val="en-US"/>
              </w:rPr>
              <w:t>25份</w:t>
            </w:r>
          </w:p>
        </w:tc>
        <w:tc>
          <w:tcPr>
            <w:tcW w:w="433"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调味料</w:t>
            </w:r>
          </w:p>
        </w:tc>
        <w:tc>
          <w:tcPr>
            <w:tcW w:w="433"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固体复合调味料</w:t>
            </w: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鸡粉、鸡精调味料</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谷氨酸钠、呈味核苷酸二钠、铅（以 Pb 计）、糖精钠（以糖精计）、甜蜜素（以环己基氨基磺酸计）、菌落总数、大肠菌群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其他固体调味料</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铅（以Pb计）、苏丹红 I、苏丹红 II、苏丹红 III、苏丹红 IV、罂粟碱、吗啡、可待因、那可丁、苯甲酸及其钠盐（以苯甲酸计）、山梨酸及其钾盐（以山梨酸计）、脱氢乙酸及其钠盐（以脱氢乙酸计）、防腐剂混合使用时各自用量占其最大使用量的比例之和、糖精钠（以糖精计）、甜蜜素（以环己基氨基磺酸计）、安赛蜜、阿斯巴甜、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半固体复合调味料</w:t>
            </w: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蛋黄酱、沙拉酱</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二氧化钛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坚果与籽类的泥（酱）</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酸值/酸价、过氧化值、铅（以 Pb 计）、黄曲霉毒素 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辣椒酱</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60" w:lineRule="exact"/>
              <w:textAlignment w:val="center"/>
              <w:rPr>
                <w:rFonts w:ascii="仿宋_GB2312" w:eastAsia="仿宋_GB2312" w:cs="仿宋_GB2312"/>
                <w:color w:val="000000"/>
                <w:spacing w:val="-4"/>
                <w:sz w:val="24"/>
              </w:rPr>
            </w:pPr>
            <w:r>
              <w:rPr>
                <w:rFonts w:hint="eastAsia" w:ascii="仿宋_GB2312" w:eastAsia="仿宋_GB2312" w:cs="仿宋_GB2312"/>
                <w:color w:val="000000"/>
                <w:spacing w:val="-4"/>
                <w:sz w:val="24"/>
              </w:rPr>
              <w:t>苯甲酸及其钠盐（以苯甲酸计）、山梨酸及其钾盐（以山梨酸计）、脱氢乙酸及其钠盐（以脱氢乙酸计）、防腐剂混合使用时各自用量占其最大使用量的比例之和、甜蜜素（以环己基氨基磺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火锅底料、麻辣烫底料</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罂粟碱、吗啡、可待因、那可丁、苯甲酸及其钠盐（以苯甲酸计）、山梨酸及其钾盐（以山梨酸计）、脱氢乙酸及其钠盐（以脱氢乙酸计）、防腐剂混合使用时各自用量占其最大使用量的比例之和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其他半固体调味料</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罗丹明B、罂粟碱、吗啡、可待因、那可丁、苯甲酸及其钠盐（以苯甲酸计）、山梨酸及其钾盐（以山梨酸计）、脱氢乙酸及其钠盐（以脱氢乙酸计）、防腐剂混合使用时各自用量占其最大使用量的比例之和、甜蜜素（以环己基氨基磺酸计）、安赛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液体复合调味料</w:t>
            </w: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蚝油、虾油、鱼露</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氨基酸态氮、苯甲酸及其钠盐（以苯甲酸计）、山梨酸及其钾盐（以山梨酸计）、脱氢乙酸及其钠盐（以脱氢乙酸计）、防腐剂混合使用时各自用量占其最大使用量的比例之和、菌落总数、大肠菌群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其他液体调味料</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苯甲酸及其钠盐（以苯甲酸计）、山梨酸及其钾盐（以山梨酸计）、脱氢乙酸及其钠盐（以脱氢乙酸计）、防腐剂混合使用时各自用量占其最大使用量的比例之和、糖精钠（以糖精计）、甜蜜素（以环己基氨基磺酸计）、合成着色剂（柠檬黄、日落黄、胭脂红、诱惑红）、相同色泽着色剂混合使用时各自用量占其最大使用量的比例之和、菌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3</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调味品</w:t>
            </w:r>
          </w:p>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lang w:val="en-US"/>
              </w:rPr>
              <w:t>15份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味精</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味精</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味精</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谷氨酸钠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食盐</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食用盐</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普通食用盐</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氯化钠、钡（以Ba计）、碘（以I计）、铅（以Pb计）、总砷（以As计）、镉（以Cd计）、总汞（以Hg计）、亚铁氰化钾/亚铁氰化钠（以亚铁氰根计）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低钠食用盐</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氯化钾、钡（以Ba计）、碘（以I计）、铅（以Pb计）、总砷（以As计）、镉（以Cd计）、总汞（以Hg计）、亚铁氰化钾/亚铁氰化钠（以亚铁氰根计）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4</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肉制品</w:t>
            </w:r>
            <w:r>
              <w:rPr>
                <w:rFonts w:hint="eastAsia" w:ascii="仿宋_GB2312" w:eastAsia="仿宋_GB2312" w:cs="仿宋_GB2312"/>
                <w:color w:val="000000"/>
                <w:sz w:val="24"/>
                <w:lang w:val="en-US"/>
              </w:rPr>
              <w:t>40份</w:t>
            </w:r>
          </w:p>
        </w:tc>
        <w:tc>
          <w:tcPr>
            <w:tcW w:w="433" w:type="pct"/>
            <w:vMerge w:val="restar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预制肉制品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调理肉制品（非速冻）</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调理肉制品（非速冻）</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 Pb 计）、苯甲酸及其钠盐（以苯甲酸计）、山梨酸及其钾盐（以山梨酸计）、脱氢乙酸及其钠盐（以脱氢乙酸计）、氯霉素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腌腊肉制品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腌腊肉制品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过氧化值（以脂肪计）、铅（以 Pb 计）、总砷（以 As 计）、亚硝酸盐（以亚硝酸钠计）、苯甲酸及其钠盐（以苯甲酸计）、山梨酸及其钾盐（以山梨酸计）、合成着色剂（胭脂红、诱惑红、苋菜红、酸性红）、氯霉素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熟肉制品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发酵肉制品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发酵肉制品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亚硝酸盐（以亚硝酸钠计）、纳他霉素、氯霉素、大肠菌群、沙门氏菌、金黄色葡萄球菌、单核细胞增生李斯特氏菌、致泻大肠埃希氏菌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60" w:hRule="atLeast"/>
        </w:trPr>
        <w:tc>
          <w:tcPr>
            <w:tcW w:w="245" w:type="pct"/>
            <w:vMerge w:val="continue"/>
            <w:tcBorders>
              <w:bottom w:val="single" w:color="auto" w:sz="4" w:space="0"/>
            </w:tcBorders>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tcBorders>
              <w:bottom w:val="single" w:color="auto" w:sz="4" w:space="0"/>
            </w:tcBorders>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tcBorders>
              <w:bottom w:val="single" w:color="auto" w:sz="4" w:space="0"/>
            </w:tcBorders>
            <w:noWrap/>
            <w:vAlign w:val="center"/>
          </w:tcPr>
          <w:p>
            <w:pPr>
              <w:overflowPunct w:val="0"/>
              <w:spacing w:line="300" w:lineRule="exact"/>
              <w:jc w:val="center"/>
              <w:rPr>
                <w:rFonts w:ascii="仿宋_GB2312" w:eastAsia="仿宋_GB2312" w:cs="仿宋_GB2312"/>
                <w:color w:val="000000"/>
                <w:sz w:val="24"/>
              </w:rPr>
            </w:pPr>
          </w:p>
        </w:tc>
        <w:tc>
          <w:tcPr>
            <w:tcW w:w="433" w:type="pct"/>
            <w:tcBorders>
              <w:bottom w:val="single" w:color="auto" w:sz="4" w:space="0"/>
            </w:tcBorders>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酱卤肉制品</w:t>
            </w:r>
          </w:p>
        </w:tc>
        <w:tc>
          <w:tcPr>
            <w:tcW w:w="427" w:type="pct"/>
            <w:tcBorders>
              <w:bottom w:val="single" w:color="auto" w:sz="4" w:space="0"/>
            </w:tcBorders>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酱卤肉制品</w:t>
            </w:r>
          </w:p>
        </w:tc>
        <w:tc>
          <w:tcPr>
            <w:tcW w:w="271" w:type="pct"/>
            <w:tcBorders>
              <w:bottom w:val="single" w:color="auto" w:sz="4" w:space="0"/>
            </w:tcBorders>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tcBorders>
              <w:bottom w:val="single" w:color="auto" w:sz="4" w:space="0"/>
            </w:tcBorders>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 Pb 计）、镉（以 Cd 计）、铬（以 Cr 计）、总砷（以 As 计）、N-二甲基亚硝胺、亚硝酸盐（以亚硝酸钠计）、苯甲酸及其钠盐（以苯甲酸计）、山梨酸及其钾盐（以山梨酸计）、脱氢乙酸及其钠盐（以脱氢乙酸计）、纳他霉素、防腐剂混合使用时各自用量占其最 大使用量的比例之和、合成着色剂（柠檬黄、日落黄、胭脂红）、糖精钠（以糖精计）、氯霉素、酸性橙 II、菌落总数、大肠菌群、沙门氏菌、金黄色葡萄球菌、单核细胞增生李斯特氏菌、致泻大肠埃希氏菌、商业无菌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熟肉干制品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熟肉干制品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 Pb 计）、铬（以 Cr 计）、N-二甲基亚硝胺、苯甲酸及其钠盐（以苯甲酸计）、山梨酸及其钾盐（以山梨酸计）、脱氢乙酸及其钠盐（以脱氢乙酸计）、防腐剂混合使用时各自用量占其最 大使用量的比例之和、胭脂红、氯霉素、菌落总数、大肠菌群、沙门氏菌、金黄色葡萄球菌、单核细胞增生李斯特氏菌、致泻大肠埃希氏菌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4</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肉制品</w:t>
            </w:r>
            <w:r>
              <w:rPr>
                <w:rFonts w:hint="eastAsia" w:ascii="仿宋_GB2312" w:eastAsia="仿宋_GB2312" w:cs="仿宋_GB2312"/>
                <w:color w:val="000000"/>
                <w:sz w:val="24"/>
                <w:lang w:val="en-US"/>
              </w:rPr>
              <w:t>20份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熟肉制品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熏烧烤肉制品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熏烧烤肉制品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 Pb 计）、苯并[a]芘、N-二甲基亚硝胺、亚硝酸盐（以亚硝酸钠计）、苯甲酸及其钠盐（以苯甲酸计）、山梨酸及其钾盐（以山梨酸计）、纳他霉素、糖精钠（以糖精计）、合成着色剂（柠檬黄、日落黄、胭脂红）、氯霉素、菌落总数、大肠菌群、沙门氏菌、金黄色葡萄球菌、单核细胞增生李斯特氏菌、致泻大肠埃希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熏煮香肠火腿制品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熏煮香肠火腿制品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 Pb 计）、亚硝酸盐（以亚硝酸钠计）、苯甲酸及其钠盐（以苯甲酸计）、山梨酸及其钾盐（以山梨酸计）、脱氢乙酸及其钠盐（以脱氢乙酸计）、纳他霉素、防腐剂混合使用时各自用量占其最 大使用量的比例之和、合成着色剂（胭脂红、诱惑红）、氯霉素、菌落总数、大肠菌群、沙门氏菌、金黄色葡萄球菌、单核细胞增生李斯特氏菌、致泻大肠埃希氏菌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5</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乳制品</w:t>
            </w:r>
            <w:r>
              <w:rPr>
                <w:rFonts w:hint="eastAsia" w:ascii="仿宋_GB2312" w:eastAsia="仿宋_GB2312" w:cs="仿宋_GB2312"/>
                <w:color w:val="000000"/>
                <w:sz w:val="24"/>
                <w:lang w:val="en-US"/>
              </w:rPr>
              <w:t>35份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乳制品</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液体乳</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灭菌乳</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蛋白质、非脂乳固体、酸度、脂肪、三聚氰胺、铅（以Pb计）、丙二醇、商业无菌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巴氏杀菌乳</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蛋白质、酸度、三聚氰胺、铅（以Pb计）、丙二醇、沙门氏菌、金黄色葡萄球菌、菌落总数、大肠菌群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调制乳</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蛋白质、三聚氰胺、铅（以Pb计）、商业无菌、菌落总数、大肠菌群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发酵乳</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脂肪、蛋白质、酸度、乳酸菌数、山梨酸及其钾盐（以山梨酸计）、三聚氰胺、铅（以Pb计）、金黄色葡萄球菌、沙门氏菌、大肠菌群、酵母、霉菌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高温杀菌乳</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蛋白质、酸度、三聚氰胺、沙门氏菌、菌落总数、大肠菌群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乳粉</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全脂乳粉、脱脂乳粉、部分脱脂乳粉、调制乳粉</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蛋白质、脂肪、三聚氰胺、铅（以Pb计）、菌落总数、大肠菌群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6</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饮料</w:t>
            </w:r>
            <w:r>
              <w:rPr>
                <w:rFonts w:hint="eastAsia" w:ascii="仿宋_GB2312" w:eastAsia="仿宋_GB2312" w:cs="仿宋_GB2312"/>
                <w:color w:val="000000"/>
                <w:sz w:val="24"/>
                <w:lang w:val="en-US"/>
              </w:rPr>
              <w:t>40份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包装饮用水</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饮用天然矿泉水</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饮用天然矿泉水</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界限指标、铅（以Pb计）、总砷（以 As 计）、镉（以Cd计）、总汞（以Hg计）、镍、溴酸盐、硝酸盐（以NO3-计）、亚硝酸盐（以NO2-计）、大肠菌群、铜绿假单胞菌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饮用纯净水</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饮用纯净水</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电导率、耗氧量（以O2计）、铅（以Pb计）、总砷（以 As 计）、镉（以Cd计）、亚硝酸盐（以NO2-计）、余氯（游离氯）、溴酸盐、三氯甲烷、大肠菌群、铜绿假单胞菌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其它类饮用水</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其它类饮用水</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耗氧量（以O2计）、铅（以Pb计）、总砷（以 As 计）、镉（以Cd计）、亚硝酸盐（以NO2-计）、余氯（游离氯）、溴酸盐、三氯甲烷、大肠菌群、铜绿假单胞菌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果蔬汁类及其饮料</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果蔬汁类及其饮料</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果蔬汁类及其饮料</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展青霉素、苯甲酸及其钠盐（以苯甲酸计）、山梨酸及其钾盐（以山梨酸计）、脱氢乙酸及其钠盐（以脱氢乙酸计）、防腐剂混合使用时各自用量占其最大使用量的比例之和、安赛蜜、甜蜜素（以环己基氨基磺酸计）、合成着色剂（苋菜红、胭脂红、 柠檬黄、日落黄、亮蓝）、菌落总数、大肠菌群、霉菌、酵母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蛋白饮料</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蛋白饮料</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蛋白饮料</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蛋白质、乳酸菌数、三聚氰胺、苯甲酸及其钠盐（以苯甲酸计）、山梨酸及其钾盐（以山梨酸计）、脱氢乙酸及其钠盐（以脱氢乙酸计）、防腐剂混合使用时各自用量占其最大使用量的比例之和、菌落总数、大肠菌群、霉菌、酵母、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碳酸饮料（汽水）</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碳酸饮料（汽水）</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碳酸饮料（汽水）</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二氧化碳气容量、苯甲酸及其钠盐（以苯甲酸计）、山梨酸及其钾盐（以山梨酸计）、防腐剂混合使用时各自用量占其最大使用量的比例之和、甜蜜素（以环己基氨基磺酸计）、阿斯巴甜、菌落总数、霉菌、酵母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茶饮料</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茶饮料</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茶饮料</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茶多酚、咖啡因、脱氢乙酸及其钠盐（以脱氢乙酸计）、菌落总数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固体饮料</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固体饮料</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固体饮料</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蛋白质、铅（以Pb计）、苯甲酸及其钠盐（以苯甲酸计）、山梨酸及其钾盐（以山梨酸计）、防腐剂混合使用时各自用量占其最大使用量的比例之和、糖精钠（以糖精计）、合成着色剂（苋菜红、胭脂红、 柠檬黄、日落黄、亮蓝）、相同色泽着色剂混合使用时各自用量占其最大使用量的比例之和、菌落总数、大肠菌群、霉菌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7</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方便食品</w:t>
            </w:r>
            <w:r>
              <w:rPr>
                <w:rFonts w:hint="eastAsia" w:ascii="仿宋_GB2312" w:eastAsia="仿宋_GB2312" w:cs="仿宋_GB2312"/>
                <w:color w:val="000000"/>
                <w:sz w:val="24"/>
                <w:lang w:val="en-US"/>
              </w:rPr>
              <w:t>30份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方便食品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方便面</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油炸面、非油炸面、方便米粉（米线）、方便粉丝</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水分、酸价（以脂肪计）（KOH）、过氧化值（以脂肪计）、菌落总数、大肠菌群、霉菌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调味面制品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调味面制品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酸价（以脂肪计）（KOH）、过氧化值（以脂肪计）、苯甲酸及其钠盐（以苯甲酸计）、山梨酸及其钾盐（以山梨酸计）、脱氢乙酸及其钠盐（以脱氢乙酸计）、糖精钠（以糖精计）、甜蜜素（以环己基氨基磺酸计）、安赛蜜、三氯蔗糖、合成着色剂（柠檬黄、日落黄）、菌落总数、大肠菌群、霉菌、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其他方便食品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方便粥、方便盒饭、冷面及其他熟制方便食品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酸价（以脂肪计）（KOH）、过氧化值（以脂肪计）、铅（以Pb计）、黄曲霉毒素B1、苯甲酸及其钠盐（以苯甲酸计）、山梨酸及其钾盐（以山梨酸计）、糖精钠（以糖精计）、菌落总数、大肠菌群、霉菌、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8</w:t>
            </w:r>
          </w:p>
        </w:tc>
        <w:tc>
          <w:tcPr>
            <w:tcW w:w="474" w:type="pc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饼干</w:t>
            </w:r>
            <w:r>
              <w:rPr>
                <w:rFonts w:hint="eastAsia" w:ascii="仿宋_GB2312" w:eastAsia="仿宋_GB2312" w:cs="仿宋_GB2312"/>
                <w:color w:val="000000"/>
                <w:sz w:val="24"/>
                <w:lang w:val="en-US"/>
              </w:rPr>
              <w:t>10份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饼干</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饼干</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饼干</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酸价（以脂肪计）（KOH）、过氧化值（以脂肪计）、山梨酸及其钾盐（以山梨酸计）、铝的残留量（干样品，以Al计）、脱氢乙酸及其钠盐（以脱氢乙酸计）、甜蜜素（以环己基氨基磺酸计）、糖精钠（以糖精计）、二氧化硫残留量、苯甲酸及其钠盐（以苯甲酸计）、合成着色剂（柠檬黄、曰落黄、胭脂红、苋菜红、亮蓝、新红、赤藓红、靛蓝 、诱惑红、酸性红、 喹啉黄）、菌落总数、大肠菌群、金黄色葡萄球菌、沙门氏菌、霉菌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trPr>
        <w:tc>
          <w:tcPr>
            <w:tcW w:w="245"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9</w:t>
            </w:r>
          </w:p>
        </w:tc>
        <w:tc>
          <w:tcPr>
            <w:tcW w:w="474" w:type="pc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罐头</w:t>
            </w:r>
            <w:r>
              <w:rPr>
                <w:rFonts w:hint="eastAsia" w:ascii="仿宋_GB2312" w:eastAsia="仿宋_GB2312" w:cs="仿宋_GB2312"/>
                <w:color w:val="000000"/>
                <w:sz w:val="24"/>
                <w:lang w:val="en-US"/>
              </w:rPr>
              <w:t>10份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罐头</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畜禽水产罐头</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水产动物类罐头</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组胺、铅（以Pb计）、无机砷（以As计）、脱氢乙酸及其钠盐（以脱氢乙酸计）、苯甲酸及其钠盐（以苯甲酸计）、山梨酸及其钾盐（以山梨酸计）、糖精钠（以糖精计）、甜蜜素（以环己基氨基磺酸计）、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9</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罐头</w:t>
            </w:r>
            <w:r>
              <w:rPr>
                <w:rFonts w:hint="eastAsia" w:ascii="仿宋_GB2312" w:eastAsia="仿宋_GB2312" w:cs="仿宋_GB2312"/>
                <w:color w:val="000000"/>
                <w:sz w:val="24"/>
                <w:lang w:val="en-US"/>
              </w:rPr>
              <w:t>10份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罐头</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果蔬罐头</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水果罐头</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蔬菜罐头</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铅（以Pb计）、合成着色剂（柠檬黄、日落黄、亮蓝）、脱氢乙酸及其钠盐（以脱氢乙酸计）、苯甲酸及其钠盐（以苯甲酸计）、山梨酸及其钾盐（以山梨酸计）、乙二胺四乙酸二钠、二氧化硫残留量、商业无菌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w:t>
            </w:r>
          </w:p>
        </w:tc>
        <w:tc>
          <w:tcPr>
            <w:tcW w:w="474" w:type="pc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冷冻饮品</w:t>
            </w:r>
            <w:r>
              <w:rPr>
                <w:rFonts w:hint="eastAsia" w:ascii="仿宋_GB2312" w:eastAsia="仿宋_GB2312" w:cs="仿宋_GB2312"/>
                <w:color w:val="000000"/>
                <w:sz w:val="24"/>
                <w:lang w:val="en-US"/>
              </w:rPr>
              <w:t>20份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冷冻饮品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冷冻饮品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冰淇淋、雪糕、雪泥、冰棍、食用冰、甜味冰、其他类</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蛋白质、甜蜜素（以环己基氨基磺酸计）、糖精钠（以糖精计）、安赛蜜、三氯蔗糖、菌落总数、大肠菌群、沙门氏菌、单核细胞增生李斯特氏菌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11</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速冻食品</w:t>
            </w:r>
            <w:r>
              <w:rPr>
                <w:rFonts w:hint="eastAsia" w:ascii="仿宋_GB2312" w:eastAsia="仿宋_GB2312" w:cs="仿宋_GB2312"/>
                <w:color w:val="000000"/>
                <w:sz w:val="24"/>
                <w:lang w:val="en-US"/>
              </w:rPr>
              <w:t>20份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速冻面米食品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速冻面米食品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速冻面米食品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过氧化值（以脂肪计）、黄曲霉毒素 B1、铅（以Pb计）、糖精钠（以糖精计）、甜蜜素、柠檬黄、日落黄、苋菜红、亮蓝、菌落总数、大肠菌群、沙门氏菌、金黄色葡萄球菌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速冻调制食品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速冻调理肉制品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速冻调理肉制品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过氧化值（以脂肪计）、铅（以Pb计）、铬（以Cr计）、氯霉素、胭脂红、柠檬黄、日落黄、诱惑红、亚硝酸盐、菌落总数、大肠菌群、沙门氏菌、金黄色葡萄球菌、单核细胞增生李斯特氏菌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速冻调制水产制品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速冻调制水产制品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挥发性盐基氮、苯甲酸及其钠盐（以苯甲酸计）、山梨酸及其钾盐（以山梨酸计）、菌落总数、大肠菌群、沙门氏菌、副溶血性弧菌、单核细胞增生李斯特氏菌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12</w:t>
            </w:r>
          </w:p>
        </w:tc>
        <w:tc>
          <w:tcPr>
            <w:tcW w:w="474" w:type="pc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薯类和膨化食品</w:t>
            </w:r>
            <w:r>
              <w:rPr>
                <w:rFonts w:hint="eastAsia" w:ascii="仿宋_GB2312" w:eastAsia="仿宋_GB2312" w:cs="仿宋_GB2312"/>
                <w:color w:val="000000"/>
                <w:sz w:val="24"/>
                <w:lang w:val="en-US"/>
              </w:rPr>
              <w:t>20份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薯类和膨化食品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膨化食品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含油型膨化食品和非含油型膨化食品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水分、酸价（以脂肪计）（KOH）、过氧化值（以脂肪计）、黄曲霉毒素B1、糖精钠（以糖精计）、苯甲酸及其钠盐（以苯甲酸计）、山梨酸及其钾盐（以山梨酸计）、甜蜜素（以环己基氨基磺酸计）、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12</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薯类和膨化食品</w:t>
            </w:r>
            <w:r>
              <w:rPr>
                <w:rFonts w:hint="eastAsia" w:ascii="仿宋_GB2312" w:eastAsia="仿宋_GB2312" w:cs="仿宋_GB2312"/>
                <w:color w:val="000000"/>
                <w:sz w:val="24"/>
                <w:lang w:val="en-US"/>
              </w:rPr>
              <w:t>20份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薯类和膨化食品</w:t>
            </w:r>
          </w:p>
        </w:tc>
        <w:tc>
          <w:tcPr>
            <w:tcW w:w="433" w:type="pct"/>
            <w:vMerge w:val="restar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薯类食品</w:t>
            </w:r>
          </w:p>
        </w:tc>
        <w:tc>
          <w:tcPr>
            <w:tcW w:w="427"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干制薯类</w:t>
            </w:r>
          </w:p>
        </w:tc>
        <w:tc>
          <w:tcPr>
            <w:tcW w:w="271"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酸价（以脂肪计）（KOH）、过氧化值（以脂肪计）、铅（以Pb计）、菌落总数、大肠菌群、沙门氏菌、金黄色葡萄球菌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245" w:type="pct"/>
            <w:vMerge w:val="continue"/>
            <w:noWrap/>
            <w:vAlign w:val="center"/>
          </w:tcPr>
          <w:p>
            <w:pPr>
              <w:overflowPunct w:val="0"/>
              <w:spacing w:line="280" w:lineRule="exact"/>
              <w:jc w:val="center"/>
              <w:rPr>
                <w:rFonts w:ascii="仿宋_GB2312" w:eastAsia="仿宋_GB2312" w:cs="仿宋_GB2312"/>
                <w:color w:val="000000"/>
                <w:sz w:val="24"/>
              </w:rPr>
            </w:pPr>
          </w:p>
        </w:tc>
        <w:tc>
          <w:tcPr>
            <w:tcW w:w="474" w:type="pct"/>
            <w:vMerge w:val="continue"/>
            <w:noWrap/>
            <w:vAlign w:val="center"/>
          </w:tcPr>
          <w:p>
            <w:pPr>
              <w:overflowPunct w:val="0"/>
              <w:spacing w:line="280" w:lineRule="exact"/>
              <w:jc w:val="center"/>
              <w:rPr>
                <w:rFonts w:ascii="仿宋_GB2312" w:eastAsia="仿宋_GB2312" w:cs="仿宋_GB2312"/>
                <w:color w:val="000000"/>
                <w:sz w:val="24"/>
              </w:rPr>
            </w:pPr>
          </w:p>
        </w:tc>
        <w:tc>
          <w:tcPr>
            <w:tcW w:w="433" w:type="pct"/>
            <w:vMerge w:val="continue"/>
            <w:noWrap/>
            <w:vAlign w:val="center"/>
          </w:tcPr>
          <w:p>
            <w:pPr>
              <w:overflowPunct w:val="0"/>
              <w:spacing w:line="280" w:lineRule="exact"/>
              <w:jc w:val="center"/>
              <w:rPr>
                <w:rFonts w:ascii="仿宋_GB2312" w:eastAsia="仿宋_GB2312" w:cs="仿宋_GB2312"/>
                <w:color w:val="000000"/>
                <w:sz w:val="24"/>
              </w:rPr>
            </w:pPr>
          </w:p>
        </w:tc>
        <w:tc>
          <w:tcPr>
            <w:tcW w:w="433" w:type="pct"/>
            <w:vMerge w:val="continue"/>
            <w:noWrap/>
            <w:vAlign w:val="center"/>
          </w:tcPr>
          <w:p>
            <w:pPr>
              <w:overflowPunct w:val="0"/>
              <w:spacing w:line="280" w:lineRule="exact"/>
              <w:jc w:val="center"/>
              <w:rPr>
                <w:rFonts w:ascii="仿宋_GB2312" w:eastAsia="仿宋_GB2312" w:cs="仿宋_GB2312"/>
                <w:color w:val="000000"/>
                <w:sz w:val="24"/>
              </w:rPr>
            </w:pPr>
          </w:p>
        </w:tc>
        <w:tc>
          <w:tcPr>
            <w:tcW w:w="427"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冷冻薯类</w:t>
            </w:r>
          </w:p>
        </w:tc>
        <w:tc>
          <w:tcPr>
            <w:tcW w:w="271"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245" w:type="pct"/>
            <w:vMerge w:val="continue"/>
            <w:noWrap/>
            <w:vAlign w:val="center"/>
          </w:tcPr>
          <w:p>
            <w:pPr>
              <w:overflowPunct w:val="0"/>
              <w:spacing w:line="280" w:lineRule="exact"/>
              <w:jc w:val="center"/>
              <w:rPr>
                <w:rFonts w:ascii="仿宋_GB2312" w:eastAsia="仿宋_GB2312" w:cs="仿宋_GB2312"/>
                <w:color w:val="000000"/>
                <w:sz w:val="24"/>
              </w:rPr>
            </w:pPr>
          </w:p>
        </w:tc>
        <w:tc>
          <w:tcPr>
            <w:tcW w:w="474" w:type="pct"/>
            <w:vMerge w:val="continue"/>
            <w:noWrap/>
            <w:vAlign w:val="center"/>
          </w:tcPr>
          <w:p>
            <w:pPr>
              <w:overflowPunct w:val="0"/>
              <w:spacing w:line="280" w:lineRule="exact"/>
              <w:jc w:val="center"/>
              <w:rPr>
                <w:rFonts w:ascii="仿宋_GB2312" w:eastAsia="仿宋_GB2312" w:cs="仿宋_GB2312"/>
                <w:color w:val="000000"/>
                <w:sz w:val="24"/>
              </w:rPr>
            </w:pPr>
          </w:p>
        </w:tc>
        <w:tc>
          <w:tcPr>
            <w:tcW w:w="433" w:type="pct"/>
            <w:vMerge w:val="continue"/>
            <w:noWrap/>
            <w:vAlign w:val="center"/>
          </w:tcPr>
          <w:p>
            <w:pPr>
              <w:overflowPunct w:val="0"/>
              <w:spacing w:line="280" w:lineRule="exact"/>
              <w:jc w:val="center"/>
              <w:rPr>
                <w:rFonts w:ascii="仿宋_GB2312" w:eastAsia="仿宋_GB2312" w:cs="仿宋_GB2312"/>
                <w:color w:val="000000"/>
                <w:sz w:val="24"/>
              </w:rPr>
            </w:pPr>
          </w:p>
        </w:tc>
        <w:tc>
          <w:tcPr>
            <w:tcW w:w="433" w:type="pct"/>
            <w:vMerge w:val="continue"/>
            <w:noWrap/>
            <w:vAlign w:val="center"/>
          </w:tcPr>
          <w:p>
            <w:pPr>
              <w:overflowPunct w:val="0"/>
              <w:spacing w:line="280" w:lineRule="exact"/>
              <w:jc w:val="center"/>
              <w:rPr>
                <w:rFonts w:ascii="仿宋_GB2312" w:eastAsia="仿宋_GB2312" w:cs="仿宋_GB2312"/>
                <w:color w:val="000000"/>
                <w:sz w:val="24"/>
              </w:rPr>
            </w:pPr>
          </w:p>
        </w:tc>
        <w:tc>
          <w:tcPr>
            <w:tcW w:w="427"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薯泥（酱）类</w:t>
            </w:r>
          </w:p>
        </w:tc>
        <w:tc>
          <w:tcPr>
            <w:tcW w:w="271"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铅（以Pb计）、苯甲酸及其钠盐（以苯甲酸计）、山梨酸及其钾盐（以山梨酸计）、商业无菌、沙门氏菌、金黄色葡萄球菌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245" w:type="pct"/>
            <w:vMerge w:val="continue"/>
            <w:noWrap/>
            <w:vAlign w:val="center"/>
          </w:tcPr>
          <w:p>
            <w:pPr>
              <w:overflowPunct w:val="0"/>
              <w:spacing w:line="280" w:lineRule="exact"/>
              <w:jc w:val="center"/>
              <w:rPr>
                <w:rFonts w:ascii="仿宋_GB2312" w:eastAsia="仿宋_GB2312" w:cs="仿宋_GB2312"/>
                <w:color w:val="000000"/>
                <w:sz w:val="24"/>
              </w:rPr>
            </w:pPr>
          </w:p>
        </w:tc>
        <w:tc>
          <w:tcPr>
            <w:tcW w:w="474" w:type="pct"/>
            <w:vMerge w:val="continue"/>
            <w:noWrap/>
            <w:vAlign w:val="center"/>
          </w:tcPr>
          <w:p>
            <w:pPr>
              <w:overflowPunct w:val="0"/>
              <w:spacing w:line="280" w:lineRule="exact"/>
              <w:jc w:val="center"/>
              <w:rPr>
                <w:rFonts w:ascii="仿宋_GB2312" w:eastAsia="仿宋_GB2312" w:cs="仿宋_GB2312"/>
                <w:color w:val="000000"/>
                <w:sz w:val="24"/>
              </w:rPr>
            </w:pPr>
          </w:p>
        </w:tc>
        <w:tc>
          <w:tcPr>
            <w:tcW w:w="433" w:type="pct"/>
            <w:vMerge w:val="continue"/>
            <w:noWrap/>
            <w:vAlign w:val="center"/>
          </w:tcPr>
          <w:p>
            <w:pPr>
              <w:overflowPunct w:val="0"/>
              <w:spacing w:line="280" w:lineRule="exact"/>
              <w:jc w:val="center"/>
              <w:rPr>
                <w:rFonts w:ascii="仿宋_GB2312" w:eastAsia="仿宋_GB2312" w:cs="仿宋_GB2312"/>
                <w:color w:val="000000"/>
                <w:sz w:val="24"/>
              </w:rPr>
            </w:pPr>
          </w:p>
        </w:tc>
        <w:tc>
          <w:tcPr>
            <w:tcW w:w="433" w:type="pct"/>
            <w:vMerge w:val="continue"/>
            <w:noWrap/>
            <w:vAlign w:val="center"/>
          </w:tcPr>
          <w:p>
            <w:pPr>
              <w:overflowPunct w:val="0"/>
              <w:spacing w:line="280" w:lineRule="exact"/>
              <w:jc w:val="center"/>
              <w:rPr>
                <w:rFonts w:ascii="仿宋_GB2312" w:eastAsia="仿宋_GB2312" w:cs="仿宋_GB2312"/>
                <w:color w:val="000000"/>
                <w:sz w:val="24"/>
              </w:rPr>
            </w:pPr>
          </w:p>
        </w:tc>
        <w:tc>
          <w:tcPr>
            <w:tcW w:w="427"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薯粉类</w:t>
            </w:r>
          </w:p>
        </w:tc>
        <w:tc>
          <w:tcPr>
            <w:tcW w:w="271"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245" w:type="pct"/>
            <w:vMerge w:val="continue"/>
            <w:noWrap/>
            <w:vAlign w:val="center"/>
          </w:tcPr>
          <w:p>
            <w:pPr>
              <w:overflowPunct w:val="0"/>
              <w:spacing w:line="280" w:lineRule="exact"/>
              <w:jc w:val="center"/>
              <w:rPr>
                <w:rFonts w:ascii="仿宋_GB2312" w:eastAsia="仿宋_GB2312" w:cs="仿宋_GB2312"/>
                <w:color w:val="000000"/>
                <w:sz w:val="24"/>
              </w:rPr>
            </w:pPr>
          </w:p>
        </w:tc>
        <w:tc>
          <w:tcPr>
            <w:tcW w:w="474" w:type="pct"/>
            <w:vMerge w:val="continue"/>
            <w:noWrap/>
            <w:vAlign w:val="center"/>
          </w:tcPr>
          <w:p>
            <w:pPr>
              <w:overflowPunct w:val="0"/>
              <w:spacing w:line="280" w:lineRule="exact"/>
              <w:jc w:val="center"/>
              <w:rPr>
                <w:rFonts w:ascii="仿宋_GB2312" w:eastAsia="仿宋_GB2312" w:cs="仿宋_GB2312"/>
                <w:color w:val="000000"/>
                <w:sz w:val="24"/>
              </w:rPr>
            </w:pPr>
          </w:p>
        </w:tc>
        <w:tc>
          <w:tcPr>
            <w:tcW w:w="433" w:type="pct"/>
            <w:vMerge w:val="continue"/>
            <w:noWrap/>
            <w:vAlign w:val="center"/>
          </w:tcPr>
          <w:p>
            <w:pPr>
              <w:overflowPunct w:val="0"/>
              <w:spacing w:line="280" w:lineRule="exact"/>
              <w:jc w:val="center"/>
              <w:rPr>
                <w:rFonts w:ascii="仿宋_GB2312" w:eastAsia="仿宋_GB2312" w:cs="仿宋_GB2312"/>
                <w:color w:val="000000"/>
                <w:sz w:val="24"/>
              </w:rPr>
            </w:pPr>
          </w:p>
        </w:tc>
        <w:tc>
          <w:tcPr>
            <w:tcW w:w="433" w:type="pct"/>
            <w:vMerge w:val="continue"/>
            <w:noWrap/>
            <w:vAlign w:val="center"/>
          </w:tcPr>
          <w:p>
            <w:pPr>
              <w:overflowPunct w:val="0"/>
              <w:spacing w:line="280" w:lineRule="exact"/>
              <w:jc w:val="center"/>
              <w:rPr>
                <w:rFonts w:ascii="仿宋_GB2312" w:eastAsia="仿宋_GB2312" w:cs="仿宋_GB2312"/>
                <w:color w:val="000000"/>
                <w:sz w:val="24"/>
              </w:rPr>
            </w:pPr>
          </w:p>
        </w:tc>
        <w:tc>
          <w:tcPr>
            <w:tcW w:w="427"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其他薯类食品</w:t>
            </w:r>
          </w:p>
        </w:tc>
        <w:tc>
          <w:tcPr>
            <w:tcW w:w="271"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245" w:type="pct"/>
            <w:vMerge w:val="restar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13</w:t>
            </w:r>
          </w:p>
        </w:tc>
        <w:tc>
          <w:tcPr>
            <w:tcW w:w="474" w:type="pct"/>
            <w:vMerge w:val="restart"/>
            <w:noWrap/>
            <w:vAlign w:val="center"/>
          </w:tcPr>
          <w:p>
            <w:pPr>
              <w:widowControl/>
              <w:overflowPunct w:val="0"/>
              <w:spacing w:line="28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糖果制品</w:t>
            </w:r>
            <w:r>
              <w:rPr>
                <w:rFonts w:hint="eastAsia" w:ascii="仿宋_GB2312" w:eastAsia="仿宋_GB2312" w:cs="仿宋_GB2312"/>
                <w:color w:val="000000"/>
                <w:sz w:val="24"/>
                <w:lang w:val="en-US"/>
              </w:rPr>
              <w:t>15份</w:t>
            </w:r>
          </w:p>
        </w:tc>
        <w:tc>
          <w:tcPr>
            <w:tcW w:w="433" w:type="pct"/>
            <w:vMerge w:val="restart"/>
            <w:noWrap/>
            <w:vAlign w:val="center"/>
          </w:tcPr>
          <w:p>
            <w:pPr>
              <w:widowControl/>
              <w:overflowPunct w:val="0"/>
              <w:spacing w:line="28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糖果制品</w:t>
            </w:r>
            <w:r>
              <w:rPr>
                <w:rFonts w:hint="eastAsia" w:ascii="仿宋_GB2312" w:eastAsia="仿宋_GB2312" w:cs="仿宋_GB2312"/>
                <w:color w:val="000000"/>
                <w:sz w:val="24"/>
                <w:lang w:val="en-US"/>
              </w:rPr>
              <w:t>（</w:t>
            </w:r>
            <w:r>
              <w:rPr>
                <w:rFonts w:hint="eastAsia" w:ascii="仿宋_GB2312" w:eastAsia="仿宋_GB2312" w:cs="仿宋_GB2312"/>
                <w:color w:val="000000"/>
                <w:sz w:val="24"/>
              </w:rPr>
              <w:t>含巧克力及制品</w:t>
            </w:r>
            <w:r>
              <w:rPr>
                <w:rFonts w:hint="eastAsia" w:ascii="仿宋_GB2312" w:eastAsia="仿宋_GB2312" w:cs="仿宋_GB2312"/>
                <w:color w:val="000000"/>
                <w:sz w:val="24"/>
                <w:lang w:val="en-US"/>
              </w:rPr>
              <w:t>）</w:t>
            </w:r>
          </w:p>
        </w:tc>
        <w:tc>
          <w:tcPr>
            <w:tcW w:w="433"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糖果</w:t>
            </w:r>
          </w:p>
        </w:tc>
        <w:tc>
          <w:tcPr>
            <w:tcW w:w="427"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糖果</w:t>
            </w:r>
          </w:p>
        </w:tc>
        <w:tc>
          <w:tcPr>
            <w:tcW w:w="271"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糖精钠（以糖精计）、甜蜜素（以环己基氨基磺酸计）、合成着色剂（柠檬黄、新红、苋菜红、靛蓝、胭脂红、日落黄、诱惑红、喹啉黄、赤藓红）、相同色泽着色剂混合使用时各自用量占其最大使用量的比例之和、二氧化硫残留量、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245" w:type="pct"/>
            <w:vMerge w:val="continue"/>
            <w:noWrap/>
            <w:vAlign w:val="center"/>
          </w:tcPr>
          <w:p>
            <w:pPr>
              <w:overflowPunct w:val="0"/>
              <w:spacing w:line="280" w:lineRule="exact"/>
              <w:jc w:val="center"/>
              <w:rPr>
                <w:rFonts w:ascii="仿宋_GB2312" w:eastAsia="仿宋_GB2312" w:cs="仿宋_GB2312"/>
                <w:color w:val="000000"/>
                <w:sz w:val="24"/>
              </w:rPr>
            </w:pPr>
          </w:p>
        </w:tc>
        <w:tc>
          <w:tcPr>
            <w:tcW w:w="474" w:type="pct"/>
            <w:vMerge w:val="continue"/>
            <w:noWrap/>
            <w:vAlign w:val="center"/>
          </w:tcPr>
          <w:p>
            <w:pPr>
              <w:overflowPunct w:val="0"/>
              <w:spacing w:line="280" w:lineRule="exact"/>
              <w:jc w:val="center"/>
              <w:rPr>
                <w:rFonts w:ascii="仿宋_GB2312" w:eastAsia="仿宋_GB2312" w:cs="仿宋_GB2312"/>
                <w:color w:val="000000"/>
                <w:sz w:val="24"/>
              </w:rPr>
            </w:pPr>
          </w:p>
        </w:tc>
        <w:tc>
          <w:tcPr>
            <w:tcW w:w="433" w:type="pct"/>
            <w:vMerge w:val="continue"/>
            <w:noWrap/>
            <w:vAlign w:val="center"/>
          </w:tcPr>
          <w:p>
            <w:pPr>
              <w:overflowPunct w:val="0"/>
              <w:spacing w:line="280" w:lineRule="exact"/>
              <w:jc w:val="center"/>
              <w:rPr>
                <w:rFonts w:ascii="仿宋_GB2312" w:eastAsia="仿宋_GB2312" w:cs="仿宋_GB2312"/>
                <w:color w:val="000000"/>
                <w:sz w:val="24"/>
              </w:rPr>
            </w:pPr>
          </w:p>
        </w:tc>
        <w:tc>
          <w:tcPr>
            <w:tcW w:w="433"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巧克力及巧克力制品</w:t>
            </w:r>
          </w:p>
        </w:tc>
        <w:tc>
          <w:tcPr>
            <w:tcW w:w="427"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巧克力及巧克力制品、代可可脂巧克力及代可可脂巧克力制品</w:t>
            </w:r>
          </w:p>
        </w:tc>
        <w:tc>
          <w:tcPr>
            <w:tcW w:w="271"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245" w:type="pct"/>
            <w:vMerge w:val="continue"/>
            <w:noWrap/>
            <w:vAlign w:val="center"/>
          </w:tcPr>
          <w:p>
            <w:pPr>
              <w:overflowPunct w:val="0"/>
              <w:spacing w:line="280" w:lineRule="exact"/>
              <w:jc w:val="center"/>
              <w:rPr>
                <w:rFonts w:ascii="仿宋_GB2312" w:eastAsia="仿宋_GB2312" w:cs="仿宋_GB2312"/>
                <w:color w:val="000000"/>
                <w:sz w:val="24"/>
              </w:rPr>
            </w:pPr>
          </w:p>
        </w:tc>
        <w:tc>
          <w:tcPr>
            <w:tcW w:w="474" w:type="pct"/>
            <w:vMerge w:val="continue"/>
            <w:noWrap/>
            <w:vAlign w:val="center"/>
          </w:tcPr>
          <w:p>
            <w:pPr>
              <w:overflowPunct w:val="0"/>
              <w:spacing w:line="280" w:lineRule="exact"/>
              <w:jc w:val="center"/>
              <w:rPr>
                <w:rFonts w:ascii="仿宋_GB2312" w:eastAsia="仿宋_GB2312" w:cs="仿宋_GB2312"/>
                <w:color w:val="000000"/>
                <w:sz w:val="24"/>
              </w:rPr>
            </w:pPr>
          </w:p>
        </w:tc>
        <w:tc>
          <w:tcPr>
            <w:tcW w:w="433" w:type="pct"/>
            <w:vMerge w:val="continue"/>
            <w:noWrap/>
            <w:vAlign w:val="center"/>
          </w:tcPr>
          <w:p>
            <w:pPr>
              <w:overflowPunct w:val="0"/>
              <w:spacing w:line="280" w:lineRule="exact"/>
              <w:jc w:val="center"/>
              <w:rPr>
                <w:rFonts w:ascii="仿宋_GB2312" w:eastAsia="仿宋_GB2312" w:cs="仿宋_GB2312"/>
                <w:color w:val="000000"/>
                <w:sz w:val="24"/>
              </w:rPr>
            </w:pPr>
          </w:p>
        </w:tc>
        <w:tc>
          <w:tcPr>
            <w:tcW w:w="433"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果冻</w:t>
            </w:r>
          </w:p>
        </w:tc>
        <w:tc>
          <w:tcPr>
            <w:tcW w:w="427"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果冻</w:t>
            </w:r>
          </w:p>
        </w:tc>
        <w:tc>
          <w:tcPr>
            <w:tcW w:w="271"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铅（以Pb计）、山梨酸及其钾盐（以山梨酸计）、苯甲酸及其钠盐（以苯甲酸计）、糖精钠（以糖精计）、甜蜜素（以环己基氨基磺酸计）、菌落总数、大肠菌群、霉菌、酵母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245"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14</w:t>
            </w:r>
          </w:p>
        </w:tc>
        <w:tc>
          <w:tcPr>
            <w:tcW w:w="474" w:type="pct"/>
            <w:noWrap/>
            <w:vAlign w:val="center"/>
          </w:tcPr>
          <w:p>
            <w:pPr>
              <w:widowControl/>
              <w:overflowPunct w:val="0"/>
              <w:spacing w:line="28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茶叶及相关制品</w:t>
            </w:r>
            <w:r>
              <w:rPr>
                <w:rFonts w:hint="eastAsia" w:ascii="仿宋_GB2312" w:eastAsia="仿宋_GB2312" w:cs="仿宋_GB2312"/>
                <w:color w:val="000000"/>
                <w:sz w:val="24"/>
                <w:lang w:val="en-US"/>
              </w:rPr>
              <w:t>5份</w:t>
            </w:r>
          </w:p>
        </w:tc>
        <w:tc>
          <w:tcPr>
            <w:tcW w:w="433"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茶叶</w:t>
            </w:r>
          </w:p>
        </w:tc>
        <w:tc>
          <w:tcPr>
            <w:tcW w:w="433"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茶叶</w:t>
            </w:r>
          </w:p>
        </w:tc>
        <w:tc>
          <w:tcPr>
            <w:tcW w:w="427"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茶叶（绿茶、红茶、乌龙茶、黄茶、白茶、黑茶、花茶、袋泡茶、紧压茶等）</w:t>
            </w:r>
          </w:p>
        </w:tc>
        <w:tc>
          <w:tcPr>
            <w:tcW w:w="271"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铅（以Pb计）、草甘膦、吡虫啉、乙酰甲胺磷、联苯菊酯、灭多威、三氯杀螨醇、氰戊菊酯和S-氰戊菊酯、甲拌磷、克百威、水胺硫磷、氧乐果、毒死蜱、啶虫脒、多菌灵、茚虫威、合成着色剂（柠檬黄、日落黄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14</w:t>
            </w:r>
          </w:p>
        </w:tc>
        <w:tc>
          <w:tcPr>
            <w:tcW w:w="474" w:type="pct"/>
            <w:vMerge w:val="restart"/>
            <w:noWrap/>
            <w:vAlign w:val="center"/>
          </w:tcPr>
          <w:p>
            <w:pPr>
              <w:widowControl/>
              <w:overflowPunct w:val="0"/>
              <w:spacing w:line="28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茶叶及相关制品</w:t>
            </w:r>
            <w:r>
              <w:rPr>
                <w:rFonts w:hint="eastAsia" w:ascii="仿宋_GB2312" w:eastAsia="仿宋_GB2312" w:cs="仿宋_GB2312"/>
                <w:color w:val="000000"/>
                <w:sz w:val="24"/>
                <w:lang w:val="en-US"/>
              </w:rPr>
              <w:t>5份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含茶制品和代用茶</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含茶制品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含茶制品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铅（以Pb计）、菌落总数、大肠菌群、霉菌、霉菌及酵母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代用茶</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代用茶</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铅（以Pb计）、二氧化硫残留量、啶虫脒、克百威、毒死蜱、吡虫啉、氯氟氰菊酯和高效氯氟氰菊酯、霉菌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15</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酒类</w:t>
            </w:r>
            <w:r>
              <w:rPr>
                <w:rFonts w:hint="eastAsia" w:ascii="仿宋_GB2312" w:eastAsia="仿宋_GB2312" w:cs="仿宋_GB2312"/>
                <w:color w:val="000000"/>
                <w:sz w:val="24"/>
                <w:lang w:val="en-US"/>
              </w:rPr>
              <w:t>40份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蒸馏酒</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白酒</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白酒</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酒精度、铅（以Pb计）、甲醇、氰化物（以HCN计）、糖精钠（以糖精计）、甜蜜素（以环己基氨基磺酸计）、三氯蔗糖、安赛蜜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发酵酒</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黄酒</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黄酒</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酒精度、氨基酸态氮、苯甲酸及其钠盐（以苯甲酸计）、山梨酸及其钾盐（以山梨酸计）、糖精钠（以糖精计）、甜蜜素（以环己基氨基磺酸计）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啤酒</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啤酒</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酒精度、甲醛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葡萄酒</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葡萄酒</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酒精度、甲醇、苯甲酸及其钠盐（以苯甲酸计）、山梨酸及其钾盐（以山梨酸计）、糖精钠（以糖精计）、二氧化硫残留量、甜蜜素（以环己基氨基磺酸计）、三氯蔗糖、合成着色剂（柠檬黄、日落黄、新红、胭脂红、赤藓红、苋菜红、诱惑红、酸性红、亮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果酒</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果酒（发酵型）</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酒精度、展青霉素、糖精钠（以糖精计）、甜蜜素（以环己基氨基磺酸计）、二氧化硫残留量、酸性红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其他酒</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配制酒</w:t>
            </w:r>
          </w:p>
        </w:tc>
        <w:tc>
          <w:tcPr>
            <w:tcW w:w="427"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以蒸馏酒及食用酒精为酒基的配制酒</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酒精度、甲醇、氰化物（以HCN计）、甜蜜素（以环己基氨基磺酸计）、安赛蜜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2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以发酵酒为酒基的配制酒</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酒精度、苯甲酸及其钠盐（以苯甲酸计）、山梨酸及其钾盐（以山梨酸计）、甜蜜素（以环己基氨基磺酸计）、防腐剂混合使用时各自用量占其最大使用量的比例之和、安赛蜜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16</w:t>
            </w:r>
          </w:p>
        </w:tc>
        <w:tc>
          <w:tcPr>
            <w:tcW w:w="474" w:type="pc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蔬菜制品</w:t>
            </w:r>
            <w:r>
              <w:rPr>
                <w:rFonts w:hint="eastAsia" w:ascii="仿宋_GB2312" w:eastAsia="仿宋_GB2312" w:cs="仿宋_GB2312"/>
                <w:color w:val="000000"/>
                <w:sz w:val="24"/>
                <w:lang w:val="en-US"/>
              </w:rPr>
              <w:t>10份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蔬菜制品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酱腌菜</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酱腌菜</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铅（以Pb计）、亚硝酸盐（以 NaNO2计）、苯甲酸及其钠盐（以苯甲酸计）、山梨酸及其钾盐（以山梨酸计）、脱氢乙酸及其钠盐（以脱氢乙酸计）、糖精钠（以糖精计）、甜蜜素（以环己基氨基磺酸计）、二氧化硫残留量、防腐剂混合使用时各自用量占其最大使用量的比例之和、安赛蜜、柠檬黄、日落黄、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16</w:t>
            </w:r>
          </w:p>
        </w:tc>
        <w:tc>
          <w:tcPr>
            <w:tcW w:w="474" w:type="pct"/>
            <w:vMerge w:val="restart"/>
            <w:noWrap/>
            <w:vAlign w:val="center"/>
          </w:tcPr>
          <w:p>
            <w:pPr>
              <w:widowControl/>
              <w:overflowPunct w:val="0"/>
              <w:spacing w:line="34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蔬菜制品</w:t>
            </w:r>
            <w:r>
              <w:rPr>
                <w:rFonts w:hint="eastAsia" w:ascii="仿宋_GB2312" w:eastAsia="仿宋_GB2312" w:cs="仿宋_GB2312"/>
                <w:color w:val="000000"/>
                <w:sz w:val="24"/>
                <w:lang w:val="en-US"/>
              </w:rPr>
              <w:t>15份</w:t>
            </w:r>
          </w:p>
        </w:tc>
        <w:tc>
          <w:tcPr>
            <w:tcW w:w="433" w:type="pct"/>
            <w:vMerge w:val="restar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蔬菜制品</w:t>
            </w:r>
          </w:p>
        </w:tc>
        <w:tc>
          <w:tcPr>
            <w:tcW w:w="433"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蔬菜干制品</w:t>
            </w:r>
          </w:p>
        </w:tc>
        <w:tc>
          <w:tcPr>
            <w:tcW w:w="427"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蔬菜干制品</w:t>
            </w:r>
          </w:p>
        </w:tc>
        <w:tc>
          <w:tcPr>
            <w:tcW w:w="271"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4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铅（以Pb计）、苯甲酸及其钠盐（以苯甲酸计）、山梨酸及其钾盐（以山梨酸计）、二氧化硫残留量、合成着色剂（柠檬黄、日落黄、胭脂红、苋菜红、亮蓝）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40" w:lineRule="exact"/>
              <w:jc w:val="center"/>
              <w:rPr>
                <w:rFonts w:ascii="仿宋_GB2312" w:eastAsia="仿宋_GB2312" w:cs="仿宋_GB2312"/>
                <w:color w:val="000000"/>
                <w:sz w:val="24"/>
              </w:rPr>
            </w:pPr>
          </w:p>
        </w:tc>
        <w:tc>
          <w:tcPr>
            <w:tcW w:w="474" w:type="pct"/>
            <w:vMerge w:val="continue"/>
            <w:noWrap/>
            <w:vAlign w:val="center"/>
          </w:tcPr>
          <w:p>
            <w:pPr>
              <w:overflowPunct w:val="0"/>
              <w:spacing w:line="340" w:lineRule="exact"/>
              <w:jc w:val="center"/>
              <w:rPr>
                <w:rFonts w:ascii="仿宋_GB2312" w:eastAsia="仿宋_GB2312" w:cs="仿宋_GB2312"/>
                <w:color w:val="000000"/>
                <w:sz w:val="24"/>
              </w:rPr>
            </w:pPr>
          </w:p>
        </w:tc>
        <w:tc>
          <w:tcPr>
            <w:tcW w:w="433" w:type="pct"/>
            <w:vMerge w:val="continue"/>
            <w:noWrap/>
            <w:vAlign w:val="center"/>
          </w:tcPr>
          <w:p>
            <w:pPr>
              <w:overflowPunct w:val="0"/>
              <w:spacing w:line="340" w:lineRule="exact"/>
              <w:jc w:val="center"/>
              <w:rPr>
                <w:rFonts w:ascii="仿宋_GB2312" w:eastAsia="仿宋_GB2312" w:cs="仿宋_GB2312"/>
                <w:color w:val="000000"/>
                <w:sz w:val="24"/>
              </w:rPr>
            </w:pPr>
          </w:p>
        </w:tc>
        <w:tc>
          <w:tcPr>
            <w:tcW w:w="433"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其他蔬菜制品</w:t>
            </w:r>
          </w:p>
        </w:tc>
        <w:tc>
          <w:tcPr>
            <w:tcW w:w="427"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其他蔬菜制品</w:t>
            </w:r>
          </w:p>
        </w:tc>
        <w:tc>
          <w:tcPr>
            <w:tcW w:w="271"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4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铅（以Pb计）、苯甲酸及其钠盐（以苯甲酸计）、山梨酸及其钾盐（以山梨酸计）、二氧化硫残留量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40" w:lineRule="exact"/>
              <w:jc w:val="center"/>
              <w:rPr>
                <w:rFonts w:ascii="仿宋_GB2312" w:eastAsia="仿宋_GB2312" w:cs="仿宋_GB2312"/>
                <w:color w:val="000000"/>
                <w:sz w:val="24"/>
              </w:rPr>
            </w:pPr>
          </w:p>
        </w:tc>
        <w:tc>
          <w:tcPr>
            <w:tcW w:w="474" w:type="pct"/>
            <w:vMerge w:val="continue"/>
            <w:noWrap/>
            <w:vAlign w:val="center"/>
          </w:tcPr>
          <w:p>
            <w:pPr>
              <w:overflowPunct w:val="0"/>
              <w:spacing w:line="340" w:lineRule="exact"/>
              <w:jc w:val="center"/>
              <w:rPr>
                <w:rFonts w:ascii="仿宋_GB2312" w:eastAsia="仿宋_GB2312" w:cs="仿宋_GB2312"/>
                <w:color w:val="000000"/>
                <w:sz w:val="24"/>
              </w:rPr>
            </w:pPr>
          </w:p>
        </w:tc>
        <w:tc>
          <w:tcPr>
            <w:tcW w:w="433" w:type="pct"/>
            <w:vMerge w:val="continue"/>
            <w:noWrap/>
            <w:vAlign w:val="center"/>
          </w:tcPr>
          <w:p>
            <w:pPr>
              <w:overflowPunct w:val="0"/>
              <w:spacing w:line="34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食用菌制品</w:t>
            </w:r>
          </w:p>
        </w:tc>
        <w:tc>
          <w:tcPr>
            <w:tcW w:w="427"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干制食用菌</w:t>
            </w:r>
          </w:p>
        </w:tc>
        <w:tc>
          <w:tcPr>
            <w:tcW w:w="271"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4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铅（以Pb计）、总砷（以As计）、镉（以Cd计）、总汞（以Hg计）、甲基汞（ 以Hg计）、苯甲酸及其钠盐（以苯甲酸计）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40" w:lineRule="exact"/>
              <w:jc w:val="center"/>
              <w:rPr>
                <w:rFonts w:ascii="仿宋_GB2312" w:eastAsia="仿宋_GB2312" w:cs="仿宋_GB2312"/>
                <w:color w:val="000000"/>
                <w:sz w:val="24"/>
              </w:rPr>
            </w:pPr>
          </w:p>
        </w:tc>
        <w:tc>
          <w:tcPr>
            <w:tcW w:w="474" w:type="pct"/>
            <w:vMerge w:val="continue"/>
            <w:noWrap/>
            <w:vAlign w:val="center"/>
          </w:tcPr>
          <w:p>
            <w:pPr>
              <w:overflowPunct w:val="0"/>
              <w:spacing w:line="340" w:lineRule="exact"/>
              <w:jc w:val="center"/>
              <w:rPr>
                <w:rFonts w:ascii="仿宋_GB2312" w:eastAsia="仿宋_GB2312" w:cs="仿宋_GB2312"/>
                <w:color w:val="000000"/>
                <w:sz w:val="24"/>
              </w:rPr>
            </w:pPr>
          </w:p>
        </w:tc>
        <w:tc>
          <w:tcPr>
            <w:tcW w:w="433" w:type="pct"/>
            <w:vMerge w:val="continue"/>
            <w:noWrap/>
            <w:vAlign w:val="center"/>
          </w:tcPr>
          <w:p>
            <w:pPr>
              <w:overflowPunct w:val="0"/>
              <w:spacing w:line="340" w:lineRule="exact"/>
              <w:jc w:val="center"/>
              <w:rPr>
                <w:rFonts w:ascii="仿宋_GB2312" w:eastAsia="仿宋_GB2312" w:cs="仿宋_GB2312"/>
                <w:color w:val="000000"/>
                <w:sz w:val="24"/>
              </w:rPr>
            </w:pPr>
          </w:p>
        </w:tc>
        <w:tc>
          <w:tcPr>
            <w:tcW w:w="433" w:type="pct"/>
            <w:vMerge w:val="continue"/>
            <w:noWrap/>
            <w:vAlign w:val="center"/>
          </w:tcPr>
          <w:p>
            <w:pPr>
              <w:overflowPunct w:val="0"/>
              <w:spacing w:line="340" w:lineRule="exact"/>
              <w:jc w:val="center"/>
              <w:rPr>
                <w:rFonts w:ascii="仿宋_GB2312" w:eastAsia="仿宋_GB2312" w:cs="仿宋_GB2312"/>
                <w:color w:val="000000"/>
                <w:sz w:val="24"/>
              </w:rPr>
            </w:pPr>
          </w:p>
        </w:tc>
        <w:tc>
          <w:tcPr>
            <w:tcW w:w="427"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腌渍食用菌</w:t>
            </w:r>
          </w:p>
        </w:tc>
        <w:tc>
          <w:tcPr>
            <w:tcW w:w="271"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4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苯甲酸及其钠盐（以苯甲酸计）、山梨酸及其钾盐（以山梨酸计）、脱氢乙酸及其钠盐（以脱氢乙酸计）、防腐剂混合使用时各自用量占其最大使用量的比例之和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17</w:t>
            </w:r>
          </w:p>
        </w:tc>
        <w:tc>
          <w:tcPr>
            <w:tcW w:w="474" w:type="pct"/>
            <w:vMerge w:val="restart"/>
            <w:noWrap/>
            <w:vAlign w:val="center"/>
          </w:tcPr>
          <w:p>
            <w:pPr>
              <w:widowControl/>
              <w:overflowPunct w:val="0"/>
              <w:spacing w:line="34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水果制品</w:t>
            </w:r>
            <w:r>
              <w:rPr>
                <w:rFonts w:hint="eastAsia" w:ascii="仿宋_GB2312" w:eastAsia="仿宋_GB2312" w:cs="仿宋_GB2312"/>
                <w:color w:val="000000"/>
                <w:sz w:val="24"/>
                <w:lang w:val="en-US"/>
              </w:rPr>
              <w:t>15份</w:t>
            </w:r>
          </w:p>
        </w:tc>
        <w:tc>
          <w:tcPr>
            <w:tcW w:w="433" w:type="pct"/>
            <w:vMerge w:val="restar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水果制品</w:t>
            </w:r>
          </w:p>
        </w:tc>
        <w:tc>
          <w:tcPr>
            <w:tcW w:w="433"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蜜饯</w:t>
            </w:r>
          </w:p>
        </w:tc>
        <w:tc>
          <w:tcPr>
            <w:tcW w:w="427"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蜜饯类、凉果类、果脯类、话化类、果糕类</w:t>
            </w:r>
          </w:p>
        </w:tc>
        <w:tc>
          <w:tcPr>
            <w:tcW w:w="271"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4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苯甲酸及其钠盐（以苯甲酸计）、山梨酸及其钾盐（以山梨酸计）、脱氢乙酸及其钠盐（以脱氢乙酸计）、防腐剂混合使用时各自用量占其最大使用量的比例之和、糖精钠（以糖精计）、甜蜜素（以环己基氨基磺酸计）、安赛蜜、二氧化硫残留量、合成着色剂（亮蓝、柠檬黄、日落黄、苋菜红、胭脂红）、相同色泽着色剂混合使用时各自用量占其最大使用量的比例之和、乙二胺四乙酸二钠、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40" w:lineRule="exact"/>
              <w:jc w:val="center"/>
              <w:rPr>
                <w:rFonts w:ascii="仿宋_GB2312" w:eastAsia="仿宋_GB2312" w:cs="仿宋_GB2312"/>
                <w:color w:val="000000"/>
                <w:sz w:val="24"/>
              </w:rPr>
            </w:pPr>
          </w:p>
        </w:tc>
        <w:tc>
          <w:tcPr>
            <w:tcW w:w="474" w:type="pct"/>
            <w:vMerge w:val="continue"/>
            <w:noWrap/>
            <w:vAlign w:val="center"/>
          </w:tcPr>
          <w:p>
            <w:pPr>
              <w:overflowPunct w:val="0"/>
              <w:spacing w:line="340" w:lineRule="exact"/>
              <w:jc w:val="center"/>
              <w:rPr>
                <w:rFonts w:ascii="仿宋_GB2312" w:eastAsia="仿宋_GB2312" w:cs="仿宋_GB2312"/>
                <w:color w:val="000000"/>
                <w:sz w:val="24"/>
              </w:rPr>
            </w:pPr>
          </w:p>
        </w:tc>
        <w:tc>
          <w:tcPr>
            <w:tcW w:w="433" w:type="pct"/>
            <w:vMerge w:val="continue"/>
            <w:noWrap/>
            <w:vAlign w:val="center"/>
          </w:tcPr>
          <w:p>
            <w:pPr>
              <w:overflowPunct w:val="0"/>
              <w:spacing w:line="340" w:lineRule="exact"/>
              <w:jc w:val="center"/>
              <w:rPr>
                <w:rFonts w:ascii="仿宋_GB2312" w:eastAsia="仿宋_GB2312" w:cs="仿宋_GB2312"/>
                <w:color w:val="000000"/>
                <w:sz w:val="24"/>
              </w:rPr>
            </w:pPr>
          </w:p>
        </w:tc>
        <w:tc>
          <w:tcPr>
            <w:tcW w:w="433"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水果干制品</w:t>
            </w:r>
          </w:p>
        </w:tc>
        <w:tc>
          <w:tcPr>
            <w:tcW w:w="427"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水果干制品（含干枸杞）</w:t>
            </w:r>
          </w:p>
        </w:tc>
        <w:tc>
          <w:tcPr>
            <w:tcW w:w="271"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4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 以Pb计）、啶虫脒、吡虫啉、克百威、炔螨特、毒死蜱、氯氟氰菊酯和高效氯氟氰菊酯、氯氰菊酯和高效氯氰菊酯、苯甲酸及其钠盐（以苯甲酸计）、山梨酸及其钾盐（以山梨酸计）、脱氢乙酸及其钠盐（以脱氢乙酸计）、糖精钠（以糖精计）、二氧化硫残留量、合成着色剂（亮蓝、柠檬黄、日落黄、苋菜红、胭脂红）、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40" w:lineRule="exact"/>
              <w:jc w:val="center"/>
              <w:rPr>
                <w:rFonts w:ascii="仿宋_GB2312" w:eastAsia="仿宋_GB2312" w:cs="仿宋_GB2312"/>
                <w:color w:val="000000"/>
                <w:sz w:val="24"/>
              </w:rPr>
            </w:pPr>
          </w:p>
        </w:tc>
        <w:tc>
          <w:tcPr>
            <w:tcW w:w="474" w:type="pct"/>
            <w:vMerge w:val="continue"/>
            <w:noWrap/>
            <w:vAlign w:val="center"/>
          </w:tcPr>
          <w:p>
            <w:pPr>
              <w:overflowPunct w:val="0"/>
              <w:spacing w:line="340" w:lineRule="exact"/>
              <w:jc w:val="center"/>
              <w:rPr>
                <w:rFonts w:ascii="仿宋_GB2312" w:eastAsia="仿宋_GB2312" w:cs="仿宋_GB2312"/>
                <w:color w:val="000000"/>
                <w:sz w:val="24"/>
              </w:rPr>
            </w:pPr>
          </w:p>
        </w:tc>
        <w:tc>
          <w:tcPr>
            <w:tcW w:w="433" w:type="pct"/>
            <w:vMerge w:val="continue"/>
            <w:noWrap/>
            <w:vAlign w:val="center"/>
          </w:tcPr>
          <w:p>
            <w:pPr>
              <w:overflowPunct w:val="0"/>
              <w:spacing w:line="340" w:lineRule="exact"/>
              <w:jc w:val="center"/>
              <w:rPr>
                <w:rFonts w:ascii="仿宋_GB2312" w:eastAsia="仿宋_GB2312" w:cs="仿宋_GB2312"/>
                <w:color w:val="000000"/>
                <w:sz w:val="24"/>
              </w:rPr>
            </w:pPr>
          </w:p>
        </w:tc>
        <w:tc>
          <w:tcPr>
            <w:tcW w:w="433"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果酱</w:t>
            </w:r>
          </w:p>
        </w:tc>
        <w:tc>
          <w:tcPr>
            <w:tcW w:w="427"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果酱</w:t>
            </w:r>
          </w:p>
        </w:tc>
        <w:tc>
          <w:tcPr>
            <w:tcW w:w="271" w:type="pct"/>
            <w:noWrap/>
            <w:vAlign w:val="center"/>
          </w:tcPr>
          <w:p>
            <w:pPr>
              <w:widowControl/>
              <w:overflowPunct w:val="0"/>
              <w:spacing w:line="34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4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 以Pb计）、脱氢乙酸及其钠盐（以脱氢乙酸计）、菌落总数、大肠菌群、霉菌、商业无菌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18</w:t>
            </w:r>
          </w:p>
        </w:tc>
        <w:tc>
          <w:tcPr>
            <w:tcW w:w="474"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炒货食品及坚果制品</w:t>
            </w:r>
            <w:r>
              <w:rPr>
                <w:rFonts w:hint="eastAsia" w:ascii="仿宋_GB2312" w:eastAsia="仿宋_GB2312" w:cs="仿宋_GB2312"/>
                <w:color w:val="000000"/>
                <w:sz w:val="24"/>
                <w:lang w:val="en-US"/>
              </w:rPr>
              <w:t>15份</w:t>
            </w:r>
          </w:p>
        </w:tc>
        <w:tc>
          <w:tcPr>
            <w:tcW w:w="433"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炒货食品及坚果制品</w:t>
            </w:r>
          </w:p>
        </w:tc>
        <w:tc>
          <w:tcPr>
            <w:tcW w:w="433"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炒货食品及坚果制品（ 烘炒类、油炸类、其他类）</w:t>
            </w: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开心果、杏仁、扁桃仁、松仁、瓜子</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酸价（以脂肪计）（KOH）、过氧化值（以脂肪计）、铅（以Pb计）、黄曲霉毒素B1、苯甲酸及其钠盐（以苯甲酸计）、山梨酸及其钾盐（以山梨酸计）、脱氢乙酸及其钠盐（以脱氢乙酸计）、二氧化硫残留量、糖精钠（以糖精计）、甜蜜素（以环己基氨基磺酸计）、安赛蜜、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其他炒货食品及坚果制品</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酸价（以脂肪计）（KOH）、过氧化值（以脂肪计）、铅（以Pb计）、黄曲霉毒素B1、苯甲酸及其钠盐（以苯甲酸计）、山梨酸及其钾盐（以山梨酸计）、脱氢乙酸及其钠盐（以脱氢乙酸计）、二氧化硫残留量、糖精钠（以糖精计）、甜蜜素（以环己基氨基磺酸计）、安赛蜜、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19</w:t>
            </w:r>
          </w:p>
        </w:tc>
        <w:tc>
          <w:tcPr>
            <w:tcW w:w="474" w:type="pc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蛋制品</w:t>
            </w:r>
            <w:r>
              <w:rPr>
                <w:rFonts w:hint="eastAsia" w:ascii="仿宋_GB2312" w:eastAsia="仿宋_GB2312" w:cs="仿宋_GB2312"/>
                <w:color w:val="000000"/>
                <w:sz w:val="24"/>
                <w:lang w:val="en-US"/>
              </w:rPr>
              <w:t>5份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蛋制品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再制蛋</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再制蛋</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铅（以Pb计）、苯甲酸及其钠盐（以苯甲酸计）、山梨酸及其钾盐（以山梨酸计）、菌落总数、大肠菌群、沙门氏菌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20</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可可及焙烤咖啡产品</w:t>
            </w:r>
            <w:r>
              <w:rPr>
                <w:rFonts w:hint="eastAsia" w:ascii="仿宋_GB2312" w:eastAsia="仿宋_GB2312" w:cs="仿宋_GB2312"/>
                <w:color w:val="000000"/>
                <w:sz w:val="24"/>
                <w:lang w:val="en-US"/>
              </w:rPr>
              <w:t>5份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焙炒咖啡</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焙炒咖啡</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焙炒咖啡</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咖啡因、铅（以Pb计）、赭曲霉毒素A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可可制品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可可制品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可可制品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21</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食糖</w:t>
            </w:r>
            <w:r>
              <w:rPr>
                <w:rFonts w:hint="eastAsia" w:ascii="仿宋_GB2312" w:eastAsia="仿宋_GB2312" w:cs="仿宋_GB2312"/>
                <w:color w:val="000000"/>
                <w:sz w:val="24"/>
                <w:lang w:val="en-US"/>
              </w:rPr>
              <w:t>5份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食糖</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食糖</w:t>
            </w:r>
          </w:p>
        </w:tc>
        <w:tc>
          <w:tcPr>
            <w:tcW w:w="427"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白砂糖、精幼砂糖</w:t>
            </w:r>
          </w:p>
        </w:tc>
        <w:tc>
          <w:tcPr>
            <w:tcW w:w="271"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vMerge w:val="restar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蔗糖分、还原糖分、色值、干燥失重、二氧化硫残留量、螨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vMerge w:val="continue"/>
            <w:noWrap/>
            <w:vAlign w:val="center"/>
          </w:tcPr>
          <w:p>
            <w:pPr>
              <w:overflowPunct w:val="0"/>
              <w:spacing w:line="300" w:lineRule="exact"/>
              <w:jc w:val="center"/>
              <w:rPr>
                <w:rFonts w:ascii="仿宋_GB2312" w:eastAsia="仿宋_GB2312" w:cs="仿宋_GB2312"/>
                <w:color w:val="000000"/>
                <w:sz w:val="24"/>
              </w:rPr>
            </w:pPr>
          </w:p>
        </w:tc>
        <w:tc>
          <w:tcPr>
            <w:tcW w:w="271" w:type="pct"/>
            <w:vMerge w:val="continue"/>
            <w:noWrap/>
            <w:vAlign w:val="center"/>
          </w:tcPr>
          <w:p>
            <w:pPr>
              <w:overflowPunct w:val="0"/>
              <w:spacing w:line="300" w:lineRule="exact"/>
              <w:jc w:val="center"/>
              <w:rPr>
                <w:rFonts w:ascii="仿宋_GB2312" w:eastAsia="仿宋_GB2312" w:cs="仿宋_GB2312"/>
                <w:color w:val="000000"/>
                <w:sz w:val="24"/>
              </w:rPr>
            </w:pPr>
          </w:p>
        </w:tc>
        <w:tc>
          <w:tcPr>
            <w:tcW w:w="2714" w:type="pct"/>
            <w:vMerge w:val="continue"/>
            <w:noWrap/>
            <w:vAlign w:val="center"/>
          </w:tcPr>
          <w:p>
            <w:pPr>
              <w:overflowPunct w:val="0"/>
              <w:spacing w:line="300" w:lineRule="exact"/>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赤砂糖</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总糖分、不溶于水杂质、干燥失重、二氧化硫残留量、螨、合成着色剂（柠檬黄、新红、苋菜红、胭脂红、日落黄、诱惑红、酸性红、喹啉黄、赤藓红）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红糖</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总糖分、不溶于水杂质、干燥失重、二氧化硫残留量、螨、合成着色剂（柠檬黄、新红、苋菜红、胭脂红、日落黄、诱惑红、酸性红、喹啉黄、赤藓红）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冰糖</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蔗糖分、还原糖分、色值、干燥失重、二氧化硫残留量、螨、合成着色剂（柠檬黄、新红、苋菜红、胭脂红、日落黄、诱惑红、酸性红、喹啉黄、赤藓红）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22</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水产制品</w:t>
            </w:r>
            <w:r>
              <w:rPr>
                <w:rFonts w:hint="eastAsia" w:ascii="仿宋_GB2312" w:eastAsia="仿宋_GB2312" w:cs="仿宋_GB2312"/>
                <w:color w:val="000000"/>
                <w:sz w:val="24"/>
                <w:lang w:val="en-US"/>
              </w:rPr>
              <w:t>10份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水产制品</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干制水产品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藻类干制品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预制动物性水产干制品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过氧化值（以脂肪计）、铅（以Pb计）、镉（以Cd计）、N-二甲基亚硝胺、苯甲酸及其钠盐（以苯甲酸计）、山梨酸及其钾盐（以山梨酸计）、合成着色剂（柠檬黄、胭脂红、日落黄）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盐渍水产品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盐渍鱼</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过氧化值（以脂肪计）、组胺、铅（以Pb计）、镉（以 Cd 计）、多氯联苯、N-二甲基亚硝胺、苯甲酸及其钠盐（以苯甲酸计）、山梨酸及其钾盐（以山梨酸计）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23</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淀粉及淀粉制品</w:t>
            </w:r>
            <w:r>
              <w:rPr>
                <w:rFonts w:hint="eastAsia" w:ascii="仿宋_GB2312" w:eastAsia="仿宋_GB2312" w:cs="仿宋_GB2312"/>
                <w:color w:val="000000"/>
                <w:sz w:val="24"/>
                <w:lang w:val="en-US"/>
              </w:rPr>
              <w:t>20份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淀粉及淀粉制品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淀粉</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淀粉</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铅（以Pb计）、菌落总数、大肠菌群、霉菌和酵母、二氧化硫残留量、脱氢乙酸及其钠盐（以脱氢乙酸计）、葛根素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淀粉制品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粉丝粉条</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苯甲酸及其钠盐（以苯甲酸计）、山梨酸及其钾盐（以山梨酸计）、铝的残留量（干样品，以Al计）、二氧化硫残留量、合成着色剂（柠檬黄、新红、苋菜红、靛蓝、胭脂红、日落黄、诱惑红、亮蓝、酸性红、喹啉黄、赤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其他淀粉制品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苯甲酸及其钠盐（以苯甲酸计）、山梨酸及其钾盐（以山梨酸计）、铝的残留量（干样品，以Al计）、二氧化硫残留量、合成着色剂（柠檬黄、新红、苋菜红、靛蓝、胭脂红、日落黄、诱惑红、亮蓝、酸性红、喹啉黄、赤藓红）、相同色泽着色剂混合使用时各自用量占其最大使用量的比例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24</w:t>
            </w:r>
          </w:p>
        </w:tc>
        <w:tc>
          <w:tcPr>
            <w:tcW w:w="474" w:type="pc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糕点</w:t>
            </w:r>
            <w:r>
              <w:rPr>
                <w:rFonts w:hint="eastAsia" w:ascii="仿宋_GB2312" w:eastAsia="仿宋_GB2312" w:cs="仿宋_GB2312"/>
                <w:color w:val="000000"/>
                <w:sz w:val="24"/>
                <w:lang w:val="en-US"/>
              </w:rPr>
              <w:t>20份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糕点</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糕点</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糕点</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酸价（以脂肪计）、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新红、赤藓红、靛蓝、诱惑红、酸性红、喹啉黄 ）、防腐剂混合使用时各自用量占其最大使用量的比例之和、菌落总数、大肠菌群、金黄色葡萄球菌、沙门氏菌、霉菌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24</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糕点</w:t>
            </w:r>
            <w:r>
              <w:rPr>
                <w:rFonts w:hint="eastAsia" w:ascii="仿宋_GB2312" w:eastAsia="仿宋_GB2312" w:cs="仿宋_GB2312"/>
                <w:color w:val="000000"/>
                <w:sz w:val="24"/>
                <w:lang w:val="en-US"/>
              </w:rPr>
              <w:t>30份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糕点</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月饼</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月饼</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酸价（以脂肪计）、过氧化值（以脂肪计）、糖精钠（以糖精计）、苯甲酸及其钠盐（以苯甲酸计）、山梨酸及其钾盐（以山梨酸计）、铝的残留量（干样品，以Al计）、丙酸及其钠盐、钙盐（以丙酸计）、脱氢乙酸及其钠盐（以脱氢乙酸计）、纳他霉素、甜蜜素（以环己基氨基磺酸计）、合成着色剂（柠檬黄、日落黄、胭脂红、苋菜红、亮蓝、新红、赤藓红、靛蓝、诱惑红、酸性红、喹啉黄 ）、防腐剂混合使用时各自用量占其最大使用量的比例之和、菌落总数、大肠菌群、金黄色葡萄球菌、沙门氏菌、霉菌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粽子</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粽子</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粽子</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过氧化值（以脂肪计）、甜蜜素（以环己基氨基磺酸计）、山梨酸及其钾盐（以山梨酸计）、脱氢乙酸及其钠盐（以脱氢乙酸计）、糖精钠（以糖精计）、安赛蜜、菌落总数、大肠菌群、金黄色葡萄球菌、沙门氏菌、霉菌、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25</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豆制品</w:t>
            </w:r>
            <w:r>
              <w:rPr>
                <w:rFonts w:hint="eastAsia" w:ascii="仿宋_GB2312" w:eastAsia="仿宋_GB2312" w:cs="仿宋_GB2312"/>
                <w:color w:val="000000"/>
                <w:sz w:val="24"/>
                <w:lang w:val="en-US"/>
              </w:rPr>
              <w:t>50份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豆制品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发酵性豆制品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腐乳、豆豉、纳豆等</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黄曲霉毒素B1、苯甲酸及其钠盐（以苯甲酸计）、山梨酸及其钾盐（以山梨酸计）、脱氢乙酸及其钠盐（以脱氢乙酸计）、糖精钠（以糖精计）、甜蜜素（以环己基氨基磺酸计）、铝的残留量（干样品，以Al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非发酵性豆制品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腐竹、油皮及其再制品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蛋白质、铅（以Pb计）、碱性嫩黄、苯甲酸及其钠盐（以苯甲酸计）、山梨酸及其钾盐（以山梨酸计）、脱氢乙酸及其钠盐（以脱氢乙酸计）、二氧化硫残留量、铝的残留量（干样品，以Al计）、合成着色剂（柠檬黄、日落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豆干、豆腐、豆皮等</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8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铝的残留量（干样品，以Al计）、合成着色剂（柠檬黄、日落黄）、大肠菌群、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其他豆制品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大豆蛋白类制品等</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 Pb 计）、苯甲酸及其钠盐（以苯甲酸计）、山梨酸及其钾盐（以山梨酸计）、脱氢乙酸及其钠盐（以脱氢乙酸计）、糖精钠（以糖精计）、三氯蔗糖、铝的残留量（干样品，以Al计）、大肠菌群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26</w:t>
            </w:r>
          </w:p>
        </w:tc>
        <w:tc>
          <w:tcPr>
            <w:tcW w:w="474" w:type="pc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蜂产品</w:t>
            </w:r>
            <w:r>
              <w:rPr>
                <w:rFonts w:hint="eastAsia" w:ascii="仿宋_GB2312" w:eastAsia="仿宋_GB2312" w:cs="仿宋_GB2312"/>
                <w:color w:val="000000"/>
                <w:sz w:val="24"/>
                <w:lang w:val="en-US"/>
              </w:rPr>
              <w:t>5份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蜂产品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蜂蜜</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蜂蜜</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果糖和葡萄糖、蔗糖、铅（以 Pb 计）、山梨酸及其钾盐（以山梨酸计）、氯霉素、呋喃西林代谢物、呋喃唑酮代谢物、甲硝唑、双甲脒、氟胺氰菊酯、诺氟沙星、氧氟沙星、培氟沙星、菌落总数、霉菌计数、嗜渗酵母计数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27</w:t>
            </w:r>
          </w:p>
        </w:tc>
        <w:tc>
          <w:tcPr>
            <w:tcW w:w="474" w:type="pc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保健食品</w:t>
            </w:r>
            <w:r>
              <w:rPr>
                <w:rFonts w:hint="eastAsia" w:ascii="仿宋_GB2312" w:eastAsia="仿宋_GB2312" w:cs="仿宋_GB2312"/>
                <w:color w:val="000000"/>
                <w:sz w:val="24"/>
                <w:lang w:val="en-US"/>
              </w:rPr>
              <w:t>15份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保健食品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保健食品</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保健食品</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氨基酸、10-羟基-2-癸烯酸、蛋白质、二十二碳六烯酸、二十碳五烯酸、泛酸、钙、还原糖、肌醇、赖氨酸、绿原酸、铁、维生素A、维生素B1、维生素B12、维生素B2、维生素B6、维生素C、维生素D、维生素D3、维生素E、硒、锌、烟酸、烟酰胺、叶酸、免疫球蛋白IgG、总黄酮、总皂苷、总蒽醌、吡啶甲酸铬、水分、可溶性固形物、酸价、过氧化值、崩解时限、灰分、铅（Pb）、总砷（As）、总汞（Hg）、硬胶囊壳中的铬、菌落总数、大肠菌群、霉菌和酵母、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28</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特殊膳食食品</w:t>
            </w:r>
            <w:r>
              <w:rPr>
                <w:rFonts w:hint="eastAsia" w:ascii="仿宋_GB2312" w:eastAsia="仿宋_GB2312" w:cs="仿宋_GB2312"/>
                <w:color w:val="000000"/>
                <w:sz w:val="24"/>
                <w:lang w:val="en-US"/>
              </w:rPr>
              <w:t>10份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婴幼儿辅助食品</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婴幼儿罐装辅助食品</w:t>
            </w:r>
          </w:p>
        </w:tc>
        <w:tc>
          <w:tcPr>
            <w:tcW w:w="427"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婴幼儿罐装辅助食品</w:t>
            </w:r>
          </w:p>
        </w:tc>
        <w:tc>
          <w:tcPr>
            <w:tcW w:w="271"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vMerge w:val="restar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蛋白质、脂肪、总钠、铅（以Pb计）、无机砷（以As计）、总汞（以Hg计）、锡（以Sn计）、硝酸盐（以NaNO3计）、亚硝酸盐（以NaNO2计）、商业无菌、霉菌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vMerge w:val="continue"/>
            <w:noWrap/>
            <w:vAlign w:val="center"/>
          </w:tcPr>
          <w:p>
            <w:pPr>
              <w:overflowPunct w:val="0"/>
              <w:spacing w:line="300" w:lineRule="exact"/>
              <w:jc w:val="center"/>
              <w:rPr>
                <w:rFonts w:ascii="仿宋_GB2312" w:eastAsia="仿宋_GB2312" w:cs="仿宋_GB2312"/>
                <w:color w:val="000000"/>
                <w:sz w:val="24"/>
              </w:rPr>
            </w:pPr>
          </w:p>
        </w:tc>
        <w:tc>
          <w:tcPr>
            <w:tcW w:w="271" w:type="pct"/>
            <w:vMerge w:val="continue"/>
            <w:noWrap/>
            <w:vAlign w:val="center"/>
          </w:tcPr>
          <w:p>
            <w:pPr>
              <w:overflowPunct w:val="0"/>
              <w:spacing w:line="300" w:lineRule="exact"/>
              <w:jc w:val="center"/>
              <w:rPr>
                <w:rFonts w:ascii="仿宋_GB2312" w:eastAsia="仿宋_GB2312" w:cs="仿宋_GB2312"/>
                <w:color w:val="000000"/>
                <w:sz w:val="24"/>
              </w:rPr>
            </w:pPr>
          </w:p>
        </w:tc>
        <w:tc>
          <w:tcPr>
            <w:tcW w:w="2714" w:type="pct"/>
            <w:vMerge w:val="continue"/>
            <w:noWrap/>
            <w:vAlign w:val="center"/>
          </w:tcPr>
          <w:p>
            <w:pPr>
              <w:overflowPunct w:val="0"/>
              <w:spacing w:line="300" w:lineRule="exact"/>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29</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餐饮食品</w:t>
            </w:r>
            <w:r>
              <w:rPr>
                <w:rFonts w:hint="eastAsia" w:ascii="仿宋_GB2312" w:eastAsia="仿宋_GB2312" w:cs="仿宋_GB2312"/>
                <w:color w:val="000000"/>
                <w:sz w:val="24"/>
                <w:lang w:val="en-US"/>
              </w:rPr>
              <w:t>60份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米面及其制品</w:t>
            </w:r>
            <w:r>
              <w:rPr>
                <w:rFonts w:hint="eastAsia" w:ascii="仿宋_GB2312" w:eastAsia="仿宋_GB2312" w:cs="仿宋_GB2312"/>
                <w:color w:val="000000"/>
                <w:sz w:val="24"/>
                <w:lang w:val="en-US"/>
              </w:rPr>
              <w:t>（</w:t>
            </w:r>
            <w:r>
              <w:rPr>
                <w:rFonts w:hint="eastAsia" w:ascii="仿宋_GB2312" w:eastAsia="仿宋_GB2312" w:cs="仿宋_GB2312"/>
                <w:color w:val="000000"/>
                <w:sz w:val="24"/>
              </w:rPr>
              <w:t>自制</w:t>
            </w:r>
            <w:r>
              <w:rPr>
                <w:rFonts w:hint="eastAsia" w:ascii="仿宋_GB2312" w:eastAsia="仿宋_GB2312" w:cs="仿宋_GB2312"/>
                <w:color w:val="000000"/>
                <w:sz w:val="24"/>
                <w:lang w:val="en-US"/>
              </w:rPr>
              <w:t>）</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小麦粉制品（自制）</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馒头花卷（自制）</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苯甲酸及其钠盐（以苯甲酸计）、山梨酸及其钾盐（以山梨酸计）、糖精钠（以糖精计）、脱氢乙酸及其钠盐（以脱氢乙酸计）、甜蜜素（以环己基氨基磺酸计）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包子（自制）</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苯甲酸及其钠盐（以苯甲酸计）、山梨酸及其钾盐（以山梨酸计）、糖精钠（以糖精计）、脱氢乙酸及其钠盐（以脱氢乙酸计）、甜蜜素（以环己基氨基磺酸计）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油饼油条（自制）</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铝的残留量（干样品，以 Al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肉制品（自制）</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熟肉制品（自制）</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肉冻皮冻（自制）</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铬（以Cr计）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熏烧烤肉类（自制）</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N-二甲基亚硝胺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29</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餐饮食品</w:t>
            </w:r>
            <w:r>
              <w:rPr>
                <w:rFonts w:hint="eastAsia" w:ascii="仿宋_GB2312" w:eastAsia="仿宋_GB2312" w:cs="仿宋_GB2312"/>
                <w:color w:val="000000"/>
                <w:sz w:val="24"/>
                <w:lang w:val="en-US"/>
              </w:rPr>
              <w:t>120份</w:t>
            </w:r>
          </w:p>
        </w:tc>
        <w:tc>
          <w:tcPr>
            <w:tcW w:w="433"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调味料（自制）</w:t>
            </w:r>
          </w:p>
        </w:tc>
        <w:tc>
          <w:tcPr>
            <w:tcW w:w="433"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调味料（自制）</w:t>
            </w: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火锅麻辣烫底料（自制）</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罂粟碱、吗啡、可待因、那可丁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水产制品（自制）</w:t>
            </w:r>
          </w:p>
        </w:tc>
        <w:tc>
          <w:tcPr>
            <w:tcW w:w="433"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预制水产制品（自制）</w:t>
            </w: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生食动物性水产品（自制）</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铝的残留量（以即食海蜇中Al计）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坚果及籽类食品（自制）</w:t>
            </w:r>
          </w:p>
        </w:tc>
        <w:tc>
          <w:tcPr>
            <w:tcW w:w="433"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坚果及籽类食品（自制）</w:t>
            </w: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花生制品（自制）</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黄曲霉毒素B1、苯甲酸及其钠盐（以苯甲酸计）、山梨酸及其钾盐（以山梨酸计）、脱氢乙酸及其钠盐（以脱氢乙酸计）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焙烤食品（自制）</w:t>
            </w:r>
          </w:p>
        </w:tc>
        <w:tc>
          <w:tcPr>
            <w:tcW w:w="433"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焙烤食品（自制）</w:t>
            </w: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糕点（自制）</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酸价（以脂肪计）、过氧化值（以脂肪计）、山梨酸及其钾盐（以山梨酸计）、脱氢乙酸及其钠盐（以脱氢乙酸计）、铝的残留量（干样品，以Al计）、防腐剂混合使用时各自用量占其最大使用量的比例之和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食用油、油脂及其制品（自制）</w:t>
            </w:r>
          </w:p>
        </w:tc>
        <w:tc>
          <w:tcPr>
            <w:tcW w:w="433"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食用油、油脂及其制品（自制）</w:t>
            </w: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煎炸过程用油</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极性组分、酸价（以脂肪计）（KOH）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淀粉制品（自制）</w:t>
            </w:r>
          </w:p>
        </w:tc>
        <w:tc>
          <w:tcPr>
            <w:tcW w:w="433"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粉丝粉条（自制）</w:t>
            </w: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粉丝粉条（自制）</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铝的残留量（干样品，以Al计）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餐饮具</w:t>
            </w:r>
          </w:p>
        </w:tc>
        <w:tc>
          <w:tcPr>
            <w:tcW w:w="433" w:type="pct"/>
            <w:vMerge w:val="restar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复用餐饮具</w:t>
            </w: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复用餐饮具（餐馆自行消毒）</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阴离子合成洗涤剂（以十二烷基苯磺酸钠计）、大肠菌群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复用餐饮具（集中清洗消毒服务单位消毒）</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阴离子合成洗涤剂（以十二烷基苯磺酸钠计）、大肠菌群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其他餐饮食品</w:t>
            </w:r>
          </w:p>
        </w:tc>
        <w:tc>
          <w:tcPr>
            <w:tcW w:w="433"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其他餐饮食品</w:t>
            </w: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其他餐饮食品</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依实际情况而定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30</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食用农产品</w:t>
            </w:r>
            <w:r>
              <w:rPr>
                <w:rFonts w:hint="eastAsia" w:ascii="仿宋_GB2312" w:eastAsia="仿宋_GB2312" w:cs="仿宋_GB2312"/>
                <w:color w:val="000000"/>
                <w:sz w:val="24"/>
                <w:lang w:val="en-US"/>
              </w:rPr>
              <w:t>300份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畜禽肉及副产品</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畜肉</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猪肉</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挥发性盐基氮、呋喃唑酮代谢物、呋喃西林代谢物、氯霉素、五氯酚酸钠（以五氯酚计）、克伦特罗、莱克多巴胺、沙丁胺醇、喹乙醇、恩诺沙星、替米考星、磺胺类（总量）、甲氧苄啶、氟苯尼考、多西环素、地塞米松、甲硝唑、氯丙嗪、土霉素/金霉素/四环素（组合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牛肉</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挥发性盐基氮、呋喃唑酮代谢物、呋喃西林代谢物、氯霉素、五氯酚酸钠（以五氯酚计）、克伦特罗、莱克多巴胺、沙丁胺醇、恩诺沙星、磺胺类（总量）、甲氧苄啶、氟苯尼考、多西环素、地塞米松、林可霉素、倍他米松、土霉素/金霉素/四环素（组合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羊肉</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呋喃唑酮代谢物、呋喃西林代谢物、氯霉素、五氯酚酸钠（以五氯酚计）、克伦特罗、莱克多巴胺、沙丁胺醇、恩诺沙星、磺胺类（总量）、氟苯尼考、林可霉素、环丙氨嗪、土霉素/金霉素/四环素（组合含量）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禽肉</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鸡肉</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挥发性盐基氮、呋喃唑酮代谢物、呋喃西林代谢物、呋喃它酮代谢物、氯霉素、五氯酚酸钠（以五氯酚计）、氧氟沙星、培氟沙星、诺氟沙星、恩诺沙星、沙拉沙星、替米考星、磺胺类（总量）、甲氧苄啶、氟苯尼考、多西环素、甲硝唑、尼卡巴嗪、环丙氨嗪、土霉素/金霉素/四环素（组合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鸭肉</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呋喃唑酮代谢物、呋喃妥因代谢物、氯霉素、五氯酚酸钠（以五氯酚计）、氧氟沙星、恩诺沙星、磺胺类（总量）、甲氧苄啶、氟苯尼考、多西环素、甲硝唑、环丙氨嗪、土霉素/金霉素/四环素（组合含量）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蔬菜</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豆芽</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豆芽</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铅（以Pb计）、总汞（以Hg计）、4-氯苯氧乙酸钠（以4-氯苯氧乙酸计）、6-苄基腺嘌呤（6-BA）、亚硫酸盐（以SO2计）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鲜食用菌</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鲜食用菌</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镉（以Cd计）、除虫脲、氯氟氰菊酯和高效氯氟氰菊酯、氯氰菊酯和高效氯氰菊酯、咪鲜胺和咪鲜胺锰盐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鳞茎类蔬菜</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韭菜</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镉（以Cd计）、阿维菌素、敌敌畏、毒死蜱、多菌灵、二甲戊灵、氟虫腈、腐霉利、甲胺磷、甲拌磷、甲基异柳磷、克百威、乐果、六六六、氯氟氰菊酯和高效氯氟氰菊酯、氯氰菊酯和高效氯氰菊酯、三唑磷、水胺硫磷、辛硫磷、氧乐果、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葱</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 Pb 计）、镉（以 Cd 计）、丙环唑、毒死蜱、甲拌磷、甲基异柳磷、克百威、氯氟氰菊酯和高效氯氟氰菊酯、噻虫嗪、三唑磷、水胺硫磷、戊唑醇、氧乐果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30</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食用农产品</w:t>
            </w:r>
            <w:r>
              <w:rPr>
                <w:rFonts w:hint="eastAsia" w:ascii="仿宋_GB2312" w:eastAsia="仿宋_GB2312" w:cs="仿宋_GB2312"/>
                <w:color w:val="000000"/>
                <w:sz w:val="24"/>
                <w:lang w:val="en-US"/>
              </w:rPr>
              <w:t>400份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蔬菜</w:t>
            </w:r>
          </w:p>
        </w:tc>
        <w:tc>
          <w:tcPr>
            <w:tcW w:w="433"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芸薹属类蔬菜</w:t>
            </w: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结球甘蓝</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毒死蜱、甲胺磷、甲基异柳磷、克百威、乐果、灭线磷、噻虫嗪、三唑磷、氧乐果、乙酰甲胺磷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叶菜类蔬菜</w:t>
            </w: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菠菜</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镉（以Cd计）、铬（以Cr计）、阿维菌素、毒死蜱、氟虫腈、腐霉利、甲氨基阿维菌素苯甲酸盐、甲拌磷、克百威、乐果、六六六、氯氟氰菊酯和高效氯氟氰菊酯、氯氰菊酯和高效氯氰菊酯、氧乐果、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大白菜</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镉（以Cd计）、阿维菌素、吡虫啉、敌敌畏、毒死蜱、氟虫腈、甲胺磷、甲拌磷、克百威、乐果、水胺硫磷、氧乐果、乙酰甲胺磷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普通白菜（小白菜、小油菜、青菜）</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镉（以Cd计）、阿维菌素、吡虫啉、啶虫脒、毒死蜱、氟虫腈、甲氨基阿维菌素苯甲酸盐、甲胺磷、甲拌磷、甲基异柳磷、克百威、氯氟氰菊酯和高效氯氟氰菊酯、氯氰菊酯和高效氯氰菊酯、水胺硫磷、氧乐果、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芹菜</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镉（以Cd计）、阿维菌素、百菌清、苯醚甲环唑、敌敌畏、啶虫脒、毒死蜱、二甲戊灵、氟虫腈、甲拌磷、甲基异柳磷、腈菌唑、克百威、乐果、氯氟氰菊酯和高效氯氟氰菊酯、噻虫胺、噻虫嗪、三氯杀螨醇、水胺硫磷、辛硫磷、氧乐果、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油麦菜</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阿维菌素、吡虫啉、啶虫脒、毒死蜱、氟虫腈、甲氨基阿维菌素苯甲酸盐、甲胺磷、甲拌磷、腈菌唑、克百威、氯氟氰菊酯和高效氯氟氰菊酯、灭多威、噻虫嗪、三氯杀螨醇、水胺硫磷、氧乐果、乙酰甲胺磷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茄果类蔬菜</w:t>
            </w: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茄子</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 Pb 计）、镉（以Cd计）、吡唑醚菌酯、毒死蜱、氟虫腈、甲氨基阿维菌素苯甲酸盐、甲胺磷、甲拌磷、克百威、噻虫胺、噻虫嗪、霜霉威和霜霉威盐酸盐、水胺硫磷、氧乐果、乙酰甲胺磷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辣椒</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镉（以Cd计）、倍硫磷、吡虫啉、吡唑醚菌酯、敌敌畏、啶虫脒、毒死蜱、氟虫腈、甲氨基阿维菌素苯甲酸盐、甲胺磷、甲拌磷、克百威、乐果、联苯菊酯、氯氟氰菊酯和高效氯氟氰菊酯、噻虫胺、噻虫嗪、三唑磷、杀扑磷、水胺硫磷、氧乐果、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60" w:lineRule="exact"/>
              <w:jc w:val="center"/>
              <w:rPr>
                <w:rFonts w:ascii="仿宋_GB2312" w:eastAsia="仿宋_GB2312" w:cs="仿宋_GB2312"/>
                <w:color w:val="000000"/>
                <w:sz w:val="24"/>
              </w:rPr>
            </w:pPr>
          </w:p>
        </w:tc>
        <w:tc>
          <w:tcPr>
            <w:tcW w:w="474"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33" w:type="pct"/>
            <w:vMerge w:val="continue"/>
            <w:noWrap/>
            <w:vAlign w:val="center"/>
          </w:tcPr>
          <w:p>
            <w:pPr>
              <w:overflowPunct w:val="0"/>
              <w:spacing w:line="260" w:lineRule="exact"/>
              <w:jc w:val="center"/>
              <w:rPr>
                <w:rFonts w:ascii="仿宋_GB2312" w:eastAsia="仿宋_GB2312" w:cs="仿宋_GB2312"/>
                <w:color w:val="000000"/>
                <w:sz w:val="24"/>
              </w:rPr>
            </w:pPr>
          </w:p>
        </w:tc>
        <w:tc>
          <w:tcPr>
            <w:tcW w:w="427"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番茄</w:t>
            </w:r>
          </w:p>
        </w:tc>
        <w:tc>
          <w:tcPr>
            <w:tcW w:w="271" w:type="pct"/>
            <w:noWrap/>
            <w:vAlign w:val="center"/>
          </w:tcPr>
          <w:p>
            <w:pPr>
              <w:widowControl/>
              <w:overflowPunct w:val="0"/>
              <w:spacing w:line="26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6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 Pb 计）、镉（以Cd计）、吡唑醚菌酯、敌敌畏、毒死蜱、腐霉利、甲拌磷、氯氟氰菊酯和高效氯氟氰菊酯、噻虫嗪、烯酰吗啉、氧乐果、乙酰甲胺磷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甜椒</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镉（以Cd计）、阿维菌素、倍硫磷、吡虫啉、吡唑醚菌酯、毒死蜱、氟虫腈、克百威、噻虫胺、噻虫嗪、水胺硫磷、氧乐果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30</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食用农产品</w:t>
            </w:r>
            <w:r>
              <w:rPr>
                <w:rFonts w:hint="eastAsia" w:ascii="仿宋_GB2312" w:eastAsia="仿宋_GB2312" w:cs="仿宋_GB2312"/>
                <w:color w:val="000000"/>
                <w:sz w:val="24"/>
                <w:lang w:val="en-US"/>
              </w:rPr>
              <w:t>150份</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蔬菜</w:t>
            </w:r>
          </w:p>
        </w:tc>
        <w:tc>
          <w:tcPr>
            <w:tcW w:w="433"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瓜类蔬菜</w:t>
            </w: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黄瓜</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阿维菌素、哒螨灵、敌敌畏、毒死蜱、腐霉利、甲氨基阿维菌素苯甲酸盐、甲拌磷、克百威、乐果、噻虫嗪、氧乐果、乙螨唑、乙酰甲胺磷、异丙威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豆类蔬菜</w:t>
            </w: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豇豆</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阿维菌素、倍硫磷、啶虫脒、毒死蜱、氟虫腈、甲氨基阿维菌素苯甲酸盐、甲胺磷、甲拌磷、甲基异柳磷、克百威、乐果、氯氟氰菊酯和高效氯氟氰菊酯、氯唑磷、灭多威、灭蝇胺、噻虫胺、噻虫嗪、三唑磷、水胺硫磷、氧乐果、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菜豆</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吡虫啉、毒死蜱、多菌灵、甲氨基阿维菌素苯甲酸盐、甲胺磷、克百威、氯氟氰菊酯和高效氯氟氰菊酯、灭蝇胺、噻虫胺、三唑磷、水胺硫磷、氧乐果、乙酰甲胺磷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根茎类和薯芋类蔬菜</w:t>
            </w: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山药</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铅（以Pb计）、毒死蜱、克百威、氯氟氰菊酯和高效氯氟氰菊酯、咪鲜胺和咪鲜胺锰盐、涕灭威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胡萝卜</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铅（以Pb计）、毒死蜱、氟虫腈、甲拌磷、氯氟氰菊酯和高效氯氟氰菊酯、噻虫胺、乙酰甲胺磷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萝卜</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铅（以Pb计）、毒死蜱、甲胺磷、甲拌磷、甲基对硫磷、乐果、氯氟氰菊酯和高效氯氟氰菊酯、噻虫嗪、水胺硫磷、氧乐果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姜</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较高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铅（以Pb计）、镉（以Cd计）、吡虫啉、敌敌畏、毒死蜱、甲拌磷、克百威、六六六、氯氟氰菊酯和高效氯氟氰菊酯、氯氰菊酯和高效氯氰菊酯、氯唑磷、噻虫胺、噻虫嗪、氧乐果、二氧化硫残留量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水果类</w:t>
            </w:r>
          </w:p>
        </w:tc>
        <w:tc>
          <w:tcPr>
            <w:tcW w:w="433" w:type="pct"/>
            <w:vMerge w:val="restar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仁果类水果</w:t>
            </w: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苹果</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敌敌畏、啶虫脒、毒死蜱、甲拌磷、克百威、氧乐果、三氯杀螨醇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梨</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吡虫啉、敌敌畏、毒死蜱、多菌灵、克百威、氯氟氰菊酯和高效氯氟氰菊酯、氧乐果、水胺硫磷、苯醚甲环唑、咪鲜胺和咪鲜胺锰盐、噻虫嗪、乙螨唑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核果类水果</w:t>
            </w: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枣</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多菌灵、氟虫腈、氰戊菊酯和 S-氰戊菊酯、氧乐果、糖精钠（以糖精计）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90" w:lineRule="exact"/>
              <w:jc w:val="center"/>
              <w:rPr>
                <w:rFonts w:ascii="仿宋_GB2312" w:eastAsia="仿宋_GB2312" w:cs="仿宋_GB2312"/>
                <w:color w:val="000000"/>
                <w:sz w:val="24"/>
              </w:rPr>
            </w:pPr>
          </w:p>
        </w:tc>
        <w:tc>
          <w:tcPr>
            <w:tcW w:w="474"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33" w:type="pct"/>
            <w:vMerge w:val="continue"/>
            <w:noWrap/>
            <w:vAlign w:val="center"/>
          </w:tcPr>
          <w:p>
            <w:pPr>
              <w:overflowPunct w:val="0"/>
              <w:spacing w:line="290" w:lineRule="exact"/>
              <w:jc w:val="center"/>
              <w:rPr>
                <w:rFonts w:ascii="仿宋_GB2312" w:eastAsia="仿宋_GB2312" w:cs="仿宋_GB2312"/>
                <w:color w:val="000000"/>
                <w:sz w:val="24"/>
              </w:rPr>
            </w:pPr>
          </w:p>
        </w:tc>
        <w:tc>
          <w:tcPr>
            <w:tcW w:w="427"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桃</w:t>
            </w:r>
          </w:p>
        </w:tc>
        <w:tc>
          <w:tcPr>
            <w:tcW w:w="271" w:type="pc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9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苯醚甲环唑、敌敌畏、多菌灵、氟硅唑、甲胺磷、克百威、氧乐果、溴氰菊酯、吡虫啉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30</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食用农产品</w:t>
            </w:r>
            <w:r>
              <w:rPr>
                <w:rFonts w:hint="eastAsia" w:ascii="仿宋_GB2312" w:eastAsia="仿宋_GB2312" w:cs="仿宋_GB2312"/>
                <w:color w:val="000000"/>
                <w:sz w:val="24"/>
                <w:lang w:val="en-US"/>
              </w:rPr>
              <w:t>100份</w:t>
            </w:r>
          </w:p>
        </w:tc>
        <w:tc>
          <w:tcPr>
            <w:tcW w:w="433" w:type="pct"/>
            <w:vMerge w:val="restart"/>
            <w:noWrap/>
            <w:vAlign w:val="center"/>
          </w:tcPr>
          <w:p>
            <w:pPr>
              <w:widowControl/>
              <w:overflowPunct w:val="0"/>
              <w:spacing w:line="29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水果类</w:t>
            </w: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柑橘类水果</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柑、橘</w:t>
            </w:r>
          </w:p>
        </w:tc>
        <w:tc>
          <w:tcPr>
            <w:tcW w:w="271" w:type="pct"/>
            <w:noWrap/>
            <w:vAlign w:val="center"/>
          </w:tcPr>
          <w:p>
            <w:pPr>
              <w:overflowPunct w:val="0"/>
              <w:spacing w:line="300" w:lineRule="exact"/>
              <w:jc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苯醚甲环唑、丙溴磷、克百威、联苯菊酯、氯唑磷、三唑磷、水胺硫磷、氧乐果、氯氟氰菊酯和高效氯氟氰菊酯、甲拌磷、2，4-滴和 2，4-滴钠盐、狄氏剂、毒死蜱、杀扑磷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橙</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丙溴磷、克百威、联苯菊酯、三唑磷、杀扑磷、水胺硫磷、氧乐果、2，4-滴和 2，4-滴钠盐、苯醚甲环唑、狄氏剂、氯唑磷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浆果和其他小型水果</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葡萄</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苯醚甲环唑、己唑醇、克百威、氯氰菊酯和高效氯氰菊酯、霜霉威和霜霉威盐酸盐、氧乐果、氯氟氰菊酯和高效氯氟氰菊酯、氟虫腈、氯吡脲、联苯菊酯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草莓</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阿维菌素、敌敌畏、多菌灵、克百威、烯酰吗啉、氧乐果、戊菌唑、吡虫啉、乙酰甲胺磷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猕猴桃</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敌敌畏、多菌灵、氯吡脲、氧乐果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桑葚</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脱氢乙酸及其钠盐（以脱氢乙酸计）、苯甲酸及其钠盐（以苯甲酸计）、山梨酸及其钾盐（以山梨酸计）、糖精钠（以糖精计）、三氯蔗糖、甜蜜素（以环己基氨基磺酸计）、多菌灵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热带和亚热带水果</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香蕉</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苯醚甲环唑、吡唑醚菌酯、多菌灵、氟虫腈、甲拌磷、腈苯唑、吡虫啉、噻虫胺、噻虫嗪、氟环唑、联苯菊酯、烯唑醇、百菌清、噻唑膦、狄氏剂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trPr>
        <w:tc>
          <w:tcPr>
            <w:tcW w:w="245" w:type="pct"/>
            <w:vMerge w:val="continue"/>
            <w:tcBorders>
              <w:bottom w:val="single" w:color="auto" w:sz="4" w:space="0"/>
            </w:tcBorders>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tcBorders>
              <w:bottom w:val="single" w:color="auto" w:sz="4" w:space="0"/>
            </w:tcBorders>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tcBorders>
              <w:bottom w:val="single" w:color="auto" w:sz="4" w:space="0"/>
            </w:tcBorders>
            <w:noWrap/>
            <w:vAlign w:val="center"/>
          </w:tcPr>
          <w:p>
            <w:pPr>
              <w:overflowPunct w:val="0"/>
              <w:spacing w:line="300" w:lineRule="exact"/>
              <w:jc w:val="center"/>
              <w:rPr>
                <w:rFonts w:ascii="仿宋_GB2312" w:eastAsia="仿宋_GB2312" w:cs="仿宋_GB2312"/>
                <w:color w:val="000000"/>
                <w:sz w:val="24"/>
              </w:rPr>
            </w:pPr>
          </w:p>
        </w:tc>
        <w:tc>
          <w:tcPr>
            <w:tcW w:w="427" w:type="pct"/>
            <w:tcBorders>
              <w:bottom w:val="single" w:color="auto" w:sz="4" w:space="0"/>
            </w:tcBorders>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芒果</w:t>
            </w:r>
          </w:p>
        </w:tc>
        <w:tc>
          <w:tcPr>
            <w:tcW w:w="271" w:type="pct"/>
            <w:tcBorders>
              <w:bottom w:val="single" w:color="auto" w:sz="4" w:space="0"/>
            </w:tcBorders>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tcBorders>
              <w:bottom w:val="single" w:color="auto" w:sz="4" w:space="0"/>
            </w:tcBorders>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苯醚甲环唑、多菌灵、戊唑醇、氧乐果、吡唑醚菌酯、噻虫胺、乙酰甲胺磷、吡虫啉、噻虫嗪、噻嗪酮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荔枝</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多菌灵、氧乐果、毒死蜱、苯醚甲环唑、氯氰菊酯和高效氯氰菊酯、氯氟氰菊酯和高效氯氟氰菊酯、吡唑醚菌酯、除虫脲、氰霜唑、氟吗啉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杨梅</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脱氢乙酸及其钠盐（以脱氢乙酸计）、苯甲酸及其钠盐（以苯甲酸计）、山梨酸及其钾盐（以山梨酸计）、糖精钠（以糖精计）、三氯蔗糖、甜蜜素（以环已基氨基磺酸计）、敌敌畏、氧乐果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30</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食用农产品</w:t>
            </w:r>
            <w:r>
              <w:rPr>
                <w:rFonts w:hint="eastAsia" w:ascii="仿宋_GB2312" w:eastAsia="仿宋_GB2312" w:cs="仿宋_GB2312"/>
                <w:color w:val="000000"/>
                <w:sz w:val="24"/>
                <w:lang w:val="en-US"/>
              </w:rPr>
              <w:t>50份</w:t>
            </w:r>
          </w:p>
        </w:tc>
        <w:tc>
          <w:tcPr>
            <w:tcW w:w="433" w:type="pct"/>
            <w:vMerge w:val="restar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水产品</w:t>
            </w:r>
          </w:p>
        </w:tc>
        <w:tc>
          <w:tcPr>
            <w:tcW w:w="433" w:type="pct"/>
            <w:vMerge w:val="restar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淡水产品</w:t>
            </w:r>
          </w:p>
        </w:tc>
        <w:tc>
          <w:tcPr>
            <w:tcW w:w="427"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淡水鱼</w:t>
            </w:r>
          </w:p>
        </w:tc>
        <w:tc>
          <w:tcPr>
            <w:tcW w:w="271"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挥发性盐基氮、镉（以Cd计）、多氯联苯、孔雀石绿、氯霉素、氟苯尼考、呋喃唑酮代谢物、呋喃西林代谢物、呋喃妥因代谢物、恩诺沙星、磺胺类（总量）、甲氧苄啶、甲硝唑、地西泮、五氯酚酸钠（以五氯酚计）、氧氟沙星、诺氟沙星、培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70" w:lineRule="exact"/>
              <w:jc w:val="center"/>
              <w:rPr>
                <w:rFonts w:ascii="仿宋_GB2312" w:eastAsia="仿宋_GB2312" w:cs="仿宋_GB2312"/>
                <w:color w:val="000000"/>
                <w:sz w:val="24"/>
              </w:rPr>
            </w:pPr>
          </w:p>
        </w:tc>
        <w:tc>
          <w:tcPr>
            <w:tcW w:w="474"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vMerge w:val="continue"/>
            <w:noWrap/>
            <w:vAlign w:val="center"/>
          </w:tcPr>
          <w:p>
            <w:pPr>
              <w:overflowPunct w:val="0"/>
              <w:spacing w:line="270" w:lineRule="exact"/>
              <w:jc w:val="center"/>
              <w:rPr>
                <w:rFonts w:ascii="仿宋_GB2312" w:eastAsia="仿宋_GB2312" w:cs="仿宋_GB2312"/>
                <w:color w:val="000000"/>
                <w:sz w:val="24"/>
              </w:rPr>
            </w:pPr>
          </w:p>
        </w:tc>
        <w:tc>
          <w:tcPr>
            <w:tcW w:w="427"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淡水虾</w:t>
            </w:r>
          </w:p>
        </w:tc>
        <w:tc>
          <w:tcPr>
            <w:tcW w:w="271"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镉（以Cd计）、孔雀石绿、氯霉素、呋喃唑酮代谢物、呋喃妥因代谢物、恩诺沙星、磺胺类（总量）、土霉素/金霉素/四环素（组合含量）、五氯酚酸钠（以五氯酚计）、氧氟沙星、诺氟沙星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70" w:lineRule="exact"/>
              <w:jc w:val="center"/>
              <w:rPr>
                <w:rFonts w:ascii="仿宋_GB2312" w:eastAsia="仿宋_GB2312" w:cs="仿宋_GB2312"/>
                <w:color w:val="000000"/>
                <w:sz w:val="24"/>
              </w:rPr>
            </w:pPr>
          </w:p>
        </w:tc>
        <w:tc>
          <w:tcPr>
            <w:tcW w:w="474"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vMerge w:val="continue"/>
            <w:noWrap/>
            <w:vAlign w:val="center"/>
          </w:tcPr>
          <w:p>
            <w:pPr>
              <w:overflowPunct w:val="0"/>
              <w:spacing w:line="270" w:lineRule="exact"/>
              <w:jc w:val="center"/>
              <w:rPr>
                <w:rFonts w:ascii="仿宋_GB2312" w:eastAsia="仿宋_GB2312" w:cs="仿宋_GB2312"/>
                <w:color w:val="000000"/>
                <w:sz w:val="24"/>
              </w:rPr>
            </w:pPr>
          </w:p>
        </w:tc>
        <w:tc>
          <w:tcPr>
            <w:tcW w:w="427"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淡水蟹</w:t>
            </w:r>
          </w:p>
        </w:tc>
        <w:tc>
          <w:tcPr>
            <w:tcW w:w="271"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镉（以Cd计）、孔雀石绿、氯霉素、五氯酚酸钠（以五氯酚计）、呋喃唑酮代谢物、氧氟沙星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70" w:lineRule="exact"/>
              <w:jc w:val="center"/>
              <w:rPr>
                <w:rFonts w:ascii="仿宋_GB2312" w:eastAsia="仿宋_GB2312" w:cs="仿宋_GB2312"/>
                <w:color w:val="000000"/>
                <w:sz w:val="24"/>
              </w:rPr>
            </w:pPr>
          </w:p>
        </w:tc>
        <w:tc>
          <w:tcPr>
            <w:tcW w:w="474"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海水产品</w:t>
            </w:r>
          </w:p>
        </w:tc>
        <w:tc>
          <w:tcPr>
            <w:tcW w:w="427"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海水鱼</w:t>
            </w:r>
          </w:p>
        </w:tc>
        <w:tc>
          <w:tcPr>
            <w:tcW w:w="271"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挥发性盐基氮、组胺、镉（以Cd计）、多氯联苯、孔雀石绿、氯霉素、呋喃唑酮代谢物、呋喃它酮代谢物、呋喃西林代谢物、恩诺沙星、磺胺类（总量）、土霉素/金霉素/四环素（组合含量）、甲氧苄啶、甲硝唑、五氯酚酸钠（以五氯酚计）、氧氟沙星、培氟沙星、诺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70" w:lineRule="exact"/>
              <w:jc w:val="center"/>
              <w:rPr>
                <w:rFonts w:ascii="仿宋_GB2312" w:eastAsia="仿宋_GB2312" w:cs="仿宋_GB2312"/>
                <w:color w:val="000000"/>
                <w:sz w:val="24"/>
              </w:rPr>
            </w:pPr>
          </w:p>
        </w:tc>
        <w:tc>
          <w:tcPr>
            <w:tcW w:w="474"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vMerge w:val="continue"/>
            <w:noWrap/>
            <w:vAlign w:val="center"/>
          </w:tcPr>
          <w:p>
            <w:pPr>
              <w:overflowPunct w:val="0"/>
              <w:spacing w:line="270" w:lineRule="exact"/>
              <w:jc w:val="center"/>
              <w:rPr>
                <w:rFonts w:ascii="仿宋_GB2312" w:eastAsia="仿宋_GB2312" w:cs="仿宋_GB2312"/>
                <w:color w:val="000000"/>
                <w:sz w:val="24"/>
              </w:rPr>
            </w:pPr>
          </w:p>
        </w:tc>
        <w:tc>
          <w:tcPr>
            <w:tcW w:w="427"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海水虾</w:t>
            </w:r>
          </w:p>
        </w:tc>
        <w:tc>
          <w:tcPr>
            <w:tcW w:w="271"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挥发性盐基氮、镉（以Cd计）、二氧化硫残留量、孔雀石绿、氯霉素、呋喃唑酮代谢物、呋喃它酮代谢物、呋喃妥因代谢物、恩诺沙星、土霉素/金霉素/四环素（组合含量）、磺胺类（总量）、五氯酚酸钠（以五氯酚计）、诺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70" w:lineRule="exact"/>
              <w:jc w:val="center"/>
              <w:rPr>
                <w:rFonts w:ascii="仿宋_GB2312" w:eastAsia="仿宋_GB2312" w:cs="仿宋_GB2312"/>
                <w:color w:val="000000"/>
                <w:sz w:val="24"/>
              </w:rPr>
            </w:pPr>
          </w:p>
        </w:tc>
        <w:tc>
          <w:tcPr>
            <w:tcW w:w="474"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vMerge w:val="continue"/>
            <w:noWrap/>
            <w:vAlign w:val="center"/>
          </w:tcPr>
          <w:p>
            <w:pPr>
              <w:overflowPunct w:val="0"/>
              <w:spacing w:line="270" w:lineRule="exact"/>
              <w:jc w:val="center"/>
              <w:rPr>
                <w:rFonts w:ascii="仿宋_GB2312" w:eastAsia="仿宋_GB2312" w:cs="仿宋_GB2312"/>
                <w:color w:val="000000"/>
                <w:sz w:val="24"/>
              </w:rPr>
            </w:pPr>
          </w:p>
        </w:tc>
        <w:tc>
          <w:tcPr>
            <w:tcW w:w="427"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海水蟹</w:t>
            </w:r>
          </w:p>
        </w:tc>
        <w:tc>
          <w:tcPr>
            <w:tcW w:w="271"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镉（以Cd计）、二氧化硫残留量、孔雀石绿、氯霉素、呋喃妥因代谢物、诺氟沙星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70" w:lineRule="exact"/>
              <w:jc w:val="center"/>
              <w:rPr>
                <w:rFonts w:ascii="仿宋_GB2312" w:eastAsia="仿宋_GB2312" w:cs="仿宋_GB2312"/>
                <w:color w:val="000000"/>
                <w:sz w:val="24"/>
              </w:rPr>
            </w:pPr>
          </w:p>
        </w:tc>
        <w:tc>
          <w:tcPr>
            <w:tcW w:w="474"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贝类</w:t>
            </w:r>
          </w:p>
        </w:tc>
        <w:tc>
          <w:tcPr>
            <w:tcW w:w="427"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贝类</w:t>
            </w:r>
          </w:p>
        </w:tc>
        <w:tc>
          <w:tcPr>
            <w:tcW w:w="271"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镉（以Cd计）、无机砷（以As计）、多氯联苯、孔雀石绿、氯霉素、氟苯尼考、呋喃唑酮代谢物、呋喃西林代谢物、呋喃妥因代谢物、恩诺沙星、磺胺类（总量）、氧氟沙星、五氯酚酸钠（以五氯酚计）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70" w:lineRule="exact"/>
              <w:jc w:val="center"/>
              <w:rPr>
                <w:rFonts w:ascii="仿宋_GB2312" w:eastAsia="仿宋_GB2312" w:cs="仿宋_GB2312"/>
                <w:color w:val="000000"/>
                <w:sz w:val="24"/>
              </w:rPr>
            </w:pPr>
          </w:p>
        </w:tc>
        <w:tc>
          <w:tcPr>
            <w:tcW w:w="474"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其他水产品</w:t>
            </w:r>
          </w:p>
        </w:tc>
        <w:tc>
          <w:tcPr>
            <w:tcW w:w="427"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其他水产品</w:t>
            </w:r>
          </w:p>
        </w:tc>
        <w:tc>
          <w:tcPr>
            <w:tcW w:w="271"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镉（以Cd计）、孔雀石绿、氯霉素、呋喃唑酮代谢物、呋喃西林代谢物、呋喃妥因代谢物、恩诺沙星、磺胺类（总量）、氟苯尼考、甲硝唑、氧氟沙星、诺氟沙星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270" w:lineRule="exact"/>
              <w:jc w:val="center"/>
              <w:rPr>
                <w:rFonts w:ascii="仿宋_GB2312" w:eastAsia="仿宋_GB2312" w:cs="仿宋_GB2312"/>
                <w:color w:val="000000"/>
                <w:sz w:val="24"/>
              </w:rPr>
            </w:pPr>
          </w:p>
        </w:tc>
        <w:tc>
          <w:tcPr>
            <w:tcW w:w="474"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鲜蛋</w:t>
            </w:r>
          </w:p>
        </w:tc>
        <w:tc>
          <w:tcPr>
            <w:tcW w:w="433"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鸡蛋</w:t>
            </w:r>
          </w:p>
        </w:tc>
        <w:tc>
          <w:tcPr>
            <w:tcW w:w="427"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鸡蛋</w:t>
            </w:r>
          </w:p>
        </w:tc>
        <w:tc>
          <w:tcPr>
            <w:tcW w:w="271"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甲硝唑、地美硝唑、呋喃唑酮代谢物、氟虫腈、氯霉素、氟苯尼考、甲砜霉素、恩诺沙星、氧氟沙星、沙拉沙星、甲氧苄啶、磺胺类（总量）、多西环素、地克珠利、托曲珠利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245" w:type="pct"/>
            <w:vMerge w:val="continue"/>
            <w:noWrap/>
            <w:vAlign w:val="center"/>
          </w:tcPr>
          <w:p>
            <w:pPr>
              <w:overflowPunct w:val="0"/>
              <w:spacing w:line="270" w:lineRule="exact"/>
              <w:jc w:val="center"/>
              <w:rPr>
                <w:rFonts w:ascii="仿宋_GB2312" w:eastAsia="仿宋_GB2312" w:cs="仿宋_GB2312"/>
                <w:color w:val="000000"/>
                <w:sz w:val="24"/>
              </w:rPr>
            </w:pPr>
          </w:p>
        </w:tc>
        <w:tc>
          <w:tcPr>
            <w:tcW w:w="474"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vMerge w:val="continue"/>
            <w:noWrap/>
            <w:vAlign w:val="center"/>
          </w:tcPr>
          <w:p>
            <w:pPr>
              <w:overflowPunct w:val="0"/>
              <w:spacing w:line="270" w:lineRule="exact"/>
              <w:jc w:val="center"/>
              <w:rPr>
                <w:rFonts w:ascii="仿宋_GB2312" w:eastAsia="仿宋_GB2312" w:cs="仿宋_GB2312"/>
                <w:color w:val="000000"/>
                <w:sz w:val="24"/>
              </w:rPr>
            </w:pPr>
          </w:p>
        </w:tc>
        <w:tc>
          <w:tcPr>
            <w:tcW w:w="433"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其他禽蛋</w:t>
            </w:r>
          </w:p>
        </w:tc>
        <w:tc>
          <w:tcPr>
            <w:tcW w:w="427"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其他禽蛋</w:t>
            </w:r>
          </w:p>
        </w:tc>
        <w:tc>
          <w:tcPr>
            <w:tcW w:w="271" w:type="pct"/>
            <w:noWrap/>
            <w:vAlign w:val="center"/>
          </w:tcPr>
          <w:p>
            <w:pPr>
              <w:widowControl/>
              <w:overflowPunct w:val="0"/>
              <w:spacing w:line="27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高</w:t>
            </w:r>
          </w:p>
        </w:tc>
        <w:tc>
          <w:tcPr>
            <w:tcW w:w="2714" w:type="pct"/>
            <w:noWrap/>
            <w:vAlign w:val="center"/>
          </w:tcPr>
          <w:p>
            <w:pPr>
              <w:widowControl/>
              <w:overflowPunct w:val="0"/>
              <w:spacing w:line="27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呋喃唑酮代谢物、磺胺类（总量）、多西环素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30</w:t>
            </w:r>
          </w:p>
        </w:tc>
        <w:tc>
          <w:tcPr>
            <w:tcW w:w="474"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rPr>
              <w:t>食用农产品</w:t>
            </w:r>
            <w:r>
              <w:rPr>
                <w:rFonts w:hint="eastAsia" w:ascii="仿宋_GB2312" w:eastAsia="仿宋_GB2312" w:cs="仿宋_GB2312"/>
                <w:color w:val="000000"/>
                <w:sz w:val="24"/>
                <w:lang w:val="en-US"/>
              </w:rPr>
              <w:t>50份</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豆类</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豆类</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豆类</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铅（以Pb计）、铬（以Cr计）、赭曲霉毒素A、吡虫啉、环丙唑醇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restar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生干坚果与籽类食品</w:t>
            </w: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生干坚果</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生干坚果</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酸价（以脂肪计）（KOH）、过氧化值（以脂肪计）、铅（以Pb计）、吡虫啉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45" w:type="pct"/>
            <w:vMerge w:val="continue"/>
            <w:noWrap/>
            <w:vAlign w:val="center"/>
          </w:tcPr>
          <w:p>
            <w:pPr>
              <w:overflowPunct w:val="0"/>
              <w:spacing w:line="300" w:lineRule="exact"/>
              <w:jc w:val="center"/>
              <w:rPr>
                <w:rFonts w:ascii="仿宋_GB2312" w:eastAsia="仿宋_GB2312" w:cs="仿宋_GB2312"/>
                <w:color w:val="000000"/>
                <w:sz w:val="24"/>
              </w:rPr>
            </w:pPr>
          </w:p>
        </w:tc>
        <w:tc>
          <w:tcPr>
            <w:tcW w:w="474"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vMerge w:val="continue"/>
            <w:noWrap/>
            <w:vAlign w:val="center"/>
          </w:tcPr>
          <w:p>
            <w:pPr>
              <w:overflowPunct w:val="0"/>
              <w:spacing w:line="300" w:lineRule="exact"/>
              <w:jc w:val="center"/>
              <w:rPr>
                <w:rFonts w:ascii="仿宋_GB2312" w:eastAsia="仿宋_GB2312" w:cs="仿宋_GB2312"/>
                <w:color w:val="000000"/>
                <w:sz w:val="24"/>
              </w:rPr>
            </w:pPr>
          </w:p>
        </w:tc>
        <w:tc>
          <w:tcPr>
            <w:tcW w:w="433"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生干籽类</w:t>
            </w:r>
          </w:p>
        </w:tc>
        <w:tc>
          <w:tcPr>
            <w:tcW w:w="427"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生干籽类</w:t>
            </w:r>
          </w:p>
        </w:tc>
        <w:tc>
          <w:tcPr>
            <w:tcW w:w="271" w:type="pct"/>
            <w:noWrap/>
            <w:vAlign w:val="center"/>
          </w:tcPr>
          <w:p>
            <w:pPr>
              <w:widowControl/>
              <w:overflowPunct w:val="0"/>
              <w:spacing w:line="30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一般</w:t>
            </w:r>
          </w:p>
        </w:tc>
        <w:tc>
          <w:tcPr>
            <w:tcW w:w="2714" w:type="pct"/>
            <w:noWrap/>
            <w:vAlign w:val="center"/>
          </w:tcPr>
          <w:p>
            <w:pPr>
              <w:widowControl/>
              <w:overflowPunct w:val="0"/>
              <w:spacing w:line="300" w:lineRule="exact"/>
              <w:textAlignment w:val="center"/>
              <w:rPr>
                <w:rFonts w:ascii="仿宋_GB2312" w:eastAsia="仿宋_GB2312" w:cs="仿宋_GB2312"/>
                <w:color w:val="000000"/>
                <w:sz w:val="24"/>
              </w:rPr>
            </w:pPr>
            <w:r>
              <w:rPr>
                <w:rFonts w:hint="eastAsia" w:ascii="仿宋_GB2312" w:eastAsia="仿宋_GB2312" w:cs="仿宋_GB2312"/>
                <w:color w:val="000000"/>
                <w:sz w:val="24"/>
              </w:rPr>
              <w:t>酸价（以脂肪计）（KOH）、过氧化值（以脂肪计）、铅（以Pb计）、镉（以Cd计）、黄曲霉毒素B1、噻虫嗪</w:t>
            </w:r>
          </w:p>
        </w:tc>
      </w:tr>
    </w:tbl>
    <w:p>
      <w:pPr>
        <w:rPr>
          <w:lang w:val="en-US"/>
        </w:rPr>
      </w:pPr>
    </w:p>
    <w:p>
      <w:pPr>
        <w:pStyle w:val="6"/>
        <w:ind w:left="440"/>
        <w:rPr>
          <w:lang w:val="en-US"/>
        </w:rPr>
      </w:pPr>
    </w:p>
    <w:p>
      <w:pPr>
        <w:rPr>
          <w:lang w:val="en-US"/>
        </w:rPr>
      </w:pPr>
    </w:p>
    <w:p>
      <w:pPr>
        <w:pStyle w:val="18"/>
        <w:ind w:firstLine="240"/>
        <w:rPr>
          <w:lang w:val="en-US"/>
        </w:rPr>
      </w:pPr>
    </w:p>
    <w:p>
      <w:pPr>
        <w:pStyle w:val="19"/>
        <w:ind w:left="440" w:firstLine="600"/>
        <w:rPr>
          <w:lang w:val="en-US"/>
        </w:rPr>
      </w:pPr>
    </w:p>
    <w:p>
      <w:pPr>
        <w:rPr>
          <w:rFonts w:ascii="方正小标宋_GBK" w:hAnsi="方正小标宋简体" w:eastAsia="方正小标宋_GBK" w:cs="仿宋"/>
          <w:snapToGrid w:val="0"/>
          <w:sz w:val="44"/>
          <w:szCs w:val="44"/>
        </w:rPr>
      </w:pPr>
    </w:p>
    <w:p>
      <w:pPr>
        <w:pStyle w:val="2"/>
        <w:overflowPunct w:val="0"/>
        <w:adjustRightInd w:val="0"/>
        <w:snapToGrid w:val="0"/>
        <w:spacing w:beforeLines="50" w:afterLines="50" w:line="592" w:lineRule="exact"/>
        <w:jc w:val="center"/>
        <w:rPr>
          <w:rFonts w:ascii="方正小标宋_GBK" w:hAnsi="方正小标宋简体" w:eastAsia="方正小标宋_GBK" w:cs="仿宋"/>
          <w:snapToGrid w:val="0"/>
          <w:sz w:val="44"/>
          <w:szCs w:val="44"/>
        </w:rPr>
      </w:pPr>
      <w:r>
        <w:rPr>
          <w:rFonts w:hint="eastAsia" w:ascii="方正小标宋_GBK" w:hAnsi="方正小标宋简体" w:eastAsia="方正小标宋_GBK" w:cs="仿宋"/>
          <w:snapToGrid w:val="0"/>
          <w:sz w:val="44"/>
          <w:szCs w:val="44"/>
        </w:rPr>
        <w:t>202</w:t>
      </w:r>
      <w:r>
        <w:rPr>
          <w:rFonts w:ascii="方正小标宋_GBK" w:hAnsi="方正小标宋简体" w:eastAsia="方正小标宋_GBK" w:cs="仿宋"/>
          <w:snapToGrid w:val="0"/>
          <w:sz w:val="44"/>
          <w:szCs w:val="44"/>
        </w:rPr>
        <w:t>4</w:t>
      </w:r>
      <w:r>
        <w:rPr>
          <w:rFonts w:hint="eastAsia" w:ascii="方正小标宋_GBK" w:hAnsi="方正小标宋简体" w:eastAsia="方正小标宋_GBK" w:cs="仿宋"/>
          <w:snapToGrid w:val="0"/>
          <w:sz w:val="44"/>
          <w:szCs w:val="44"/>
        </w:rPr>
        <w:t>年省级及以下食用农产品必检品种、项目表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420"/>
        <w:gridCol w:w="420"/>
        <w:gridCol w:w="634"/>
        <w:gridCol w:w="1234"/>
        <w:gridCol w:w="5687"/>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blHeader/>
        </w:trPr>
        <w:tc>
          <w:tcPr>
            <w:tcW w:w="477" w:type="pct"/>
            <w:noWrap/>
            <w:vAlign w:val="center"/>
          </w:tcPr>
          <w:p>
            <w:pPr>
              <w:widowControl/>
              <w:overflowPunct w:val="0"/>
              <w:spacing w:line="300" w:lineRule="exact"/>
              <w:jc w:val="center"/>
              <w:textAlignment w:val="center"/>
              <w:rPr>
                <w:rFonts w:ascii="黑体" w:hAnsi="仿宋_GB2312" w:eastAsia="黑体" w:cs="仿宋_GB2312"/>
                <w:sz w:val="24"/>
              </w:rPr>
            </w:pPr>
            <w:r>
              <w:rPr>
                <w:rFonts w:hint="eastAsia" w:ascii="黑体" w:hAnsi="仿宋_GB2312" w:eastAsia="黑体" w:cs="仿宋_GB2312"/>
                <w:sz w:val="24"/>
              </w:rPr>
              <w:t>食品亚类（二级）</w:t>
            </w:r>
          </w:p>
        </w:tc>
        <w:tc>
          <w:tcPr>
            <w:tcW w:w="494" w:type="pct"/>
            <w:noWrap/>
            <w:vAlign w:val="center"/>
          </w:tcPr>
          <w:p>
            <w:pPr>
              <w:widowControl/>
              <w:overflowPunct w:val="0"/>
              <w:spacing w:line="300" w:lineRule="exact"/>
              <w:jc w:val="center"/>
              <w:textAlignment w:val="center"/>
              <w:rPr>
                <w:rFonts w:ascii="黑体" w:hAnsi="仿宋_GB2312" w:eastAsia="黑体" w:cs="仿宋_GB2312"/>
                <w:sz w:val="24"/>
              </w:rPr>
            </w:pPr>
            <w:r>
              <w:rPr>
                <w:rFonts w:hint="eastAsia" w:ascii="黑体" w:hAnsi="仿宋_GB2312" w:eastAsia="黑体" w:cs="仿宋_GB2312"/>
                <w:sz w:val="24"/>
              </w:rPr>
              <w:t>食品品种</w:t>
            </w:r>
          </w:p>
          <w:p>
            <w:pPr>
              <w:widowControl/>
              <w:overflowPunct w:val="0"/>
              <w:spacing w:line="300" w:lineRule="exact"/>
              <w:jc w:val="center"/>
              <w:textAlignment w:val="center"/>
              <w:rPr>
                <w:rFonts w:ascii="黑体" w:hAnsi="仿宋_GB2312" w:eastAsia="黑体" w:cs="仿宋_GB2312"/>
                <w:sz w:val="24"/>
              </w:rPr>
            </w:pPr>
            <w:r>
              <w:rPr>
                <w:rFonts w:hint="eastAsia" w:ascii="黑体" w:hAnsi="仿宋_GB2312" w:eastAsia="黑体" w:cs="仿宋_GB2312"/>
                <w:sz w:val="24"/>
              </w:rPr>
              <w:t>（三级）</w:t>
            </w:r>
          </w:p>
        </w:tc>
        <w:tc>
          <w:tcPr>
            <w:tcW w:w="451" w:type="pct"/>
            <w:noWrap/>
            <w:vAlign w:val="center"/>
          </w:tcPr>
          <w:p>
            <w:pPr>
              <w:widowControl/>
              <w:overflowPunct w:val="0"/>
              <w:spacing w:line="300" w:lineRule="exact"/>
              <w:jc w:val="center"/>
              <w:textAlignment w:val="center"/>
              <w:rPr>
                <w:rFonts w:ascii="黑体" w:hAnsi="仿宋_GB2312" w:eastAsia="黑体" w:cs="仿宋_GB2312"/>
                <w:sz w:val="24"/>
              </w:rPr>
            </w:pPr>
            <w:r>
              <w:rPr>
                <w:rFonts w:hint="eastAsia" w:ascii="黑体" w:hAnsi="仿宋_GB2312" w:eastAsia="黑体" w:cs="仿宋_GB2312"/>
                <w:sz w:val="24"/>
              </w:rPr>
              <w:t>食品细类（四级）</w:t>
            </w:r>
          </w:p>
        </w:tc>
        <w:tc>
          <w:tcPr>
            <w:tcW w:w="939" w:type="pct"/>
            <w:noWrap/>
            <w:vAlign w:val="center"/>
          </w:tcPr>
          <w:p>
            <w:pPr>
              <w:widowControl/>
              <w:overflowPunct w:val="0"/>
              <w:spacing w:line="300" w:lineRule="exact"/>
              <w:jc w:val="center"/>
              <w:textAlignment w:val="center"/>
              <w:rPr>
                <w:rFonts w:ascii="黑体" w:hAnsi="仿宋_GB2312" w:eastAsia="黑体" w:cs="仿宋_GB2312"/>
                <w:sz w:val="24"/>
              </w:rPr>
            </w:pPr>
            <w:r>
              <w:rPr>
                <w:rFonts w:hint="eastAsia" w:ascii="黑体" w:hAnsi="仿宋_GB2312" w:eastAsia="黑体" w:cs="仿宋_GB2312"/>
                <w:sz w:val="24"/>
              </w:rPr>
              <w:t>必检项目</w:t>
            </w:r>
          </w:p>
        </w:tc>
        <w:tc>
          <w:tcPr>
            <w:tcW w:w="2283" w:type="pct"/>
            <w:noWrap/>
            <w:vAlign w:val="center"/>
          </w:tcPr>
          <w:p>
            <w:pPr>
              <w:widowControl/>
              <w:overflowPunct w:val="0"/>
              <w:spacing w:line="300" w:lineRule="exact"/>
              <w:jc w:val="center"/>
              <w:textAlignment w:val="center"/>
              <w:rPr>
                <w:rFonts w:ascii="黑体" w:hAnsi="仿宋_GB2312" w:eastAsia="黑体" w:cs="仿宋_GB2312"/>
                <w:sz w:val="24"/>
              </w:rPr>
            </w:pPr>
            <w:r>
              <w:rPr>
                <w:rStyle w:val="60"/>
                <w:rFonts w:hint="eastAsia" w:ascii="黑体" w:hAnsi="仿宋_GB2312" w:eastAsia="黑体" w:cs="仿宋_GB2312"/>
                <w:b w:val="0"/>
                <w:color w:val="auto"/>
                <w:sz w:val="24"/>
                <w:szCs w:val="24"/>
              </w:rPr>
              <w:t>选检项目</w:t>
            </w:r>
          </w:p>
        </w:tc>
        <w:tc>
          <w:tcPr>
            <w:tcW w:w="356" w:type="pct"/>
            <w:noWrap/>
            <w:vAlign w:val="center"/>
          </w:tcPr>
          <w:p>
            <w:pPr>
              <w:widowControl/>
              <w:overflowPunct w:val="0"/>
              <w:spacing w:line="300" w:lineRule="exact"/>
              <w:jc w:val="center"/>
              <w:textAlignment w:val="center"/>
              <w:rPr>
                <w:rStyle w:val="60"/>
                <w:rFonts w:ascii="黑体" w:hAnsi="仿宋_GB2312" w:eastAsia="黑体" w:cs="仿宋_GB2312"/>
                <w:b w:val="0"/>
                <w:color w:val="auto"/>
                <w:sz w:val="24"/>
                <w:szCs w:val="24"/>
              </w:rPr>
            </w:pPr>
            <w:r>
              <w:rPr>
                <w:rStyle w:val="60"/>
                <w:rFonts w:hint="eastAsia" w:ascii="黑体" w:hAnsi="仿宋_GB2312" w:eastAsia="黑体" w:cs="仿宋_GB2312"/>
                <w:b w:val="0"/>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restar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畜禽肉及副产品</w:t>
            </w:r>
          </w:p>
        </w:tc>
        <w:tc>
          <w:tcPr>
            <w:tcW w:w="494" w:type="pct"/>
            <w:vMerge w:val="restar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畜肉</w:t>
            </w: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猪肉</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五氯酚酸钠（以五氯酚计）、恩诺沙星、磺胺类（总量）</w:t>
            </w:r>
          </w:p>
        </w:tc>
        <w:tc>
          <w:tcPr>
            <w:tcW w:w="2283" w:type="pct"/>
            <w:noWrap/>
            <w:vAlign w:val="center"/>
          </w:tcPr>
          <w:p>
            <w:pPr>
              <w:widowControl/>
              <w:overflowPunct w:val="0"/>
              <w:spacing w:line="28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挥发性盐基氮、呋喃唑酮代谢物、呋喃西林代谢物、氯霉素、克伦特罗、莱克多巴胺、沙丁胺醇、喹乙醇、替米考星、甲氧苄啶、氟苯尼考、多西环素、地塞米松、甲硝唑、氯丙嗪、土霉素/金霉素/四环素（组合含量）</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300" w:lineRule="exact"/>
              <w:jc w:val="center"/>
              <w:rPr>
                <w:rFonts w:ascii="仿宋_GB2312" w:hAnsi="仿宋_GB2312" w:eastAsia="仿宋_GB2312" w:cs="仿宋_GB2312"/>
                <w:sz w:val="24"/>
              </w:rPr>
            </w:pPr>
          </w:p>
        </w:tc>
        <w:tc>
          <w:tcPr>
            <w:tcW w:w="494" w:type="pct"/>
            <w:vMerge w:val="continue"/>
            <w:noWrap/>
            <w:vAlign w:val="center"/>
          </w:tcPr>
          <w:p>
            <w:pPr>
              <w:overflowPunct w:val="0"/>
              <w:spacing w:line="300" w:lineRule="exact"/>
              <w:jc w:val="center"/>
              <w:rPr>
                <w:rFonts w:ascii="仿宋_GB2312" w:hAnsi="仿宋_GB2312" w:eastAsia="仿宋_GB2312" w:cs="仿宋_GB2312"/>
                <w:sz w:val="24"/>
              </w:rPr>
            </w:pP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牛肉</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五氯酚酸钠（以五氯酚计）、克伦特罗</w:t>
            </w:r>
          </w:p>
        </w:tc>
        <w:tc>
          <w:tcPr>
            <w:tcW w:w="2283" w:type="pct"/>
            <w:noWrap/>
            <w:vAlign w:val="center"/>
          </w:tcPr>
          <w:p>
            <w:pPr>
              <w:widowControl/>
              <w:overflowPunct w:val="0"/>
              <w:spacing w:line="28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挥发性盐基氮、水分、呋喃唑酮代谢物、呋喃西林代谢物、氯霉素、莱克多巴胺、沙丁胺醇、恩诺沙星、磺胺类（总量）、甲氧苄啶、氟苯尼考、多西环素、地塞米松、林可霉素、倍他米松、土霉素/金霉素/四环素（组合含量）</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300" w:lineRule="exact"/>
              <w:jc w:val="center"/>
              <w:rPr>
                <w:rFonts w:ascii="仿宋_GB2312" w:hAnsi="仿宋_GB2312" w:eastAsia="仿宋_GB2312" w:cs="仿宋_GB2312"/>
                <w:sz w:val="24"/>
              </w:rPr>
            </w:pPr>
          </w:p>
        </w:tc>
        <w:tc>
          <w:tcPr>
            <w:tcW w:w="494" w:type="pct"/>
            <w:vMerge w:val="continue"/>
            <w:noWrap/>
            <w:vAlign w:val="center"/>
          </w:tcPr>
          <w:p>
            <w:pPr>
              <w:overflowPunct w:val="0"/>
              <w:spacing w:line="300" w:lineRule="exact"/>
              <w:jc w:val="center"/>
              <w:rPr>
                <w:rFonts w:ascii="仿宋_GB2312" w:hAnsi="仿宋_GB2312" w:eastAsia="仿宋_GB2312" w:cs="仿宋_GB2312"/>
                <w:sz w:val="24"/>
              </w:rPr>
            </w:pP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羊肉</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克伦特罗、磺胺类（总量）</w:t>
            </w:r>
          </w:p>
        </w:tc>
        <w:tc>
          <w:tcPr>
            <w:tcW w:w="2283" w:type="pct"/>
            <w:noWrap/>
            <w:vAlign w:val="center"/>
          </w:tcPr>
          <w:p>
            <w:pPr>
              <w:widowControl/>
              <w:overflowPunct w:val="0"/>
              <w:spacing w:line="28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呋喃唑酮代谢物、呋喃西林代谢物、氯霉素、五氯酚酸钠（以五氯酚计）、莱克多巴胺、沙丁胺醇、恩诺沙星、氟苯尼考、林可霉素、环丙氨嗪、土霉素/金霉素/四环素（组合含量）</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300" w:lineRule="exact"/>
              <w:jc w:val="center"/>
              <w:rPr>
                <w:rFonts w:ascii="仿宋_GB2312" w:hAnsi="仿宋_GB2312" w:eastAsia="仿宋_GB2312" w:cs="仿宋_GB2312"/>
                <w:sz w:val="24"/>
              </w:rPr>
            </w:pPr>
          </w:p>
        </w:tc>
        <w:tc>
          <w:tcPr>
            <w:tcW w:w="494"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禽肉</w:t>
            </w: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鸡肉</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五氯酚酸钠（以五氯酚计）、氧氟沙星</w:t>
            </w:r>
          </w:p>
        </w:tc>
        <w:tc>
          <w:tcPr>
            <w:tcW w:w="2283" w:type="pct"/>
            <w:noWrap/>
            <w:vAlign w:val="center"/>
          </w:tcPr>
          <w:p>
            <w:pPr>
              <w:widowControl/>
              <w:overflowPunct w:val="0"/>
              <w:spacing w:line="28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挥发性盐基氮、呋喃唑酮代谢物、呋喃西林代谢物、呋喃它酮代谢物、氯霉素、恩诺沙星、培氟沙星、诺氟沙星、沙拉沙星、替米考星、磺胺类（总量）、甲氧苄啶、氟苯尼考、多西环素、甲硝唑、尼卡巴嗪、环丙氨嗪、土霉素/金霉素/四环素（组合含量）</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restar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蔬菜</w:t>
            </w:r>
          </w:p>
        </w:tc>
        <w:tc>
          <w:tcPr>
            <w:tcW w:w="494" w:type="pct"/>
            <w:vMerge w:val="restar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豆类蔬菜</w:t>
            </w: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菜豆</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噻虫胺</w:t>
            </w:r>
          </w:p>
        </w:tc>
        <w:tc>
          <w:tcPr>
            <w:tcW w:w="2283" w:type="pct"/>
            <w:noWrap/>
            <w:vAlign w:val="center"/>
          </w:tcPr>
          <w:p>
            <w:pPr>
              <w:widowControl/>
              <w:overflowPunct w:val="0"/>
              <w:spacing w:line="28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吡虫啉、毒死蜱、多菌灵、甲氨基阿维菌素苯甲酸盐、甲胺磷、克百威、氯氟氰菊酯和高效氯氟氰菊酯、灭蝇胺、三唑磷、水胺硫磷、氧乐果、乙酰甲胺磷、乐果</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300" w:lineRule="exact"/>
              <w:jc w:val="center"/>
              <w:rPr>
                <w:rFonts w:ascii="仿宋_GB2312" w:hAnsi="仿宋_GB2312" w:eastAsia="仿宋_GB2312" w:cs="仿宋_GB2312"/>
                <w:sz w:val="24"/>
              </w:rPr>
            </w:pPr>
          </w:p>
        </w:tc>
        <w:tc>
          <w:tcPr>
            <w:tcW w:w="494" w:type="pct"/>
            <w:vMerge w:val="continue"/>
            <w:noWrap/>
            <w:vAlign w:val="center"/>
          </w:tcPr>
          <w:p>
            <w:pPr>
              <w:widowControl/>
              <w:overflowPunct w:val="0"/>
              <w:spacing w:line="300" w:lineRule="exact"/>
              <w:jc w:val="center"/>
              <w:textAlignment w:val="center"/>
              <w:rPr>
                <w:rFonts w:ascii="仿宋_GB2312" w:hAnsi="仿宋_GB2312" w:eastAsia="仿宋_GB2312" w:cs="仿宋_GB2312"/>
                <w:sz w:val="24"/>
              </w:rPr>
            </w:pP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豇豆</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倍硫磷、灭蝇胺、噻虫嗪、噻虫胺</w:t>
            </w:r>
          </w:p>
        </w:tc>
        <w:tc>
          <w:tcPr>
            <w:tcW w:w="2283" w:type="pct"/>
            <w:noWrap/>
            <w:vAlign w:val="center"/>
          </w:tcPr>
          <w:p>
            <w:pPr>
              <w:widowControl/>
              <w:overflowPunct w:val="0"/>
              <w:spacing w:line="28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阿维菌素、啶虫脒、毒死蜱、氟虫腈、甲氨基阿维菌素苯甲酸盐、甲胺磷、甲拌磷、甲基异柳磷、克百威、乐果、氯氟氰菊酯和高效氯氟氰菊酯、氯唑磷、灭多威、三唑磷、水胺硫磷、氧乐果、乙酰甲胺磷、氯氰菊酯和高效氯氰菊酯</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restar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蔬菜</w:t>
            </w:r>
          </w:p>
        </w:tc>
        <w:tc>
          <w:tcPr>
            <w:tcW w:w="494" w:type="pc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豆芽</w:t>
            </w:r>
          </w:p>
        </w:tc>
        <w:tc>
          <w:tcPr>
            <w:tcW w:w="451" w:type="pc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豆芽</w:t>
            </w:r>
          </w:p>
        </w:tc>
        <w:tc>
          <w:tcPr>
            <w:tcW w:w="939" w:type="pc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4-氯苯氧乙酸钠（以4-氯苯氧乙酸计）、6-苄基腺嘌呤（6-BA）</w:t>
            </w:r>
          </w:p>
        </w:tc>
        <w:tc>
          <w:tcPr>
            <w:tcW w:w="2283" w:type="pct"/>
            <w:noWrap/>
            <w:vAlign w:val="center"/>
          </w:tcPr>
          <w:p>
            <w:pPr>
              <w:widowControl/>
              <w:overflowPunct w:val="0"/>
              <w:spacing w:line="276"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铅（以Pb计）、总汞（以Hg计）、亚硫酸盐（以SO2计）</w:t>
            </w:r>
          </w:p>
        </w:tc>
        <w:tc>
          <w:tcPr>
            <w:tcW w:w="356" w:type="pct"/>
            <w:noWrap/>
            <w:vAlign w:val="center"/>
          </w:tcPr>
          <w:p>
            <w:pPr>
              <w:widowControl/>
              <w:overflowPunct w:val="0"/>
              <w:spacing w:line="276"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widowControl/>
              <w:overflowPunct w:val="0"/>
              <w:spacing w:line="276" w:lineRule="exact"/>
              <w:jc w:val="center"/>
              <w:textAlignment w:val="center"/>
              <w:rPr>
                <w:rFonts w:ascii="仿宋_GB2312" w:hAnsi="仿宋_GB2312" w:eastAsia="仿宋_GB2312" w:cs="仿宋_GB2312"/>
                <w:sz w:val="24"/>
              </w:rPr>
            </w:pPr>
          </w:p>
        </w:tc>
        <w:tc>
          <w:tcPr>
            <w:tcW w:w="494" w:type="pct"/>
            <w:vMerge w:val="restar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鳞茎类蔬菜</w:t>
            </w:r>
          </w:p>
        </w:tc>
        <w:tc>
          <w:tcPr>
            <w:tcW w:w="451" w:type="pc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韭菜</w:t>
            </w:r>
          </w:p>
        </w:tc>
        <w:tc>
          <w:tcPr>
            <w:tcW w:w="939" w:type="pc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镉（以Cd计）、毒死蜱</w:t>
            </w:r>
          </w:p>
        </w:tc>
        <w:tc>
          <w:tcPr>
            <w:tcW w:w="2283" w:type="pct"/>
            <w:noWrap/>
            <w:vAlign w:val="center"/>
          </w:tcPr>
          <w:p>
            <w:pPr>
              <w:widowControl/>
              <w:overflowPunct w:val="0"/>
              <w:spacing w:line="276"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阿维菌素、敌敌畏、多菌灵、二甲戊灵、氟虫腈、腐霉利、甲胺磷、甲拌磷、甲基异柳磷、克百威、乐果、六六六、氯氟氰菊酯和高效氯氟氰菊酯、氯氰菊酯和高效氯氰菊酯、铅（以 Pb 计）、三唑磷、水胺硫磷、辛硫磷、氧乐果、乙酰甲胺磷、啶虫脒、铬（以 Cr 计）、异菌脲</w:t>
            </w:r>
          </w:p>
        </w:tc>
        <w:tc>
          <w:tcPr>
            <w:tcW w:w="356" w:type="pct"/>
            <w:noWrap/>
            <w:vAlign w:val="center"/>
          </w:tcPr>
          <w:p>
            <w:pPr>
              <w:widowControl/>
              <w:overflowPunct w:val="0"/>
              <w:spacing w:line="276"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276" w:lineRule="exact"/>
              <w:jc w:val="center"/>
              <w:rPr>
                <w:rFonts w:ascii="仿宋_GB2312" w:hAnsi="仿宋_GB2312" w:eastAsia="仿宋_GB2312" w:cs="仿宋_GB2312"/>
                <w:sz w:val="24"/>
              </w:rPr>
            </w:pPr>
          </w:p>
        </w:tc>
        <w:tc>
          <w:tcPr>
            <w:tcW w:w="494" w:type="pct"/>
            <w:vMerge w:val="continue"/>
            <w:noWrap/>
            <w:vAlign w:val="center"/>
          </w:tcPr>
          <w:p>
            <w:pPr>
              <w:widowControl/>
              <w:overflowPunct w:val="0"/>
              <w:spacing w:line="276" w:lineRule="exact"/>
              <w:jc w:val="center"/>
              <w:textAlignment w:val="center"/>
              <w:rPr>
                <w:rFonts w:ascii="仿宋_GB2312" w:hAnsi="仿宋_GB2312" w:eastAsia="仿宋_GB2312" w:cs="仿宋_GB2312"/>
                <w:sz w:val="24"/>
              </w:rPr>
            </w:pPr>
          </w:p>
        </w:tc>
        <w:tc>
          <w:tcPr>
            <w:tcW w:w="451" w:type="pc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葱</w:t>
            </w:r>
          </w:p>
        </w:tc>
        <w:tc>
          <w:tcPr>
            <w:tcW w:w="939" w:type="pc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噻虫嗪</w:t>
            </w:r>
          </w:p>
        </w:tc>
        <w:tc>
          <w:tcPr>
            <w:tcW w:w="2283" w:type="pct"/>
            <w:noWrap/>
            <w:vAlign w:val="center"/>
          </w:tcPr>
          <w:p>
            <w:pPr>
              <w:widowControl/>
              <w:overflowPunct w:val="0"/>
              <w:spacing w:line="276"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丙环唑、毒死蜱、镉（以 Cd 计）、甲拌磷、甲基异柳磷、克百威、氯氟氰菊酯和高效氯氟氰菊酯、铅（以 Pb 计）、三唑磷、水胺硫磷、戊唑醇、氧乐果、灭线磷、辛硫磷</w:t>
            </w:r>
          </w:p>
        </w:tc>
        <w:tc>
          <w:tcPr>
            <w:tcW w:w="356" w:type="pct"/>
            <w:noWrap/>
            <w:vAlign w:val="center"/>
          </w:tcPr>
          <w:p>
            <w:pPr>
              <w:widowControl/>
              <w:overflowPunct w:val="0"/>
              <w:spacing w:line="276"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widowControl/>
              <w:overflowPunct w:val="0"/>
              <w:spacing w:line="276" w:lineRule="exact"/>
              <w:jc w:val="center"/>
              <w:textAlignment w:val="center"/>
              <w:rPr>
                <w:rFonts w:ascii="仿宋_GB2312" w:hAnsi="仿宋_GB2312" w:eastAsia="仿宋_GB2312" w:cs="仿宋_GB2312"/>
                <w:sz w:val="24"/>
              </w:rPr>
            </w:pPr>
          </w:p>
        </w:tc>
        <w:tc>
          <w:tcPr>
            <w:tcW w:w="494" w:type="pct"/>
            <w:vMerge w:val="restar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叶菜类蔬菜</w:t>
            </w:r>
          </w:p>
        </w:tc>
        <w:tc>
          <w:tcPr>
            <w:tcW w:w="451" w:type="pc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菠菜</w:t>
            </w:r>
          </w:p>
        </w:tc>
        <w:tc>
          <w:tcPr>
            <w:tcW w:w="939" w:type="pc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毒死蜱、铬（以Cr计）</w:t>
            </w:r>
          </w:p>
        </w:tc>
        <w:tc>
          <w:tcPr>
            <w:tcW w:w="2283" w:type="pct"/>
            <w:noWrap/>
            <w:vAlign w:val="center"/>
          </w:tcPr>
          <w:p>
            <w:pPr>
              <w:widowControl/>
              <w:overflowPunct w:val="0"/>
              <w:spacing w:line="276"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阿维菌素、氟虫腈、腐霉利、镉（以Cd计）、甲氨基阿维菌素苯甲酸盐、甲拌磷、克百威、乐果、六六六、氯氟氰菊酯和高效氯氟氰菊酯、氯氰菊酯和高效氯氰菊酯、铅（以Pb计）、氧乐果、乙酰甲胺磷</w:t>
            </w:r>
          </w:p>
        </w:tc>
        <w:tc>
          <w:tcPr>
            <w:tcW w:w="356" w:type="pct"/>
            <w:noWrap/>
            <w:vAlign w:val="center"/>
          </w:tcPr>
          <w:p>
            <w:pPr>
              <w:widowControl/>
              <w:overflowPunct w:val="0"/>
              <w:spacing w:line="276"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276" w:lineRule="exact"/>
              <w:jc w:val="center"/>
              <w:rPr>
                <w:rFonts w:ascii="仿宋_GB2312" w:hAnsi="仿宋_GB2312" w:eastAsia="仿宋_GB2312" w:cs="仿宋_GB2312"/>
                <w:sz w:val="24"/>
              </w:rPr>
            </w:pPr>
          </w:p>
        </w:tc>
        <w:tc>
          <w:tcPr>
            <w:tcW w:w="494" w:type="pct"/>
            <w:vMerge w:val="continue"/>
            <w:noWrap/>
            <w:vAlign w:val="center"/>
          </w:tcPr>
          <w:p>
            <w:pPr>
              <w:overflowPunct w:val="0"/>
              <w:spacing w:line="276" w:lineRule="exact"/>
              <w:jc w:val="center"/>
              <w:rPr>
                <w:rFonts w:ascii="仿宋_GB2312" w:hAnsi="仿宋_GB2312" w:eastAsia="仿宋_GB2312" w:cs="仿宋_GB2312"/>
                <w:sz w:val="24"/>
              </w:rPr>
            </w:pPr>
          </w:p>
        </w:tc>
        <w:tc>
          <w:tcPr>
            <w:tcW w:w="451" w:type="pc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芹菜</w:t>
            </w:r>
          </w:p>
        </w:tc>
        <w:tc>
          <w:tcPr>
            <w:tcW w:w="939" w:type="pc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毒死蜱、噻虫胺、甲拌磷</w:t>
            </w:r>
          </w:p>
        </w:tc>
        <w:tc>
          <w:tcPr>
            <w:tcW w:w="2283" w:type="pct"/>
            <w:noWrap/>
            <w:vAlign w:val="center"/>
          </w:tcPr>
          <w:p>
            <w:pPr>
              <w:widowControl/>
              <w:overflowPunct w:val="0"/>
              <w:spacing w:line="276"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阿维菌素、百菌清、苯醚甲环唑、敌敌畏、啶虫脒、二甲戊灵、氟虫腈、镉 （以 Cd 计）、甲基异柳磷、腈菌唑、克百威、乐果、氯氟氰菊酯和高效氯氟氰菊酯、铅（以 Pb 计）、噻虫嗪、三氯杀螨醇、水胺硫磷、辛硫磷、氧乐果、乙酰甲胺磷</w:t>
            </w:r>
          </w:p>
        </w:tc>
        <w:tc>
          <w:tcPr>
            <w:tcW w:w="356" w:type="pct"/>
            <w:noWrap/>
            <w:vAlign w:val="center"/>
          </w:tcPr>
          <w:p>
            <w:pPr>
              <w:widowControl/>
              <w:overflowPunct w:val="0"/>
              <w:spacing w:line="276"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276" w:lineRule="exact"/>
              <w:jc w:val="center"/>
              <w:rPr>
                <w:rFonts w:ascii="仿宋_GB2312" w:hAnsi="仿宋_GB2312" w:eastAsia="仿宋_GB2312" w:cs="仿宋_GB2312"/>
                <w:sz w:val="24"/>
              </w:rPr>
            </w:pPr>
          </w:p>
        </w:tc>
        <w:tc>
          <w:tcPr>
            <w:tcW w:w="494" w:type="pct"/>
            <w:vMerge w:val="restar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茄果类蔬菜</w:t>
            </w:r>
          </w:p>
        </w:tc>
        <w:tc>
          <w:tcPr>
            <w:tcW w:w="451" w:type="pc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辣椒</w:t>
            </w:r>
          </w:p>
        </w:tc>
        <w:tc>
          <w:tcPr>
            <w:tcW w:w="939" w:type="pc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毒死蜱、噻虫胺、啶虫脒、镉（以Cd计）</w:t>
            </w:r>
          </w:p>
        </w:tc>
        <w:tc>
          <w:tcPr>
            <w:tcW w:w="2283" w:type="pct"/>
            <w:noWrap/>
            <w:vAlign w:val="center"/>
          </w:tcPr>
          <w:p>
            <w:pPr>
              <w:widowControl/>
              <w:overflowPunct w:val="0"/>
              <w:spacing w:line="276"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倍硫磷、吡虫啉、吡唑醚菌酯、敌敌畏、氟虫腈、甲氨基阿维菌素苯甲酸盐、甲胺磷、甲拌磷、克百威、乐果、联苯菊酯、氯氟氰菊酯和高效氯氟氰菊酯、铅（以 Pb 计）、噻虫嗪、三唑磷、杀扑磷、水胺硫磷、氧乐果、乙酰甲胺磷、苯醚甲环唑、丙溴磷、呋虫胺、铬（以 Cr 计）、甲氰菊酯、氯氰菊酯和高效氯氰菊酯、灭线磷</w:t>
            </w:r>
          </w:p>
        </w:tc>
        <w:tc>
          <w:tcPr>
            <w:tcW w:w="356" w:type="pct"/>
            <w:noWrap/>
            <w:vAlign w:val="center"/>
          </w:tcPr>
          <w:p>
            <w:pPr>
              <w:widowControl/>
              <w:overflowPunct w:val="0"/>
              <w:spacing w:line="276"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276" w:lineRule="exact"/>
              <w:jc w:val="center"/>
              <w:rPr>
                <w:rFonts w:ascii="仿宋_GB2312" w:hAnsi="仿宋_GB2312" w:eastAsia="仿宋_GB2312" w:cs="仿宋_GB2312"/>
                <w:sz w:val="24"/>
              </w:rPr>
            </w:pPr>
          </w:p>
        </w:tc>
        <w:tc>
          <w:tcPr>
            <w:tcW w:w="494" w:type="pct"/>
            <w:vMerge w:val="continue"/>
            <w:noWrap/>
            <w:vAlign w:val="center"/>
          </w:tcPr>
          <w:p>
            <w:pPr>
              <w:overflowPunct w:val="0"/>
              <w:spacing w:line="276" w:lineRule="exact"/>
              <w:jc w:val="center"/>
              <w:rPr>
                <w:rFonts w:ascii="仿宋_GB2312" w:hAnsi="仿宋_GB2312" w:eastAsia="仿宋_GB2312" w:cs="仿宋_GB2312"/>
                <w:sz w:val="24"/>
              </w:rPr>
            </w:pPr>
          </w:p>
        </w:tc>
        <w:tc>
          <w:tcPr>
            <w:tcW w:w="451" w:type="pc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茄子</w:t>
            </w:r>
          </w:p>
        </w:tc>
        <w:tc>
          <w:tcPr>
            <w:tcW w:w="939" w:type="pct"/>
            <w:noWrap/>
            <w:vAlign w:val="center"/>
          </w:tcPr>
          <w:p>
            <w:pPr>
              <w:widowControl/>
              <w:overflowPunct w:val="0"/>
              <w:spacing w:line="276"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镉（以Cd计）、噻虫胺</w:t>
            </w:r>
          </w:p>
        </w:tc>
        <w:tc>
          <w:tcPr>
            <w:tcW w:w="2283" w:type="pct"/>
            <w:noWrap/>
            <w:vAlign w:val="center"/>
          </w:tcPr>
          <w:p>
            <w:pPr>
              <w:widowControl/>
              <w:overflowPunct w:val="0"/>
              <w:spacing w:line="276"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吡唑醚菌酯、毒死蜱、氟虫腈、甲氨基阿维菌素苯甲酸盐、甲胺磷、甲拌磷、克百威、铅（以 Pb 计）、噻虫嗪、霜霉威和霜霉威盐酸盐、水胺硫磷、氧乐果、乙酰甲胺磷、甲氰菊酯</w:t>
            </w:r>
          </w:p>
        </w:tc>
        <w:tc>
          <w:tcPr>
            <w:tcW w:w="356" w:type="pct"/>
            <w:noWrap/>
            <w:vAlign w:val="center"/>
          </w:tcPr>
          <w:p>
            <w:pPr>
              <w:widowControl/>
              <w:overflowPunct w:val="0"/>
              <w:spacing w:line="276"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restar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蔬菜</w:t>
            </w:r>
          </w:p>
        </w:tc>
        <w:tc>
          <w:tcPr>
            <w:tcW w:w="494" w:type="pct"/>
            <w:noWrap/>
            <w:vAlign w:val="center"/>
          </w:tcPr>
          <w:p>
            <w:pPr>
              <w:overflowPunct w:val="0"/>
              <w:spacing w:line="270" w:lineRule="exact"/>
              <w:jc w:val="center"/>
              <w:rPr>
                <w:rFonts w:ascii="仿宋_GB2312" w:hAnsi="仿宋_GB2312" w:eastAsia="仿宋_GB2312" w:cs="仿宋_GB2312"/>
                <w:sz w:val="24"/>
              </w:rPr>
            </w:pPr>
            <w:r>
              <w:rPr>
                <w:rFonts w:hint="eastAsia" w:ascii="仿宋_GB2312" w:hAnsi="仿宋_GB2312" w:eastAsia="仿宋_GB2312" w:cs="仿宋_GB2312"/>
                <w:sz w:val="24"/>
              </w:rPr>
              <w:t>茄果类蔬菜</w:t>
            </w:r>
          </w:p>
        </w:tc>
        <w:tc>
          <w:tcPr>
            <w:tcW w:w="451"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甜椒</w:t>
            </w:r>
          </w:p>
        </w:tc>
        <w:tc>
          <w:tcPr>
            <w:tcW w:w="939"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噻虫胺</w:t>
            </w:r>
          </w:p>
        </w:tc>
        <w:tc>
          <w:tcPr>
            <w:tcW w:w="2283" w:type="pct"/>
            <w:noWrap/>
            <w:vAlign w:val="center"/>
          </w:tcPr>
          <w:p>
            <w:pPr>
              <w:widowControl/>
              <w:overflowPunct w:val="0"/>
              <w:spacing w:line="27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阿维菌素、倍硫磷、吡虫啉、吡唑醚菌酯、毒死蜱、氟虫腈、镉（以 Cd 计）、克百威、噻虫嗪、水胺硫磷、氧乐果、啶虫脒、铅（以 Pb 计）</w:t>
            </w:r>
          </w:p>
        </w:tc>
        <w:tc>
          <w:tcPr>
            <w:tcW w:w="356" w:type="pct"/>
            <w:noWrap/>
            <w:vAlign w:val="center"/>
          </w:tcPr>
          <w:p>
            <w:pPr>
              <w:widowControl/>
              <w:overflowPunct w:val="0"/>
              <w:spacing w:line="27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270" w:lineRule="exact"/>
              <w:jc w:val="center"/>
              <w:rPr>
                <w:rFonts w:ascii="仿宋_GB2312" w:hAnsi="仿宋_GB2312" w:eastAsia="仿宋_GB2312" w:cs="仿宋_GB2312"/>
                <w:sz w:val="24"/>
              </w:rPr>
            </w:pPr>
          </w:p>
        </w:tc>
        <w:tc>
          <w:tcPr>
            <w:tcW w:w="494" w:type="pct"/>
            <w:vMerge w:val="restar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根茎类和薯芋类蔬菜</w:t>
            </w:r>
          </w:p>
        </w:tc>
        <w:tc>
          <w:tcPr>
            <w:tcW w:w="451"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姜</w:t>
            </w:r>
          </w:p>
        </w:tc>
        <w:tc>
          <w:tcPr>
            <w:tcW w:w="939"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铅（以 Pb 计）、噻虫</w:t>
            </w:r>
          </w:p>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胺、噻虫嗪、毒死蜱</w:t>
            </w:r>
          </w:p>
        </w:tc>
        <w:tc>
          <w:tcPr>
            <w:tcW w:w="2283" w:type="pct"/>
            <w:noWrap/>
            <w:vAlign w:val="center"/>
          </w:tcPr>
          <w:p>
            <w:pPr>
              <w:widowControl/>
              <w:overflowPunct w:val="0"/>
              <w:spacing w:line="27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吡虫啉、敌敌畏、二氧化硫残留量、镉（以 Cd 计）、甲拌磷、克百威、六六六、氯氟氰菊酯和高效氯氟氰菊酯、氯氰菊酯和高效氯氰菊酯、氯唑磷、氧乐果</w:t>
            </w:r>
          </w:p>
        </w:tc>
        <w:tc>
          <w:tcPr>
            <w:tcW w:w="356" w:type="pct"/>
            <w:noWrap/>
            <w:vAlign w:val="center"/>
          </w:tcPr>
          <w:p>
            <w:pPr>
              <w:widowControl/>
              <w:overflowPunct w:val="0"/>
              <w:spacing w:line="27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270" w:lineRule="exact"/>
              <w:jc w:val="center"/>
              <w:rPr>
                <w:rFonts w:ascii="仿宋_GB2312" w:hAnsi="仿宋_GB2312" w:eastAsia="仿宋_GB2312" w:cs="仿宋_GB2312"/>
                <w:sz w:val="24"/>
              </w:rPr>
            </w:pPr>
          </w:p>
        </w:tc>
        <w:tc>
          <w:tcPr>
            <w:tcW w:w="494" w:type="pct"/>
            <w:vMerge w:val="continue"/>
            <w:noWrap/>
            <w:vAlign w:val="center"/>
          </w:tcPr>
          <w:p>
            <w:pPr>
              <w:widowControl/>
              <w:overflowPunct w:val="0"/>
              <w:spacing w:line="270" w:lineRule="exact"/>
              <w:jc w:val="center"/>
              <w:textAlignment w:val="center"/>
              <w:rPr>
                <w:rFonts w:ascii="仿宋_GB2312" w:hAnsi="仿宋_GB2312" w:eastAsia="仿宋_GB2312" w:cs="仿宋_GB2312"/>
                <w:sz w:val="24"/>
              </w:rPr>
            </w:pPr>
          </w:p>
        </w:tc>
        <w:tc>
          <w:tcPr>
            <w:tcW w:w="451"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山药</w:t>
            </w:r>
          </w:p>
        </w:tc>
        <w:tc>
          <w:tcPr>
            <w:tcW w:w="939"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咪鲜胺和咪鲜胺锰盐</w:t>
            </w:r>
          </w:p>
        </w:tc>
        <w:tc>
          <w:tcPr>
            <w:tcW w:w="2283" w:type="pct"/>
            <w:noWrap/>
            <w:vAlign w:val="center"/>
          </w:tcPr>
          <w:p>
            <w:pPr>
              <w:widowControl/>
              <w:overflowPunct w:val="0"/>
              <w:spacing w:line="27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毒死蜱、克百威、氯氟氰菊酯和高效氯氟氰菊酯、铅（以 Pb 计）、涕灭威</w:t>
            </w:r>
          </w:p>
        </w:tc>
        <w:tc>
          <w:tcPr>
            <w:tcW w:w="356" w:type="pct"/>
            <w:noWrap/>
            <w:vAlign w:val="center"/>
          </w:tcPr>
          <w:p>
            <w:pPr>
              <w:widowControl/>
              <w:overflowPunct w:val="0"/>
              <w:spacing w:line="27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restar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水产品</w:t>
            </w:r>
          </w:p>
        </w:tc>
        <w:tc>
          <w:tcPr>
            <w:tcW w:w="494" w:type="pct"/>
            <w:vMerge w:val="restar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淡水产品</w:t>
            </w:r>
          </w:p>
        </w:tc>
        <w:tc>
          <w:tcPr>
            <w:tcW w:w="451"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淡水鱼</w:t>
            </w:r>
          </w:p>
        </w:tc>
        <w:tc>
          <w:tcPr>
            <w:tcW w:w="939"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恩诺沙星、孔雀石绿、地西泮</w:t>
            </w:r>
          </w:p>
        </w:tc>
        <w:tc>
          <w:tcPr>
            <w:tcW w:w="2283" w:type="pct"/>
            <w:noWrap/>
            <w:vAlign w:val="center"/>
          </w:tcPr>
          <w:p>
            <w:pPr>
              <w:widowControl/>
              <w:overflowPunct w:val="0"/>
              <w:spacing w:line="27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挥发性盐基氮、多氯联苯、镉（以 Cd 计）、氯霉素、氟苯尼考、呋喃唑酮代谢物、呋喃西林代谢物、呋喃妥因代谢物、磺胺类（总量）、甲氧苄啶、甲硝唑、五氯酚酸钠（以五氯酚计）、氧氟沙星、诺氟沙星、培氟沙星</w:t>
            </w:r>
          </w:p>
        </w:tc>
        <w:tc>
          <w:tcPr>
            <w:tcW w:w="356" w:type="pct"/>
            <w:noWrap/>
            <w:vAlign w:val="center"/>
          </w:tcPr>
          <w:p>
            <w:pPr>
              <w:widowControl/>
              <w:overflowPunct w:val="0"/>
              <w:spacing w:line="27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270" w:lineRule="exact"/>
              <w:jc w:val="center"/>
              <w:rPr>
                <w:rFonts w:ascii="仿宋_GB2312" w:hAnsi="仿宋_GB2312" w:eastAsia="仿宋_GB2312" w:cs="仿宋_GB2312"/>
                <w:sz w:val="24"/>
              </w:rPr>
            </w:pPr>
          </w:p>
        </w:tc>
        <w:tc>
          <w:tcPr>
            <w:tcW w:w="494" w:type="pct"/>
            <w:vMerge w:val="continue"/>
            <w:noWrap/>
            <w:vAlign w:val="center"/>
          </w:tcPr>
          <w:p>
            <w:pPr>
              <w:overflowPunct w:val="0"/>
              <w:spacing w:line="270" w:lineRule="exact"/>
              <w:jc w:val="center"/>
              <w:rPr>
                <w:rFonts w:ascii="仿宋_GB2312" w:hAnsi="仿宋_GB2312" w:eastAsia="仿宋_GB2312" w:cs="仿宋_GB2312"/>
                <w:sz w:val="24"/>
              </w:rPr>
            </w:pPr>
          </w:p>
        </w:tc>
        <w:tc>
          <w:tcPr>
            <w:tcW w:w="451"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淡水虾</w:t>
            </w:r>
          </w:p>
        </w:tc>
        <w:tc>
          <w:tcPr>
            <w:tcW w:w="939"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恩诺沙星</w:t>
            </w:r>
          </w:p>
        </w:tc>
        <w:tc>
          <w:tcPr>
            <w:tcW w:w="2283" w:type="pct"/>
            <w:noWrap/>
            <w:vAlign w:val="center"/>
          </w:tcPr>
          <w:p>
            <w:pPr>
              <w:widowControl/>
              <w:overflowPunct w:val="0"/>
              <w:spacing w:line="27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镉（以 Cd 计）、孔雀石绿、氯霉素、呋喃唑酮代谢物、呋喃妥因代谢物、磺胺类（总量）、土霉素/金霉素/四环素（组合含量）、五氯酚酸钠（以五氯酚计）、氧氟沙星、诺氟沙星</w:t>
            </w:r>
          </w:p>
        </w:tc>
        <w:tc>
          <w:tcPr>
            <w:tcW w:w="356" w:type="pct"/>
            <w:noWrap/>
            <w:vAlign w:val="center"/>
          </w:tcPr>
          <w:p>
            <w:pPr>
              <w:widowControl/>
              <w:overflowPunct w:val="0"/>
              <w:spacing w:line="27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270" w:lineRule="exact"/>
              <w:jc w:val="center"/>
              <w:rPr>
                <w:rFonts w:ascii="仿宋_GB2312" w:hAnsi="仿宋_GB2312" w:eastAsia="仿宋_GB2312" w:cs="仿宋_GB2312"/>
                <w:sz w:val="24"/>
              </w:rPr>
            </w:pPr>
          </w:p>
        </w:tc>
        <w:tc>
          <w:tcPr>
            <w:tcW w:w="494"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海水产品</w:t>
            </w:r>
          </w:p>
        </w:tc>
        <w:tc>
          <w:tcPr>
            <w:tcW w:w="451"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海水鱼</w:t>
            </w:r>
          </w:p>
        </w:tc>
        <w:tc>
          <w:tcPr>
            <w:tcW w:w="939"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恩诺沙星</w:t>
            </w:r>
          </w:p>
        </w:tc>
        <w:tc>
          <w:tcPr>
            <w:tcW w:w="2283" w:type="pct"/>
            <w:noWrap/>
            <w:vAlign w:val="center"/>
          </w:tcPr>
          <w:p>
            <w:pPr>
              <w:widowControl/>
              <w:overflowPunct w:val="0"/>
              <w:spacing w:line="27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挥发性盐基氮、组胺、镉（以 Cd 计）、多氯联苯、孔雀石绿、氯霉素、呋喃唑酮代谢物、呋喃它酮代谢物、呋喃西林代谢物、磺胺类（总量）、土霉素/金霉素/四环素（组合含量）、甲氧苄啶、甲硝唑、五氯酚酸钠（以五氯酚计）、氧氟沙星、培氟沙星、诺氟沙星</w:t>
            </w:r>
          </w:p>
        </w:tc>
        <w:tc>
          <w:tcPr>
            <w:tcW w:w="356" w:type="pct"/>
            <w:noWrap/>
            <w:vAlign w:val="center"/>
          </w:tcPr>
          <w:p>
            <w:pPr>
              <w:widowControl/>
              <w:overflowPunct w:val="0"/>
              <w:spacing w:line="27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270" w:lineRule="exact"/>
              <w:jc w:val="center"/>
              <w:rPr>
                <w:rFonts w:ascii="仿宋_GB2312" w:hAnsi="仿宋_GB2312" w:eastAsia="仿宋_GB2312" w:cs="仿宋_GB2312"/>
                <w:sz w:val="24"/>
              </w:rPr>
            </w:pPr>
          </w:p>
        </w:tc>
        <w:tc>
          <w:tcPr>
            <w:tcW w:w="494"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其他水产品</w:t>
            </w:r>
          </w:p>
        </w:tc>
        <w:tc>
          <w:tcPr>
            <w:tcW w:w="451"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其他水产品（重点品种：牛蛙）</w:t>
            </w:r>
          </w:p>
        </w:tc>
        <w:tc>
          <w:tcPr>
            <w:tcW w:w="939" w:type="pct"/>
            <w:noWrap/>
            <w:vAlign w:val="center"/>
          </w:tcPr>
          <w:p>
            <w:pPr>
              <w:widowControl/>
              <w:overflowPunct w:val="0"/>
              <w:spacing w:line="27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恩诺沙星</w:t>
            </w:r>
            <w:r>
              <w:rPr>
                <w:rFonts w:hint="eastAsia" w:ascii="仿宋_GB2312" w:hAnsi="仿宋_GB2312" w:eastAsia="仿宋_GB2312" w:cs="仿宋_GB2312"/>
                <w:sz w:val="24"/>
                <w:vertAlign w:val="superscript"/>
              </w:rPr>
              <w:t>a</w:t>
            </w:r>
            <w:r>
              <w:rPr>
                <w:rFonts w:hint="eastAsia" w:ascii="仿宋_GB2312" w:hAnsi="仿宋_GB2312" w:eastAsia="仿宋_GB2312" w:cs="仿宋_GB2312"/>
                <w:sz w:val="24"/>
              </w:rPr>
              <w:t>、呋喃唑酮代谢物、呋喃西林代谢物</w:t>
            </w:r>
          </w:p>
        </w:tc>
        <w:tc>
          <w:tcPr>
            <w:tcW w:w="2283" w:type="pct"/>
            <w:noWrap/>
            <w:vAlign w:val="center"/>
          </w:tcPr>
          <w:p>
            <w:pPr>
              <w:widowControl/>
              <w:overflowPunct w:val="0"/>
              <w:spacing w:line="27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镉（以Cd计）、孔雀石绿、氯霉素、呋喃妥因代谢物、磺胺类（总量）、氟苯尼考a 、甲硝唑a 、氧氟沙星、诺氟沙星</w:t>
            </w:r>
          </w:p>
        </w:tc>
        <w:tc>
          <w:tcPr>
            <w:tcW w:w="356" w:type="pct"/>
            <w:noWrap/>
            <w:vAlign w:val="center"/>
          </w:tcPr>
          <w:p>
            <w:pPr>
              <w:widowControl/>
              <w:overflowPunct w:val="0"/>
              <w:spacing w:line="27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a.仅蛙科、鳖科食品动物检测b.限头足类、腹足类、棘皮类检测。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restar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水果类</w:t>
            </w:r>
          </w:p>
        </w:tc>
        <w:tc>
          <w:tcPr>
            <w:tcW w:w="494"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柑橘类水果</w:t>
            </w: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柑、橘</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丙溴磷、苯醚甲环唑、联苯菊酯</w:t>
            </w:r>
          </w:p>
        </w:tc>
        <w:tc>
          <w:tcPr>
            <w:tcW w:w="2283" w:type="pct"/>
            <w:noWrap/>
            <w:vAlign w:val="center"/>
          </w:tcPr>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克百威、氯唑磷、三唑磷、水胺硫磷、氧乐果、氯氟氰菊酯和高效氯氟氰菊酯、甲拌磷、2，4-滴和 2，4-滴钠盐、狄氏剂、毒死蜱、杀扑磷</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77" w:type="pct"/>
            <w:vMerge w:val="continue"/>
            <w:noWrap/>
            <w:vAlign w:val="center"/>
          </w:tcPr>
          <w:p>
            <w:pPr>
              <w:overflowPunct w:val="0"/>
              <w:spacing w:line="300" w:lineRule="exact"/>
              <w:jc w:val="center"/>
              <w:rPr>
                <w:rFonts w:ascii="仿宋_GB2312" w:hAnsi="仿宋_GB2312" w:eastAsia="仿宋_GB2312" w:cs="仿宋_GB2312"/>
                <w:sz w:val="24"/>
              </w:rPr>
            </w:pPr>
          </w:p>
        </w:tc>
        <w:tc>
          <w:tcPr>
            <w:tcW w:w="494" w:type="pct"/>
            <w:vMerge w:val="restar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浆果和其他小型水果</w:t>
            </w: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弥猴桃</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氯吡脲</w:t>
            </w:r>
          </w:p>
        </w:tc>
        <w:tc>
          <w:tcPr>
            <w:tcW w:w="2283" w:type="pct"/>
            <w:noWrap/>
            <w:vAlign w:val="center"/>
          </w:tcPr>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多菌灵、敌敌畏、氧乐果</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300" w:lineRule="exact"/>
              <w:jc w:val="center"/>
              <w:rPr>
                <w:rFonts w:ascii="仿宋_GB2312" w:hAnsi="仿宋_GB2312" w:eastAsia="仿宋_GB2312" w:cs="仿宋_GB2312"/>
                <w:sz w:val="24"/>
              </w:rPr>
            </w:pPr>
          </w:p>
        </w:tc>
        <w:tc>
          <w:tcPr>
            <w:tcW w:w="494" w:type="pct"/>
            <w:vMerge w:val="continue"/>
            <w:noWrap/>
            <w:vAlign w:val="center"/>
          </w:tcPr>
          <w:p>
            <w:pPr>
              <w:widowControl/>
              <w:overflowPunct w:val="0"/>
              <w:spacing w:line="300" w:lineRule="exact"/>
              <w:jc w:val="center"/>
              <w:textAlignment w:val="center"/>
              <w:rPr>
                <w:rFonts w:ascii="仿宋_GB2312" w:hAnsi="仿宋_GB2312" w:eastAsia="仿宋_GB2312" w:cs="仿宋_GB2312"/>
                <w:sz w:val="24"/>
              </w:rPr>
            </w:pP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草莓</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烯酰吗啉</w:t>
            </w:r>
          </w:p>
        </w:tc>
        <w:tc>
          <w:tcPr>
            <w:tcW w:w="2283" w:type="pct"/>
            <w:noWrap/>
            <w:vAlign w:val="center"/>
          </w:tcPr>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阿维菌素、敌敌畏、多菌灵、克百威、氧乐果、戊菌唑、吡虫啉、乙酰甲胺磷</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300" w:lineRule="exact"/>
              <w:jc w:val="center"/>
              <w:rPr>
                <w:rFonts w:ascii="仿宋_GB2312" w:hAnsi="仿宋_GB2312" w:eastAsia="仿宋_GB2312" w:cs="仿宋_GB2312"/>
                <w:sz w:val="24"/>
              </w:rPr>
            </w:pPr>
          </w:p>
        </w:tc>
        <w:tc>
          <w:tcPr>
            <w:tcW w:w="494" w:type="pct"/>
            <w:vMerge w:val="continue"/>
            <w:noWrap/>
            <w:vAlign w:val="center"/>
          </w:tcPr>
          <w:p>
            <w:pPr>
              <w:widowControl/>
              <w:overflowPunct w:val="0"/>
              <w:spacing w:line="300" w:lineRule="exact"/>
              <w:jc w:val="center"/>
              <w:textAlignment w:val="center"/>
              <w:rPr>
                <w:rFonts w:ascii="仿宋_GB2312" w:hAnsi="仿宋_GB2312" w:eastAsia="仿宋_GB2312" w:cs="仿宋_GB2312"/>
                <w:sz w:val="24"/>
              </w:rPr>
            </w:pP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桑葚</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脱氢乙酸及其钠盐</w:t>
            </w:r>
          </w:p>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（以脱氢乙酸计）、糖</w:t>
            </w:r>
          </w:p>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精钠（以糖精计）</w:t>
            </w:r>
          </w:p>
        </w:tc>
        <w:tc>
          <w:tcPr>
            <w:tcW w:w="2283" w:type="pct"/>
            <w:noWrap/>
            <w:vAlign w:val="center"/>
          </w:tcPr>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苯甲酸及其钠盐（以苯甲酸计）、山梨酸及其钾盐（以山梨酸计）、三氯蔗糖、甜蜜素（以环己基氨基磺酸计）、多菌灵</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300" w:lineRule="exact"/>
              <w:jc w:val="center"/>
              <w:rPr>
                <w:rFonts w:ascii="仿宋_GB2312" w:hAnsi="仿宋_GB2312" w:eastAsia="仿宋_GB2312" w:cs="仿宋_GB2312"/>
                <w:sz w:val="24"/>
              </w:rPr>
            </w:pPr>
          </w:p>
        </w:tc>
        <w:tc>
          <w:tcPr>
            <w:tcW w:w="494" w:type="pct"/>
            <w:vMerge w:val="restar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热带和亚热带水果</w:t>
            </w: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香蕉</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吡虫啉、噻虫嗪、噻虫胺、腈苯唑</w:t>
            </w:r>
          </w:p>
        </w:tc>
        <w:tc>
          <w:tcPr>
            <w:tcW w:w="2283" w:type="pct"/>
            <w:noWrap/>
            <w:vAlign w:val="center"/>
          </w:tcPr>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苯醚甲环唑、吡唑醚菌酯、多菌灵、氟虫腈、甲拌磷、氟环唑、联苯菊酯、烯唑醇、百菌清、噻唑膦、狄氏剂</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300" w:lineRule="exact"/>
              <w:jc w:val="center"/>
              <w:rPr>
                <w:rFonts w:ascii="仿宋_GB2312" w:hAnsi="仿宋_GB2312" w:eastAsia="仿宋_GB2312" w:cs="仿宋_GB2312"/>
                <w:sz w:val="24"/>
              </w:rPr>
            </w:pPr>
          </w:p>
        </w:tc>
        <w:tc>
          <w:tcPr>
            <w:tcW w:w="494" w:type="pct"/>
            <w:vMerge w:val="continue"/>
            <w:noWrap/>
            <w:vAlign w:val="center"/>
          </w:tcPr>
          <w:p>
            <w:pPr>
              <w:widowControl/>
              <w:overflowPunct w:val="0"/>
              <w:spacing w:line="300" w:lineRule="exact"/>
              <w:jc w:val="center"/>
              <w:textAlignment w:val="center"/>
              <w:rPr>
                <w:rFonts w:ascii="仿宋_GB2312" w:hAnsi="仿宋_GB2312" w:eastAsia="仿宋_GB2312" w:cs="仿宋_GB2312"/>
                <w:sz w:val="24"/>
              </w:rPr>
            </w:pP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芒果</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吡唑醚菌酯、噻虫胺</w:t>
            </w:r>
          </w:p>
        </w:tc>
        <w:tc>
          <w:tcPr>
            <w:tcW w:w="2283" w:type="pct"/>
            <w:noWrap/>
            <w:vAlign w:val="center"/>
          </w:tcPr>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苯醚甲环唑、多菌灵、戊唑醇、氧乐果、乙酰甲胺磷、吡虫啉、噻虫嗪、噻嗪酮</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300" w:lineRule="exact"/>
              <w:jc w:val="center"/>
              <w:rPr>
                <w:rFonts w:ascii="仿宋_GB2312" w:hAnsi="仿宋_GB2312" w:eastAsia="仿宋_GB2312" w:cs="仿宋_GB2312"/>
                <w:sz w:val="24"/>
              </w:rPr>
            </w:pPr>
          </w:p>
        </w:tc>
        <w:tc>
          <w:tcPr>
            <w:tcW w:w="494" w:type="pct"/>
            <w:vMerge w:val="continue"/>
            <w:noWrap/>
            <w:vAlign w:val="center"/>
          </w:tcPr>
          <w:p>
            <w:pPr>
              <w:overflowPunct w:val="0"/>
              <w:spacing w:line="300" w:lineRule="exact"/>
              <w:jc w:val="center"/>
              <w:rPr>
                <w:rFonts w:ascii="仿宋_GB2312" w:hAnsi="仿宋_GB2312" w:eastAsia="仿宋_GB2312" w:cs="仿宋_GB2312"/>
                <w:sz w:val="24"/>
              </w:rPr>
            </w:pP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荔枝</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吡唑醚菌酯、氯氟氰菊酯和高效氯氟氰菊酯</w:t>
            </w:r>
          </w:p>
        </w:tc>
        <w:tc>
          <w:tcPr>
            <w:tcW w:w="2283" w:type="pct"/>
            <w:noWrap/>
            <w:vAlign w:val="center"/>
          </w:tcPr>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多菌灵、氧乐果、毒死蜱、苯醚甲环唑、氯氰菊酯和高效氯氰菊酯、除虫脲、氰霜唑、氟吗啉</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vMerge w:val="continue"/>
            <w:noWrap/>
            <w:vAlign w:val="center"/>
          </w:tcPr>
          <w:p>
            <w:pPr>
              <w:overflowPunct w:val="0"/>
              <w:spacing w:line="300" w:lineRule="exact"/>
              <w:jc w:val="center"/>
              <w:rPr>
                <w:rFonts w:ascii="仿宋_GB2312" w:hAnsi="仿宋_GB2312" w:eastAsia="仿宋_GB2312" w:cs="仿宋_GB2312"/>
                <w:sz w:val="24"/>
              </w:rPr>
            </w:pPr>
          </w:p>
        </w:tc>
        <w:tc>
          <w:tcPr>
            <w:tcW w:w="494" w:type="pct"/>
            <w:vMerge w:val="continue"/>
            <w:noWrap/>
            <w:vAlign w:val="center"/>
          </w:tcPr>
          <w:p>
            <w:pPr>
              <w:overflowPunct w:val="0"/>
              <w:spacing w:line="300" w:lineRule="exact"/>
              <w:jc w:val="center"/>
              <w:rPr>
                <w:rFonts w:ascii="仿宋_GB2312" w:hAnsi="仿宋_GB2312" w:eastAsia="仿宋_GB2312" w:cs="仿宋_GB2312"/>
                <w:sz w:val="24"/>
              </w:rPr>
            </w:pP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杨梅</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脱氢乙酸及其钠盐</w:t>
            </w:r>
          </w:p>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（以脱氢乙酸计）、糖</w:t>
            </w:r>
          </w:p>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精钠（以糖精计）</w:t>
            </w:r>
          </w:p>
        </w:tc>
        <w:tc>
          <w:tcPr>
            <w:tcW w:w="2283" w:type="pct"/>
            <w:noWrap/>
            <w:vAlign w:val="center"/>
          </w:tcPr>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苯甲酸及其钠盐（以苯甲酸计）、山梨酸及其钾盐（以山梨酸计）、三氯蔗糖、甜蜜素（以环己基氨基磺酸计）、敌敌畏、氧乐果</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鲜蛋</w:t>
            </w:r>
          </w:p>
        </w:tc>
        <w:tc>
          <w:tcPr>
            <w:tcW w:w="494"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鲜蛋</w:t>
            </w: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鸡蛋</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甲硝唑、甲氧苄啶、</w:t>
            </w:r>
          </w:p>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多西环素</w:t>
            </w:r>
          </w:p>
        </w:tc>
        <w:tc>
          <w:tcPr>
            <w:tcW w:w="2283" w:type="pct"/>
            <w:noWrap/>
            <w:vAlign w:val="center"/>
          </w:tcPr>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地美硝唑、呋喃唑酮代谢物、氟虫腈、氯霉素、氟苯尼考、甲砜霉素、恩诺沙星、氧氟沙星、沙拉沙星、磺胺类（总量）、地克珠利、托曲珠利</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477"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生干坚果与籽类食品</w:t>
            </w:r>
          </w:p>
        </w:tc>
        <w:tc>
          <w:tcPr>
            <w:tcW w:w="494"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生干坚果与籽类食品</w:t>
            </w:r>
          </w:p>
        </w:tc>
        <w:tc>
          <w:tcPr>
            <w:tcW w:w="451"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生干籽类</w:t>
            </w:r>
          </w:p>
        </w:tc>
        <w:tc>
          <w:tcPr>
            <w:tcW w:w="939" w:type="pct"/>
            <w:noWrap/>
            <w:vAlign w:val="center"/>
          </w:tcPr>
          <w:p>
            <w:pPr>
              <w:widowControl/>
              <w:overflowPunct w:val="0"/>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酸价（以脂肪计）（KOH）、黄曲霉毒素B1（重点品种：花生）</w:t>
            </w:r>
          </w:p>
        </w:tc>
        <w:tc>
          <w:tcPr>
            <w:tcW w:w="2283" w:type="pct"/>
            <w:noWrap/>
            <w:vAlign w:val="center"/>
          </w:tcPr>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过氧化值（以脂肪计）、铅（以 Pb 计）、镉（以 Cd 计）、噻虫嗪</w:t>
            </w:r>
          </w:p>
        </w:tc>
        <w:tc>
          <w:tcPr>
            <w:tcW w:w="356" w:type="pct"/>
            <w:noWrap/>
            <w:vAlign w:val="center"/>
          </w:tcPr>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仅花生检测黄曲霉毒素B1。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rPr>
        <w:tc>
          <w:tcPr>
            <w:tcW w:w="5000" w:type="pct"/>
            <w:gridSpan w:val="6"/>
            <w:noWrap/>
            <w:vAlign w:val="center"/>
          </w:tcPr>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注: 1.部分项目检测结果说明:恩诺沙星检验结果以恩诺沙星与环丙沙星之和计;孔雀石绿检验结果以孔雀石绿与隐色孔雀石绿之和计，以孔雀石绿表示;磺胺类（总量）包含的具体磺胺药物按国家食品安全监督抽检实施细则（2024 年版）中相应食品类别要求检验。</w:t>
            </w:r>
          </w:p>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2.酸价、过氧化值依据 GB19300 判定时，样品前处理按该标准附录 B 规定;脂肪含量低的莲子、板栗类等食品，其酸价、过氧化值不作要求;其中芝麻的酸价不纳入2024年监督抽检。</w:t>
            </w:r>
          </w:p>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3.海水蟹、虾蛄中镉（以 Cd 计）仅限生产日期在 2023 年 6 月 30 日（含）之后的产品检测。</w:t>
            </w:r>
          </w:p>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4.可选项目选择原则:</w:t>
            </w:r>
          </w:p>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1）金刚烷胺、利巴韦林等药物在相关限量标准发布实施前不得纳入监督抽检;鉴于检测方法等问题，虾、蟹中呋喃西林代谢物不纳入监督抽检。</w:t>
            </w:r>
          </w:p>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2）可选项目应根据当地农业投入品使用情况及既往抽检不合格、当地舆情等情况选择，如在本表可选项目之外确定检测项目时，应注意:农药残留项目在GB 2763-2021、GB 2763.1-2022 标准中有该品种最大允许残留限量及相应指定检测方法;兽药项目GB 31650-2019、GB 31650.1-2022有该动物类别相应组织部位的允许限量，或农业农村部公告 250 号有禁用要求，且有适用检测方法（检测范围应包含该动物及相应组织部位），符合上述要求的农兽药项目方可纳入监督抽检。</w:t>
            </w:r>
          </w:p>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5.因生干籽类细类中包含除重点品种花生外的其他生干籽类产品，其他水产品中包含除重点品种牛蛙、鱿鱼外的其他水产品，因此“国抽信息系统”不作必检项限制，但各承检机构应按承检区域必检项目要求实施检验，不得漏检漏报。</w:t>
            </w:r>
          </w:p>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6.抽样前，应制定抽样方案，抽取样品量、检验及复检备份所需样品量应根据采用的检测方法标准要求确定。</w:t>
            </w:r>
          </w:p>
          <w:p>
            <w:pPr>
              <w:widowControl/>
              <w:overflowPunct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7.2024年3月6日（含）起，铅（以Pb计）应采用 GB5009.12-2023检测，镉（以Cd计）应采用GB5009.15-2023检测，铬（以Cr计）应采用GB5009.123-2023检测，过氧化值（以脂肪计）应采用 GB 5009.227-2023 检测，三氯蔗糖应采用GB5009.298-2023检测，甜蜜素（以环己基氨基磺酸计）限2024年3月6日（含）之后检测。</w:t>
            </w:r>
          </w:p>
        </w:tc>
      </w:tr>
    </w:tbl>
    <w:p>
      <w:pPr>
        <w:pStyle w:val="19"/>
        <w:ind w:left="440" w:firstLine="600"/>
        <w:rPr>
          <w:lang w:val="en-US"/>
        </w:rPr>
      </w:pPr>
    </w:p>
    <w:p>
      <w:pPr>
        <w:rPr>
          <w:lang w:val="en-US"/>
        </w:rPr>
      </w:pPr>
    </w:p>
    <w:p>
      <w:pPr>
        <w:pStyle w:val="18"/>
        <w:ind w:firstLine="240"/>
        <w:rPr>
          <w:lang w:val="en-US"/>
        </w:rPr>
      </w:pPr>
    </w:p>
    <w:p>
      <w:pPr>
        <w:pStyle w:val="19"/>
        <w:ind w:left="440" w:firstLine="600"/>
        <w:rPr>
          <w:lang w:val="en-US"/>
        </w:rPr>
      </w:pPr>
    </w:p>
    <w:p>
      <w:pPr>
        <w:rPr>
          <w:lang w:val="en-US"/>
        </w:rPr>
      </w:pPr>
    </w:p>
    <w:p>
      <w:pPr>
        <w:pStyle w:val="18"/>
        <w:ind w:firstLine="240"/>
        <w:rPr>
          <w:lang w:val="en-US"/>
        </w:rPr>
      </w:pPr>
    </w:p>
    <w:p>
      <w:pPr>
        <w:pStyle w:val="6"/>
        <w:spacing w:line="336" w:lineRule="auto"/>
        <w:ind w:left="0" w:leftChars="0" w:firstLine="482" w:firstLineChars="200"/>
        <w:rPr>
          <w:rFonts w:ascii="仿宋" w:hAnsi="仿宋" w:eastAsia="仿宋" w:cs="仿宋"/>
          <w:b/>
          <w:bCs/>
          <w:snapToGrid w:val="0"/>
          <w:sz w:val="24"/>
          <w:szCs w:val="24"/>
          <w:lang w:val="en-US"/>
        </w:rPr>
      </w:pPr>
      <w:r>
        <w:rPr>
          <w:rFonts w:ascii="仿宋" w:hAnsi="仿宋" w:eastAsia="仿宋" w:cs="仿宋"/>
          <w:b/>
          <w:bCs/>
          <w:snapToGrid w:val="0"/>
          <w:sz w:val="24"/>
          <w:szCs w:val="24"/>
          <w:lang w:val="en-US"/>
        </w:rPr>
        <w:t xml:space="preserve">三、其他要求 </w:t>
      </w:r>
    </w:p>
    <w:p>
      <w:pPr>
        <w:pStyle w:val="6"/>
        <w:spacing w:line="336" w:lineRule="auto"/>
        <w:ind w:left="0" w:leftChars="0" w:firstLine="480" w:firstLineChars="200"/>
        <w:rPr>
          <w:rFonts w:ascii="仿宋" w:hAnsi="仿宋" w:eastAsia="仿宋" w:cs="仿宋"/>
          <w:snapToGrid w:val="0"/>
          <w:sz w:val="24"/>
          <w:szCs w:val="24"/>
          <w:lang w:val="en-US"/>
        </w:rPr>
      </w:pPr>
      <w:r>
        <w:rPr>
          <w:rFonts w:ascii="仿宋" w:hAnsi="仿宋" w:eastAsia="仿宋" w:cs="仿宋"/>
          <w:snapToGrid w:val="0"/>
          <w:sz w:val="24"/>
          <w:szCs w:val="24"/>
          <w:lang w:val="en-US"/>
        </w:rPr>
        <w:t xml:space="preserve">1、付款方式：由招标人付款，招标人对中标人的食品抽检计划完成情况予以审核确认，确认合格后支付抽检费用。 </w:t>
      </w:r>
    </w:p>
    <w:p>
      <w:pPr>
        <w:pStyle w:val="6"/>
        <w:spacing w:line="336" w:lineRule="auto"/>
        <w:ind w:left="0" w:leftChars="0" w:firstLine="480" w:firstLineChars="200"/>
        <w:rPr>
          <w:rFonts w:ascii="仿宋" w:hAnsi="仿宋" w:eastAsia="仿宋" w:cs="仿宋"/>
          <w:snapToGrid w:val="0"/>
          <w:sz w:val="24"/>
          <w:szCs w:val="24"/>
          <w:lang w:val="en-US"/>
        </w:rPr>
      </w:pPr>
      <w:r>
        <w:rPr>
          <w:rFonts w:ascii="仿宋" w:hAnsi="仿宋" w:eastAsia="仿宋" w:cs="仿宋"/>
          <w:snapToGrid w:val="0"/>
          <w:sz w:val="24"/>
          <w:szCs w:val="24"/>
          <w:lang w:val="en-US"/>
        </w:rPr>
        <w:t>2、履约验收：招标人根据国家有关规定、招标文件、中标人的投标文件以及合同约定的内容和验收标准进行验收。验收情况作为支付货款的依据。</w:t>
      </w:r>
      <w:r>
        <w:rPr>
          <w:rFonts w:hint="eastAsia" w:ascii="仿宋" w:hAnsi="仿宋" w:eastAsia="仿宋" w:cs="仿宋"/>
          <w:snapToGrid w:val="0"/>
          <w:sz w:val="24"/>
          <w:szCs w:val="24"/>
          <w:lang w:val="en-US"/>
        </w:rPr>
        <w:t>如有异议，以相关质量技术检验检测机构的检验结果为准，如产生检验检测费用，则该费用由过失方承担。</w:t>
      </w:r>
    </w:p>
    <w:p>
      <w:pPr>
        <w:pStyle w:val="6"/>
        <w:spacing w:line="336" w:lineRule="auto"/>
        <w:ind w:left="0" w:leftChars="0" w:firstLine="480" w:firstLineChars="200"/>
        <w:rPr>
          <w:rFonts w:ascii="仿宋" w:hAnsi="仿宋" w:eastAsia="仿宋" w:cs="仿宋"/>
          <w:snapToGrid w:val="0"/>
          <w:sz w:val="24"/>
          <w:szCs w:val="24"/>
          <w:lang w:val="en-US"/>
        </w:rPr>
      </w:pPr>
      <w:r>
        <w:rPr>
          <w:rFonts w:ascii="仿宋" w:hAnsi="仿宋" w:eastAsia="仿宋" w:cs="仿宋"/>
          <w:snapToGrid w:val="0"/>
          <w:sz w:val="24"/>
          <w:szCs w:val="24"/>
          <w:lang w:val="en-US"/>
        </w:rPr>
        <w:t xml:space="preserve">3、投标有效期：提交投标文件截止时间后90天，有效期短于该期限的投标将被拒绝。 </w:t>
      </w:r>
    </w:p>
    <w:p>
      <w:pPr>
        <w:pStyle w:val="6"/>
        <w:spacing w:line="336" w:lineRule="auto"/>
        <w:ind w:left="0" w:leftChars="0" w:firstLine="480" w:firstLineChars="200"/>
        <w:rPr>
          <w:rFonts w:ascii="仿宋" w:hAnsi="仿宋" w:eastAsia="仿宋" w:cs="仿宋"/>
          <w:snapToGrid w:val="0"/>
          <w:sz w:val="24"/>
          <w:szCs w:val="24"/>
          <w:lang w:val="en-US"/>
        </w:rPr>
      </w:pPr>
      <w:r>
        <w:rPr>
          <w:rFonts w:ascii="仿宋" w:hAnsi="仿宋" w:eastAsia="仿宋" w:cs="仿宋"/>
          <w:snapToGrid w:val="0"/>
          <w:sz w:val="24"/>
          <w:szCs w:val="24"/>
          <w:lang w:val="en-US"/>
        </w:rPr>
        <w:t>4、本服务过程中不允许分包或转包服务行为。</w:t>
      </w:r>
    </w:p>
    <w:p>
      <w:pPr>
        <w:pStyle w:val="19"/>
        <w:ind w:left="440" w:firstLine="600"/>
        <w:rPr>
          <w:lang w:val="en-US"/>
        </w:rPr>
      </w:pPr>
    </w:p>
    <w:p>
      <w:pPr>
        <w:rPr>
          <w:lang w:val="en-US"/>
        </w:rPr>
      </w:pPr>
    </w:p>
    <w:p>
      <w:pPr>
        <w:pStyle w:val="18"/>
        <w:ind w:firstLine="240"/>
        <w:rPr>
          <w:lang w:val="en-US"/>
        </w:rPr>
      </w:pPr>
    </w:p>
    <w:p>
      <w:pPr>
        <w:pStyle w:val="19"/>
        <w:ind w:left="440" w:firstLine="600"/>
        <w:rPr>
          <w:lang w:val="en-US"/>
        </w:rPr>
      </w:pPr>
    </w:p>
    <w:p>
      <w:pPr>
        <w:rPr>
          <w:lang w:val="en-US"/>
        </w:rPr>
      </w:pPr>
    </w:p>
    <w:p>
      <w:pPr>
        <w:pStyle w:val="18"/>
        <w:ind w:firstLine="240"/>
        <w:rPr>
          <w:lang w:val="en-US"/>
        </w:rPr>
      </w:pPr>
    </w:p>
    <w:p>
      <w:pPr>
        <w:pStyle w:val="19"/>
        <w:ind w:left="440" w:firstLine="600"/>
        <w:rPr>
          <w:lang w:val="en-US"/>
        </w:rPr>
      </w:pPr>
    </w:p>
    <w:p>
      <w:pPr>
        <w:rPr>
          <w:lang w:val="en-US"/>
        </w:rPr>
      </w:pPr>
    </w:p>
    <w:p>
      <w:pPr>
        <w:rPr>
          <w:lang w:val="en-US"/>
        </w:rPr>
      </w:pPr>
    </w:p>
    <w:p>
      <w:pPr>
        <w:rPr>
          <w:lang w:val="en-US"/>
        </w:rPr>
      </w:pPr>
    </w:p>
    <w:p>
      <w:pPr>
        <w:rPr>
          <w:rFonts w:ascii="仿宋" w:hAnsi="仿宋" w:eastAsia="仿宋" w:cs="仿宋"/>
          <w:b/>
          <w:bCs/>
          <w:snapToGrid w:val="0"/>
          <w:sz w:val="32"/>
          <w:szCs w:val="32"/>
          <w:lang w:val="en-US"/>
        </w:rPr>
      </w:pPr>
      <w:bookmarkStart w:id="67" w:name="_Toc29594"/>
      <w:bookmarkStart w:id="68" w:name="_Toc15313"/>
      <w:r>
        <w:rPr>
          <w:rFonts w:hint="eastAsia" w:ascii="仿宋" w:hAnsi="仿宋" w:eastAsia="仿宋" w:cs="仿宋"/>
          <w:b/>
          <w:bCs/>
          <w:snapToGrid w:val="0"/>
          <w:sz w:val="32"/>
          <w:szCs w:val="32"/>
          <w:lang w:val="en-US"/>
        </w:rPr>
        <w:br w:type="page"/>
      </w:r>
    </w:p>
    <w:p>
      <w:pPr>
        <w:spacing w:line="360" w:lineRule="auto"/>
        <w:jc w:val="center"/>
        <w:outlineLvl w:val="0"/>
        <w:rPr>
          <w:rFonts w:ascii="仿宋" w:hAnsi="仿宋" w:eastAsia="仿宋" w:cs="仿宋"/>
          <w:b/>
          <w:bCs/>
          <w:snapToGrid w:val="0"/>
          <w:sz w:val="32"/>
          <w:szCs w:val="32"/>
          <w:lang w:val="en-US"/>
        </w:rPr>
      </w:pPr>
      <w:r>
        <w:rPr>
          <w:rFonts w:hint="eastAsia" w:ascii="仿宋" w:hAnsi="仿宋" w:eastAsia="仿宋" w:cs="仿宋"/>
          <w:b/>
          <w:bCs/>
          <w:snapToGrid w:val="0"/>
          <w:sz w:val="32"/>
          <w:szCs w:val="32"/>
          <w:lang w:val="en-US"/>
        </w:rPr>
        <w:t>第四章 合 同</w:t>
      </w:r>
      <w:bookmarkEnd w:id="67"/>
      <w:bookmarkEnd w:id="68"/>
    </w:p>
    <w:p>
      <w:pPr>
        <w:pStyle w:val="6"/>
        <w:ind w:left="0" w:leftChars="0"/>
        <w:rPr>
          <w:lang w:val="en-US"/>
        </w:rPr>
      </w:pPr>
    </w:p>
    <w:p>
      <w:pPr>
        <w:pStyle w:val="6"/>
        <w:spacing w:line="360" w:lineRule="auto"/>
        <w:ind w:left="440" w:firstLine="240" w:firstLineChars="1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双方应根据招标文件、中标通知书、中标人的投标文件（包括澄清说明）， 以及与本项目招标相关的资料签订采购合同。所签订的合同不得背离招标文件的实质性内容要求和投标文件的承诺。使用或参考《洛阳市市级政府服务类采购合同范本》签订合同。</w:t>
      </w:r>
    </w:p>
    <w:p>
      <w:pPr>
        <w:rPr>
          <w:lang w:val="en-US"/>
        </w:rPr>
      </w:pP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《洛阳市市级政府服务类采购合同范本》下载地址：</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洛阳市政府采购网（</w:t>
      </w:r>
      <w:r>
        <w:fldChar w:fldCharType="begin"/>
      </w:r>
      <w:r>
        <w:instrText xml:space="preserve"> HYPERLINK "http://luoyang.hngp.gov.cn/" \h </w:instrText>
      </w:r>
      <w:r>
        <w:fldChar w:fldCharType="separate"/>
      </w:r>
      <w:r>
        <w:rPr>
          <w:rFonts w:hint="eastAsia" w:ascii="仿宋" w:hAnsi="仿宋" w:eastAsia="仿宋" w:cs="仿宋"/>
          <w:snapToGrid w:val="0"/>
          <w:sz w:val="24"/>
          <w:szCs w:val="24"/>
          <w:lang w:val="en-US"/>
        </w:rPr>
        <w:t>http://luoyang.hngp.gov.cn/</w:t>
      </w:r>
      <w:r>
        <w:rPr>
          <w:rFonts w:hint="eastAsia" w:ascii="仿宋" w:hAnsi="仿宋" w:eastAsia="仿宋" w:cs="仿宋"/>
          <w:snapToGrid w:val="0"/>
          <w:sz w:val="24"/>
          <w:szCs w:val="24"/>
          <w:lang w:val="en-US"/>
        </w:rPr>
        <w:fldChar w:fldCharType="end"/>
      </w:r>
      <w:r>
        <w:rPr>
          <w:rFonts w:hint="eastAsia" w:ascii="仿宋" w:hAnsi="仿宋" w:eastAsia="仿宋" w:cs="仿宋"/>
          <w:snapToGrid w:val="0"/>
          <w:sz w:val="24"/>
          <w:szCs w:val="24"/>
          <w:lang w:val="en-US"/>
        </w:rPr>
        <w:t>）首页“文件下载”栏。</w:t>
      </w:r>
    </w:p>
    <w:p>
      <w:pPr>
        <w:pStyle w:val="6"/>
        <w:spacing w:line="360" w:lineRule="auto"/>
        <w:ind w:left="0" w:leftChars="0" w:firstLine="480" w:firstLineChars="200"/>
        <w:rPr>
          <w:rFonts w:ascii="仿宋" w:hAnsi="仿宋" w:eastAsia="仿宋" w:cs="仿宋"/>
          <w:snapToGrid w:val="0"/>
          <w:sz w:val="24"/>
          <w:szCs w:val="24"/>
          <w:lang w:val="en-US"/>
        </w:rPr>
      </w:pP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《洛阳市市级政府采购支持中小微企业信用融资信用担保合作金融机构名单》下载地址： 洛阳市政府采购网（</w:t>
      </w:r>
      <w:r>
        <w:fldChar w:fldCharType="begin"/>
      </w:r>
      <w:r>
        <w:instrText xml:space="preserve"> HYPERLINK "http://luoyang.hngp.gov.cn/" \h </w:instrText>
      </w:r>
      <w:r>
        <w:fldChar w:fldCharType="separate"/>
      </w:r>
      <w:r>
        <w:rPr>
          <w:rFonts w:hint="eastAsia" w:ascii="仿宋" w:hAnsi="仿宋" w:eastAsia="仿宋" w:cs="仿宋"/>
          <w:snapToGrid w:val="0"/>
          <w:sz w:val="24"/>
          <w:szCs w:val="24"/>
          <w:lang w:val="en-US"/>
        </w:rPr>
        <w:t>http://luoyang.hngp.gov.cn/</w:t>
      </w:r>
      <w:r>
        <w:rPr>
          <w:rFonts w:hint="eastAsia" w:ascii="仿宋" w:hAnsi="仿宋" w:eastAsia="仿宋" w:cs="仿宋"/>
          <w:snapToGrid w:val="0"/>
          <w:sz w:val="24"/>
          <w:szCs w:val="24"/>
          <w:lang w:val="en-US"/>
        </w:rPr>
        <w:fldChar w:fldCharType="end"/>
      </w:r>
      <w:r>
        <w:rPr>
          <w:rFonts w:hint="eastAsia" w:ascii="仿宋" w:hAnsi="仿宋" w:eastAsia="仿宋" w:cs="仿宋"/>
          <w:snapToGrid w:val="0"/>
          <w:sz w:val="24"/>
          <w:szCs w:val="24"/>
          <w:lang w:val="en-US"/>
        </w:rPr>
        <w:t>）首页“文件下载”栏。</w:t>
      </w:r>
    </w:p>
    <w:p>
      <w:pPr>
        <w:rPr>
          <w:lang w:val="en-US"/>
        </w:rPr>
        <w:sectPr>
          <w:pgSz w:w="11906" w:h="16838"/>
          <w:pgMar w:top="1134" w:right="1134" w:bottom="1134" w:left="1134" w:header="851" w:footer="992" w:gutter="0"/>
          <w:cols w:space="425" w:num="1"/>
          <w:docGrid w:type="lines" w:linePitch="312" w:charSpace="0"/>
        </w:sectPr>
      </w:pPr>
    </w:p>
    <w:p>
      <w:pPr>
        <w:spacing w:line="360" w:lineRule="auto"/>
        <w:jc w:val="center"/>
        <w:outlineLvl w:val="0"/>
        <w:rPr>
          <w:rFonts w:ascii="仿宋" w:hAnsi="仿宋" w:eastAsia="仿宋" w:cs="仿宋"/>
          <w:b/>
          <w:bCs/>
          <w:snapToGrid w:val="0"/>
          <w:sz w:val="32"/>
          <w:szCs w:val="32"/>
          <w:lang w:val="en-US"/>
        </w:rPr>
      </w:pPr>
      <w:bookmarkStart w:id="69" w:name="_Toc14781"/>
      <w:bookmarkStart w:id="70" w:name="_Toc4604"/>
      <w:r>
        <w:rPr>
          <w:rFonts w:hint="eastAsia" w:ascii="仿宋" w:hAnsi="仿宋" w:eastAsia="仿宋" w:cs="仿宋"/>
          <w:b/>
          <w:bCs/>
          <w:snapToGrid w:val="0"/>
          <w:sz w:val="32"/>
          <w:szCs w:val="32"/>
          <w:lang w:val="en-US"/>
        </w:rPr>
        <w:t>伊川县政府采购合同融资政策告知函</w:t>
      </w:r>
    </w:p>
    <w:p>
      <w:pPr>
        <w:autoSpaceDE/>
        <w:autoSpaceDN/>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autoSpaceDE/>
        <w:autoSpaceDN/>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各供应商：</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欢迎贵公司参与伊川县政府采购活动！</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政府采购合同融资是河南省财政厅支持中小微企业发展， 针对参与政府采购活动的供应商融资难、融资贵问题推出的一项融资政策。贵公司若成为本次政府采购项目的中标成交供应商，可持政府采购合同向金融机构申请贷款，无需抵押、担保，融资机构将根据《洛阳市财政局、中国人民银行洛阳市中心支行关于印发深入推进政府采购合同融资工作实施方案》(洛财购〔2021〕4号 )、《伊川县财政局关于印发政府采购合同融资工作实施方案》（伊财〔2021〕13号），按照双方自愿原则提供便捷、优惠的贷款服务。</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贷款渠道和提供贷款的金融机构，可在河南省政府采购网“河南省政府采购合同融资平台”或伊川县政府采购网（https://luoyang.zfcg.henan.gov.cn/yichuan）查询联系。</w:t>
      </w:r>
    </w:p>
    <w:p>
      <w:pPr>
        <w:autoSpaceDE/>
        <w:autoSpaceDN/>
        <w:ind w:firstLine="480" w:firstLineChars="200"/>
        <w:rPr>
          <w:rFonts w:ascii="仿宋" w:hAnsi="仿宋" w:eastAsia="仿宋" w:cs="仿宋"/>
          <w:snapToGrid w:val="0"/>
          <w:sz w:val="24"/>
          <w:szCs w:val="24"/>
          <w:lang w:val="en-US"/>
        </w:rPr>
      </w:pPr>
    </w:p>
    <w:p>
      <w:pPr>
        <w:autoSpaceDE/>
        <w:autoSpaceDN/>
        <w:ind w:firstLine="480" w:firstLineChars="200"/>
        <w:rPr>
          <w:rFonts w:ascii="仿宋" w:hAnsi="仿宋" w:eastAsia="仿宋" w:cs="仿宋"/>
          <w:snapToGrid w:val="0"/>
          <w:sz w:val="24"/>
          <w:szCs w:val="24"/>
          <w:lang w:val="en-US"/>
        </w:rPr>
      </w:pP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附：《伊川县政府采购合同融资产品推介目录》</w:t>
      </w:r>
    </w:p>
    <w:p>
      <w:pPr>
        <w:autoSpaceDE/>
        <w:autoSpaceDN/>
        <w:ind w:firstLine="480" w:firstLineChars="200"/>
        <w:rPr>
          <w:rFonts w:ascii="仿宋" w:hAnsi="仿宋" w:eastAsia="仿宋" w:cs="仿宋"/>
          <w:snapToGrid w:val="0"/>
          <w:sz w:val="24"/>
          <w:szCs w:val="24"/>
          <w:lang w:val="en-US"/>
        </w:rPr>
      </w:pPr>
    </w:p>
    <w:p>
      <w:pPr>
        <w:autoSpaceDE/>
        <w:autoSpaceDN/>
        <w:rPr>
          <w:rFonts w:ascii="仿宋" w:hAnsi="仿宋" w:eastAsia="仿宋" w:cs="仿宋"/>
          <w:snapToGrid w:val="0"/>
          <w:sz w:val="24"/>
          <w:szCs w:val="24"/>
          <w:lang w:val="en-US"/>
        </w:rPr>
      </w:pPr>
      <w:r>
        <w:rPr>
          <w:rFonts w:hint="eastAsia" w:ascii="仿宋" w:hAnsi="仿宋" w:eastAsia="仿宋" w:cs="仿宋"/>
          <w:snapToGrid w:val="0"/>
          <w:sz w:val="24"/>
          <w:szCs w:val="24"/>
          <w:lang w:val="en-US"/>
        </w:rPr>
        <w:t>附件：</w:t>
      </w:r>
    </w:p>
    <w:p>
      <w:pPr>
        <w:autoSpaceDE/>
        <w:autoSpaceDN/>
        <w:spacing w:line="240" w:lineRule="exact"/>
        <w:rPr>
          <w:rFonts w:ascii="仿宋" w:hAnsi="仿宋" w:eastAsia="仿宋" w:cs="仿宋"/>
          <w:snapToGrid w:val="0"/>
          <w:sz w:val="24"/>
          <w:szCs w:val="24"/>
          <w:lang w:val="en-US"/>
        </w:rPr>
      </w:pPr>
    </w:p>
    <w:p>
      <w:pPr>
        <w:autoSpaceDE/>
        <w:autoSpaceDN/>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中国农业银行“政采e贷”产品介绍</w:t>
      </w:r>
    </w:p>
    <w:p>
      <w:pPr>
        <w:autoSpaceDE/>
        <w:autoSpaceDN/>
        <w:spacing w:line="200" w:lineRule="exact"/>
        <w:ind w:firstLine="480" w:firstLineChars="200"/>
        <w:rPr>
          <w:rFonts w:ascii="仿宋" w:hAnsi="仿宋" w:eastAsia="仿宋" w:cs="仿宋"/>
          <w:snapToGrid w:val="0"/>
          <w:sz w:val="24"/>
          <w:szCs w:val="24"/>
          <w:lang w:val="en-US"/>
        </w:rPr>
      </w:pP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一、产品概况</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政采e贷”业务，是中国农业银行依托河南省政府采购平台的政府采购大数据，基于集中采购机构、采购代理机构或采购人签订的政府采购合同，为履约记录良好的政府采购中标供应商，提供批量、自动、便捷的融资服务。</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二、产品特点</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全线上、纯信用、额度高、利率低、审批快。</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三、产品要素</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1.客户准入条件</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（1）法定代表人年满18周岁且不超过65周岁，非港、澳、台及外籍人士。</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（2）在业务经办行开立账户并以该账户作为融资对应的政府采购合同回款账户。</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（3）公司成立1年（含）以上、履约记录良好的政府采购中标供应商。</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（4）企业已取得政府采购《中标通知书》或已签订《政府采购合同》。</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2.贷款额度</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单笔融资金额不超过中标总金额的70%或政府采购合同总金额的90%，且不超过授信额度（最高1000万元）。</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3.贷款期限</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根据采购合同约定的结算期限确定，最长不超过1年。</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4.贷款利率</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不高于可比同业。</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四、贷款资料</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1.营业执照正、副本复印件</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2.开户许可证复印件</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3.法人身份证复印件</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4.公司章程复印件</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5.中标通知书、合同复印件</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6.贷款办理时获取：①链捷贷业务授权委托书（仅签字盖章）、②个人信息授权书（仅签字盖章）、③④企业和法人征信授权书（仅签字盖章）、⑤股东会决议（两股东盖章、落款处公司盖章）、⑥资金用途承诺书（仅盖章）。</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注：资料1-5需要复印件，加盖公章（多页资料首尾页盖公章、骑缝盖公章）、资料6贷款办理时现场签章即可。</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五、承诺办结时限</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资料齐全情况下，承诺一个工作日办结。</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六、业务受理人员</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主管行长：马豪杰（15729110198）</w:t>
      </w:r>
    </w:p>
    <w:p>
      <w:pPr>
        <w:autoSpaceDE/>
        <w:autoSpaceDN/>
        <w:spacing w:line="580" w:lineRule="exact"/>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客户部主任：张文可（18537961993）</w:t>
      </w:r>
    </w:p>
    <w:p>
      <w:pPr>
        <w:kinsoku w:val="0"/>
        <w:adjustRightInd w:val="0"/>
        <w:snapToGrid w:val="0"/>
        <w:spacing w:line="600" w:lineRule="exact"/>
        <w:jc w:val="center"/>
        <w:textAlignment w:val="baseline"/>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工商银行政采贷</w:t>
      </w:r>
    </w:p>
    <w:p>
      <w:pPr>
        <w:autoSpaceDE/>
        <w:autoSpaceDN/>
        <w:ind w:firstLine="480" w:firstLineChars="200"/>
        <w:rPr>
          <w:rFonts w:ascii="仿宋" w:hAnsi="仿宋" w:eastAsia="仿宋" w:cs="仿宋"/>
          <w:snapToGrid w:val="0"/>
          <w:sz w:val="24"/>
          <w:szCs w:val="24"/>
          <w:lang w:val="en-US"/>
        </w:rPr>
      </w:pP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产品介绍：经营快贷政采快贷场景(简称政采快贷)是 指我行与河南省财政厅、地市级(含)以上公共资源交易中 心合作，采取系统对接、业务互通、信息共享的基础上，面 向参与政府采购活动且中标(成交)的小微企业供应商(简称供应商),以其与采购单位签订的采购合同项下的预期回款作为主要还款来源，为其提供线上化融资产品。产品包括质押增信模式和担保增信模式。</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采购单位准入条件：采购单位为区县(含)级以上政府(含事业单位)预算部门，采购资金来源为财政资金。</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借款人准入条件：</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1、符合我行信贷政策对小型、微型企业的界定标准。</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2、原则上成立时间在1年(含)以上，具有独立承担民事责任的能力，拥有固定经营场所，各类经营证件均在有效期内且正常，包括营业执照以及从事行业所需执照。</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3、有省内政府采购项目中标、合同签订及交易成功记录，且履约良好。</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4、企业生产经营正常，企业自身及企业法定代表人、实际控制人无不良信用记录。</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5、在我行开立结算账户。</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融资额度：质押增信模式最高不超过300万元，担保增信模式最高不超过500万元。</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融资期限：以最近一笔政府中标采购合同中约定的付款 期限为参考依据，包括工程类合同、货物和服务类合同，融资期限最长不超过1年。</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融资利率：融资利率参考最近LPR 确定，目前执行3.65%。</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担保方式：贷款主担保方式为信用，对增信措施为应收 账款质押模式的，须追加借款人与采购单位签订的采购合同项下的应收账款质押。</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还款方式：采用“按月还息，到期还本”等还款方式。</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融资用途：用于企业日常生产经营周转性资金需求，贷款资金不得以任何形式流入资本市场和用于股本权益性投 资、房地产项目开发，不得用于借贷谋取非法收入，以及用于其他国家法律法规明确规定不得经营的项目。</w:t>
      </w:r>
    </w:p>
    <w:p>
      <w:pPr>
        <w:autoSpaceDE/>
        <w:autoSpaceDN/>
        <w:ind w:firstLine="480" w:firstLineChars="200"/>
        <w:rPr>
          <w:rFonts w:ascii="仿宋" w:hAnsi="仿宋" w:eastAsia="仿宋" w:cs="仿宋"/>
          <w:snapToGrid w:val="0"/>
          <w:sz w:val="24"/>
          <w:szCs w:val="24"/>
          <w:lang w:val="en-US"/>
        </w:rPr>
      </w:pP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联系电话：0379-69366508</w:t>
      </w:r>
    </w:p>
    <w:p>
      <w:pPr>
        <w:autoSpaceDE/>
        <w:autoSpaceDN/>
        <w:ind w:firstLine="480" w:firstLineChars="200"/>
        <w:rPr>
          <w:rFonts w:ascii="仿宋" w:hAnsi="仿宋" w:eastAsia="仿宋" w:cs="仿宋"/>
          <w:snapToGrid w:val="0"/>
          <w:sz w:val="24"/>
          <w:szCs w:val="24"/>
          <w:lang w:val="en-US"/>
        </w:rPr>
      </w:pPr>
    </w:p>
    <w:p>
      <w:pPr>
        <w:autoSpaceDE/>
        <w:autoSpaceDN/>
        <w:ind w:firstLine="480" w:firstLineChars="200"/>
        <w:rPr>
          <w:rFonts w:ascii="仿宋" w:hAnsi="仿宋" w:eastAsia="仿宋" w:cs="仿宋"/>
          <w:snapToGrid w:val="0"/>
          <w:sz w:val="24"/>
          <w:szCs w:val="24"/>
          <w:lang w:val="en-US"/>
        </w:rPr>
      </w:pPr>
    </w:p>
    <w:p>
      <w:pPr>
        <w:autoSpaceDE/>
        <w:autoSpaceDN/>
        <w:ind w:firstLine="480" w:firstLineChars="200"/>
        <w:rPr>
          <w:rFonts w:ascii="仿宋" w:hAnsi="仿宋" w:eastAsia="仿宋" w:cs="仿宋"/>
          <w:snapToGrid w:val="0"/>
          <w:sz w:val="24"/>
          <w:szCs w:val="24"/>
          <w:lang w:val="en-US"/>
        </w:rPr>
      </w:pPr>
    </w:p>
    <w:p>
      <w:pPr>
        <w:autoSpaceDE/>
        <w:autoSpaceDN/>
        <w:ind w:firstLine="480" w:firstLineChars="200"/>
        <w:rPr>
          <w:rFonts w:ascii="仿宋" w:hAnsi="仿宋" w:eastAsia="仿宋" w:cs="仿宋"/>
          <w:snapToGrid w:val="0"/>
          <w:sz w:val="24"/>
          <w:szCs w:val="24"/>
          <w:lang w:val="en-US"/>
        </w:rPr>
      </w:pPr>
    </w:p>
    <w:p>
      <w:pPr>
        <w:autoSpaceDE/>
        <w:autoSpaceDN/>
        <w:ind w:firstLine="480" w:firstLineChars="200"/>
        <w:rPr>
          <w:rFonts w:ascii="仿宋" w:hAnsi="仿宋" w:eastAsia="仿宋" w:cs="仿宋"/>
          <w:snapToGrid w:val="0"/>
          <w:sz w:val="24"/>
          <w:szCs w:val="24"/>
          <w:lang w:val="en-US"/>
        </w:rPr>
      </w:pPr>
    </w:p>
    <w:p>
      <w:pPr>
        <w:autoSpaceDE/>
        <w:autoSpaceDN/>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建行e政通业务方案</w:t>
      </w:r>
    </w:p>
    <w:p>
      <w:pPr>
        <w:autoSpaceDE/>
        <w:autoSpaceDN/>
        <w:ind w:firstLine="480" w:firstLineChars="200"/>
        <w:rPr>
          <w:rFonts w:ascii="仿宋" w:hAnsi="仿宋" w:eastAsia="仿宋" w:cs="仿宋"/>
          <w:snapToGrid w:val="0"/>
          <w:sz w:val="24"/>
          <w:szCs w:val="24"/>
          <w:lang w:val="en-US"/>
        </w:rPr>
      </w:pP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一、贷款产品介绍</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e政通”以政府采购交易中的供应商企业作为借款人，依据政府采购交易信息，通过建行集团供应链平台在线申请、审批、签约、支取的贷款产品。有效解决政府采购中标、成交的供应商资金不足、融资难、融资贵的困难。</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（一）融资金额</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财政付款项目单笔融资金额≤（合同金额-预付款-质保金）*50％，优质客户及项目可一事一议。</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（二）融资期限</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根据政府采购合同约定的付款期限合理确定，最长可达1年。</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（三）融资价格</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随着市场价格变化及上级行要求确定，年化综合成本约为4.2%-5.5%，优质客户综合成本更优惠。</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年化成本为综合报价，融资成本由贷款利息和业务手续费两部分组成。其中：贷款利息按天计息、按月收取；业务手续费0.2%，放款时一次性支付。</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（四）产品优势</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1)无需授信（参考政府采购合同确定业务金额）</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2)无需抵押（需提供应收账款质押）</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3)操作便捷（在线审批，快速放款）</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4)还款灵活（按日计息，可提前还款）</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（五）办理条件</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（1）供应商符合国家采购法等法律法规准入条件。</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（2）供应商经工商行政管理机关（或主管机关）核准登记的企业法人或个体工商户，有固定经营场所，合法经营。</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（3）供应商未纳入政府采购严重违法失信行为记录名单。</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（4）不涉及隐债，不存在我行反洗钱客户身份识别管理制度规定的禁止准入情形或停止业务关系的情形。</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（5）供应商企业具有持续经营能力，信用记录良好，近2年在中国人民银行企业征信系统无不良信用记录。</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（6）供应商企业主个人信用记录良好，近2年在中国人民银行个人征信系统个人逾期或欠息在30天（含）以内的次数不超过2（含）次，且不存在逾期或欠息在30天以上的信用记录。</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（7）采购人的采购资金须纳入同级或以上政府财政预算。</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（8）在河南省政府采购网有真实有效的政府采购合同备案记录。</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（9）所签约政府采购合同约定回款账号为建设银行指定账号。</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（10）供应商与采购人具有长期稳定合作关系，原则上要有2次及以上的历史政府采购中标记录。</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（六）办理流程</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1．供应商提供相关资料（扫描件）。</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2．供应商在建行供应链服务平台注册，开通产品。</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3．供应商通过平台发起融资申请，签订电子合同；线下签订应收账款质押合同等。</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4．建行发起内部放款流程，按照采购合同金额的一定比例（考虑质押率）发放融资款项。</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二、资料清单</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1.营业执照及法人身份证、公司章程</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2.政府采购背景材料（中标公示、中标通知书、合同公示、采购合同）</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3.历史中标记录或证明材料</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4.企业征信</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5.最近一年审计报告及最近一期报表</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6.财务指标附表</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7.主结算银行近半年流水</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8.备案证明材料</w:t>
      </w:r>
    </w:p>
    <w:p>
      <w:pPr>
        <w:autoSpaceDE/>
        <w:autoSpaceDN/>
        <w:ind w:firstLine="480" w:firstLineChars="200"/>
        <w:rPr>
          <w:rFonts w:ascii="仿宋" w:hAnsi="仿宋" w:eastAsia="仿宋" w:cs="仿宋"/>
          <w:snapToGrid w:val="0"/>
          <w:sz w:val="24"/>
          <w:szCs w:val="24"/>
          <w:lang w:val="en-US"/>
        </w:rPr>
      </w:pP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伊川建行联系方式：姬鹏铖15978689500</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 xml:space="preserve">                  郑亚姣15236297999</w:t>
      </w:r>
    </w:p>
    <w:p>
      <w:pPr>
        <w:autoSpaceDE/>
        <w:autoSpaceDN/>
        <w:ind w:firstLine="480" w:firstLineChars="200"/>
        <w:rPr>
          <w:rFonts w:ascii="仿宋" w:hAnsi="仿宋" w:eastAsia="仿宋" w:cs="仿宋"/>
          <w:snapToGrid w:val="0"/>
          <w:sz w:val="24"/>
          <w:szCs w:val="24"/>
          <w:lang w:val="en-US"/>
        </w:rPr>
      </w:pPr>
    </w:p>
    <w:p>
      <w:pPr>
        <w:autoSpaceDE/>
        <w:autoSpaceDN/>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中原银行政采贷介绍</w:t>
      </w:r>
    </w:p>
    <w:p>
      <w:pPr>
        <w:autoSpaceDE/>
        <w:autoSpaceDN/>
        <w:ind w:firstLine="480" w:firstLineChars="200"/>
        <w:rPr>
          <w:rFonts w:ascii="仿宋" w:hAnsi="仿宋" w:eastAsia="仿宋" w:cs="仿宋"/>
          <w:snapToGrid w:val="0"/>
          <w:sz w:val="24"/>
          <w:szCs w:val="24"/>
          <w:lang w:val="en-US"/>
        </w:rPr>
      </w:pP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政采贷产品概况：根据政府采购中标通知书或合同，以政府财政支付资金为主要还款来源，通过封闭回款路径等方式，为成功中标政府采购项目的企业提供的融资服务。</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一、政采贷产品各要素介绍</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1、授信额度：应根据借款企业提供的中标通知书和政府采购合同确定，省级项目最高不超过（中标金额—预付款）的90%，其他区域的项目最高不超过80%；</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2、担保要求：应收账款质押及保证担保实际控制人及其配偶、法定代表人、股权占比50%以上股东需提供连带责任保证担保；</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3、还款方式：按月付息到期还本、等额本金、等额本息等。授信期限：最长12个月；</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4、准入区域：省级、市级、区县；</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5、回款要求：采购合同中约定的回款账户有且仅有我行保证金账户；</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6、项目类型：货物类、服务类、工程类。</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二、政采贷资料清单</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1.营业执照正副本复印件；</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2.公司章程复印件；</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3.申请人最近两期年度增值税纳税申报截图；</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4.实际控制人及其配偶、法定代表人的身份证件、婚姻状况材料或单身证明的复印件；</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5.近一年主要结算行银行流水。</w:t>
      </w:r>
    </w:p>
    <w:p>
      <w:pPr>
        <w:autoSpaceDE/>
        <w:autoSpaceDN/>
        <w:ind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三、联系电话：0379-69288911</w:t>
      </w:r>
    </w:p>
    <w:p>
      <w:pPr>
        <w:rPr>
          <w:lang w:val="en-US"/>
        </w:rPr>
      </w:pPr>
    </w:p>
    <w:p>
      <w:pPr>
        <w:rPr>
          <w:rFonts w:ascii="仿宋" w:hAnsi="仿宋" w:eastAsia="仿宋" w:cs="仿宋"/>
          <w:b/>
          <w:bCs/>
          <w:snapToGrid w:val="0"/>
          <w:sz w:val="32"/>
          <w:szCs w:val="32"/>
          <w:lang w:val="en-US"/>
        </w:rPr>
      </w:pPr>
      <w:r>
        <w:rPr>
          <w:rFonts w:hint="eastAsia" w:ascii="仿宋" w:hAnsi="仿宋" w:eastAsia="仿宋" w:cs="仿宋"/>
          <w:b/>
          <w:bCs/>
          <w:snapToGrid w:val="0"/>
          <w:sz w:val="32"/>
          <w:szCs w:val="32"/>
          <w:lang w:val="en-US"/>
        </w:rPr>
        <w:br w:type="page"/>
      </w:r>
    </w:p>
    <w:p>
      <w:pPr>
        <w:pStyle w:val="6"/>
        <w:spacing w:line="360" w:lineRule="auto"/>
        <w:ind w:left="0" w:leftChars="0"/>
        <w:jc w:val="center"/>
        <w:outlineLvl w:val="0"/>
        <w:rPr>
          <w:rFonts w:ascii="仿宋" w:hAnsi="仿宋" w:eastAsia="仿宋" w:cs="仿宋"/>
          <w:b/>
          <w:bCs/>
          <w:snapToGrid w:val="0"/>
          <w:sz w:val="32"/>
          <w:szCs w:val="32"/>
          <w:lang w:val="en-US"/>
        </w:rPr>
      </w:pPr>
      <w:r>
        <w:rPr>
          <w:rFonts w:hint="eastAsia" w:ascii="仿宋" w:hAnsi="仿宋" w:eastAsia="仿宋" w:cs="仿宋"/>
          <w:b/>
          <w:bCs/>
          <w:snapToGrid w:val="0"/>
          <w:sz w:val="32"/>
          <w:szCs w:val="32"/>
          <w:lang w:val="en-US"/>
        </w:rPr>
        <w:t>第五章  资格审查与评审办法</w:t>
      </w:r>
      <w:bookmarkEnd w:id="69"/>
      <w:bookmarkEnd w:id="70"/>
    </w:p>
    <w:p>
      <w:pPr>
        <w:pStyle w:val="6"/>
        <w:spacing w:line="360" w:lineRule="auto"/>
        <w:ind w:left="0" w:leftChars="0"/>
        <w:rPr>
          <w:rFonts w:ascii="仿宋" w:hAnsi="仿宋" w:eastAsia="仿宋" w:cs="仿宋"/>
          <w:b/>
          <w:bCs/>
          <w:snapToGrid w:val="0"/>
          <w:sz w:val="24"/>
          <w:szCs w:val="24"/>
          <w:lang w:val="en-US"/>
        </w:rPr>
      </w:pPr>
      <w:bookmarkStart w:id="71" w:name="_Toc17283"/>
      <w:r>
        <w:rPr>
          <w:rFonts w:hint="eastAsia" w:ascii="仿宋" w:hAnsi="仿宋" w:eastAsia="仿宋" w:cs="仿宋"/>
          <w:b/>
          <w:bCs/>
          <w:snapToGrid w:val="0"/>
          <w:sz w:val="24"/>
          <w:szCs w:val="24"/>
          <w:lang w:val="en-US"/>
        </w:rPr>
        <w:t>1、资格审查与评标方法</w:t>
      </w:r>
      <w:bookmarkEnd w:id="71"/>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本次资格审查和符合性审查采用合格制，评标方法采用综合评分法。评标委员会对满足招标文件实质性要求的投标文件，按照本章 2.2 款规定的评分标准进行打分，评标委员会根据综合评分情况，按照评审得分由高到低顺序推荐 3 名中标候选人，并确定排序第一的中标候选人为中标人。如评审得分相同的，按照投标报价由低到高的顺序推荐。如评审得分且投标报价均相同的，按照技术部分得分由高到低顺序推荐。若均相同则由评标委员会投票推荐。但投标报价明显低于其他通过符合性审查投标人的报价，有可能影响产品质量或者不能诚信履约的除外。</w:t>
      </w:r>
    </w:p>
    <w:p>
      <w:pPr>
        <w:pStyle w:val="6"/>
        <w:spacing w:line="360" w:lineRule="auto"/>
        <w:ind w:left="0" w:leftChars="0"/>
        <w:rPr>
          <w:rFonts w:ascii="仿宋" w:hAnsi="仿宋" w:eastAsia="仿宋" w:cs="仿宋"/>
          <w:b/>
          <w:bCs/>
          <w:snapToGrid w:val="0"/>
          <w:sz w:val="24"/>
          <w:szCs w:val="24"/>
          <w:lang w:val="en-US"/>
        </w:rPr>
      </w:pPr>
      <w:bookmarkStart w:id="72" w:name="_Toc21004"/>
      <w:r>
        <w:rPr>
          <w:rFonts w:hint="eastAsia" w:ascii="仿宋" w:hAnsi="仿宋" w:eastAsia="仿宋" w:cs="仿宋"/>
          <w:b/>
          <w:bCs/>
          <w:snapToGrid w:val="0"/>
          <w:sz w:val="24"/>
          <w:szCs w:val="24"/>
          <w:lang w:val="en-US"/>
        </w:rPr>
        <w:t>2、资格审查与评审标准</w:t>
      </w:r>
      <w:bookmarkEnd w:id="72"/>
    </w:p>
    <w:p>
      <w:pPr>
        <w:pStyle w:val="6"/>
        <w:spacing w:line="360" w:lineRule="auto"/>
        <w:ind w:left="0" w:leftChars="0" w:firstLine="482" w:firstLineChars="200"/>
        <w:rPr>
          <w:rFonts w:ascii="仿宋" w:hAnsi="仿宋" w:eastAsia="仿宋" w:cs="仿宋"/>
          <w:b/>
          <w:bCs/>
          <w:snapToGrid w:val="0"/>
          <w:sz w:val="24"/>
          <w:szCs w:val="24"/>
          <w:lang w:val="en-US"/>
        </w:rPr>
      </w:pPr>
      <w:bookmarkStart w:id="73" w:name="_Toc16264"/>
      <w:r>
        <w:rPr>
          <w:rFonts w:hint="eastAsia" w:ascii="仿宋" w:hAnsi="仿宋" w:eastAsia="仿宋" w:cs="仿宋"/>
          <w:b/>
          <w:bCs/>
          <w:snapToGrid w:val="0"/>
          <w:sz w:val="24"/>
          <w:szCs w:val="24"/>
          <w:lang w:val="en-US"/>
        </w:rPr>
        <w:t>2.1 资格审查与符合性审查标准</w:t>
      </w:r>
      <w:bookmarkEnd w:id="73"/>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2.1.1 资格审查标准：见第六章。</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2.1.2 符合性审查标准：见第六章。</w:t>
      </w:r>
    </w:p>
    <w:p>
      <w:pPr>
        <w:pStyle w:val="6"/>
        <w:spacing w:line="360" w:lineRule="auto"/>
        <w:ind w:left="0" w:leftChars="0" w:firstLine="482" w:firstLineChars="200"/>
        <w:rPr>
          <w:rFonts w:ascii="仿宋" w:hAnsi="仿宋" w:eastAsia="仿宋" w:cs="仿宋"/>
          <w:b/>
          <w:bCs/>
          <w:snapToGrid w:val="0"/>
          <w:sz w:val="24"/>
          <w:szCs w:val="24"/>
          <w:lang w:val="en-US"/>
        </w:rPr>
      </w:pPr>
      <w:bookmarkStart w:id="74" w:name="_Toc25727"/>
      <w:r>
        <w:rPr>
          <w:rFonts w:hint="eastAsia" w:ascii="仿宋" w:hAnsi="仿宋" w:eastAsia="仿宋" w:cs="仿宋"/>
          <w:b/>
          <w:bCs/>
          <w:snapToGrid w:val="0"/>
          <w:sz w:val="24"/>
          <w:szCs w:val="24"/>
          <w:lang w:val="en-US"/>
        </w:rPr>
        <w:t>2.2 分值构成与评分标准</w:t>
      </w:r>
      <w:bookmarkEnd w:id="74"/>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2.2.1 分值构成见评分标准。</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2.2.2 评分标准：具体评分标准见第六章。</w:t>
      </w:r>
    </w:p>
    <w:p>
      <w:pPr>
        <w:pStyle w:val="6"/>
        <w:spacing w:line="360" w:lineRule="auto"/>
        <w:ind w:left="0" w:leftChars="0"/>
        <w:rPr>
          <w:rFonts w:ascii="仿宋" w:hAnsi="仿宋" w:eastAsia="仿宋" w:cs="仿宋"/>
          <w:b/>
          <w:bCs/>
          <w:snapToGrid w:val="0"/>
          <w:sz w:val="24"/>
          <w:szCs w:val="24"/>
          <w:lang w:val="en-US"/>
        </w:rPr>
      </w:pPr>
      <w:bookmarkStart w:id="75" w:name="_Toc17220"/>
      <w:r>
        <w:rPr>
          <w:rFonts w:hint="eastAsia" w:ascii="仿宋" w:hAnsi="仿宋" w:eastAsia="仿宋" w:cs="仿宋"/>
          <w:b/>
          <w:bCs/>
          <w:snapToGrid w:val="0"/>
          <w:sz w:val="24"/>
          <w:szCs w:val="24"/>
          <w:lang w:val="en-US"/>
        </w:rPr>
        <w:t>3、资格审查与评标程序</w:t>
      </w:r>
      <w:bookmarkEnd w:id="75"/>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3.1 资格审查与符合性审查</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3.1.1 资格审查小组依据本章第 2.1.1 款规定的标准对投标文件进行资格审查。有一项不符合审查标准的，应当否决其投标。评标委员会依据本章第 2.1.2 款规定的标准对投标文件进行符合性审查。有一项不符合审查标准的，应当否决其投标。</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3.1.2 投标人有以下情形之一的，评标委员会应当否决其投标：</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（1）投标文件没有对招标文件的实质性要求和条件作出响应，或者对招标文件的偏差超出招标文件规定的偏差范围或最高项数；</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（2）有串通投标、弄虚作假、行贿等违法行为。</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3.1.3 有下列情形之一的，视为投标人串通投标，其投标无效：</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（1）不同投标人的投标文件由同一单位或者个人编制；</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（2）不同投标人委托同一单位或者个人办理投标事宜；</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（3）不同投标人的投标文件载明的项目管理成员或者联系人员为同一人；</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（4）不同投标人的投标文件异常一致或者投标报价呈规律性差异；</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（5）不同投标人的投标文件相互混装。</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3.1.4 投标文件报价出现前后不一致的，评标委员会按以下原则要求投标人对投标报价进行修正，并要求投标人书面澄清确认。投标人拒不澄清确认的，评标委员会应当否决其投标：</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（1）投标文件中开标一览表内容与投标文件中相应内容不一致的，以开标一览表为准；</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（2）大写金额和小写金额不一致的，以大写金额为准；</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（3）单价金额小数点或者百分比有明显错位的，以开标一览表的总价为准，并修改单价；</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（4）总价金额与按单价汇总金额不一致的，以单价金额计算结果为准。同时出现两种以上不一致的，按照前款规定的顺序修正。</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3.2 详细评审</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3.2.1 评标委员会按本章第 2.2 款规定的量化因素和分值进行打分，取所有评委打分分数的算术平均值作为该投标人的各项得分。</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评分分值计算保留小数点后两位，小数点后第三位“四舍五入”。</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评标委员会汇总投标人的各项得分，相加后为投标人最终得分。</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若评标委员会认为投标人的报价明显低于其他通过符合性审查供应商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3.3 投标文件的澄清</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供应商主动提出的澄清、说明或补正。</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3.3.2 澄清、说明或补正不得超出投标文件的范围且不得改变投标文件的实质性内容，并构成投标文件的组成部分。</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3.3.3 评标委员会对投标人提交的澄清、说明或补正有疑问的，可以要求供应商进一步澄清、说明或补正，直至满足评标委员会的要求。</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3.4 评标结果</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3.4.1 评标委员会严格按照招标文件的要求和条件进行评标和打分，评标结果按评审后得分由高到低的顺序排列。得分相同的，按投标报价由低到高顺序排列。得分且投标报价相同的并列。</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3.4.2 评标委员会完成评标后，应当向招标人提交书面评标报告和中标候选人名单。</w:t>
      </w:r>
    </w:p>
    <w:p>
      <w:pPr>
        <w:pStyle w:val="6"/>
        <w:spacing w:line="360" w:lineRule="auto"/>
        <w:ind w:left="0" w:leftChars="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4、评分标准说明</w:t>
      </w:r>
    </w:p>
    <w:p>
      <w:pPr>
        <w:pStyle w:val="6"/>
        <w:spacing w:line="360" w:lineRule="auto"/>
        <w:ind w:left="0" w:leftChars="0" w:firstLine="482" w:firstLineChars="200"/>
        <w:rPr>
          <w:rFonts w:ascii="仿宋" w:hAnsi="仿宋" w:eastAsia="仿宋" w:cs="仿宋"/>
          <w:b/>
          <w:bCs/>
          <w:snapToGrid w:val="0"/>
          <w:sz w:val="24"/>
          <w:szCs w:val="24"/>
          <w:lang w:val="en-US"/>
        </w:rPr>
      </w:pPr>
      <w:r>
        <w:rPr>
          <w:rFonts w:hint="eastAsia" w:ascii="仿宋" w:hAnsi="仿宋" w:eastAsia="仿宋" w:cs="仿宋"/>
          <w:b/>
          <w:bCs/>
          <w:snapToGrid w:val="0"/>
          <w:sz w:val="24"/>
          <w:szCs w:val="24"/>
          <w:lang w:val="en-US"/>
        </w:rPr>
        <w:t>4.1 关于价格扣除和评标报价的说明</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4.1.1 价格扣除</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投标人为小微企业的，对所提供的服务的价格给予10%的扣除，用扣除后的价格参与评审。参加投标的中小企业，应当按照《政府采购促进中小企业发展管理办法》（财库﹝2020﹞46号）的规定提供《中小企业声明函》（中小企业划型标准详见《关于印发中小企业划型标准规定的通知》工信部联企业〔2011〕300 号）。供应商为大型企业的不适用本款规定。供应商为联合体的，联合体各方均应为中小企业，否则不适用本款规定。</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根据财政部司法部《关于政府采购支持监狱企业发展有关问题的通知》（财库〔2014〕68号）规定，。监狱企业参加政府采购活动时，应当提供由省级以上监狱管理局、戒毒管理局(含新疆生产建设兵团)出具的属于监狱企业的证明文件。</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根据财政部民政部中国残疾人联合会《关于促进残疾人就业政府采购政策的通知》（财库〔2017〕141 号）规定，残疾人福利性单位参加政府采购活动时，应当提供《残疾人福利性单位声明函》。</w:t>
      </w:r>
    </w:p>
    <w:p>
      <w:pPr>
        <w:pStyle w:val="6"/>
        <w:spacing w:line="360" w:lineRule="auto"/>
        <w:ind w:left="0" w:leftChars="0" w:firstLine="480" w:firstLineChars="200"/>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同一投标人（包括联合体），中小微企业产品、监狱企业产品、残疾人福利性单位产品价格扣除优惠只享受一次，不得重复享受。如本项目专门面向中小企业或小微企业采购的，评审中价格将均不予扣除。</w:t>
      </w:r>
    </w:p>
    <w:p>
      <w:pPr>
        <w:pStyle w:val="6"/>
        <w:spacing w:line="360" w:lineRule="auto"/>
        <w:ind w:left="0" w:leftChars="0" w:firstLine="480" w:firstLineChars="200"/>
        <w:rPr>
          <w:rFonts w:ascii="仿宋" w:hAnsi="仿宋" w:eastAsia="仿宋" w:cs="仿宋"/>
          <w:snapToGrid w:val="0"/>
          <w:sz w:val="24"/>
          <w:szCs w:val="24"/>
          <w:lang w:val="en-US"/>
        </w:rPr>
        <w:sectPr>
          <w:pgSz w:w="11906" w:h="16838"/>
          <w:pgMar w:top="1134" w:right="1134" w:bottom="1134" w:left="1134" w:header="851" w:footer="992" w:gutter="0"/>
          <w:cols w:space="425" w:num="1"/>
          <w:docGrid w:type="lines" w:linePitch="312" w:charSpace="0"/>
        </w:sectPr>
      </w:pPr>
      <w:r>
        <w:rPr>
          <w:rFonts w:hint="eastAsia" w:ascii="仿宋" w:hAnsi="仿宋" w:eastAsia="仿宋" w:cs="仿宋"/>
          <w:snapToGrid w:val="0"/>
          <w:sz w:val="24"/>
          <w:szCs w:val="24"/>
          <w:lang w:val="en-US"/>
        </w:rPr>
        <w:t xml:space="preserve">4.1.2 </w:t>
      </w:r>
      <w:r>
        <w:rPr>
          <w:rFonts w:hint="eastAsia" w:ascii="仿宋" w:hAnsi="仿宋" w:eastAsia="仿宋" w:cs="仿宋"/>
          <w:b/>
          <w:bCs/>
          <w:snapToGrid w:val="0"/>
          <w:sz w:val="24"/>
          <w:szCs w:val="24"/>
          <w:lang w:val="en-US"/>
        </w:rPr>
        <w:t>本项目专门面向中小微（监狱、残疾人福利性单位）企业采购（监狱、残疾人福利性单位视同小型、微型企业），评审中价格将均不予扣除。</w:t>
      </w:r>
    </w:p>
    <w:p>
      <w:pPr>
        <w:spacing w:line="360" w:lineRule="auto"/>
        <w:jc w:val="center"/>
        <w:outlineLvl w:val="0"/>
        <w:rPr>
          <w:rFonts w:ascii="仿宋" w:hAnsi="仿宋" w:eastAsia="仿宋" w:cs="仿宋"/>
          <w:b/>
          <w:bCs/>
          <w:snapToGrid w:val="0"/>
          <w:sz w:val="32"/>
          <w:szCs w:val="32"/>
          <w:lang w:val="en-US"/>
        </w:rPr>
      </w:pPr>
      <w:bookmarkStart w:id="76" w:name="_Toc15399"/>
      <w:bookmarkStart w:id="77" w:name="_Toc5485"/>
      <w:r>
        <w:rPr>
          <w:rFonts w:hint="eastAsia" w:ascii="仿宋" w:hAnsi="仿宋" w:eastAsia="仿宋" w:cs="仿宋"/>
          <w:b/>
          <w:bCs/>
          <w:snapToGrid w:val="0"/>
          <w:sz w:val="32"/>
          <w:szCs w:val="32"/>
          <w:lang w:val="en-US"/>
        </w:rPr>
        <w:t>第六章  资格审查与评审标准</w:t>
      </w:r>
      <w:bookmarkEnd w:id="76"/>
      <w:bookmarkEnd w:id="77"/>
    </w:p>
    <w:tbl>
      <w:tblPr>
        <w:tblStyle w:val="20"/>
        <w:tblpPr w:leftFromText="180" w:rightFromText="180" w:vertAnchor="text" w:horzAnchor="page" w:tblpX="1121" w:tblpY="858"/>
        <w:tblOverlap w:val="never"/>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287"/>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1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b/>
                <w:bCs/>
                <w:sz w:val="24"/>
                <w:szCs w:val="24"/>
              </w:rPr>
            </w:pPr>
            <w:r>
              <w:rPr>
                <w:rFonts w:hint="eastAsia" w:ascii="仿宋" w:hAnsi="仿宋" w:eastAsia="仿宋" w:cs="仿宋"/>
                <w:b/>
                <w:bCs/>
                <w:sz w:val="24"/>
                <w:szCs w:val="24"/>
                <w:lang w:val="en-US"/>
              </w:rPr>
              <w:t>初步</w:t>
            </w:r>
            <w:r>
              <w:rPr>
                <w:rFonts w:hint="eastAsia" w:ascii="仿宋" w:hAnsi="仿宋" w:eastAsia="仿宋" w:cs="仿宋"/>
                <w:b/>
                <w:bCs/>
                <w:sz w:val="24"/>
                <w:szCs w:val="24"/>
              </w:rPr>
              <w:t>条款</w:t>
            </w:r>
          </w:p>
        </w:tc>
        <w:tc>
          <w:tcPr>
            <w:tcW w:w="22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评审因素</w:t>
            </w:r>
          </w:p>
        </w:tc>
        <w:tc>
          <w:tcPr>
            <w:tcW w:w="56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719" w:type="dxa"/>
            <w:vMerge w:val="restart"/>
            <w:tcBorders>
              <w:top w:val="single" w:color="auto" w:sz="4" w:space="0"/>
              <w:left w:val="single" w:color="auto" w:sz="4" w:space="0"/>
              <w:right w:val="single" w:color="auto" w:sz="4" w:space="0"/>
            </w:tcBorders>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资格性审查标准</w:t>
            </w:r>
          </w:p>
        </w:tc>
        <w:tc>
          <w:tcPr>
            <w:tcW w:w="22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营业执照或事业单位法人证书</w:t>
            </w:r>
          </w:p>
        </w:tc>
        <w:tc>
          <w:tcPr>
            <w:tcW w:w="567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szCs w:val="24"/>
              </w:rPr>
            </w:pPr>
            <w:r>
              <w:rPr>
                <w:rFonts w:hint="eastAsia" w:ascii="仿宋" w:hAnsi="仿宋" w:eastAsia="仿宋" w:cs="仿宋"/>
                <w:sz w:val="24"/>
                <w:szCs w:val="24"/>
              </w:rPr>
              <w:t>具备有效的营业执照或事业单位法人证书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719" w:type="dxa"/>
            <w:vMerge w:val="continue"/>
            <w:tcBorders>
              <w:left w:val="single" w:color="auto" w:sz="4" w:space="0"/>
              <w:right w:val="single" w:color="auto" w:sz="4" w:space="0"/>
            </w:tcBorders>
            <w:vAlign w:val="center"/>
          </w:tcPr>
          <w:p>
            <w:pPr>
              <w:spacing w:line="440" w:lineRule="exact"/>
              <w:jc w:val="center"/>
              <w:rPr>
                <w:rFonts w:ascii="仿宋" w:hAnsi="仿宋" w:eastAsia="仿宋" w:cs="仿宋"/>
                <w:sz w:val="24"/>
                <w:szCs w:val="24"/>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资质要求</w:t>
            </w:r>
          </w:p>
        </w:tc>
        <w:tc>
          <w:tcPr>
            <w:tcW w:w="567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szCs w:val="24"/>
              </w:rPr>
            </w:pPr>
            <w:r>
              <w:rPr>
                <w:rFonts w:hint="eastAsia" w:ascii="仿宋" w:hAnsi="仿宋" w:eastAsia="仿宋" w:cs="仿宋"/>
                <w:sz w:val="24"/>
                <w:szCs w:val="24"/>
              </w:rPr>
              <w:t>符合</w:t>
            </w:r>
            <w:r>
              <w:rPr>
                <w:rFonts w:hint="eastAsia" w:ascii="仿宋" w:hAnsi="仿宋" w:eastAsia="仿宋" w:cs="仿宋"/>
                <w:snapToGrid w:val="0"/>
                <w:sz w:val="24"/>
                <w:szCs w:val="24"/>
                <w:lang w:val="en-US"/>
              </w:rPr>
              <w:t>投标人</w:t>
            </w:r>
            <w:r>
              <w:rPr>
                <w:rFonts w:hint="eastAsia" w:ascii="仿宋" w:hAnsi="仿宋" w:eastAsia="仿宋" w:cs="仿宋"/>
                <w:sz w:val="24"/>
                <w:szCs w:val="24"/>
              </w:rPr>
              <w:t>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719" w:type="dxa"/>
            <w:vMerge w:val="continue"/>
            <w:tcBorders>
              <w:left w:val="single" w:color="auto" w:sz="4" w:space="0"/>
              <w:right w:val="single" w:color="auto" w:sz="4" w:space="0"/>
            </w:tcBorders>
            <w:vAlign w:val="center"/>
          </w:tcPr>
          <w:p>
            <w:pPr>
              <w:spacing w:line="440" w:lineRule="exact"/>
              <w:jc w:val="center"/>
              <w:rPr>
                <w:rFonts w:ascii="仿宋" w:hAnsi="仿宋" w:eastAsia="仿宋" w:cs="仿宋"/>
                <w:sz w:val="24"/>
                <w:szCs w:val="24"/>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ascii="仿宋" w:hAnsi="仿宋" w:eastAsia="仿宋" w:cs="仿宋"/>
                <w:sz w:val="24"/>
                <w:szCs w:val="24"/>
              </w:rPr>
            </w:pPr>
            <w:r>
              <w:rPr>
                <w:rFonts w:hint="eastAsia" w:ascii="仿宋" w:hAnsi="仿宋" w:eastAsia="仿宋" w:cs="仿宋"/>
                <w:sz w:val="24"/>
                <w:szCs w:val="24"/>
                <w:lang w:val="en-US"/>
              </w:rPr>
              <w:t>洛阳市政府采购供应商信用承诺函</w:t>
            </w:r>
          </w:p>
        </w:tc>
        <w:tc>
          <w:tcPr>
            <w:tcW w:w="567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szCs w:val="24"/>
              </w:rPr>
            </w:pPr>
            <w:r>
              <w:rPr>
                <w:rFonts w:hint="eastAsia" w:ascii="仿宋" w:hAnsi="仿宋" w:eastAsia="仿宋" w:cs="仿宋"/>
                <w:sz w:val="24"/>
                <w:szCs w:val="24"/>
              </w:rPr>
              <w:t>符合</w:t>
            </w:r>
            <w:r>
              <w:rPr>
                <w:rFonts w:hint="eastAsia" w:ascii="仿宋" w:hAnsi="仿宋" w:eastAsia="仿宋" w:cs="仿宋"/>
                <w:snapToGrid w:val="0"/>
                <w:sz w:val="24"/>
                <w:szCs w:val="24"/>
                <w:lang w:val="en-US"/>
              </w:rPr>
              <w:t>投标人</w:t>
            </w:r>
            <w:r>
              <w:rPr>
                <w:rFonts w:hint="eastAsia" w:ascii="仿宋" w:hAnsi="仿宋" w:eastAsia="仿宋" w:cs="仿宋"/>
                <w:sz w:val="24"/>
                <w:szCs w:val="24"/>
              </w:rPr>
              <w:t>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719" w:type="dxa"/>
            <w:vMerge w:val="continue"/>
            <w:tcBorders>
              <w:left w:val="single" w:color="auto" w:sz="4" w:space="0"/>
              <w:right w:val="single" w:color="auto" w:sz="4" w:space="0"/>
            </w:tcBorders>
            <w:vAlign w:val="center"/>
          </w:tcPr>
          <w:p>
            <w:pPr>
              <w:spacing w:line="440" w:lineRule="exact"/>
              <w:jc w:val="center"/>
              <w:rPr>
                <w:rFonts w:ascii="仿宋" w:hAnsi="仿宋" w:eastAsia="仿宋" w:cs="仿宋"/>
                <w:sz w:val="24"/>
                <w:szCs w:val="24"/>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中小微企业声明函</w:t>
            </w:r>
          </w:p>
        </w:tc>
        <w:tc>
          <w:tcPr>
            <w:tcW w:w="567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szCs w:val="24"/>
              </w:rPr>
            </w:pPr>
            <w:r>
              <w:rPr>
                <w:rFonts w:hint="eastAsia" w:ascii="仿宋" w:hAnsi="仿宋" w:eastAsia="仿宋" w:cs="仿宋"/>
                <w:sz w:val="24"/>
                <w:szCs w:val="24"/>
              </w:rPr>
              <w:t>符合</w:t>
            </w:r>
            <w:r>
              <w:rPr>
                <w:rFonts w:hint="eastAsia" w:ascii="仿宋" w:hAnsi="仿宋" w:eastAsia="仿宋" w:cs="仿宋"/>
                <w:snapToGrid w:val="0"/>
                <w:sz w:val="24"/>
                <w:szCs w:val="24"/>
                <w:lang w:val="en-US"/>
              </w:rPr>
              <w:t>投标人</w:t>
            </w:r>
            <w:r>
              <w:rPr>
                <w:rFonts w:hint="eastAsia" w:ascii="仿宋" w:hAnsi="仿宋" w:eastAsia="仿宋" w:cs="仿宋"/>
                <w:sz w:val="24"/>
                <w:szCs w:val="24"/>
              </w:rPr>
              <w:t>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719" w:type="dxa"/>
            <w:vMerge w:val="continue"/>
            <w:tcBorders>
              <w:left w:val="single" w:color="auto" w:sz="4" w:space="0"/>
              <w:right w:val="single" w:color="auto" w:sz="4" w:space="0"/>
            </w:tcBorders>
            <w:vAlign w:val="center"/>
          </w:tcPr>
          <w:p>
            <w:pPr>
              <w:spacing w:line="440" w:lineRule="exact"/>
              <w:jc w:val="center"/>
              <w:rPr>
                <w:rFonts w:ascii="仿宋" w:hAnsi="仿宋" w:eastAsia="仿宋" w:cs="仿宋"/>
                <w:sz w:val="24"/>
                <w:szCs w:val="24"/>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不存在禁止投标的情形</w:t>
            </w:r>
          </w:p>
        </w:tc>
        <w:tc>
          <w:tcPr>
            <w:tcW w:w="567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szCs w:val="24"/>
              </w:rPr>
            </w:pPr>
            <w:r>
              <w:rPr>
                <w:rFonts w:hint="eastAsia" w:ascii="仿宋" w:hAnsi="仿宋" w:eastAsia="仿宋" w:cs="仿宋"/>
                <w:sz w:val="24"/>
                <w:szCs w:val="24"/>
              </w:rPr>
              <w:t>不存在第二章“</w:t>
            </w:r>
            <w:r>
              <w:rPr>
                <w:rFonts w:hint="eastAsia" w:ascii="仿宋" w:hAnsi="仿宋" w:eastAsia="仿宋" w:cs="仿宋"/>
                <w:snapToGrid w:val="0"/>
                <w:sz w:val="24"/>
                <w:szCs w:val="24"/>
                <w:lang w:val="en-US"/>
              </w:rPr>
              <w:t>投标人</w:t>
            </w:r>
            <w:r>
              <w:rPr>
                <w:rFonts w:hint="eastAsia" w:ascii="仿宋" w:hAnsi="仿宋" w:eastAsia="仿宋" w:cs="仿宋"/>
                <w:sz w:val="24"/>
                <w:szCs w:val="24"/>
              </w:rPr>
              <w:t>须知”第 1.4.3 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19" w:type="dxa"/>
            <w:vMerge w:val="continue"/>
            <w:tcBorders>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szCs w:val="24"/>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其他</w:t>
            </w:r>
          </w:p>
        </w:tc>
        <w:tc>
          <w:tcPr>
            <w:tcW w:w="567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szCs w:val="24"/>
              </w:rPr>
            </w:pPr>
            <w:r>
              <w:rPr>
                <w:rFonts w:hint="eastAsia" w:ascii="仿宋" w:hAnsi="仿宋" w:eastAsia="仿宋" w:cs="仿宋"/>
                <w:sz w:val="24"/>
                <w:szCs w:val="24"/>
              </w:rPr>
              <w:t>符合</w:t>
            </w:r>
            <w:r>
              <w:rPr>
                <w:rFonts w:hint="eastAsia" w:ascii="仿宋" w:hAnsi="仿宋" w:eastAsia="仿宋" w:cs="仿宋"/>
                <w:snapToGrid w:val="0"/>
                <w:sz w:val="24"/>
                <w:szCs w:val="24"/>
                <w:lang w:val="en-US"/>
              </w:rPr>
              <w:t>投标人</w:t>
            </w:r>
            <w:r>
              <w:rPr>
                <w:rFonts w:hint="eastAsia" w:ascii="仿宋" w:hAnsi="仿宋" w:eastAsia="仿宋" w:cs="仿宋"/>
                <w:sz w:val="24"/>
                <w:szCs w:val="24"/>
              </w:rPr>
              <w:t>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9" w:type="dxa"/>
            <w:vMerge w:val="restart"/>
            <w:tcBorders>
              <w:top w:val="single" w:color="auto" w:sz="4" w:space="0"/>
              <w:left w:val="single" w:color="auto" w:sz="4" w:space="0"/>
              <w:right w:val="single" w:color="auto" w:sz="4" w:space="0"/>
            </w:tcBorders>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符合性审查标准</w:t>
            </w:r>
          </w:p>
        </w:tc>
        <w:tc>
          <w:tcPr>
            <w:tcW w:w="22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szCs w:val="24"/>
              </w:rPr>
            </w:pPr>
            <w:r>
              <w:rPr>
                <w:rFonts w:hint="eastAsia" w:ascii="仿宋" w:hAnsi="仿宋" w:eastAsia="仿宋" w:cs="仿宋"/>
                <w:snapToGrid w:val="0"/>
                <w:sz w:val="24"/>
                <w:szCs w:val="24"/>
                <w:lang w:val="en-US"/>
              </w:rPr>
              <w:t>投标人</w:t>
            </w:r>
            <w:r>
              <w:rPr>
                <w:rFonts w:hint="eastAsia" w:ascii="仿宋" w:hAnsi="仿宋" w:eastAsia="仿宋" w:cs="仿宋"/>
                <w:sz w:val="24"/>
                <w:szCs w:val="24"/>
              </w:rPr>
              <w:t>名称</w:t>
            </w:r>
          </w:p>
        </w:tc>
        <w:tc>
          <w:tcPr>
            <w:tcW w:w="567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szCs w:val="24"/>
                <w:lang w:val="en-US"/>
              </w:rPr>
            </w:pPr>
            <w:r>
              <w:rPr>
                <w:rFonts w:hint="eastAsia" w:ascii="仿宋" w:hAnsi="仿宋" w:eastAsia="仿宋" w:cs="仿宋"/>
                <w:sz w:val="24"/>
                <w:szCs w:val="24"/>
              </w:rPr>
              <w:t>与营业执照、资格证书一致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719" w:type="dxa"/>
            <w:vMerge w:val="continue"/>
            <w:tcBorders>
              <w:left w:val="single" w:color="auto" w:sz="4" w:space="0"/>
              <w:right w:val="single" w:color="auto" w:sz="4" w:space="0"/>
            </w:tcBorders>
            <w:vAlign w:val="center"/>
          </w:tcPr>
          <w:p>
            <w:pPr>
              <w:spacing w:line="440" w:lineRule="exact"/>
              <w:jc w:val="center"/>
              <w:rPr>
                <w:rFonts w:ascii="仿宋" w:hAnsi="仿宋" w:eastAsia="仿宋" w:cs="仿宋"/>
                <w:sz w:val="24"/>
                <w:szCs w:val="24"/>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lang w:val="en-US"/>
              </w:rPr>
              <w:t>投标</w:t>
            </w:r>
            <w:r>
              <w:rPr>
                <w:rFonts w:hint="eastAsia" w:ascii="仿宋" w:hAnsi="仿宋" w:eastAsia="仿宋" w:cs="仿宋"/>
                <w:sz w:val="24"/>
                <w:szCs w:val="24"/>
              </w:rPr>
              <w:t>文件签字盖章</w:t>
            </w:r>
          </w:p>
        </w:tc>
        <w:tc>
          <w:tcPr>
            <w:tcW w:w="567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szCs w:val="24"/>
              </w:rPr>
            </w:pPr>
            <w:r>
              <w:rPr>
                <w:rFonts w:hint="eastAsia" w:ascii="仿宋" w:hAnsi="仿宋" w:eastAsia="仿宋" w:cs="仿宋"/>
                <w:sz w:val="24"/>
                <w:szCs w:val="24"/>
              </w:rPr>
              <w:t>符合本文件要求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719" w:type="dxa"/>
            <w:vMerge w:val="continue"/>
            <w:tcBorders>
              <w:left w:val="single" w:color="auto" w:sz="4" w:space="0"/>
              <w:right w:val="single" w:color="auto" w:sz="4" w:space="0"/>
            </w:tcBorders>
            <w:vAlign w:val="center"/>
          </w:tcPr>
          <w:p>
            <w:pPr>
              <w:spacing w:line="440" w:lineRule="exact"/>
              <w:jc w:val="center"/>
              <w:rPr>
                <w:rFonts w:ascii="仿宋" w:hAnsi="仿宋" w:eastAsia="仿宋" w:cs="仿宋"/>
                <w:sz w:val="24"/>
                <w:szCs w:val="24"/>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lang w:val="en-US"/>
              </w:rPr>
              <w:t>投标</w:t>
            </w:r>
            <w:r>
              <w:rPr>
                <w:rFonts w:hint="eastAsia" w:ascii="仿宋" w:hAnsi="仿宋" w:eastAsia="仿宋" w:cs="仿宋"/>
                <w:sz w:val="24"/>
                <w:szCs w:val="24"/>
              </w:rPr>
              <w:t>报价</w:t>
            </w:r>
          </w:p>
        </w:tc>
        <w:tc>
          <w:tcPr>
            <w:tcW w:w="567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szCs w:val="24"/>
              </w:rPr>
            </w:pPr>
            <w:r>
              <w:rPr>
                <w:rFonts w:hint="eastAsia" w:ascii="仿宋" w:hAnsi="仿宋" w:eastAsia="仿宋" w:cs="仿宋"/>
                <w:sz w:val="24"/>
                <w:szCs w:val="24"/>
              </w:rPr>
              <w:t>只能有一个有效报价，且报价未超过预算控制价，并按规定填报开标一览表、报价明细表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719" w:type="dxa"/>
            <w:vMerge w:val="continue"/>
            <w:tcBorders>
              <w:left w:val="single" w:color="auto" w:sz="4" w:space="0"/>
              <w:right w:val="single" w:color="auto" w:sz="4" w:space="0"/>
            </w:tcBorders>
            <w:vAlign w:val="center"/>
          </w:tcPr>
          <w:p>
            <w:pPr>
              <w:spacing w:line="440" w:lineRule="exact"/>
              <w:jc w:val="center"/>
              <w:rPr>
                <w:rFonts w:ascii="仿宋" w:hAnsi="仿宋" w:eastAsia="仿宋" w:cs="仿宋"/>
                <w:sz w:val="24"/>
                <w:szCs w:val="24"/>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投标</w:t>
            </w:r>
            <w:r>
              <w:rPr>
                <w:rFonts w:hint="eastAsia" w:ascii="仿宋" w:hAnsi="仿宋" w:eastAsia="仿宋" w:cs="仿宋"/>
                <w:sz w:val="24"/>
                <w:szCs w:val="24"/>
                <w:lang w:val="en-US"/>
              </w:rPr>
              <w:t>文件</w:t>
            </w:r>
            <w:r>
              <w:rPr>
                <w:rFonts w:hint="eastAsia" w:ascii="仿宋" w:hAnsi="仿宋" w:eastAsia="仿宋" w:cs="仿宋"/>
                <w:sz w:val="24"/>
                <w:szCs w:val="24"/>
              </w:rPr>
              <w:t>有效期</w:t>
            </w:r>
          </w:p>
        </w:tc>
        <w:tc>
          <w:tcPr>
            <w:tcW w:w="567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szCs w:val="24"/>
              </w:rPr>
            </w:pPr>
            <w:r>
              <w:rPr>
                <w:rFonts w:hint="eastAsia" w:ascii="仿宋" w:hAnsi="仿宋" w:eastAsia="仿宋" w:cs="仿宋"/>
                <w:sz w:val="24"/>
                <w:szCs w:val="24"/>
              </w:rPr>
              <w:t>符合</w:t>
            </w:r>
            <w:r>
              <w:rPr>
                <w:rFonts w:hint="eastAsia" w:ascii="仿宋" w:hAnsi="仿宋" w:eastAsia="仿宋" w:cs="仿宋"/>
                <w:snapToGrid w:val="0"/>
                <w:sz w:val="24"/>
                <w:szCs w:val="24"/>
                <w:lang w:val="en-US"/>
              </w:rPr>
              <w:t>投标人</w:t>
            </w:r>
            <w:r>
              <w:rPr>
                <w:rFonts w:hint="eastAsia" w:ascii="仿宋" w:hAnsi="仿宋" w:eastAsia="仿宋" w:cs="仿宋"/>
                <w:sz w:val="24"/>
                <w:szCs w:val="24"/>
              </w:rPr>
              <w:t>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719" w:type="dxa"/>
            <w:vMerge w:val="continue"/>
            <w:tcBorders>
              <w:left w:val="single" w:color="auto" w:sz="4" w:space="0"/>
              <w:right w:val="single" w:color="auto" w:sz="4" w:space="0"/>
            </w:tcBorders>
            <w:vAlign w:val="center"/>
          </w:tcPr>
          <w:p>
            <w:pPr>
              <w:spacing w:line="440" w:lineRule="exact"/>
              <w:jc w:val="center"/>
              <w:rPr>
                <w:rFonts w:ascii="仿宋" w:hAnsi="仿宋" w:eastAsia="仿宋" w:cs="仿宋"/>
                <w:sz w:val="24"/>
                <w:szCs w:val="24"/>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实质性要求和条件</w:t>
            </w:r>
          </w:p>
        </w:tc>
        <w:tc>
          <w:tcPr>
            <w:tcW w:w="567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szCs w:val="24"/>
              </w:rPr>
            </w:pPr>
            <w:r>
              <w:rPr>
                <w:rFonts w:hint="eastAsia" w:ascii="仿宋" w:hAnsi="仿宋" w:eastAsia="仿宋" w:cs="仿宋"/>
                <w:sz w:val="24"/>
                <w:szCs w:val="24"/>
              </w:rPr>
              <w:t>符合</w:t>
            </w:r>
            <w:r>
              <w:rPr>
                <w:rFonts w:hint="eastAsia" w:ascii="仿宋" w:hAnsi="仿宋" w:eastAsia="仿宋" w:cs="仿宋"/>
                <w:snapToGrid w:val="0"/>
                <w:sz w:val="24"/>
                <w:szCs w:val="24"/>
                <w:lang w:val="en-US"/>
              </w:rPr>
              <w:t>投标人</w:t>
            </w:r>
            <w:r>
              <w:rPr>
                <w:rFonts w:hint="eastAsia" w:ascii="仿宋" w:hAnsi="仿宋" w:eastAsia="仿宋" w:cs="仿宋"/>
                <w:sz w:val="24"/>
                <w:szCs w:val="24"/>
              </w:rPr>
              <w:t>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719" w:type="dxa"/>
            <w:vMerge w:val="continue"/>
            <w:tcBorders>
              <w:left w:val="single" w:color="auto" w:sz="4" w:space="0"/>
              <w:right w:val="single" w:color="auto" w:sz="4" w:space="0"/>
            </w:tcBorders>
            <w:vAlign w:val="center"/>
          </w:tcPr>
          <w:p>
            <w:pPr>
              <w:spacing w:line="440" w:lineRule="exact"/>
              <w:jc w:val="center"/>
              <w:rPr>
                <w:rFonts w:ascii="仿宋" w:hAnsi="仿宋" w:eastAsia="仿宋" w:cs="仿宋"/>
                <w:sz w:val="24"/>
                <w:szCs w:val="24"/>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偏差</w:t>
            </w:r>
          </w:p>
        </w:tc>
        <w:tc>
          <w:tcPr>
            <w:tcW w:w="567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szCs w:val="24"/>
              </w:rPr>
            </w:pPr>
            <w:r>
              <w:rPr>
                <w:rFonts w:hint="eastAsia" w:ascii="仿宋" w:hAnsi="仿宋" w:eastAsia="仿宋" w:cs="仿宋"/>
                <w:sz w:val="24"/>
                <w:szCs w:val="24"/>
              </w:rPr>
              <w:t>超出偏差范围和最高偏差项数的</w:t>
            </w:r>
            <w:r>
              <w:rPr>
                <w:rFonts w:hint="eastAsia" w:ascii="仿宋" w:hAnsi="仿宋" w:eastAsia="仿宋" w:cs="仿宋"/>
                <w:sz w:val="24"/>
                <w:szCs w:val="24"/>
                <w:lang w:val="en-US"/>
              </w:rPr>
              <w:t>投标</w:t>
            </w:r>
            <w:r>
              <w:rPr>
                <w:rFonts w:hint="eastAsia" w:ascii="仿宋" w:hAnsi="仿宋" w:eastAsia="仿宋" w:cs="仿宋"/>
                <w:sz w:val="24"/>
                <w:szCs w:val="24"/>
              </w:rPr>
              <w:t>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719"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lang w:val="en-US"/>
              </w:rPr>
              <w:t>详细条款</w:t>
            </w:r>
          </w:p>
        </w:tc>
        <w:tc>
          <w:tcPr>
            <w:tcW w:w="2287" w:type="dxa"/>
            <w:vAlign w:val="center"/>
          </w:tcPr>
          <w:p>
            <w:pPr>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评分点名称</w:t>
            </w:r>
          </w:p>
        </w:tc>
        <w:tc>
          <w:tcPr>
            <w:tcW w:w="5676" w:type="dxa"/>
            <w:vAlign w:val="center"/>
          </w:tcPr>
          <w:p>
            <w:pPr>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1719" w:type="dxa"/>
            <w:vAlign w:val="center"/>
          </w:tcPr>
          <w:p>
            <w:pPr>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经济标评分</w:t>
            </w:r>
          </w:p>
          <w:p>
            <w:pPr>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 xml:space="preserve">参数 </w:t>
            </w:r>
          </w:p>
          <w:p>
            <w:pPr>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20</w:t>
            </w:r>
            <w:r>
              <w:rPr>
                <w:rFonts w:hint="eastAsia" w:ascii="仿宋" w:hAnsi="仿宋" w:eastAsia="仿宋" w:cs="仿宋"/>
                <w:sz w:val="24"/>
                <w:szCs w:val="24"/>
              </w:rPr>
              <w:t>分</w:t>
            </w:r>
          </w:p>
        </w:tc>
        <w:tc>
          <w:tcPr>
            <w:tcW w:w="2287"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投标报价</w:t>
            </w:r>
          </w:p>
        </w:tc>
        <w:tc>
          <w:tcPr>
            <w:tcW w:w="5676" w:type="dxa"/>
            <w:vAlign w:val="center"/>
          </w:tcPr>
          <w:p>
            <w:pPr>
              <w:spacing w:line="360" w:lineRule="auto"/>
              <w:rPr>
                <w:rFonts w:ascii="仿宋" w:hAnsi="仿宋" w:eastAsia="仿宋" w:cs="仿宋"/>
                <w:sz w:val="24"/>
                <w:szCs w:val="24"/>
                <w:lang w:val="en-US"/>
              </w:rPr>
            </w:pPr>
            <w:r>
              <w:rPr>
                <w:rFonts w:hint="eastAsia" w:ascii="仿宋" w:hAnsi="仿宋" w:eastAsia="仿宋" w:cs="仿宋"/>
                <w:sz w:val="24"/>
                <w:szCs w:val="24"/>
                <w:lang w:val="en-US"/>
              </w:rPr>
              <w:t>价格分采用低价优先法计算，即满足招标文件要求且评标报价最低的评标报价为评标基准价，其价格分为满分。其他投标人的价格分统一按照下列公式计算：投标报价得分=(评标基准价／评标报价)×投标报价权重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719" w:type="dxa"/>
            <w:vMerge w:val="restart"/>
            <w:vAlign w:val="center"/>
          </w:tcPr>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技术标评分</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参数</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40分</w:t>
            </w:r>
          </w:p>
        </w:tc>
        <w:tc>
          <w:tcPr>
            <w:tcW w:w="22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技术服务工作方案和管理制度</w:t>
            </w:r>
          </w:p>
          <w:p>
            <w:pPr>
              <w:pStyle w:val="18"/>
              <w:ind w:firstLine="240"/>
              <w:jc w:val="center"/>
              <w:rPr>
                <w:lang w:val="en-US"/>
              </w:rPr>
            </w:pPr>
            <w:r>
              <w:rPr>
                <w:rFonts w:hint="eastAsia" w:ascii="仿宋" w:hAnsi="仿宋" w:eastAsia="仿宋" w:cs="仿宋"/>
                <w:lang w:val="en-US"/>
              </w:rPr>
              <w:t>（6分）</w:t>
            </w:r>
          </w:p>
        </w:tc>
        <w:tc>
          <w:tcPr>
            <w:tcW w:w="5676" w:type="dxa"/>
            <w:vAlign w:val="center"/>
          </w:tcPr>
          <w:p>
            <w:pPr>
              <w:spacing w:line="360" w:lineRule="auto"/>
              <w:rPr>
                <w:rFonts w:ascii="仿宋" w:hAnsi="仿宋" w:eastAsia="仿宋" w:cs="仿宋"/>
                <w:sz w:val="24"/>
                <w:szCs w:val="24"/>
                <w:lang w:val="en-US" w:bidi="ar-SA"/>
              </w:rPr>
            </w:pPr>
            <w:r>
              <w:rPr>
                <w:rFonts w:hint="eastAsia" w:ascii="仿宋" w:hAnsi="仿宋" w:eastAsia="仿宋" w:cs="仿宋"/>
                <w:snapToGrid w:val="0"/>
                <w:sz w:val="24"/>
                <w:szCs w:val="24"/>
                <w:lang w:val="en-US"/>
              </w:rPr>
              <w:t>投标人</w:t>
            </w:r>
            <w:r>
              <w:rPr>
                <w:rFonts w:hint="eastAsia" w:ascii="仿宋" w:hAnsi="仿宋" w:eastAsia="仿宋" w:cs="仿宋"/>
                <w:sz w:val="24"/>
                <w:szCs w:val="24"/>
              </w:rPr>
              <w:t>有技术服务工作方案和管理制度，明确成立专门项目组、结果专报机制、档案管理机制等（由</w:t>
            </w:r>
            <w:r>
              <w:rPr>
                <w:rFonts w:hint="eastAsia" w:ascii="仿宋" w:hAnsi="仿宋" w:eastAsia="仿宋" w:cs="仿宋"/>
                <w:sz w:val="24"/>
                <w:szCs w:val="24"/>
                <w:lang w:val="en-US" w:bidi="ar-SA"/>
              </w:rPr>
              <w:t>评标委员会</w:t>
            </w:r>
            <w:r>
              <w:rPr>
                <w:rFonts w:hint="eastAsia" w:ascii="仿宋" w:hAnsi="仿宋" w:eastAsia="仿宋" w:cs="仿宋"/>
                <w:sz w:val="24"/>
                <w:szCs w:val="24"/>
              </w:rPr>
              <w:t>根据响应情况打分。（内容详实完整，针对性强得</w:t>
            </w:r>
            <w:r>
              <w:rPr>
                <w:rFonts w:hint="eastAsia" w:ascii="仿宋" w:hAnsi="仿宋" w:eastAsia="仿宋" w:cs="仿宋"/>
                <w:sz w:val="24"/>
                <w:szCs w:val="24"/>
                <w:lang w:val="en-US"/>
              </w:rPr>
              <w:t>6</w:t>
            </w:r>
            <w:r>
              <w:rPr>
                <w:rFonts w:hint="eastAsia" w:ascii="仿宋" w:hAnsi="仿宋" w:eastAsia="仿宋" w:cs="仿宋"/>
                <w:sz w:val="24"/>
                <w:szCs w:val="24"/>
              </w:rPr>
              <w:t>分；内容详实基本完整，针对性较强得</w:t>
            </w:r>
            <w:r>
              <w:rPr>
                <w:rFonts w:hint="eastAsia" w:ascii="仿宋" w:hAnsi="仿宋" w:eastAsia="仿宋" w:cs="仿宋"/>
                <w:sz w:val="24"/>
                <w:szCs w:val="24"/>
                <w:lang w:val="en-US"/>
              </w:rPr>
              <w:t>4</w:t>
            </w:r>
            <w:r>
              <w:rPr>
                <w:rFonts w:hint="eastAsia" w:ascii="仿宋" w:hAnsi="仿宋" w:eastAsia="仿宋" w:cs="仿宋"/>
                <w:sz w:val="24"/>
                <w:szCs w:val="24"/>
              </w:rPr>
              <w:t>分；内容完整，针对性一般得</w:t>
            </w:r>
            <w:r>
              <w:rPr>
                <w:rFonts w:hint="eastAsia" w:ascii="仿宋" w:hAnsi="仿宋" w:eastAsia="仿宋" w:cs="仿宋"/>
                <w:sz w:val="24"/>
                <w:szCs w:val="24"/>
                <w:lang w:val="en-US"/>
              </w:rPr>
              <w:t>3</w:t>
            </w:r>
            <w:r>
              <w:rPr>
                <w:rFonts w:hint="eastAsia" w:ascii="仿宋" w:hAnsi="仿宋" w:eastAsia="仿宋" w:cs="仿宋"/>
                <w:sz w:val="24"/>
                <w:szCs w:val="24"/>
              </w:rPr>
              <w:t>分；内容完整，针对性低得</w:t>
            </w:r>
            <w:r>
              <w:rPr>
                <w:rFonts w:hint="eastAsia" w:ascii="仿宋" w:hAnsi="仿宋" w:eastAsia="仿宋" w:cs="仿宋"/>
                <w:sz w:val="24"/>
                <w:szCs w:val="24"/>
                <w:lang w:val="en-US"/>
              </w:rPr>
              <w:t>2</w:t>
            </w:r>
            <w:r>
              <w:rPr>
                <w:rFonts w:hint="eastAsia" w:ascii="仿宋" w:hAnsi="仿宋" w:eastAsia="仿宋" w:cs="仿宋"/>
                <w:sz w:val="24"/>
                <w:szCs w:val="24"/>
              </w:rPr>
              <w:t>分；内容不完整得</w:t>
            </w:r>
            <w:r>
              <w:rPr>
                <w:rFonts w:hint="eastAsia" w:ascii="仿宋" w:hAnsi="仿宋" w:eastAsia="仿宋" w:cs="仿宋"/>
                <w:sz w:val="24"/>
                <w:szCs w:val="24"/>
                <w:lang w:val="en-US"/>
              </w:rPr>
              <w:t>1</w:t>
            </w:r>
            <w:r>
              <w:rPr>
                <w:rFonts w:hint="eastAsia" w:ascii="仿宋" w:hAnsi="仿宋" w:eastAsia="仿宋" w:cs="仿宋"/>
                <w:sz w:val="24"/>
                <w:szCs w:val="24"/>
              </w:rPr>
              <w:t>分；未针对本项目描述的得</w:t>
            </w:r>
            <w:r>
              <w:rPr>
                <w:rFonts w:hint="eastAsia" w:ascii="仿宋" w:hAnsi="仿宋" w:eastAsia="仿宋" w:cs="仿宋"/>
                <w:sz w:val="24"/>
                <w:szCs w:val="24"/>
                <w:lang w:val="en-US"/>
              </w:rPr>
              <w:t>0</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1719" w:type="dxa"/>
            <w:vMerge w:val="continue"/>
            <w:vAlign w:val="center"/>
          </w:tcPr>
          <w:p>
            <w:pPr>
              <w:spacing w:line="360" w:lineRule="auto"/>
              <w:jc w:val="center"/>
              <w:rPr>
                <w:rFonts w:ascii="仿宋" w:hAnsi="仿宋" w:eastAsia="仿宋" w:cs="仿宋"/>
                <w:sz w:val="24"/>
                <w:szCs w:val="24"/>
                <w:lang w:val="en-US"/>
              </w:rPr>
            </w:pPr>
          </w:p>
        </w:tc>
        <w:tc>
          <w:tcPr>
            <w:tcW w:w="2287" w:type="dxa"/>
            <w:vAlign w:val="center"/>
          </w:tcPr>
          <w:p>
            <w:pPr>
              <w:spacing w:line="360" w:lineRule="auto"/>
              <w:jc w:val="center"/>
              <w:rPr>
                <w:rFonts w:ascii="仿宋" w:hAnsi="仿宋" w:eastAsia="仿宋" w:cs="仿宋"/>
                <w:sz w:val="24"/>
                <w:szCs w:val="24"/>
                <w:lang w:val="en-US" w:bidi="ar-SA"/>
              </w:rPr>
            </w:pPr>
            <w:r>
              <w:rPr>
                <w:rFonts w:hint="eastAsia" w:ascii="仿宋" w:hAnsi="仿宋" w:eastAsia="仿宋" w:cs="仿宋"/>
                <w:sz w:val="24"/>
                <w:szCs w:val="24"/>
                <w:lang w:val="en-US" w:bidi="ar-SA"/>
              </w:rPr>
              <w:t>咨询、食品安全风险评估、合理化建议</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（6分）</w:t>
            </w:r>
          </w:p>
        </w:tc>
        <w:tc>
          <w:tcPr>
            <w:tcW w:w="5676" w:type="dxa"/>
            <w:vAlign w:val="center"/>
          </w:tcPr>
          <w:p>
            <w:pPr>
              <w:spacing w:line="360" w:lineRule="auto"/>
              <w:rPr>
                <w:rFonts w:ascii="仿宋" w:hAnsi="仿宋" w:eastAsia="仿宋" w:cs="仿宋"/>
                <w:sz w:val="24"/>
                <w:szCs w:val="24"/>
                <w:lang w:val="en-US"/>
              </w:rPr>
            </w:pPr>
            <w:r>
              <w:rPr>
                <w:rFonts w:hint="eastAsia" w:ascii="仿宋" w:hAnsi="仿宋" w:eastAsia="仿宋" w:cs="仿宋"/>
                <w:sz w:val="24"/>
                <w:szCs w:val="24"/>
                <w:lang w:val="en-US" w:bidi="ar-SA"/>
              </w:rPr>
              <w:t>与招标单位提供咨询、食品安全风险评估、合理化建议及对本次项目重视程度等全方位服务，评标委员会根据各投标单位承诺的服务项目内容，综合评定打分。</w:t>
            </w:r>
            <w:r>
              <w:rPr>
                <w:rFonts w:hint="eastAsia" w:ascii="仿宋" w:hAnsi="仿宋" w:eastAsia="仿宋" w:cs="仿宋"/>
                <w:sz w:val="24"/>
                <w:szCs w:val="24"/>
              </w:rPr>
              <w:t>（内容详实完整，针对性强得</w:t>
            </w:r>
            <w:r>
              <w:rPr>
                <w:rFonts w:hint="eastAsia" w:ascii="仿宋" w:hAnsi="仿宋" w:eastAsia="仿宋" w:cs="仿宋"/>
                <w:sz w:val="24"/>
                <w:szCs w:val="24"/>
                <w:lang w:val="en-US"/>
              </w:rPr>
              <w:t>6</w:t>
            </w:r>
            <w:r>
              <w:rPr>
                <w:rFonts w:hint="eastAsia" w:ascii="仿宋" w:hAnsi="仿宋" w:eastAsia="仿宋" w:cs="仿宋"/>
                <w:sz w:val="24"/>
                <w:szCs w:val="24"/>
              </w:rPr>
              <w:t>分；内容详实基本完整，针对性较强得</w:t>
            </w:r>
            <w:r>
              <w:rPr>
                <w:rFonts w:hint="eastAsia" w:ascii="仿宋" w:hAnsi="仿宋" w:eastAsia="仿宋" w:cs="仿宋"/>
                <w:sz w:val="24"/>
                <w:szCs w:val="24"/>
                <w:lang w:val="en-US"/>
              </w:rPr>
              <w:t>4</w:t>
            </w:r>
            <w:r>
              <w:rPr>
                <w:rFonts w:hint="eastAsia" w:ascii="仿宋" w:hAnsi="仿宋" w:eastAsia="仿宋" w:cs="仿宋"/>
                <w:sz w:val="24"/>
                <w:szCs w:val="24"/>
              </w:rPr>
              <w:t>分；内容完整，针对性一般得</w:t>
            </w:r>
            <w:r>
              <w:rPr>
                <w:rFonts w:hint="eastAsia" w:ascii="仿宋" w:hAnsi="仿宋" w:eastAsia="仿宋" w:cs="仿宋"/>
                <w:sz w:val="24"/>
                <w:szCs w:val="24"/>
                <w:lang w:val="en-US"/>
              </w:rPr>
              <w:t>3</w:t>
            </w:r>
            <w:r>
              <w:rPr>
                <w:rFonts w:hint="eastAsia" w:ascii="仿宋" w:hAnsi="仿宋" w:eastAsia="仿宋" w:cs="仿宋"/>
                <w:sz w:val="24"/>
                <w:szCs w:val="24"/>
              </w:rPr>
              <w:t>分；内容完整，针对性低得</w:t>
            </w:r>
            <w:r>
              <w:rPr>
                <w:rFonts w:hint="eastAsia" w:ascii="仿宋" w:hAnsi="仿宋" w:eastAsia="仿宋" w:cs="仿宋"/>
                <w:sz w:val="24"/>
                <w:szCs w:val="24"/>
                <w:lang w:val="en-US"/>
              </w:rPr>
              <w:t>2</w:t>
            </w:r>
            <w:r>
              <w:rPr>
                <w:rFonts w:hint="eastAsia" w:ascii="仿宋" w:hAnsi="仿宋" w:eastAsia="仿宋" w:cs="仿宋"/>
                <w:sz w:val="24"/>
                <w:szCs w:val="24"/>
              </w:rPr>
              <w:t>分；内容不完整得</w:t>
            </w:r>
            <w:r>
              <w:rPr>
                <w:rFonts w:hint="eastAsia" w:ascii="仿宋" w:hAnsi="仿宋" w:eastAsia="仿宋" w:cs="仿宋"/>
                <w:sz w:val="24"/>
                <w:szCs w:val="24"/>
                <w:lang w:val="en-US"/>
              </w:rPr>
              <w:t>1</w:t>
            </w:r>
            <w:r>
              <w:rPr>
                <w:rFonts w:hint="eastAsia" w:ascii="仿宋" w:hAnsi="仿宋" w:eastAsia="仿宋" w:cs="仿宋"/>
                <w:sz w:val="24"/>
                <w:szCs w:val="24"/>
              </w:rPr>
              <w:t>分；未针对本项目描述的得</w:t>
            </w:r>
            <w:r>
              <w:rPr>
                <w:rFonts w:hint="eastAsia" w:ascii="仿宋" w:hAnsi="仿宋" w:eastAsia="仿宋" w:cs="仿宋"/>
                <w:sz w:val="24"/>
                <w:szCs w:val="24"/>
                <w:lang w:val="en-US"/>
              </w:rPr>
              <w:t>0</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1719" w:type="dxa"/>
            <w:vMerge w:val="continue"/>
            <w:vAlign w:val="center"/>
          </w:tcPr>
          <w:p>
            <w:pPr>
              <w:spacing w:line="360" w:lineRule="auto"/>
              <w:jc w:val="center"/>
              <w:rPr>
                <w:rFonts w:ascii="仿宋" w:hAnsi="仿宋" w:eastAsia="仿宋" w:cs="仿宋"/>
                <w:sz w:val="24"/>
                <w:szCs w:val="24"/>
                <w:lang w:val="en-US"/>
              </w:rPr>
            </w:pPr>
          </w:p>
        </w:tc>
        <w:tc>
          <w:tcPr>
            <w:tcW w:w="2287" w:type="dxa"/>
            <w:vAlign w:val="center"/>
          </w:tcPr>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食品抽样检验质量控制方案</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（6分）</w:t>
            </w:r>
          </w:p>
        </w:tc>
        <w:tc>
          <w:tcPr>
            <w:tcW w:w="5676" w:type="dxa"/>
            <w:vAlign w:val="center"/>
          </w:tcPr>
          <w:p>
            <w:pPr>
              <w:spacing w:line="360" w:lineRule="auto"/>
              <w:rPr>
                <w:rFonts w:ascii="仿宋" w:hAnsi="仿宋" w:eastAsia="仿宋" w:cs="仿宋"/>
                <w:sz w:val="24"/>
                <w:szCs w:val="24"/>
                <w:lang w:val="en-US"/>
              </w:rPr>
            </w:pPr>
            <w:r>
              <w:rPr>
                <w:rFonts w:hint="eastAsia" w:ascii="仿宋" w:hAnsi="仿宋" w:eastAsia="仿宋" w:cs="仿宋"/>
                <w:snapToGrid w:val="0"/>
                <w:sz w:val="24"/>
                <w:szCs w:val="24"/>
                <w:lang w:val="en-US"/>
              </w:rPr>
              <w:t>投标人</w:t>
            </w:r>
            <w:r>
              <w:rPr>
                <w:rFonts w:hint="eastAsia" w:ascii="仿宋" w:hAnsi="仿宋" w:eastAsia="仿宋" w:cs="仿宋"/>
                <w:sz w:val="24"/>
                <w:szCs w:val="24"/>
              </w:rPr>
              <w:t>具有完善的食品抽样检验质量控制方案（内容详实完整，针对性强得</w:t>
            </w:r>
            <w:r>
              <w:rPr>
                <w:rFonts w:hint="eastAsia" w:ascii="仿宋" w:hAnsi="仿宋" w:eastAsia="仿宋" w:cs="仿宋"/>
                <w:sz w:val="24"/>
                <w:szCs w:val="24"/>
                <w:lang w:val="en-US"/>
              </w:rPr>
              <w:t>6</w:t>
            </w:r>
            <w:r>
              <w:rPr>
                <w:rFonts w:hint="eastAsia" w:ascii="仿宋" w:hAnsi="仿宋" w:eastAsia="仿宋" w:cs="仿宋"/>
                <w:sz w:val="24"/>
                <w:szCs w:val="24"/>
              </w:rPr>
              <w:t>分；内容详实基本完整，针对性较强得</w:t>
            </w:r>
            <w:r>
              <w:rPr>
                <w:rFonts w:hint="eastAsia" w:ascii="仿宋" w:hAnsi="仿宋" w:eastAsia="仿宋" w:cs="仿宋"/>
                <w:sz w:val="24"/>
                <w:szCs w:val="24"/>
                <w:lang w:val="en-US"/>
              </w:rPr>
              <w:t>4</w:t>
            </w:r>
            <w:r>
              <w:rPr>
                <w:rFonts w:hint="eastAsia" w:ascii="仿宋" w:hAnsi="仿宋" w:eastAsia="仿宋" w:cs="仿宋"/>
                <w:sz w:val="24"/>
                <w:szCs w:val="24"/>
              </w:rPr>
              <w:t>分；内容完整，针对性一般得</w:t>
            </w:r>
            <w:r>
              <w:rPr>
                <w:rFonts w:hint="eastAsia" w:ascii="仿宋" w:hAnsi="仿宋" w:eastAsia="仿宋" w:cs="仿宋"/>
                <w:sz w:val="24"/>
                <w:szCs w:val="24"/>
                <w:lang w:val="en-US"/>
              </w:rPr>
              <w:t>3</w:t>
            </w:r>
            <w:r>
              <w:rPr>
                <w:rFonts w:hint="eastAsia" w:ascii="仿宋" w:hAnsi="仿宋" w:eastAsia="仿宋" w:cs="仿宋"/>
                <w:sz w:val="24"/>
                <w:szCs w:val="24"/>
              </w:rPr>
              <w:t>分；内容完整，针对性低得</w:t>
            </w:r>
            <w:r>
              <w:rPr>
                <w:rFonts w:hint="eastAsia" w:ascii="仿宋" w:hAnsi="仿宋" w:eastAsia="仿宋" w:cs="仿宋"/>
                <w:sz w:val="24"/>
                <w:szCs w:val="24"/>
                <w:lang w:val="en-US"/>
              </w:rPr>
              <w:t>2</w:t>
            </w:r>
            <w:r>
              <w:rPr>
                <w:rFonts w:hint="eastAsia" w:ascii="仿宋" w:hAnsi="仿宋" w:eastAsia="仿宋" w:cs="仿宋"/>
                <w:sz w:val="24"/>
                <w:szCs w:val="24"/>
              </w:rPr>
              <w:t>分；内容不完整得</w:t>
            </w:r>
            <w:r>
              <w:rPr>
                <w:rFonts w:hint="eastAsia" w:ascii="仿宋" w:hAnsi="仿宋" w:eastAsia="仿宋" w:cs="仿宋"/>
                <w:sz w:val="24"/>
                <w:szCs w:val="24"/>
                <w:lang w:val="en-US"/>
              </w:rPr>
              <w:t>1</w:t>
            </w:r>
            <w:r>
              <w:rPr>
                <w:rFonts w:hint="eastAsia" w:ascii="仿宋" w:hAnsi="仿宋" w:eastAsia="仿宋" w:cs="仿宋"/>
                <w:sz w:val="24"/>
                <w:szCs w:val="24"/>
              </w:rPr>
              <w:t>分；未针对本项目描述的得</w:t>
            </w:r>
            <w:r>
              <w:rPr>
                <w:rFonts w:hint="eastAsia" w:ascii="仿宋" w:hAnsi="仿宋" w:eastAsia="仿宋" w:cs="仿宋"/>
                <w:sz w:val="24"/>
                <w:szCs w:val="24"/>
                <w:lang w:val="en-US"/>
              </w:rPr>
              <w:t>0</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1719" w:type="dxa"/>
            <w:vMerge w:val="continue"/>
            <w:vAlign w:val="center"/>
          </w:tcPr>
          <w:p>
            <w:pPr>
              <w:spacing w:line="360" w:lineRule="auto"/>
              <w:jc w:val="center"/>
              <w:rPr>
                <w:rFonts w:ascii="仿宋" w:hAnsi="仿宋" w:eastAsia="仿宋" w:cs="仿宋"/>
                <w:sz w:val="24"/>
                <w:szCs w:val="24"/>
                <w:lang w:val="en-US"/>
              </w:rPr>
            </w:pPr>
          </w:p>
        </w:tc>
        <w:tc>
          <w:tcPr>
            <w:tcW w:w="22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承检任务方案</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（6分）</w:t>
            </w:r>
          </w:p>
        </w:tc>
        <w:tc>
          <w:tcPr>
            <w:tcW w:w="5676" w:type="dxa"/>
            <w:vAlign w:val="center"/>
          </w:tcPr>
          <w:p>
            <w:pPr>
              <w:spacing w:line="360" w:lineRule="auto"/>
              <w:rPr>
                <w:rFonts w:ascii="仿宋" w:hAnsi="仿宋" w:eastAsia="仿宋" w:cs="仿宋"/>
                <w:sz w:val="24"/>
                <w:szCs w:val="24"/>
                <w:lang w:val="en-US"/>
              </w:rPr>
            </w:pPr>
            <w:r>
              <w:rPr>
                <w:rFonts w:hint="eastAsia" w:ascii="仿宋" w:hAnsi="仿宋" w:eastAsia="仿宋" w:cs="仿宋"/>
                <w:sz w:val="24"/>
                <w:szCs w:val="24"/>
              </w:rPr>
              <w:t>按照</w:t>
            </w:r>
            <w:r>
              <w:rPr>
                <w:rFonts w:hint="eastAsia" w:ascii="仿宋" w:hAnsi="仿宋" w:eastAsia="仿宋" w:cs="仿宋"/>
                <w:sz w:val="24"/>
                <w:szCs w:val="24"/>
                <w:lang w:val="en-US"/>
              </w:rPr>
              <w:t>招标</w:t>
            </w:r>
            <w:r>
              <w:rPr>
                <w:rFonts w:hint="eastAsia" w:ascii="仿宋" w:hAnsi="仿宋" w:eastAsia="仿宋" w:cs="仿宋"/>
                <w:sz w:val="24"/>
                <w:szCs w:val="24"/>
              </w:rPr>
              <w:t>人的规定，有完成</w:t>
            </w:r>
            <w:r>
              <w:rPr>
                <w:rFonts w:hint="eastAsia" w:ascii="仿宋" w:hAnsi="仿宋" w:eastAsia="仿宋" w:cs="仿宋"/>
                <w:sz w:val="24"/>
                <w:szCs w:val="24"/>
                <w:lang w:val="en-US"/>
              </w:rPr>
              <w:t>招标</w:t>
            </w:r>
            <w:r>
              <w:rPr>
                <w:rFonts w:hint="eastAsia" w:ascii="仿宋" w:hAnsi="仿宋" w:eastAsia="仿宋" w:cs="仿宋"/>
                <w:sz w:val="24"/>
                <w:szCs w:val="24"/>
              </w:rPr>
              <w:t>人下达的检验任务的承检任务方案（内容详实完整，针对性强得</w:t>
            </w:r>
            <w:r>
              <w:rPr>
                <w:rFonts w:hint="eastAsia" w:ascii="仿宋" w:hAnsi="仿宋" w:eastAsia="仿宋" w:cs="仿宋"/>
                <w:sz w:val="24"/>
                <w:szCs w:val="24"/>
                <w:lang w:val="en-US"/>
              </w:rPr>
              <w:t>6</w:t>
            </w:r>
            <w:r>
              <w:rPr>
                <w:rFonts w:hint="eastAsia" w:ascii="仿宋" w:hAnsi="仿宋" w:eastAsia="仿宋" w:cs="仿宋"/>
                <w:sz w:val="24"/>
                <w:szCs w:val="24"/>
              </w:rPr>
              <w:t>分；内容详实基本完整，针对性较强得</w:t>
            </w:r>
            <w:r>
              <w:rPr>
                <w:rFonts w:hint="eastAsia" w:ascii="仿宋" w:hAnsi="仿宋" w:eastAsia="仿宋" w:cs="仿宋"/>
                <w:sz w:val="24"/>
                <w:szCs w:val="24"/>
                <w:lang w:val="en-US"/>
              </w:rPr>
              <w:t>4</w:t>
            </w:r>
            <w:r>
              <w:rPr>
                <w:rFonts w:hint="eastAsia" w:ascii="仿宋" w:hAnsi="仿宋" w:eastAsia="仿宋" w:cs="仿宋"/>
                <w:sz w:val="24"/>
                <w:szCs w:val="24"/>
              </w:rPr>
              <w:t>分；内容完整，针对性一般得</w:t>
            </w:r>
            <w:r>
              <w:rPr>
                <w:rFonts w:hint="eastAsia" w:ascii="仿宋" w:hAnsi="仿宋" w:eastAsia="仿宋" w:cs="仿宋"/>
                <w:sz w:val="24"/>
                <w:szCs w:val="24"/>
                <w:lang w:val="en-US"/>
              </w:rPr>
              <w:t>3</w:t>
            </w:r>
            <w:r>
              <w:rPr>
                <w:rFonts w:hint="eastAsia" w:ascii="仿宋" w:hAnsi="仿宋" w:eastAsia="仿宋" w:cs="仿宋"/>
                <w:sz w:val="24"/>
                <w:szCs w:val="24"/>
              </w:rPr>
              <w:t>分；内容完整，针对性低得</w:t>
            </w:r>
            <w:r>
              <w:rPr>
                <w:rFonts w:hint="eastAsia" w:ascii="仿宋" w:hAnsi="仿宋" w:eastAsia="仿宋" w:cs="仿宋"/>
                <w:sz w:val="24"/>
                <w:szCs w:val="24"/>
                <w:lang w:val="en-US"/>
              </w:rPr>
              <w:t>2</w:t>
            </w:r>
            <w:r>
              <w:rPr>
                <w:rFonts w:hint="eastAsia" w:ascii="仿宋" w:hAnsi="仿宋" w:eastAsia="仿宋" w:cs="仿宋"/>
                <w:sz w:val="24"/>
                <w:szCs w:val="24"/>
              </w:rPr>
              <w:t>分；内容不完整得</w:t>
            </w:r>
            <w:r>
              <w:rPr>
                <w:rFonts w:hint="eastAsia" w:ascii="仿宋" w:hAnsi="仿宋" w:eastAsia="仿宋" w:cs="仿宋"/>
                <w:sz w:val="24"/>
                <w:szCs w:val="24"/>
                <w:lang w:val="en-US"/>
              </w:rPr>
              <w:t>1</w:t>
            </w:r>
            <w:r>
              <w:rPr>
                <w:rFonts w:hint="eastAsia" w:ascii="仿宋" w:hAnsi="仿宋" w:eastAsia="仿宋" w:cs="仿宋"/>
                <w:sz w:val="24"/>
                <w:szCs w:val="24"/>
              </w:rPr>
              <w:t>分；未针对本项目描述的得</w:t>
            </w:r>
            <w:r>
              <w:rPr>
                <w:rFonts w:hint="eastAsia" w:ascii="仿宋" w:hAnsi="仿宋" w:eastAsia="仿宋" w:cs="仿宋"/>
                <w:sz w:val="24"/>
                <w:szCs w:val="24"/>
                <w:lang w:val="en-US"/>
              </w:rPr>
              <w:t>0</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1719" w:type="dxa"/>
            <w:vMerge w:val="continue"/>
            <w:vAlign w:val="center"/>
          </w:tcPr>
          <w:p>
            <w:pPr>
              <w:spacing w:line="360" w:lineRule="auto"/>
              <w:rPr>
                <w:rFonts w:ascii="仿宋" w:hAnsi="仿宋" w:eastAsia="仿宋" w:cs="仿宋"/>
                <w:sz w:val="24"/>
                <w:szCs w:val="24"/>
                <w:lang w:val="en-US"/>
              </w:rPr>
            </w:pPr>
          </w:p>
        </w:tc>
        <w:tc>
          <w:tcPr>
            <w:tcW w:w="22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安全应急处置工作的能力</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（6分）</w:t>
            </w:r>
          </w:p>
        </w:tc>
        <w:tc>
          <w:tcPr>
            <w:tcW w:w="5676" w:type="dxa"/>
            <w:vAlign w:val="center"/>
          </w:tcPr>
          <w:p>
            <w:pPr>
              <w:spacing w:line="360" w:lineRule="auto"/>
              <w:rPr>
                <w:rFonts w:ascii="仿宋" w:hAnsi="仿宋" w:eastAsia="仿宋" w:cs="仿宋"/>
                <w:sz w:val="24"/>
                <w:szCs w:val="24"/>
                <w:lang w:val="en-US"/>
              </w:rPr>
            </w:pPr>
            <w:r>
              <w:rPr>
                <w:rFonts w:hint="eastAsia" w:ascii="仿宋" w:hAnsi="仿宋" w:eastAsia="仿宋" w:cs="仿宋"/>
                <w:snapToGrid w:val="0"/>
                <w:sz w:val="24"/>
                <w:szCs w:val="24"/>
                <w:lang w:val="en-US"/>
              </w:rPr>
              <w:t>投标人</w:t>
            </w:r>
            <w:r>
              <w:rPr>
                <w:rFonts w:hint="eastAsia" w:ascii="仿宋" w:hAnsi="仿宋" w:eastAsia="仿宋" w:cs="仿宋"/>
                <w:color w:val="auto"/>
                <w:sz w:val="24"/>
                <w:szCs w:val="24"/>
                <w:highlight w:val="none"/>
              </w:rPr>
              <w:t>能够为</w:t>
            </w:r>
            <w:r>
              <w:rPr>
                <w:rFonts w:hint="eastAsia" w:ascii="仿宋" w:hAnsi="仿宋" w:eastAsia="仿宋" w:cs="仿宋"/>
                <w:sz w:val="24"/>
                <w:szCs w:val="24"/>
                <w:lang w:val="en-US"/>
              </w:rPr>
              <w:t>招标</w:t>
            </w:r>
            <w:r>
              <w:rPr>
                <w:rFonts w:hint="eastAsia" w:ascii="仿宋" w:hAnsi="仿宋" w:eastAsia="仿宋" w:cs="仿宋"/>
                <w:color w:val="auto"/>
                <w:sz w:val="24"/>
                <w:szCs w:val="24"/>
                <w:highlight w:val="none"/>
              </w:rPr>
              <w:t>人提供食品安全检验检测结果技术分析、食品安全质量分析报告、食品安全风险评估，具有安全应急处置工作的能力</w:t>
            </w:r>
            <w:r>
              <w:rPr>
                <w:rFonts w:hint="eastAsia" w:ascii="仿宋" w:hAnsi="仿宋" w:eastAsia="仿宋" w:cs="仿宋"/>
                <w:sz w:val="24"/>
                <w:szCs w:val="24"/>
              </w:rPr>
              <w:t>（内容详实完整，针对性强得</w:t>
            </w:r>
            <w:r>
              <w:rPr>
                <w:rFonts w:hint="eastAsia" w:ascii="仿宋" w:hAnsi="仿宋" w:eastAsia="仿宋" w:cs="仿宋"/>
                <w:sz w:val="24"/>
                <w:szCs w:val="24"/>
                <w:lang w:val="en-US"/>
              </w:rPr>
              <w:t>6</w:t>
            </w:r>
            <w:r>
              <w:rPr>
                <w:rFonts w:hint="eastAsia" w:ascii="仿宋" w:hAnsi="仿宋" w:eastAsia="仿宋" w:cs="仿宋"/>
                <w:sz w:val="24"/>
                <w:szCs w:val="24"/>
              </w:rPr>
              <w:t>分；内容详实基本完整，针对性较强得</w:t>
            </w:r>
            <w:r>
              <w:rPr>
                <w:rFonts w:hint="eastAsia" w:ascii="仿宋" w:hAnsi="仿宋" w:eastAsia="仿宋" w:cs="仿宋"/>
                <w:sz w:val="24"/>
                <w:szCs w:val="24"/>
                <w:lang w:val="en-US"/>
              </w:rPr>
              <w:t>4</w:t>
            </w:r>
            <w:r>
              <w:rPr>
                <w:rFonts w:hint="eastAsia" w:ascii="仿宋" w:hAnsi="仿宋" w:eastAsia="仿宋" w:cs="仿宋"/>
                <w:sz w:val="24"/>
                <w:szCs w:val="24"/>
              </w:rPr>
              <w:t>分；内容完整，针对性一般得</w:t>
            </w:r>
            <w:r>
              <w:rPr>
                <w:rFonts w:hint="eastAsia" w:ascii="仿宋" w:hAnsi="仿宋" w:eastAsia="仿宋" w:cs="仿宋"/>
                <w:sz w:val="24"/>
                <w:szCs w:val="24"/>
                <w:lang w:val="en-US"/>
              </w:rPr>
              <w:t>3</w:t>
            </w:r>
            <w:r>
              <w:rPr>
                <w:rFonts w:hint="eastAsia" w:ascii="仿宋" w:hAnsi="仿宋" w:eastAsia="仿宋" w:cs="仿宋"/>
                <w:sz w:val="24"/>
                <w:szCs w:val="24"/>
              </w:rPr>
              <w:t>分；内容完整，针对性低得</w:t>
            </w:r>
            <w:r>
              <w:rPr>
                <w:rFonts w:hint="eastAsia" w:ascii="仿宋" w:hAnsi="仿宋" w:eastAsia="仿宋" w:cs="仿宋"/>
                <w:sz w:val="24"/>
                <w:szCs w:val="24"/>
                <w:lang w:val="en-US"/>
              </w:rPr>
              <w:t>2</w:t>
            </w:r>
            <w:r>
              <w:rPr>
                <w:rFonts w:hint="eastAsia" w:ascii="仿宋" w:hAnsi="仿宋" w:eastAsia="仿宋" w:cs="仿宋"/>
                <w:sz w:val="24"/>
                <w:szCs w:val="24"/>
              </w:rPr>
              <w:t>分；内容不完整得</w:t>
            </w:r>
            <w:r>
              <w:rPr>
                <w:rFonts w:hint="eastAsia" w:ascii="仿宋" w:hAnsi="仿宋" w:eastAsia="仿宋" w:cs="仿宋"/>
                <w:sz w:val="24"/>
                <w:szCs w:val="24"/>
                <w:lang w:val="en-US"/>
              </w:rPr>
              <w:t>1</w:t>
            </w:r>
            <w:r>
              <w:rPr>
                <w:rFonts w:hint="eastAsia" w:ascii="仿宋" w:hAnsi="仿宋" w:eastAsia="仿宋" w:cs="仿宋"/>
                <w:sz w:val="24"/>
                <w:szCs w:val="24"/>
              </w:rPr>
              <w:t>分；未针对本项目描述的得</w:t>
            </w:r>
            <w:r>
              <w:rPr>
                <w:rFonts w:hint="eastAsia" w:ascii="仿宋" w:hAnsi="仿宋" w:eastAsia="仿宋" w:cs="仿宋"/>
                <w:sz w:val="24"/>
                <w:szCs w:val="24"/>
                <w:lang w:val="en-US"/>
              </w:rPr>
              <w:t>0</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719" w:type="dxa"/>
            <w:vMerge w:val="continue"/>
            <w:vAlign w:val="center"/>
          </w:tcPr>
          <w:p>
            <w:pPr>
              <w:spacing w:line="360" w:lineRule="auto"/>
              <w:rPr>
                <w:rFonts w:ascii="仿宋" w:hAnsi="仿宋" w:eastAsia="仿宋" w:cs="仿宋"/>
                <w:sz w:val="24"/>
                <w:szCs w:val="24"/>
                <w:lang w:val="en-US"/>
              </w:rPr>
            </w:pPr>
          </w:p>
        </w:tc>
        <w:tc>
          <w:tcPr>
            <w:tcW w:w="22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运输过程中不会受到污染的措施和技术力量</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（6分）</w:t>
            </w:r>
          </w:p>
        </w:tc>
        <w:tc>
          <w:tcPr>
            <w:tcW w:w="5676" w:type="dxa"/>
            <w:vAlign w:val="center"/>
          </w:tcPr>
          <w:p>
            <w:pPr>
              <w:spacing w:line="360" w:lineRule="auto"/>
              <w:rPr>
                <w:rFonts w:ascii="仿宋" w:hAnsi="仿宋" w:eastAsia="仿宋" w:cs="仿宋"/>
                <w:sz w:val="24"/>
                <w:szCs w:val="24"/>
                <w:lang w:val="en-US"/>
              </w:rPr>
            </w:pPr>
            <w:r>
              <w:rPr>
                <w:rFonts w:hint="eastAsia" w:ascii="仿宋" w:hAnsi="仿宋" w:eastAsia="仿宋" w:cs="仿宋"/>
                <w:snapToGrid w:val="0"/>
                <w:sz w:val="24"/>
                <w:szCs w:val="24"/>
                <w:lang w:val="en-US"/>
              </w:rPr>
              <w:t>投标人</w:t>
            </w:r>
            <w:r>
              <w:rPr>
                <w:rFonts w:hint="eastAsia" w:ascii="仿宋" w:hAnsi="仿宋" w:eastAsia="仿宋" w:cs="仿宋"/>
                <w:sz w:val="24"/>
                <w:szCs w:val="24"/>
              </w:rPr>
              <w:t>具有确保检验样品能在规定时限内送到实验室，检验样品在运输过程中不会受到污染的措施和技术力量，保证依法施检，检验数据真实有效、科学客观。（内容详实完整，针对性强得</w:t>
            </w:r>
            <w:r>
              <w:rPr>
                <w:rFonts w:hint="eastAsia" w:ascii="仿宋" w:hAnsi="仿宋" w:eastAsia="仿宋" w:cs="仿宋"/>
                <w:sz w:val="24"/>
                <w:szCs w:val="24"/>
                <w:lang w:val="en-US"/>
              </w:rPr>
              <w:t>6</w:t>
            </w:r>
            <w:r>
              <w:rPr>
                <w:rFonts w:hint="eastAsia" w:ascii="仿宋" w:hAnsi="仿宋" w:eastAsia="仿宋" w:cs="仿宋"/>
                <w:sz w:val="24"/>
                <w:szCs w:val="24"/>
              </w:rPr>
              <w:t>分；内容详实基本完整，针对性较强得</w:t>
            </w:r>
            <w:r>
              <w:rPr>
                <w:rFonts w:hint="eastAsia" w:ascii="仿宋" w:hAnsi="仿宋" w:eastAsia="仿宋" w:cs="仿宋"/>
                <w:sz w:val="24"/>
                <w:szCs w:val="24"/>
                <w:lang w:val="en-US"/>
              </w:rPr>
              <w:t>4</w:t>
            </w:r>
            <w:r>
              <w:rPr>
                <w:rFonts w:hint="eastAsia" w:ascii="仿宋" w:hAnsi="仿宋" w:eastAsia="仿宋" w:cs="仿宋"/>
                <w:sz w:val="24"/>
                <w:szCs w:val="24"/>
              </w:rPr>
              <w:t>分；内容完整，针对性一般得</w:t>
            </w:r>
            <w:r>
              <w:rPr>
                <w:rFonts w:hint="eastAsia" w:ascii="仿宋" w:hAnsi="仿宋" w:eastAsia="仿宋" w:cs="仿宋"/>
                <w:sz w:val="24"/>
                <w:szCs w:val="24"/>
                <w:lang w:val="en-US"/>
              </w:rPr>
              <w:t>3</w:t>
            </w:r>
            <w:r>
              <w:rPr>
                <w:rFonts w:hint="eastAsia" w:ascii="仿宋" w:hAnsi="仿宋" w:eastAsia="仿宋" w:cs="仿宋"/>
                <w:sz w:val="24"/>
                <w:szCs w:val="24"/>
              </w:rPr>
              <w:t>分；内容完整，针对性低得</w:t>
            </w:r>
            <w:r>
              <w:rPr>
                <w:rFonts w:hint="eastAsia" w:ascii="仿宋" w:hAnsi="仿宋" w:eastAsia="仿宋" w:cs="仿宋"/>
                <w:sz w:val="24"/>
                <w:szCs w:val="24"/>
                <w:lang w:val="en-US"/>
              </w:rPr>
              <w:t>2</w:t>
            </w:r>
            <w:r>
              <w:rPr>
                <w:rFonts w:hint="eastAsia" w:ascii="仿宋" w:hAnsi="仿宋" w:eastAsia="仿宋" w:cs="仿宋"/>
                <w:sz w:val="24"/>
                <w:szCs w:val="24"/>
              </w:rPr>
              <w:t>分；内容不完整得</w:t>
            </w:r>
            <w:r>
              <w:rPr>
                <w:rFonts w:hint="eastAsia" w:ascii="仿宋" w:hAnsi="仿宋" w:eastAsia="仿宋" w:cs="仿宋"/>
                <w:sz w:val="24"/>
                <w:szCs w:val="24"/>
                <w:lang w:val="en-US"/>
              </w:rPr>
              <w:t>1</w:t>
            </w:r>
            <w:r>
              <w:rPr>
                <w:rFonts w:hint="eastAsia" w:ascii="仿宋" w:hAnsi="仿宋" w:eastAsia="仿宋" w:cs="仿宋"/>
                <w:sz w:val="24"/>
                <w:szCs w:val="24"/>
              </w:rPr>
              <w:t>分；未针对本项目描述的得</w:t>
            </w:r>
            <w:r>
              <w:rPr>
                <w:rFonts w:hint="eastAsia" w:ascii="仿宋" w:hAnsi="仿宋" w:eastAsia="仿宋" w:cs="仿宋"/>
                <w:sz w:val="24"/>
                <w:szCs w:val="24"/>
                <w:lang w:val="en-US"/>
              </w:rPr>
              <w:t>0</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719" w:type="dxa"/>
            <w:vMerge w:val="continue"/>
            <w:vAlign w:val="center"/>
          </w:tcPr>
          <w:p>
            <w:pPr>
              <w:spacing w:line="360" w:lineRule="auto"/>
              <w:rPr>
                <w:rFonts w:ascii="仿宋" w:hAnsi="仿宋" w:eastAsia="仿宋" w:cs="仿宋"/>
                <w:sz w:val="24"/>
                <w:szCs w:val="24"/>
                <w:lang w:val="en-US"/>
              </w:rPr>
            </w:pPr>
          </w:p>
        </w:tc>
        <w:tc>
          <w:tcPr>
            <w:tcW w:w="22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沟通机制方案</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（4分）</w:t>
            </w:r>
          </w:p>
        </w:tc>
        <w:tc>
          <w:tcPr>
            <w:tcW w:w="5676" w:type="dxa"/>
            <w:vAlign w:val="center"/>
          </w:tcPr>
          <w:p>
            <w:pPr>
              <w:spacing w:line="360" w:lineRule="auto"/>
              <w:rPr>
                <w:rFonts w:ascii="仿宋" w:hAnsi="仿宋" w:eastAsia="仿宋" w:cs="仿宋"/>
                <w:sz w:val="24"/>
                <w:szCs w:val="24"/>
                <w:lang w:val="en-US"/>
              </w:rPr>
            </w:pPr>
            <w:r>
              <w:rPr>
                <w:rFonts w:hint="eastAsia" w:ascii="仿宋" w:hAnsi="仿宋" w:eastAsia="仿宋" w:cs="仿宋"/>
                <w:snapToGrid w:val="0"/>
                <w:sz w:val="24"/>
                <w:szCs w:val="24"/>
                <w:lang w:val="en-US"/>
              </w:rPr>
              <w:t>投标人</w:t>
            </w:r>
            <w:r>
              <w:rPr>
                <w:rFonts w:hint="eastAsia" w:ascii="仿宋" w:hAnsi="仿宋" w:eastAsia="仿宋" w:cs="仿宋"/>
                <w:sz w:val="24"/>
                <w:szCs w:val="24"/>
              </w:rPr>
              <w:t>与</w:t>
            </w:r>
            <w:r>
              <w:rPr>
                <w:rFonts w:hint="eastAsia" w:ascii="仿宋" w:hAnsi="仿宋" w:eastAsia="仿宋" w:cs="仿宋"/>
                <w:sz w:val="24"/>
                <w:szCs w:val="24"/>
                <w:lang w:val="en-US"/>
              </w:rPr>
              <w:t>招标</w:t>
            </w:r>
            <w:r>
              <w:rPr>
                <w:rFonts w:hint="eastAsia" w:ascii="仿宋" w:hAnsi="仿宋" w:eastAsia="仿宋" w:cs="仿宋"/>
                <w:sz w:val="24"/>
                <w:szCs w:val="24"/>
              </w:rPr>
              <w:t>人及相关单位建立定期或不定期的沟通机制方案（由</w:t>
            </w:r>
            <w:r>
              <w:rPr>
                <w:rFonts w:hint="eastAsia" w:ascii="仿宋" w:hAnsi="仿宋" w:eastAsia="仿宋" w:cs="仿宋"/>
                <w:sz w:val="24"/>
                <w:szCs w:val="24"/>
                <w:lang w:val="en-US" w:bidi="ar-SA"/>
              </w:rPr>
              <w:t>评标委员会</w:t>
            </w:r>
            <w:r>
              <w:rPr>
                <w:rFonts w:hint="eastAsia" w:ascii="仿宋" w:hAnsi="仿宋" w:eastAsia="仿宋" w:cs="仿宋"/>
                <w:sz w:val="24"/>
                <w:szCs w:val="24"/>
              </w:rPr>
              <w:t>根据响应情况打分好的得</w:t>
            </w:r>
            <w:r>
              <w:rPr>
                <w:rFonts w:hint="eastAsia" w:ascii="仿宋" w:hAnsi="仿宋" w:eastAsia="仿宋" w:cs="仿宋"/>
                <w:sz w:val="24"/>
                <w:szCs w:val="24"/>
                <w:lang w:val="en-US"/>
              </w:rPr>
              <w:t>4</w:t>
            </w:r>
            <w:r>
              <w:rPr>
                <w:rFonts w:hint="eastAsia" w:ascii="仿宋" w:hAnsi="仿宋" w:eastAsia="仿宋" w:cs="仿宋"/>
                <w:sz w:val="24"/>
                <w:szCs w:val="24"/>
              </w:rPr>
              <w:t>分，一般的得</w:t>
            </w:r>
            <w:r>
              <w:rPr>
                <w:rFonts w:hint="eastAsia" w:ascii="仿宋" w:hAnsi="仿宋" w:eastAsia="仿宋" w:cs="仿宋"/>
                <w:sz w:val="24"/>
                <w:szCs w:val="24"/>
                <w:lang w:val="en-US"/>
              </w:rPr>
              <w:t>2</w:t>
            </w:r>
            <w:r>
              <w:rPr>
                <w:rFonts w:hint="eastAsia" w:ascii="仿宋" w:hAnsi="仿宋" w:eastAsia="仿宋" w:cs="仿宋"/>
                <w:sz w:val="24"/>
                <w:szCs w:val="24"/>
              </w:rPr>
              <w:t>分，差的得</w:t>
            </w:r>
            <w:r>
              <w:rPr>
                <w:rFonts w:hint="eastAsia" w:ascii="仿宋" w:hAnsi="仿宋" w:eastAsia="仿宋" w:cs="仿宋"/>
                <w:sz w:val="24"/>
                <w:szCs w:val="24"/>
                <w:lang w:val="en-US"/>
              </w:rPr>
              <w:t>1</w:t>
            </w:r>
            <w:r>
              <w:rPr>
                <w:rFonts w:hint="eastAsia" w:ascii="仿宋" w:hAnsi="仿宋" w:eastAsia="仿宋" w:cs="仿宋"/>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719" w:type="dxa"/>
            <w:vMerge w:val="restart"/>
            <w:vAlign w:val="center"/>
          </w:tcPr>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综合标评分</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参数</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34分</w:t>
            </w:r>
          </w:p>
        </w:tc>
        <w:tc>
          <w:tcPr>
            <w:tcW w:w="228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设备配备情况</w:t>
            </w:r>
          </w:p>
          <w:p>
            <w:pPr>
              <w:pStyle w:val="18"/>
              <w:ind w:firstLine="240"/>
              <w:jc w:val="center"/>
              <w:rPr>
                <w:lang w:val="en-US"/>
              </w:rPr>
            </w:pPr>
            <w:r>
              <w:rPr>
                <w:rFonts w:hint="eastAsia" w:ascii="仿宋" w:hAnsi="仿宋" w:eastAsia="仿宋" w:cs="仿宋"/>
                <w:lang w:val="en-US"/>
              </w:rPr>
              <w:t>（14分）</w:t>
            </w:r>
          </w:p>
        </w:tc>
        <w:tc>
          <w:tcPr>
            <w:tcW w:w="5676"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（1）具备相关的检测设备：酶标仪、液相色谱、AFS（原子荧光分光光度计）、AAS（原子吸收光谱仪）、离子色谱仪、</w:t>
            </w:r>
            <w:r>
              <w:rPr>
                <w:rFonts w:hint="eastAsia" w:ascii="仿宋" w:hAnsi="仿宋" w:eastAsia="仿宋" w:cs="仿宋"/>
                <w:sz w:val="24"/>
                <w:szCs w:val="24"/>
                <w:lang w:val="en-US"/>
              </w:rPr>
              <w:t>微波消解仪</w:t>
            </w:r>
            <w:r>
              <w:rPr>
                <w:rFonts w:hint="eastAsia" w:ascii="仿宋" w:hAnsi="仿宋" w:eastAsia="仿宋" w:cs="仿宋"/>
                <w:sz w:val="24"/>
                <w:szCs w:val="24"/>
              </w:rPr>
              <w:t>、液相色谱-原子荧光联用仪（形态分析仪）（LC/AFS）、ICP-MS（电感耦合等离子体质谱仪）。以上设备须提供校准证书或检定证书且在有效期内，否则视为缺项。全部拥有得6分，缺少一种扣</w:t>
            </w:r>
            <w:r>
              <w:rPr>
                <w:rFonts w:hint="eastAsia" w:ascii="仿宋" w:hAnsi="仿宋" w:eastAsia="仿宋" w:cs="仿宋"/>
                <w:sz w:val="24"/>
                <w:szCs w:val="24"/>
                <w:lang w:val="en-US"/>
              </w:rPr>
              <w:t>2</w:t>
            </w:r>
            <w:r>
              <w:rPr>
                <w:rFonts w:hint="eastAsia" w:ascii="仿宋" w:hAnsi="仿宋" w:eastAsia="仿宋" w:cs="仿宋"/>
                <w:sz w:val="24"/>
                <w:szCs w:val="24"/>
              </w:rPr>
              <w:t>分，扣完为止。</w:t>
            </w:r>
          </w:p>
          <w:p>
            <w:pPr>
              <w:spacing w:line="400" w:lineRule="exact"/>
              <w:rPr>
                <w:rFonts w:ascii="仿宋" w:hAnsi="仿宋" w:eastAsia="仿宋" w:cs="仿宋"/>
                <w:sz w:val="24"/>
                <w:szCs w:val="24"/>
              </w:rPr>
            </w:pPr>
            <w:r>
              <w:rPr>
                <w:rFonts w:hint="eastAsia" w:ascii="仿宋" w:hAnsi="仿宋" w:eastAsia="仿宋" w:cs="仿宋"/>
                <w:sz w:val="24"/>
                <w:szCs w:val="24"/>
              </w:rPr>
              <w:t>（2）液相色谱仪5台（含）以上得2分。</w:t>
            </w:r>
          </w:p>
          <w:p>
            <w:pPr>
              <w:spacing w:line="400" w:lineRule="exact"/>
              <w:rPr>
                <w:rFonts w:ascii="仿宋" w:hAnsi="仿宋" w:eastAsia="仿宋" w:cs="仿宋"/>
                <w:sz w:val="24"/>
                <w:szCs w:val="24"/>
              </w:rPr>
            </w:pPr>
            <w:r>
              <w:rPr>
                <w:rFonts w:hint="eastAsia" w:ascii="仿宋" w:hAnsi="仿宋" w:eastAsia="仿宋" w:cs="仿宋"/>
                <w:sz w:val="24"/>
                <w:szCs w:val="24"/>
              </w:rPr>
              <w:t>（3）气相色谱仪5台（含）以上得2分。</w:t>
            </w:r>
          </w:p>
          <w:p>
            <w:pPr>
              <w:spacing w:line="400" w:lineRule="exact"/>
              <w:rPr>
                <w:rFonts w:ascii="仿宋" w:hAnsi="仿宋" w:eastAsia="仿宋" w:cs="仿宋"/>
                <w:sz w:val="24"/>
                <w:szCs w:val="24"/>
              </w:rPr>
            </w:pPr>
            <w:r>
              <w:rPr>
                <w:rFonts w:hint="eastAsia" w:ascii="仿宋" w:hAnsi="仿宋" w:eastAsia="仿宋" w:cs="仿宋"/>
                <w:sz w:val="24"/>
                <w:szCs w:val="24"/>
              </w:rPr>
              <w:t>（4）GC/MS/MS（气相色谱/质谱联用仪）2台（含）以上得2分</w:t>
            </w:r>
          </w:p>
          <w:p>
            <w:pPr>
              <w:spacing w:line="400" w:lineRule="exact"/>
              <w:rPr>
                <w:rFonts w:ascii="仿宋" w:hAnsi="仿宋" w:eastAsia="仿宋" w:cs="仿宋"/>
                <w:sz w:val="24"/>
                <w:szCs w:val="24"/>
              </w:rPr>
            </w:pPr>
            <w:r>
              <w:rPr>
                <w:rFonts w:hint="eastAsia" w:ascii="仿宋" w:hAnsi="仿宋" w:eastAsia="仿宋" w:cs="仿宋"/>
                <w:sz w:val="24"/>
                <w:szCs w:val="24"/>
              </w:rPr>
              <w:t>（5）LC/MS/MS(液相色谱/串联质谱联用仪)2台（含）以上得2分。(并在响应文件中附每台设备有效校准证书或检定证书及发票</w:t>
            </w:r>
            <w:r>
              <w:rPr>
                <w:rFonts w:hint="eastAsia" w:ascii="仿宋" w:hAnsi="仿宋" w:eastAsia="仿宋" w:cs="仿宋"/>
                <w:sz w:val="24"/>
                <w:szCs w:val="24"/>
                <w:lang w:val="en-US"/>
              </w:rPr>
              <w:t>扫描件或</w:t>
            </w:r>
            <w:r>
              <w:rPr>
                <w:rFonts w:hint="eastAsia" w:ascii="仿宋" w:hAnsi="仿宋" w:eastAsia="仿宋" w:cs="仿宋"/>
                <w:sz w:val="24"/>
                <w:szCs w:val="24"/>
              </w:rPr>
              <w:t>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719" w:type="dxa"/>
            <w:vMerge w:val="continue"/>
            <w:vAlign w:val="center"/>
          </w:tcPr>
          <w:p>
            <w:pPr>
              <w:spacing w:line="360" w:lineRule="auto"/>
              <w:jc w:val="center"/>
              <w:rPr>
                <w:rFonts w:ascii="仿宋" w:hAnsi="仿宋" w:eastAsia="仿宋" w:cs="仿宋"/>
                <w:sz w:val="24"/>
                <w:szCs w:val="24"/>
                <w:lang w:val="en-US"/>
              </w:rPr>
            </w:pPr>
          </w:p>
        </w:tc>
        <w:tc>
          <w:tcPr>
            <w:tcW w:w="22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人员配备</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（5分）</w:t>
            </w:r>
          </w:p>
        </w:tc>
        <w:tc>
          <w:tcPr>
            <w:tcW w:w="5676"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1</w:t>
            </w:r>
            <w:r>
              <w:rPr>
                <w:rFonts w:hint="eastAsia" w:ascii="仿宋" w:hAnsi="仿宋" w:eastAsia="仿宋" w:cs="仿宋"/>
                <w:sz w:val="24"/>
                <w:szCs w:val="24"/>
              </w:rPr>
              <w:t>）满足食品安全检测的专业检测队伍和专业的食品安全采样队伍中，每提供一位副高级或高级职称者得</w:t>
            </w:r>
            <w:r>
              <w:rPr>
                <w:rFonts w:hint="eastAsia" w:ascii="仿宋" w:hAnsi="仿宋" w:eastAsia="仿宋" w:cs="仿宋"/>
                <w:sz w:val="24"/>
                <w:szCs w:val="24"/>
                <w:lang w:val="en-US"/>
              </w:rPr>
              <w:t>1</w:t>
            </w:r>
            <w:r>
              <w:rPr>
                <w:rFonts w:hint="eastAsia" w:ascii="仿宋" w:hAnsi="仿宋" w:eastAsia="仿宋" w:cs="仿宋"/>
                <w:sz w:val="24"/>
                <w:szCs w:val="24"/>
              </w:rPr>
              <w:t>分，最多得</w:t>
            </w:r>
            <w:r>
              <w:rPr>
                <w:rFonts w:hint="eastAsia" w:ascii="仿宋" w:hAnsi="仿宋" w:eastAsia="仿宋" w:cs="仿宋"/>
                <w:sz w:val="24"/>
                <w:szCs w:val="24"/>
                <w:lang w:val="en-US"/>
              </w:rPr>
              <w:t>3</w:t>
            </w:r>
            <w:r>
              <w:rPr>
                <w:rFonts w:hint="eastAsia" w:ascii="仿宋" w:hAnsi="仿宋" w:eastAsia="仿宋" w:cs="仿宋"/>
                <w:sz w:val="24"/>
                <w:szCs w:val="24"/>
              </w:rPr>
              <w:t>分；</w:t>
            </w:r>
          </w:p>
          <w:p>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2</w:t>
            </w:r>
            <w:r>
              <w:rPr>
                <w:rFonts w:hint="eastAsia" w:ascii="仿宋" w:hAnsi="仿宋" w:eastAsia="仿宋" w:cs="仿宋"/>
                <w:sz w:val="24"/>
                <w:szCs w:val="24"/>
              </w:rPr>
              <w:t>）每提供1名中级职称得0.5分，最多得</w:t>
            </w:r>
            <w:r>
              <w:rPr>
                <w:rFonts w:hint="eastAsia" w:ascii="仿宋" w:hAnsi="仿宋" w:eastAsia="仿宋" w:cs="仿宋"/>
                <w:sz w:val="24"/>
                <w:szCs w:val="24"/>
                <w:lang w:val="en-US"/>
              </w:rPr>
              <w:t>2</w:t>
            </w:r>
            <w:r>
              <w:rPr>
                <w:rFonts w:hint="eastAsia" w:ascii="仿宋" w:hAnsi="仿宋" w:eastAsia="仿宋" w:cs="仿宋"/>
                <w:sz w:val="24"/>
                <w:szCs w:val="24"/>
              </w:rPr>
              <w:t>分。</w:t>
            </w:r>
          </w:p>
          <w:p>
            <w:pPr>
              <w:spacing w:line="360" w:lineRule="auto"/>
              <w:rPr>
                <w:rFonts w:ascii="仿宋" w:hAnsi="仿宋" w:eastAsia="仿宋" w:cs="仿宋"/>
                <w:sz w:val="24"/>
                <w:szCs w:val="24"/>
                <w:lang w:val="en-US"/>
              </w:rPr>
            </w:pPr>
            <w:r>
              <w:rPr>
                <w:rFonts w:hint="eastAsia" w:ascii="仿宋" w:hAnsi="仿宋" w:eastAsia="仿宋" w:cs="仿宋"/>
                <w:sz w:val="24"/>
                <w:szCs w:val="24"/>
              </w:rPr>
              <w:t>提供职称证书（专业可为轻工、化学分析、食品工程、</w:t>
            </w:r>
            <w:r>
              <w:rPr>
                <w:rFonts w:hint="eastAsia" w:ascii="仿宋" w:hAnsi="仿宋" w:eastAsia="仿宋" w:cs="仿宋"/>
                <w:sz w:val="24"/>
                <w:szCs w:val="24"/>
                <w:lang w:val="en-US"/>
              </w:rPr>
              <w:t>检验检测、</w:t>
            </w:r>
            <w:r>
              <w:rPr>
                <w:rFonts w:hint="eastAsia" w:ascii="仿宋" w:hAnsi="仿宋" w:eastAsia="仿宋" w:cs="仿宋"/>
                <w:sz w:val="24"/>
                <w:szCs w:val="24"/>
              </w:rPr>
              <w:t>环保、化工、技术监督等）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719" w:type="dxa"/>
            <w:vMerge w:val="continue"/>
            <w:vAlign w:val="center"/>
          </w:tcPr>
          <w:p>
            <w:pPr>
              <w:spacing w:line="360" w:lineRule="auto"/>
              <w:jc w:val="center"/>
              <w:rPr>
                <w:rFonts w:ascii="仿宋" w:hAnsi="仿宋" w:eastAsia="仿宋" w:cs="仿宋"/>
                <w:sz w:val="24"/>
                <w:szCs w:val="24"/>
                <w:lang w:val="en-US"/>
              </w:rPr>
            </w:pPr>
          </w:p>
        </w:tc>
        <w:tc>
          <w:tcPr>
            <w:tcW w:w="22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lang w:val="en-US"/>
              </w:rPr>
              <w:t>抽检</w:t>
            </w:r>
            <w:r>
              <w:rPr>
                <w:rFonts w:hint="eastAsia" w:ascii="仿宋" w:hAnsi="仿宋" w:eastAsia="仿宋" w:cs="仿宋"/>
                <w:sz w:val="24"/>
                <w:szCs w:val="24"/>
              </w:rPr>
              <w:t>车辆</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（5分）</w:t>
            </w:r>
          </w:p>
        </w:tc>
        <w:tc>
          <w:tcPr>
            <w:tcW w:w="5676"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具有专职抽检用车3辆者得基本分3分，每多提供一辆得1分，满分5分，少于3辆不得分；（</w:t>
            </w:r>
            <w:r>
              <w:rPr>
                <w:rFonts w:hint="eastAsia" w:ascii="仿宋" w:hAnsi="仿宋" w:eastAsia="仿宋" w:cs="仿宋"/>
                <w:sz w:val="24"/>
                <w:szCs w:val="24"/>
                <w:lang w:val="en-US"/>
              </w:rPr>
              <w:t>投标</w:t>
            </w:r>
            <w:r>
              <w:rPr>
                <w:rFonts w:hint="eastAsia" w:ascii="仿宋" w:hAnsi="仿宋" w:eastAsia="仿宋" w:cs="仿宋"/>
                <w:sz w:val="24"/>
                <w:szCs w:val="24"/>
              </w:rPr>
              <w:t>文件中提供自有车辆照片及行驶证扫描件，如为租赁车辆须提供租赁协议、车辆照片及行驶证扫描件或复印件）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719" w:type="dxa"/>
            <w:vMerge w:val="continue"/>
            <w:vAlign w:val="center"/>
          </w:tcPr>
          <w:p>
            <w:pPr>
              <w:spacing w:line="360" w:lineRule="auto"/>
              <w:rPr>
                <w:rFonts w:ascii="仿宋" w:hAnsi="仿宋" w:eastAsia="仿宋" w:cs="仿宋"/>
                <w:sz w:val="24"/>
                <w:szCs w:val="24"/>
                <w:lang w:val="en-US"/>
              </w:rPr>
            </w:pPr>
          </w:p>
        </w:tc>
        <w:tc>
          <w:tcPr>
            <w:tcW w:w="2287" w:type="dxa"/>
            <w:vAlign w:val="center"/>
          </w:tcPr>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检测场地</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（3分）</w:t>
            </w:r>
          </w:p>
        </w:tc>
        <w:tc>
          <w:tcPr>
            <w:tcW w:w="5676" w:type="dxa"/>
            <w:vAlign w:val="center"/>
          </w:tcPr>
          <w:p>
            <w:pPr>
              <w:spacing w:line="360" w:lineRule="auto"/>
              <w:rPr>
                <w:rFonts w:ascii="仿宋" w:hAnsi="仿宋" w:eastAsia="仿宋" w:cs="仿宋"/>
                <w:sz w:val="24"/>
                <w:szCs w:val="24"/>
                <w:lang w:val="en-US"/>
              </w:rPr>
            </w:pPr>
            <w:r>
              <w:rPr>
                <w:rFonts w:hint="eastAsia" w:ascii="仿宋" w:hAnsi="仿宋" w:eastAsia="仿宋" w:cs="仿宋"/>
                <w:snapToGrid w:val="0"/>
                <w:sz w:val="24"/>
                <w:szCs w:val="24"/>
                <w:lang w:val="en-US"/>
              </w:rPr>
              <w:t>投标人</w:t>
            </w:r>
            <w:r>
              <w:rPr>
                <w:rFonts w:hint="eastAsia" w:ascii="仿宋" w:hAnsi="仿宋" w:eastAsia="仿宋" w:cs="仿宋"/>
                <w:sz w:val="24"/>
                <w:szCs w:val="24"/>
              </w:rPr>
              <w:t>具有独立实验室，</w:t>
            </w:r>
            <w:r>
              <w:rPr>
                <w:rFonts w:hint="eastAsia" w:ascii="仿宋" w:hAnsi="仿宋" w:eastAsia="仿宋" w:cs="仿宋"/>
                <w:snapToGrid w:val="0"/>
                <w:sz w:val="24"/>
                <w:szCs w:val="24"/>
                <w:lang w:val="en-US"/>
              </w:rPr>
              <w:t>投标人</w:t>
            </w:r>
            <w:r>
              <w:rPr>
                <w:rFonts w:hint="eastAsia" w:ascii="仿宋" w:hAnsi="仿宋" w:eastAsia="仿宋" w:cs="仿宋"/>
                <w:sz w:val="24"/>
                <w:szCs w:val="24"/>
              </w:rPr>
              <w:t>设立办公及实验室面积在3500平米以上的得3分，2501-3500平米的得2分；1501-2500平米的得1分，1500平米以下不得分。（</w:t>
            </w:r>
            <w:r>
              <w:rPr>
                <w:rFonts w:hint="eastAsia" w:ascii="仿宋" w:hAnsi="仿宋" w:eastAsia="仿宋" w:cs="仿宋"/>
                <w:sz w:val="24"/>
                <w:szCs w:val="24"/>
                <w:lang w:val="en-US"/>
              </w:rPr>
              <w:t>投标</w:t>
            </w:r>
            <w:r>
              <w:rPr>
                <w:rFonts w:hint="eastAsia" w:ascii="仿宋" w:hAnsi="仿宋" w:eastAsia="仿宋" w:cs="仿宋"/>
                <w:sz w:val="24"/>
                <w:szCs w:val="24"/>
              </w:rPr>
              <w:t>文件中附房屋租赁合同或产权证明扫描件或复印件，否则不得分)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719" w:type="dxa"/>
            <w:vMerge w:val="continue"/>
            <w:vAlign w:val="center"/>
          </w:tcPr>
          <w:p>
            <w:pPr>
              <w:spacing w:line="360" w:lineRule="auto"/>
              <w:rPr>
                <w:rFonts w:ascii="仿宋" w:hAnsi="仿宋" w:eastAsia="仿宋" w:cs="仿宋"/>
                <w:sz w:val="24"/>
                <w:szCs w:val="24"/>
                <w:lang w:val="en-US"/>
              </w:rPr>
            </w:pPr>
          </w:p>
        </w:tc>
        <w:tc>
          <w:tcPr>
            <w:tcW w:w="22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储运设备配置</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（2分）</w:t>
            </w:r>
          </w:p>
        </w:tc>
        <w:tc>
          <w:tcPr>
            <w:tcW w:w="5676"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具备满足速冻及冷饮类储运条件的设备得 2分，否则不得分。（</w:t>
            </w:r>
            <w:r>
              <w:rPr>
                <w:rFonts w:hint="eastAsia" w:ascii="仿宋" w:hAnsi="仿宋" w:eastAsia="仿宋" w:cs="仿宋"/>
                <w:sz w:val="24"/>
                <w:szCs w:val="24"/>
                <w:lang w:val="en-US"/>
              </w:rPr>
              <w:t>投标</w:t>
            </w:r>
            <w:r>
              <w:rPr>
                <w:rFonts w:hint="eastAsia" w:ascii="仿宋" w:hAnsi="仿宋" w:eastAsia="仿宋" w:cs="仿宋"/>
                <w:sz w:val="24"/>
                <w:szCs w:val="24"/>
              </w:rPr>
              <w:t>文件中提供储运设备发票的扫描件或复印件）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1719" w:type="dxa"/>
            <w:vMerge w:val="continue"/>
            <w:vAlign w:val="center"/>
          </w:tcPr>
          <w:p>
            <w:pPr>
              <w:spacing w:line="360" w:lineRule="auto"/>
              <w:rPr>
                <w:rFonts w:ascii="仿宋" w:hAnsi="仿宋" w:eastAsia="仿宋" w:cs="仿宋"/>
                <w:sz w:val="24"/>
                <w:szCs w:val="24"/>
                <w:lang w:val="en-US"/>
              </w:rPr>
            </w:pPr>
          </w:p>
        </w:tc>
        <w:tc>
          <w:tcPr>
            <w:tcW w:w="2287" w:type="dxa"/>
            <w:vAlign w:val="center"/>
          </w:tcPr>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服务承诺</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（2分）</w:t>
            </w:r>
          </w:p>
        </w:tc>
        <w:tc>
          <w:tcPr>
            <w:tcW w:w="5676" w:type="dxa"/>
            <w:vAlign w:val="center"/>
          </w:tcPr>
          <w:p>
            <w:pPr>
              <w:spacing w:line="360" w:lineRule="auto"/>
              <w:rPr>
                <w:rFonts w:ascii="仿宋" w:hAnsi="仿宋" w:eastAsia="仿宋" w:cs="仿宋"/>
                <w:sz w:val="24"/>
                <w:szCs w:val="24"/>
                <w:lang w:val="en-US"/>
              </w:rPr>
            </w:pPr>
            <w:r>
              <w:rPr>
                <w:rFonts w:hint="eastAsia" w:ascii="仿宋" w:hAnsi="仿宋" w:eastAsia="仿宋" w:cs="仿宋"/>
                <w:sz w:val="24"/>
                <w:szCs w:val="24"/>
                <w:lang w:val="en-US"/>
              </w:rPr>
              <w:t>根据投标人提供服务及时性承诺、服务质量保证承诺等，（内容详实完整，针对性较强得2分；内容完整，针对性低得1分；未对本项目作出承诺的得0分。）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1719" w:type="dxa"/>
            <w:vMerge w:val="continue"/>
            <w:vAlign w:val="center"/>
          </w:tcPr>
          <w:p>
            <w:pPr>
              <w:spacing w:line="360" w:lineRule="auto"/>
              <w:rPr>
                <w:rFonts w:ascii="仿宋" w:hAnsi="仿宋" w:eastAsia="仿宋" w:cs="仿宋"/>
                <w:sz w:val="24"/>
                <w:szCs w:val="24"/>
                <w:lang w:val="en-US"/>
              </w:rPr>
            </w:pPr>
          </w:p>
        </w:tc>
        <w:tc>
          <w:tcPr>
            <w:tcW w:w="2287" w:type="dxa"/>
            <w:vAlign w:val="center"/>
          </w:tcPr>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综合评价</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（3分）</w:t>
            </w:r>
          </w:p>
        </w:tc>
        <w:tc>
          <w:tcPr>
            <w:tcW w:w="5676" w:type="dxa"/>
            <w:vAlign w:val="center"/>
          </w:tcPr>
          <w:p>
            <w:pPr>
              <w:spacing w:line="360" w:lineRule="auto"/>
              <w:rPr>
                <w:rFonts w:ascii="仿宋" w:hAnsi="仿宋" w:eastAsia="仿宋" w:cs="仿宋"/>
                <w:sz w:val="24"/>
                <w:szCs w:val="24"/>
                <w:lang w:val="en-US"/>
              </w:rPr>
            </w:pPr>
            <w:r>
              <w:rPr>
                <w:rFonts w:hint="eastAsia" w:ascii="仿宋" w:hAnsi="仿宋" w:eastAsia="仿宋" w:cs="仿宋"/>
                <w:sz w:val="24"/>
                <w:szCs w:val="24"/>
                <w:lang w:val="en-US"/>
              </w:rPr>
              <w:t>根据投标文件编制的综合情况评分，详实可行，条理清晰，内容合理的得3分， 内容基本完整、清晰，基本可行的得2分，内容不完整不合理，条理混乱的得1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1719" w:type="dxa"/>
            <w:vAlign w:val="center"/>
          </w:tcPr>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业绩信誉</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6分</w:t>
            </w:r>
          </w:p>
        </w:tc>
        <w:tc>
          <w:tcPr>
            <w:tcW w:w="2287" w:type="dxa"/>
            <w:vAlign w:val="center"/>
          </w:tcPr>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企业业绩</w:t>
            </w:r>
          </w:p>
          <w:p>
            <w:pPr>
              <w:spacing w:line="360" w:lineRule="auto"/>
              <w:jc w:val="center"/>
              <w:rPr>
                <w:rFonts w:ascii="仿宋" w:hAnsi="仿宋" w:eastAsia="仿宋" w:cs="仿宋"/>
                <w:sz w:val="24"/>
                <w:szCs w:val="24"/>
                <w:lang w:val="en-US"/>
              </w:rPr>
            </w:pPr>
            <w:r>
              <w:rPr>
                <w:rFonts w:hint="eastAsia" w:ascii="仿宋" w:hAnsi="仿宋" w:eastAsia="仿宋" w:cs="仿宋"/>
                <w:sz w:val="24"/>
                <w:szCs w:val="24"/>
                <w:lang w:val="en-US"/>
              </w:rPr>
              <w:t>（6分）</w:t>
            </w:r>
          </w:p>
        </w:tc>
        <w:tc>
          <w:tcPr>
            <w:tcW w:w="5676" w:type="dxa"/>
            <w:vAlign w:val="center"/>
          </w:tcPr>
          <w:p>
            <w:pPr>
              <w:spacing w:line="360" w:lineRule="auto"/>
              <w:rPr>
                <w:rFonts w:ascii="仿宋" w:hAnsi="仿宋" w:eastAsia="仿宋" w:cs="仿宋"/>
                <w:sz w:val="24"/>
                <w:szCs w:val="24"/>
                <w:lang w:val="en-US"/>
              </w:rPr>
            </w:pPr>
            <w:r>
              <w:rPr>
                <w:rFonts w:hint="eastAsia" w:ascii="仿宋" w:hAnsi="仿宋" w:eastAsia="仿宋" w:cs="仿宋"/>
                <w:snapToGrid w:val="0"/>
                <w:sz w:val="24"/>
                <w:szCs w:val="24"/>
                <w:lang w:val="en-US"/>
              </w:rPr>
              <w:t>投标人</w:t>
            </w:r>
            <w:r>
              <w:rPr>
                <w:rFonts w:hint="eastAsia" w:ascii="仿宋" w:hAnsi="仿宋" w:eastAsia="仿宋" w:cs="仿宋"/>
                <w:sz w:val="24"/>
                <w:szCs w:val="24"/>
              </w:rPr>
              <w:t>20</w:t>
            </w:r>
            <w:r>
              <w:rPr>
                <w:rFonts w:hint="eastAsia" w:ascii="仿宋" w:hAnsi="仿宋" w:eastAsia="仿宋" w:cs="仿宋"/>
                <w:sz w:val="24"/>
                <w:szCs w:val="24"/>
                <w:lang w:val="en-US"/>
              </w:rPr>
              <w:t>21</w:t>
            </w:r>
            <w:r>
              <w:rPr>
                <w:rFonts w:hint="eastAsia" w:ascii="仿宋" w:hAnsi="仿宋" w:eastAsia="仿宋" w:cs="仿宋"/>
                <w:sz w:val="24"/>
                <w:szCs w:val="24"/>
              </w:rPr>
              <w:t>年1月1日（以合同签订时间为准）以来市级及以上政府部门组织的食品抽检</w:t>
            </w:r>
            <w:r>
              <w:rPr>
                <w:rFonts w:hint="eastAsia" w:ascii="仿宋" w:hAnsi="仿宋" w:eastAsia="仿宋" w:cs="仿宋"/>
                <w:sz w:val="24"/>
                <w:szCs w:val="24"/>
                <w:lang w:val="en-US"/>
              </w:rPr>
              <w:t>项目业绩</w:t>
            </w:r>
            <w:r>
              <w:rPr>
                <w:rFonts w:hint="eastAsia" w:ascii="仿宋" w:hAnsi="仿宋" w:eastAsia="仿宋" w:cs="仿宋"/>
                <w:sz w:val="24"/>
                <w:szCs w:val="24"/>
              </w:rPr>
              <w:t>，每有1项得</w:t>
            </w:r>
            <w:r>
              <w:rPr>
                <w:rFonts w:hint="eastAsia" w:ascii="仿宋" w:hAnsi="仿宋" w:eastAsia="仿宋" w:cs="仿宋"/>
                <w:sz w:val="24"/>
                <w:szCs w:val="24"/>
                <w:lang w:val="en-US"/>
              </w:rPr>
              <w:t>2</w:t>
            </w:r>
            <w:r>
              <w:rPr>
                <w:rFonts w:hint="eastAsia" w:ascii="仿宋" w:hAnsi="仿宋" w:eastAsia="仿宋" w:cs="仿宋"/>
                <w:sz w:val="24"/>
                <w:szCs w:val="24"/>
              </w:rPr>
              <w:t>分，最多得</w:t>
            </w:r>
            <w:r>
              <w:rPr>
                <w:rFonts w:hint="eastAsia" w:ascii="仿宋" w:hAnsi="仿宋" w:eastAsia="仿宋" w:cs="仿宋"/>
                <w:sz w:val="24"/>
                <w:szCs w:val="24"/>
                <w:lang w:val="en-US"/>
              </w:rPr>
              <w:t>6</w:t>
            </w:r>
            <w:r>
              <w:rPr>
                <w:rFonts w:hint="eastAsia" w:ascii="仿宋" w:hAnsi="仿宋" w:eastAsia="仿宋" w:cs="仿宋"/>
                <w:sz w:val="24"/>
                <w:szCs w:val="24"/>
              </w:rPr>
              <w:t>分</w:t>
            </w:r>
            <w:r>
              <w:rPr>
                <w:rFonts w:hint="eastAsia" w:ascii="仿宋" w:hAnsi="仿宋" w:eastAsia="仿宋" w:cs="仿宋"/>
                <w:b/>
                <w:bCs/>
                <w:sz w:val="24"/>
                <w:szCs w:val="24"/>
              </w:rPr>
              <w:t>（需提供中标通知书、合同扫描件</w:t>
            </w:r>
            <w:r>
              <w:rPr>
                <w:rFonts w:hint="eastAsia" w:ascii="仿宋" w:hAnsi="仿宋" w:eastAsia="仿宋" w:cs="仿宋"/>
                <w:b/>
                <w:bCs/>
                <w:sz w:val="24"/>
                <w:szCs w:val="24"/>
                <w:lang w:val="en-US"/>
              </w:rPr>
              <w:t>或复印件</w:t>
            </w:r>
            <w:r>
              <w:rPr>
                <w:rFonts w:hint="eastAsia" w:ascii="仿宋" w:hAnsi="仿宋" w:eastAsia="仿宋" w:cs="仿宋"/>
                <w:b/>
                <w:bCs/>
                <w:sz w:val="24"/>
                <w:szCs w:val="24"/>
              </w:rPr>
              <w:t>）</w:t>
            </w:r>
          </w:p>
        </w:tc>
      </w:tr>
    </w:tbl>
    <w:p>
      <w:pPr>
        <w:spacing w:line="360" w:lineRule="auto"/>
        <w:ind w:firstLine="480" w:firstLineChars="200"/>
        <w:rPr>
          <w:rFonts w:ascii="仿宋" w:hAnsi="仿宋" w:eastAsia="仿宋" w:cs="仿宋"/>
          <w:snapToGrid w:val="0"/>
          <w:sz w:val="24"/>
          <w:szCs w:val="24"/>
          <w:lang w:val="en-US"/>
        </w:rPr>
        <w:sectPr>
          <w:pgSz w:w="11906" w:h="16838"/>
          <w:pgMar w:top="1134" w:right="1134" w:bottom="1134" w:left="1134" w:header="851" w:footer="992" w:gutter="0"/>
          <w:cols w:space="425" w:num="1"/>
          <w:docGrid w:type="lines" w:linePitch="312" w:charSpace="0"/>
        </w:sectPr>
      </w:pPr>
    </w:p>
    <w:p>
      <w:pPr>
        <w:pStyle w:val="6"/>
        <w:spacing w:line="360" w:lineRule="auto"/>
        <w:ind w:left="0" w:leftChars="0"/>
        <w:jc w:val="both"/>
        <w:rPr>
          <w:rFonts w:ascii="仿宋" w:hAnsi="仿宋" w:eastAsia="仿宋" w:cs="仿宋"/>
          <w:snapToGrid w:val="0"/>
          <w:sz w:val="24"/>
          <w:szCs w:val="24"/>
          <w:lang w:val="en-US"/>
        </w:rPr>
      </w:pPr>
    </w:p>
    <w:p>
      <w:pPr>
        <w:pStyle w:val="6"/>
        <w:spacing w:line="360" w:lineRule="auto"/>
        <w:ind w:left="0" w:leftChars="0"/>
        <w:jc w:val="center"/>
        <w:outlineLvl w:val="0"/>
        <w:rPr>
          <w:rFonts w:ascii="仿宋" w:hAnsi="仿宋" w:eastAsia="仿宋" w:cs="仿宋"/>
          <w:b/>
          <w:bCs/>
          <w:snapToGrid w:val="0"/>
          <w:sz w:val="32"/>
          <w:szCs w:val="32"/>
          <w:lang w:val="en-US"/>
        </w:rPr>
      </w:pPr>
      <w:bookmarkStart w:id="78" w:name="_Toc22358"/>
      <w:bookmarkStart w:id="79" w:name="_Toc23879"/>
      <w:r>
        <w:rPr>
          <w:rFonts w:hint="eastAsia" w:ascii="仿宋" w:hAnsi="仿宋" w:eastAsia="仿宋" w:cs="仿宋"/>
          <w:b/>
          <w:bCs/>
          <w:snapToGrid w:val="0"/>
          <w:sz w:val="32"/>
          <w:szCs w:val="32"/>
          <w:lang w:val="en-US"/>
        </w:rPr>
        <w:t>第七章 投标文件格式</w:t>
      </w:r>
      <w:bookmarkEnd w:id="78"/>
      <w:bookmarkEnd w:id="79"/>
    </w:p>
    <w:p>
      <w:pPr>
        <w:rPr>
          <w:lang w:val="en-US"/>
        </w:rPr>
      </w:pPr>
    </w:p>
    <w:p>
      <w:pPr>
        <w:pStyle w:val="6"/>
        <w:spacing w:line="360" w:lineRule="auto"/>
        <w:ind w:left="440"/>
        <w:rPr>
          <w:rFonts w:ascii="仿宋" w:hAnsi="仿宋" w:eastAsia="仿宋" w:cs="仿宋"/>
          <w:snapToGrid w:val="0"/>
          <w:sz w:val="28"/>
          <w:szCs w:val="28"/>
        </w:rPr>
      </w:pPr>
    </w:p>
    <w:p>
      <w:pPr>
        <w:pStyle w:val="6"/>
        <w:spacing w:line="360" w:lineRule="auto"/>
        <w:ind w:left="0" w:leftChars="0"/>
        <w:rPr>
          <w:rFonts w:ascii="仿宋" w:hAnsi="仿宋" w:eastAsia="仿宋" w:cs="仿宋"/>
          <w:snapToGrid w:val="0"/>
          <w:sz w:val="28"/>
          <w:szCs w:val="28"/>
        </w:rPr>
      </w:pPr>
    </w:p>
    <w:p>
      <w:pPr>
        <w:rPr>
          <w:rFonts w:ascii="仿宋" w:hAnsi="仿宋" w:eastAsia="仿宋" w:cs="仿宋"/>
          <w:b/>
          <w:bCs/>
          <w:snapToGrid w:val="0"/>
          <w:sz w:val="96"/>
          <w:szCs w:val="96"/>
        </w:rPr>
      </w:pPr>
      <w:bookmarkStart w:id="80" w:name="_Toc13566"/>
      <w:bookmarkStart w:id="81" w:name="_Toc10891"/>
      <w:bookmarkStart w:id="82" w:name="_Toc26263"/>
      <w:r>
        <w:rPr>
          <w:rFonts w:hint="eastAsia" w:ascii="仿宋" w:hAnsi="仿宋" w:eastAsia="仿宋" w:cs="仿宋"/>
          <w:b/>
          <w:bCs/>
          <w:snapToGrid w:val="0"/>
          <w:sz w:val="96"/>
          <w:szCs w:val="96"/>
        </w:rPr>
        <w:br w:type="page"/>
      </w:r>
    </w:p>
    <w:p>
      <w:pPr>
        <w:widowControl/>
      </w:pPr>
      <w:r>
        <w:rPr>
          <w:rFonts w:ascii="仿宋" w:hAnsi="仿宋" w:eastAsia="仿宋" w:cs="仿宋"/>
          <w:b/>
          <w:bCs/>
          <w:color w:val="000000"/>
          <w:sz w:val="31"/>
          <w:szCs w:val="31"/>
          <w:lang w:val="en-US"/>
        </w:rPr>
        <w:t>一、封面</w:t>
      </w:r>
    </w:p>
    <w:p>
      <w:pPr>
        <w:pStyle w:val="6"/>
        <w:spacing w:line="360" w:lineRule="auto"/>
        <w:ind w:left="0" w:leftChars="0"/>
        <w:jc w:val="both"/>
        <w:outlineLvl w:val="0"/>
        <w:rPr>
          <w:rFonts w:ascii="仿宋" w:hAnsi="仿宋" w:eastAsia="仿宋" w:cs="仿宋"/>
          <w:b/>
          <w:bCs/>
          <w:snapToGrid w:val="0"/>
          <w:sz w:val="96"/>
          <w:szCs w:val="96"/>
        </w:rPr>
      </w:pPr>
    </w:p>
    <w:p>
      <w:pPr>
        <w:pStyle w:val="6"/>
        <w:spacing w:line="360" w:lineRule="auto"/>
        <w:ind w:left="0" w:leftChars="0"/>
        <w:jc w:val="center"/>
        <w:outlineLvl w:val="0"/>
        <w:rPr>
          <w:rFonts w:ascii="仿宋" w:hAnsi="仿宋" w:eastAsia="仿宋" w:cs="仿宋"/>
          <w:b/>
          <w:bCs/>
          <w:snapToGrid w:val="0"/>
          <w:sz w:val="96"/>
          <w:szCs w:val="96"/>
        </w:rPr>
      </w:pPr>
    </w:p>
    <w:p>
      <w:pPr>
        <w:pStyle w:val="6"/>
        <w:spacing w:line="360" w:lineRule="auto"/>
        <w:ind w:left="0" w:leftChars="0"/>
        <w:jc w:val="center"/>
        <w:outlineLvl w:val="0"/>
        <w:rPr>
          <w:rFonts w:ascii="仿宋" w:hAnsi="仿宋" w:eastAsia="仿宋" w:cs="仿宋"/>
          <w:b/>
          <w:bCs/>
          <w:snapToGrid w:val="0"/>
          <w:sz w:val="96"/>
          <w:szCs w:val="96"/>
        </w:rPr>
      </w:pPr>
      <w:r>
        <w:rPr>
          <w:rFonts w:hint="eastAsia" w:ascii="仿宋" w:hAnsi="仿宋" w:eastAsia="仿宋" w:cs="仿宋"/>
          <w:b/>
          <w:bCs/>
          <w:snapToGrid w:val="0"/>
          <w:sz w:val="96"/>
          <w:szCs w:val="96"/>
        </w:rPr>
        <w:t>投标文件</w:t>
      </w:r>
      <w:bookmarkEnd w:id="80"/>
      <w:bookmarkEnd w:id="81"/>
      <w:bookmarkEnd w:id="82"/>
    </w:p>
    <w:p>
      <w:pPr>
        <w:pStyle w:val="6"/>
        <w:spacing w:line="360" w:lineRule="auto"/>
        <w:ind w:left="0" w:leftChars="0" w:firstLine="560" w:firstLineChars="200"/>
        <w:rPr>
          <w:rFonts w:ascii="仿宋" w:hAnsi="仿宋" w:eastAsia="仿宋" w:cs="仿宋"/>
          <w:snapToGrid w:val="0"/>
          <w:sz w:val="28"/>
          <w:szCs w:val="28"/>
        </w:rPr>
      </w:pPr>
    </w:p>
    <w:p>
      <w:pPr>
        <w:pStyle w:val="6"/>
        <w:spacing w:line="360" w:lineRule="auto"/>
        <w:ind w:left="0" w:leftChars="0" w:firstLine="560" w:firstLineChars="200"/>
        <w:rPr>
          <w:rFonts w:ascii="仿宋" w:hAnsi="仿宋" w:eastAsia="仿宋" w:cs="仿宋"/>
          <w:snapToGrid w:val="0"/>
          <w:sz w:val="28"/>
          <w:szCs w:val="28"/>
        </w:rPr>
      </w:pPr>
    </w:p>
    <w:p>
      <w:pPr>
        <w:pStyle w:val="6"/>
        <w:spacing w:line="360" w:lineRule="auto"/>
        <w:ind w:left="0" w:leftChars="0" w:firstLine="560" w:firstLineChars="200"/>
        <w:rPr>
          <w:rFonts w:ascii="仿宋" w:hAnsi="仿宋" w:eastAsia="仿宋" w:cs="仿宋"/>
          <w:snapToGrid w:val="0"/>
          <w:sz w:val="28"/>
          <w:szCs w:val="28"/>
        </w:rPr>
      </w:pPr>
    </w:p>
    <w:p>
      <w:pPr>
        <w:pStyle w:val="6"/>
        <w:spacing w:line="360" w:lineRule="auto"/>
        <w:ind w:left="0" w:leftChars="0" w:firstLine="560" w:firstLineChars="200"/>
        <w:rPr>
          <w:rFonts w:ascii="仿宋" w:hAnsi="仿宋" w:eastAsia="仿宋" w:cs="仿宋"/>
          <w:snapToGrid w:val="0"/>
          <w:sz w:val="28"/>
          <w:szCs w:val="28"/>
        </w:rPr>
      </w:pPr>
    </w:p>
    <w:p>
      <w:pPr>
        <w:pStyle w:val="6"/>
        <w:spacing w:line="360" w:lineRule="auto"/>
        <w:ind w:left="0" w:leftChars="0" w:firstLine="560" w:firstLineChars="200"/>
        <w:outlineLvl w:val="0"/>
        <w:rPr>
          <w:rFonts w:ascii="仿宋" w:hAnsi="仿宋" w:eastAsia="仿宋" w:cs="仿宋"/>
          <w:snapToGrid w:val="0"/>
          <w:sz w:val="28"/>
          <w:szCs w:val="28"/>
        </w:rPr>
      </w:pPr>
      <w:bookmarkStart w:id="83" w:name="_Toc30433"/>
      <w:bookmarkStart w:id="84" w:name="_Toc29674"/>
      <w:bookmarkStart w:id="85" w:name="_Toc18412"/>
      <w:r>
        <w:rPr>
          <w:rFonts w:hint="eastAsia" w:ascii="仿宋" w:hAnsi="仿宋" w:eastAsia="仿宋" w:cs="仿宋"/>
          <w:snapToGrid w:val="0"/>
          <w:sz w:val="28"/>
          <w:szCs w:val="28"/>
        </w:rPr>
        <w:t>项目名称：</w:t>
      </w:r>
      <w:bookmarkEnd w:id="83"/>
      <w:bookmarkEnd w:id="84"/>
    </w:p>
    <w:p>
      <w:pPr>
        <w:pStyle w:val="6"/>
        <w:spacing w:line="360" w:lineRule="auto"/>
        <w:ind w:left="0" w:leftChars="0" w:firstLine="560" w:firstLineChars="200"/>
        <w:outlineLvl w:val="0"/>
        <w:rPr>
          <w:rFonts w:ascii="仿宋" w:hAnsi="仿宋" w:eastAsia="仿宋" w:cs="仿宋"/>
          <w:snapToGrid w:val="0"/>
          <w:sz w:val="28"/>
          <w:szCs w:val="28"/>
        </w:rPr>
      </w:pPr>
      <w:bookmarkStart w:id="86" w:name="_Toc31609"/>
      <w:bookmarkStart w:id="87" w:name="_Toc12966"/>
      <w:r>
        <w:rPr>
          <w:rFonts w:hint="eastAsia" w:ascii="仿宋" w:hAnsi="仿宋" w:eastAsia="仿宋" w:cs="仿宋"/>
          <w:snapToGrid w:val="0"/>
          <w:sz w:val="28"/>
          <w:szCs w:val="28"/>
          <w:lang w:val="en-US"/>
        </w:rPr>
        <w:t>项目</w:t>
      </w:r>
      <w:r>
        <w:rPr>
          <w:rFonts w:hint="eastAsia" w:ascii="仿宋" w:hAnsi="仿宋" w:eastAsia="仿宋" w:cs="仿宋"/>
          <w:snapToGrid w:val="0"/>
          <w:sz w:val="28"/>
          <w:szCs w:val="28"/>
        </w:rPr>
        <w:t>编号：</w:t>
      </w:r>
      <w:bookmarkEnd w:id="85"/>
      <w:bookmarkEnd w:id="86"/>
      <w:bookmarkEnd w:id="87"/>
    </w:p>
    <w:p>
      <w:pPr>
        <w:pStyle w:val="6"/>
        <w:spacing w:line="360" w:lineRule="auto"/>
        <w:ind w:left="0" w:leftChars="0" w:firstLine="560" w:firstLineChars="200"/>
        <w:rPr>
          <w:rFonts w:ascii="仿宋" w:hAnsi="仿宋" w:eastAsia="仿宋" w:cs="仿宋"/>
          <w:snapToGrid w:val="0"/>
          <w:sz w:val="28"/>
          <w:szCs w:val="28"/>
        </w:rPr>
      </w:pPr>
    </w:p>
    <w:p>
      <w:pPr>
        <w:pStyle w:val="6"/>
        <w:spacing w:line="360" w:lineRule="auto"/>
        <w:ind w:left="0" w:leftChars="0" w:firstLine="560" w:firstLineChars="200"/>
        <w:rPr>
          <w:rFonts w:ascii="仿宋" w:hAnsi="仿宋" w:eastAsia="仿宋" w:cs="仿宋"/>
          <w:snapToGrid w:val="0"/>
          <w:sz w:val="28"/>
          <w:szCs w:val="28"/>
        </w:rPr>
      </w:pPr>
    </w:p>
    <w:p>
      <w:pPr>
        <w:pStyle w:val="6"/>
        <w:spacing w:line="360" w:lineRule="auto"/>
        <w:ind w:left="0" w:leftChars="0" w:firstLine="560" w:firstLineChars="200"/>
        <w:rPr>
          <w:rFonts w:ascii="仿宋" w:hAnsi="仿宋" w:eastAsia="仿宋" w:cs="仿宋"/>
          <w:snapToGrid w:val="0"/>
          <w:sz w:val="28"/>
          <w:szCs w:val="28"/>
        </w:rPr>
      </w:pPr>
    </w:p>
    <w:p>
      <w:pPr>
        <w:pStyle w:val="6"/>
        <w:spacing w:line="360" w:lineRule="auto"/>
        <w:ind w:left="0" w:leftChars="0" w:firstLine="560" w:firstLineChars="200"/>
        <w:rPr>
          <w:rFonts w:ascii="仿宋" w:hAnsi="仿宋" w:eastAsia="仿宋" w:cs="仿宋"/>
          <w:snapToGrid w:val="0"/>
          <w:sz w:val="28"/>
          <w:szCs w:val="28"/>
        </w:rPr>
      </w:pPr>
    </w:p>
    <w:p>
      <w:pPr>
        <w:pStyle w:val="6"/>
        <w:spacing w:line="360" w:lineRule="auto"/>
        <w:ind w:left="0" w:leftChars="0" w:firstLine="560" w:firstLineChars="200"/>
        <w:rPr>
          <w:rFonts w:ascii="仿宋" w:hAnsi="仿宋" w:eastAsia="仿宋" w:cs="仿宋"/>
          <w:snapToGrid w:val="0"/>
          <w:sz w:val="28"/>
          <w:szCs w:val="28"/>
        </w:rPr>
      </w:pPr>
    </w:p>
    <w:p>
      <w:pPr>
        <w:pStyle w:val="6"/>
        <w:spacing w:line="360" w:lineRule="auto"/>
        <w:ind w:left="0" w:leftChars="0" w:firstLine="560" w:firstLineChars="200"/>
        <w:rPr>
          <w:rFonts w:ascii="仿宋" w:hAnsi="仿宋" w:eastAsia="仿宋" w:cs="仿宋"/>
          <w:snapToGrid w:val="0"/>
          <w:sz w:val="28"/>
          <w:szCs w:val="28"/>
        </w:rPr>
      </w:pPr>
    </w:p>
    <w:p>
      <w:pPr>
        <w:pStyle w:val="6"/>
        <w:spacing w:line="360" w:lineRule="auto"/>
        <w:ind w:left="0" w:leftChars="0" w:firstLine="560" w:firstLineChars="200"/>
        <w:outlineLvl w:val="0"/>
        <w:rPr>
          <w:rFonts w:ascii="仿宋" w:hAnsi="仿宋" w:eastAsia="仿宋" w:cs="仿宋"/>
          <w:snapToGrid w:val="0"/>
          <w:sz w:val="28"/>
          <w:szCs w:val="28"/>
        </w:rPr>
      </w:pPr>
      <w:bookmarkStart w:id="88" w:name="_Toc6330"/>
      <w:bookmarkStart w:id="89" w:name="_Toc732"/>
      <w:r>
        <w:rPr>
          <w:rFonts w:hint="eastAsia" w:ascii="仿宋" w:hAnsi="仿宋" w:eastAsia="仿宋" w:cs="仿宋"/>
          <w:snapToGrid w:val="0"/>
          <w:sz w:val="28"/>
          <w:szCs w:val="28"/>
          <w:lang w:val="en-US"/>
        </w:rPr>
        <w:t>投标人</w:t>
      </w:r>
      <w:r>
        <w:rPr>
          <w:rFonts w:hint="eastAsia" w:ascii="仿宋" w:hAnsi="仿宋" w:eastAsia="仿宋" w:cs="仿宋"/>
          <w:snapToGrid w:val="0"/>
          <w:sz w:val="28"/>
          <w:szCs w:val="28"/>
        </w:rPr>
        <w:t>名称：</w:t>
      </w:r>
      <w:bookmarkEnd w:id="88"/>
      <w:bookmarkEnd w:id="89"/>
    </w:p>
    <w:p>
      <w:pPr>
        <w:pStyle w:val="6"/>
        <w:spacing w:line="360" w:lineRule="auto"/>
        <w:ind w:left="0" w:leftChars="0" w:firstLine="560" w:firstLineChars="200"/>
        <w:outlineLvl w:val="0"/>
        <w:rPr>
          <w:rFonts w:ascii="仿宋" w:hAnsi="仿宋" w:eastAsia="仿宋" w:cs="仿宋"/>
          <w:snapToGrid w:val="0"/>
          <w:sz w:val="28"/>
          <w:szCs w:val="28"/>
        </w:rPr>
        <w:sectPr>
          <w:pgSz w:w="11906" w:h="16838"/>
          <w:pgMar w:top="1134" w:right="1134" w:bottom="1134" w:left="1134" w:header="851" w:footer="992" w:gutter="0"/>
          <w:cols w:space="425" w:num="1"/>
          <w:docGrid w:type="lines" w:linePitch="312" w:charSpace="0"/>
        </w:sectPr>
      </w:pPr>
      <w:bookmarkStart w:id="90" w:name="_Toc18521"/>
      <w:bookmarkStart w:id="91" w:name="_Toc27481"/>
      <w:r>
        <w:rPr>
          <w:rFonts w:hint="eastAsia" w:ascii="仿宋" w:hAnsi="仿宋" w:eastAsia="仿宋" w:cs="仿宋"/>
          <w:snapToGrid w:val="0"/>
          <w:sz w:val="28"/>
          <w:szCs w:val="28"/>
        </w:rPr>
        <w:t>日期：</w:t>
      </w:r>
      <w:bookmarkEnd w:id="90"/>
      <w:bookmarkEnd w:id="91"/>
    </w:p>
    <w:p>
      <w:pPr>
        <w:spacing w:line="360" w:lineRule="auto"/>
        <w:outlineLvl w:val="0"/>
        <w:rPr>
          <w:rFonts w:ascii="仿宋" w:hAnsi="仿宋" w:eastAsia="仿宋" w:cs="仿宋"/>
          <w:b/>
          <w:bCs/>
          <w:snapToGrid w:val="0"/>
          <w:sz w:val="28"/>
          <w:szCs w:val="28"/>
        </w:rPr>
      </w:pPr>
      <w:bookmarkStart w:id="92" w:name="_Toc5786"/>
      <w:bookmarkStart w:id="93" w:name="_Toc31172"/>
      <w:bookmarkStart w:id="94" w:name="_Toc1660952"/>
      <w:bookmarkStart w:id="95" w:name="_Toc15217"/>
      <w:bookmarkStart w:id="96" w:name="_Toc8174"/>
      <w:r>
        <w:rPr>
          <w:rFonts w:hint="eastAsia" w:ascii="仿宋" w:hAnsi="仿宋" w:eastAsia="仿宋" w:cs="仿宋"/>
          <w:b/>
          <w:bCs/>
          <w:snapToGrid w:val="0"/>
          <w:sz w:val="28"/>
          <w:szCs w:val="28"/>
          <w:lang w:val="en-US"/>
        </w:rPr>
        <w:t>二、</w:t>
      </w:r>
      <w:r>
        <w:rPr>
          <w:rFonts w:hint="eastAsia" w:ascii="仿宋" w:hAnsi="仿宋" w:eastAsia="仿宋" w:cs="仿宋"/>
          <w:b/>
          <w:bCs/>
          <w:snapToGrid w:val="0"/>
          <w:sz w:val="28"/>
          <w:szCs w:val="28"/>
        </w:rPr>
        <w:t>投标函</w:t>
      </w:r>
      <w:bookmarkEnd w:id="92"/>
      <w:bookmarkEnd w:id="93"/>
      <w:bookmarkEnd w:id="94"/>
      <w:bookmarkEnd w:id="95"/>
      <w:bookmarkEnd w:id="96"/>
    </w:p>
    <w:p>
      <w:pPr>
        <w:widowControl/>
        <w:wordWrap w:val="0"/>
        <w:spacing w:before="100" w:after="100" w:line="240" w:lineRule="auto"/>
        <w:jc w:val="center"/>
        <w:rPr>
          <w:rFonts w:hint="eastAsia" w:ascii="仿宋" w:hAnsi="仿宋" w:eastAsia="仿宋" w:cs="仿宋"/>
          <w:b/>
          <w:kern w:val="0"/>
          <w:sz w:val="32"/>
          <w:szCs w:val="32"/>
        </w:rPr>
      </w:pPr>
      <w:r>
        <w:rPr>
          <w:rFonts w:hint="eastAsia" w:ascii="仿宋" w:hAnsi="仿宋" w:eastAsia="仿宋" w:cs="仿宋"/>
          <w:b/>
          <w:color w:val="333333"/>
          <w:kern w:val="0"/>
          <w:sz w:val="32"/>
          <w:szCs w:val="32"/>
        </w:rPr>
        <w:t xml:space="preserve">投标函  </w:t>
      </w:r>
    </w:p>
    <w:p>
      <w:pPr>
        <w:spacing w:line="240" w:lineRule="auto"/>
        <w:ind w:firstLine="418"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致：（采购人）</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根据贵方招标编号为</w:t>
      </w:r>
      <w:r>
        <w:rPr>
          <w:rFonts w:hint="eastAsia" w:ascii="仿宋" w:hAnsi="仿宋" w:eastAsia="仿宋" w:cs="仿宋"/>
          <w:color w:val="333333"/>
          <w:kern w:val="0"/>
          <w:sz w:val="24"/>
          <w:szCs w:val="24"/>
          <w:u w:val="single"/>
        </w:rPr>
        <w:t xml:space="preserve">              </w:t>
      </w:r>
      <w:r>
        <w:rPr>
          <w:rFonts w:hint="eastAsia" w:ascii="仿宋" w:hAnsi="仿宋" w:eastAsia="仿宋" w:cs="仿宋"/>
          <w:color w:val="333333"/>
          <w:kern w:val="0"/>
          <w:sz w:val="24"/>
          <w:szCs w:val="24"/>
        </w:rPr>
        <w:t xml:space="preserve">的招标公告，我方签字代表经正式授权并代表投标人提交投标文件及相关资料，并对之负法律责任。 </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 xml:space="preserve">据此函，签字代表宣布同意如下： </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 xml:space="preserve">1、依法依规、诚实守信、公平竞争参加本次招标活动。 </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 xml:space="preserve">2、我方保证投标文件中的所有资料均为真实、准确、完整、有效的，且不具有任何误导性，否则，我方承诺投标文件无效并自愿承担一切法律责任。 </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 xml:space="preserve">3、我方的投标报价详见开标一览表。 </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 xml:space="preserve">4、我方承诺除服务要求响应与偏差表、商务要求响应与偏差表列出的偏差外，我方响应招标文件的全部要求。 </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 xml:space="preserve">5、我方愿遵守《中华人民共和国政府采购法》及相关的政府采购法律法规，按《中华人民共和国合同法》履行我方的全部责任。 </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 xml:space="preserve">6、我方已认真仔细研究招标文件全部内容，包括修改文件以及全部参考资料和有关附件。我们完全理解并同意放弃对这方面有不明及误解的权力。 </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 xml:space="preserve">7、我方承诺投标有效期为提交投标文件截止时间后90天，并在招标文件规定的投标有效期内不撤销投标文件。 </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 xml:space="preserve">8、如果我方的行为符合本招标文件规定的投标保证金不予退还情形的，我方同意不退还我方提交的投标保证金。 </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 xml:space="preserve">9、我方同意按照贵方的要求提供与投标有关的一切数据或资料，理解贵方不一定接受最低报价的投标或收到的任何投标。 </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 xml:space="preserve">10、我方在此声明，所提交的投标文件及有关资料内容完整、真实和准确，且不存在第二章“投标人须知”第 1.4.3 项规定的任何一种情形。 </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 xml:space="preserve">11、如果我方被确定为中标人，我方愿意按招标文件的规定交纳履约保证金。我方如无不可抗力，放弃中标，或者未履行招标文件、投标文件和合同条款的，一经查实，我方愿意赔偿由此而造成的一切损失，并同意接受按相关法律法规和招标文件的相关要求对我方进行的处罚。 </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 xml:space="preserve">12、采购人若需追加采购本项目招标文件所列内容及相关伴随服务的，在不改变合同其他实质性条款的前提下，我方将按相同或更优惠的折扣率保证提供服务。 </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 xml:space="preserve">13、我方决不提供虚假资料谋取中标，决不采取不正当手段诋毁、排挤其他投标人，决不与采购人、采购代理机构或者其它投标人恶意串通，决不向采购人、代理机构工作人员和评委进行商业贿赂，决不拒绝相关监管部门的监督检查，不向相关监管部门提供虚假情况，如有违反政府采购法律法规的行为，无条件接受贵方及相关监管部门的依法依规处罚。 </w:t>
      </w:r>
    </w:p>
    <w:p>
      <w:pPr>
        <w:widowControl/>
        <w:wordWrap w:val="0"/>
        <w:spacing w:before="100" w:after="100" w:line="240" w:lineRule="auto"/>
        <w:ind w:firstLine="480"/>
        <w:jc w:val="left"/>
        <w:rPr>
          <w:rFonts w:hint="eastAsia" w:ascii="仿宋" w:hAnsi="仿宋" w:eastAsia="仿宋" w:cs="仿宋"/>
          <w:kern w:val="0"/>
          <w:sz w:val="24"/>
          <w:szCs w:val="24"/>
        </w:rPr>
      </w:pPr>
      <w:r>
        <w:rPr>
          <w:rFonts w:hint="eastAsia" w:ascii="仿宋" w:hAnsi="仿宋" w:eastAsia="仿宋" w:cs="仿宋"/>
          <w:color w:val="333333"/>
          <w:kern w:val="0"/>
          <w:sz w:val="24"/>
          <w:szCs w:val="24"/>
        </w:rPr>
        <w:t xml:space="preserve">14、本此招标若废标，在收到贵方的通知后，如果我方同意参加贵方组织的本项目的竞争性谈判，则本投标函及所有投标文件中声明、授权、承诺、盖章签字等仍然有效。我方遵守贵方招标文件关于特殊情形采用竞争性谈判采购的相关规定，并无异议。 </w:t>
      </w:r>
    </w:p>
    <w:p>
      <w:pPr>
        <w:widowControl/>
        <w:wordWrap w:val="0"/>
        <w:spacing w:before="100" w:after="100" w:line="240" w:lineRule="auto"/>
        <w:ind w:firstLine="48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15、与本投标有关的一切正式函件往来请寄：</w:t>
      </w:r>
    </w:p>
    <w:p>
      <w:pPr>
        <w:widowControl/>
        <w:spacing w:line="240" w:lineRule="auto"/>
        <w:ind w:firstLine="482"/>
        <w:rPr>
          <w:rFonts w:hint="eastAsia" w:ascii="仿宋" w:hAnsi="仿宋" w:eastAsia="仿宋" w:cs="仿宋"/>
          <w:spacing w:val="14"/>
          <w:kern w:val="0"/>
          <w:sz w:val="24"/>
          <w:szCs w:val="24"/>
        </w:rPr>
      </w:pPr>
      <w:r>
        <w:rPr>
          <w:rFonts w:hint="eastAsia" w:ascii="仿宋" w:hAnsi="仿宋" w:eastAsia="仿宋" w:cs="仿宋"/>
          <w:spacing w:val="14"/>
          <w:kern w:val="0"/>
          <w:sz w:val="24"/>
          <w:szCs w:val="24"/>
        </w:rPr>
        <w:t>地址：                邮政编码：</w:t>
      </w:r>
    </w:p>
    <w:p>
      <w:pPr>
        <w:widowControl/>
        <w:spacing w:line="240" w:lineRule="auto"/>
        <w:ind w:firstLine="474" w:firstLineChars="200"/>
        <w:rPr>
          <w:rFonts w:hint="eastAsia" w:ascii="仿宋" w:hAnsi="仿宋" w:eastAsia="仿宋" w:cs="仿宋"/>
          <w:spacing w:val="14"/>
          <w:kern w:val="0"/>
          <w:sz w:val="24"/>
          <w:szCs w:val="24"/>
        </w:rPr>
      </w:pPr>
      <w:r>
        <w:rPr>
          <w:rFonts w:hint="eastAsia" w:ascii="仿宋" w:hAnsi="仿宋" w:eastAsia="仿宋" w:cs="仿宋"/>
          <w:spacing w:val="14"/>
          <w:kern w:val="0"/>
          <w:sz w:val="24"/>
          <w:szCs w:val="24"/>
        </w:rPr>
        <w:t>电话：                传真：             电子信箱：</w:t>
      </w:r>
    </w:p>
    <w:p>
      <w:pPr>
        <w:widowControl/>
        <w:spacing w:line="240" w:lineRule="auto"/>
        <w:rPr>
          <w:rFonts w:hint="eastAsia" w:ascii="仿宋" w:hAnsi="仿宋" w:eastAsia="仿宋" w:cs="仿宋"/>
          <w:spacing w:val="14"/>
          <w:kern w:val="0"/>
          <w:sz w:val="24"/>
          <w:szCs w:val="24"/>
        </w:rPr>
      </w:pPr>
    </w:p>
    <w:p>
      <w:pPr>
        <w:widowControl/>
        <w:spacing w:line="240" w:lineRule="auto"/>
        <w:rPr>
          <w:rFonts w:hint="eastAsia" w:ascii="仿宋" w:hAnsi="仿宋" w:eastAsia="仿宋" w:cs="仿宋"/>
          <w:spacing w:val="14"/>
          <w:kern w:val="0"/>
          <w:sz w:val="24"/>
          <w:szCs w:val="24"/>
        </w:rPr>
      </w:pPr>
    </w:p>
    <w:p>
      <w:pPr>
        <w:widowControl/>
        <w:spacing w:line="240" w:lineRule="auto"/>
        <w:rPr>
          <w:rFonts w:hint="eastAsia" w:ascii="仿宋" w:hAnsi="仿宋" w:eastAsia="仿宋" w:cs="仿宋"/>
          <w:spacing w:val="14"/>
          <w:kern w:val="0"/>
          <w:sz w:val="24"/>
          <w:szCs w:val="24"/>
        </w:rPr>
      </w:pPr>
      <w:r>
        <w:rPr>
          <w:rFonts w:hint="eastAsia" w:ascii="仿宋" w:hAnsi="仿宋" w:eastAsia="仿宋" w:cs="仿宋"/>
          <w:spacing w:val="14"/>
          <w:kern w:val="0"/>
          <w:sz w:val="24"/>
          <w:szCs w:val="24"/>
        </w:rPr>
        <w:t>投标人（企业电子章）：</w:t>
      </w:r>
    </w:p>
    <w:p>
      <w:pPr>
        <w:widowControl/>
        <w:spacing w:line="240" w:lineRule="auto"/>
        <w:rPr>
          <w:rFonts w:hint="eastAsia" w:ascii="仿宋" w:hAnsi="仿宋" w:eastAsia="仿宋" w:cs="仿宋"/>
          <w:spacing w:val="14"/>
          <w:kern w:val="0"/>
          <w:sz w:val="24"/>
          <w:szCs w:val="24"/>
        </w:rPr>
      </w:pPr>
    </w:p>
    <w:p>
      <w:pPr>
        <w:widowControl/>
        <w:spacing w:line="240" w:lineRule="auto"/>
        <w:rPr>
          <w:rFonts w:hint="eastAsia" w:ascii="仿宋" w:hAnsi="仿宋" w:eastAsia="仿宋" w:cs="仿宋"/>
          <w:spacing w:val="14"/>
          <w:kern w:val="0"/>
          <w:sz w:val="24"/>
          <w:szCs w:val="24"/>
        </w:rPr>
      </w:pPr>
      <w:r>
        <w:rPr>
          <w:rFonts w:hint="eastAsia" w:ascii="仿宋" w:hAnsi="仿宋" w:eastAsia="仿宋" w:cs="仿宋"/>
          <w:spacing w:val="14"/>
          <w:kern w:val="0"/>
          <w:sz w:val="24"/>
          <w:szCs w:val="24"/>
        </w:rPr>
        <w:t>日期：</w:t>
      </w:r>
    </w:p>
    <w:p>
      <w:pPr>
        <w:widowControl/>
        <w:wordWrap w:val="0"/>
        <w:spacing w:before="100" w:after="100" w:line="240" w:lineRule="auto"/>
        <w:ind w:firstLine="480"/>
        <w:jc w:val="left"/>
        <w:rPr>
          <w:rFonts w:hint="eastAsia" w:ascii="仿宋" w:hAnsi="仿宋" w:eastAsia="仿宋" w:cs="仿宋"/>
          <w:color w:val="333333"/>
          <w:kern w:val="0"/>
          <w:sz w:val="24"/>
          <w:szCs w:val="24"/>
        </w:rPr>
      </w:pPr>
    </w:p>
    <w:p>
      <w:pPr>
        <w:widowControl/>
        <w:wordWrap w:val="0"/>
        <w:spacing w:before="100" w:after="100" w:line="240" w:lineRule="auto"/>
        <w:ind w:firstLine="480"/>
        <w:jc w:val="left"/>
        <w:rPr>
          <w:rFonts w:hint="eastAsia" w:ascii="仿宋" w:hAnsi="仿宋" w:eastAsia="仿宋" w:cs="仿宋"/>
          <w:kern w:val="0"/>
          <w:sz w:val="24"/>
          <w:szCs w:val="24"/>
        </w:rPr>
      </w:pPr>
    </w:p>
    <w:p>
      <w:pPr>
        <w:widowControl/>
        <w:spacing w:line="240" w:lineRule="auto"/>
        <w:ind w:firstLine="474" w:firstLineChars="200"/>
        <w:rPr>
          <w:rFonts w:hint="eastAsia" w:ascii="仿宋" w:hAnsi="仿宋" w:eastAsia="仿宋" w:cs="仿宋"/>
          <w:spacing w:val="14"/>
          <w:kern w:val="0"/>
          <w:sz w:val="24"/>
          <w:szCs w:val="24"/>
        </w:rPr>
      </w:pPr>
      <w:r>
        <w:rPr>
          <w:rFonts w:hint="eastAsia" w:ascii="仿宋" w:hAnsi="仿宋" w:eastAsia="仿宋" w:cs="仿宋"/>
          <w:spacing w:val="14"/>
          <w:kern w:val="0"/>
          <w:sz w:val="24"/>
          <w:szCs w:val="24"/>
        </w:rPr>
        <w:t xml:space="preserve">本投标人承诺：以上地址等信息为邮寄函件的真实有效准确信息，收件人为法定代表人或投标人代表。如我方对往来函件拒收，邮寄方可视为已送达，由此造成的一切后果由本投标人承担。 </w:t>
      </w:r>
    </w:p>
    <w:p>
      <w:pPr>
        <w:widowControl/>
        <w:spacing w:line="240" w:lineRule="auto"/>
        <w:ind w:firstLine="474" w:firstLineChars="200"/>
        <w:rPr>
          <w:rFonts w:hint="eastAsia" w:ascii="仿宋" w:hAnsi="仿宋" w:eastAsia="仿宋" w:cs="仿宋"/>
          <w:spacing w:val="14"/>
          <w:kern w:val="0"/>
          <w:sz w:val="24"/>
          <w:szCs w:val="24"/>
        </w:rPr>
      </w:pPr>
      <w:r>
        <w:rPr>
          <w:rFonts w:hint="eastAsia" w:ascii="仿宋" w:hAnsi="仿宋" w:eastAsia="仿宋" w:cs="仿宋"/>
          <w:spacing w:val="14"/>
          <w:kern w:val="0"/>
          <w:sz w:val="24"/>
          <w:szCs w:val="24"/>
        </w:rPr>
        <w:t xml:space="preserve">注：除可填报内容外，对本投标函内容的任何实质性修改将被视为非实质性响应投标，从而导致该投标被拒绝。 </w:t>
      </w:r>
    </w:p>
    <w:p/>
    <w:p>
      <w:pPr>
        <w:spacing w:line="360" w:lineRule="auto"/>
        <w:ind w:firstLine="418" w:firstLineChars="200"/>
        <w:rPr>
          <w:rFonts w:ascii="仿宋" w:hAnsi="仿宋" w:eastAsia="仿宋" w:cs="仿宋"/>
          <w:snapToGrid w:val="0"/>
          <w:sz w:val="24"/>
          <w:szCs w:val="24"/>
        </w:rPr>
      </w:pPr>
    </w:p>
    <w:p>
      <w:pPr>
        <w:pStyle w:val="6"/>
        <w:spacing w:line="360" w:lineRule="auto"/>
        <w:ind w:left="0" w:leftChars="0"/>
        <w:outlineLvl w:val="0"/>
        <w:rPr>
          <w:rFonts w:hint="eastAsia" w:ascii="仿宋" w:hAnsi="仿宋" w:eastAsia="仿宋" w:cs="仿宋"/>
          <w:b/>
          <w:bCs/>
          <w:snapToGrid w:val="0"/>
          <w:sz w:val="28"/>
          <w:szCs w:val="28"/>
          <w:lang w:val="en-US"/>
        </w:rPr>
      </w:pPr>
      <w:bookmarkStart w:id="97" w:name="_Toc12207"/>
      <w:bookmarkStart w:id="98" w:name="_Toc24924"/>
      <w:bookmarkStart w:id="99" w:name="_Toc9194"/>
    </w:p>
    <w:p>
      <w:pPr>
        <w:pStyle w:val="6"/>
        <w:spacing w:line="360" w:lineRule="auto"/>
        <w:ind w:left="0" w:leftChars="0"/>
        <w:outlineLvl w:val="0"/>
        <w:rPr>
          <w:rFonts w:hint="eastAsia" w:ascii="仿宋" w:hAnsi="仿宋" w:eastAsia="仿宋" w:cs="仿宋"/>
          <w:b/>
          <w:bCs/>
          <w:snapToGrid w:val="0"/>
          <w:sz w:val="28"/>
          <w:szCs w:val="28"/>
          <w:lang w:val="en-US"/>
        </w:rPr>
      </w:pPr>
    </w:p>
    <w:p>
      <w:pPr>
        <w:pStyle w:val="6"/>
        <w:spacing w:line="360" w:lineRule="auto"/>
        <w:ind w:left="0" w:leftChars="0"/>
        <w:outlineLvl w:val="0"/>
        <w:rPr>
          <w:rFonts w:ascii="仿宋" w:hAnsi="仿宋" w:eastAsia="仿宋" w:cs="仿宋"/>
          <w:b/>
          <w:bCs/>
          <w:snapToGrid w:val="0"/>
          <w:sz w:val="28"/>
          <w:szCs w:val="28"/>
        </w:rPr>
      </w:pPr>
      <w:r>
        <w:rPr>
          <w:rFonts w:hint="eastAsia" w:ascii="仿宋" w:hAnsi="仿宋" w:eastAsia="仿宋" w:cs="仿宋"/>
          <w:b/>
          <w:bCs/>
          <w:snapToGrid w:val="0"/>
          <w:sz w:val="28"/>
          <w:szCs w:val="28"/>
          <w:lang w:val="en-US"/>
        </w:rPr>
        <w:t>三、</w:t>
      </w:r>
      <w:r>
        <w:rPr>
          <w:rFonts w:hint="eastAsia" w:ascii="仿宋" w:hAnsi="仿宋" w:eastAsia="仿宋" w:cs="仿宋"/>
          <w:b/>
          <w:bCs/>
          <w:snapToGrid w:val="0"/>
          <w:sz w:val="28"/>
          <w:szCs w:val="28"/>
        </w:rPr>
        <w:t>法定代表人授权书</w:t>
      </w:r>
      <w:bookmarkEnd w:id="97"/>
      <w:bookmarkEnd w:id="98"/>
      <w:bookmarkEnd w:id="99"/>
    </w:p>
    <w:p>
      <w:pPr>
        <w:pStyle w:val="6"/>
        <w:spacing w:line="360" w:lineRule="auto"/>
        <w:ind w:left="0" w:leftChars="0" w:firstLine="418" w:firstLineChars="200"/>
        <w:rPr>
          <w:rFonts w:ascii="仿宋" w:hAnsi="仿宋" w:eastAsia="仿宋" w:cs="仿宋"/>
          <w:snapToGrid w:val="0"/>
          <w:sz w:val="24"/>
          <w:szCs w:val="24"/>
        </w:rPr>
      </w:pPr>
    </w:p>
    <w:p>
      <w:pPr>
        <w:pStyle w:val="6"/>
        <w:spacing w:line="360" w:lineRule="auto"/>
        <w:ind w:left="0" w:leftChars="0"/>
        <w:jc w:val="center"/>
        <w:rPr>
          <w:rFonts w:ascii="仿宋" w:hAnsi="仿宋" w:eastAsia="仿宋" w:cs="仿宋"/>
          <w:b/>
          <w:bCs/>
          <w:snapToGrid w:val="0"/>
          <w:sz w:val="28"/>
          <w:szCs w:val="28"/>
        </w:rPr>
      </w:pPr>
      <w:r>
        <w:rPr>
          <w:rFonts w:hint="eastAsia" w:ascii="仿宋" w:hAnsi="仿宋" w:eastAsia="仿宋" w:cs="仿宋"/>
          <w:b/>
          <w:bCs/>
          <w:snapToGrid w:val="0"/>
          <w:sz w:val="28"/>
          <w:szCs w:val="28"/>
        </w:rPr>
        <w:t>法定代表人授权书</w:t>
      </w:r>
    </w:p>
    <w:p>
      <w:pPr>
        <w:pStyle w:val="6"/>
        <w:spacing w:line="360" w:lineRule="auto"/>
        <w:ind w:left="0" w:leftChars="0" w:firstLine="418" w:firstLineChars="200"/>
        <w:rPr>
          <w:rFonts w:ascii="仿宋" w:hAnsi="仿宋" w:eastAsia="仿宋" w:cs="仿宋"/>
          <w:snapToGrid w:val="0"/>
          <w:sz w:val="24"/>
          <w:szCs w:val="24"/>
        </w:rPr>
      </w:pPr>
    </w:p>
    <w:p>
      <w:pPr>
        <w:pStyle w:val="6"/>
        <w:spacing w:line="360" w:lineRule="auto"/>
        <w:ind w:left="0" w:leftChars="0" w:firstLine="418" w:firstLineChars="200"/>
        <w:rPr>
          <w:rFonts w:ascii="仿宋" w:hAnsi="仿宋" w:eastAsia="仿宋" w:cs="仿宋"/>
          <w:snapToGrid w:val="0"/>
          <w:sz w:val="24"/>
          <w:szCs w:val="24"/>
        </w:rPr>
      </w:pPr>
      <w:r>
        <w:rPr>
          <w:rFonts w:hint="eastAsia" w:ascii="仿宋" w:hAnsi="仿宋" w:eastAsia="仿宋" w:cs="仿宋"/>
          <w:snapToGrid w:val="0"/>
          <w:sz w:val="24"/>
          <w:szCs w:val="24"/>
        </w:rPr>
        <w:t>本人</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rPr>
        <w:t>（姓名）系</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rPr>
        <w:t>（</w:t>
      </w:r>
      <w:r>
        <w:rPr>
          <w:rFonts w:hint="eastAsia" w:ascii="仿宋" w:hAnsi="仿宋" w:eastAsia="仿宋" w:cs="仿宋"/>
          <w:snapToGrid w:val="0"/>
          <w:sz w:val="24"/>
          <w:szCs w:val="24"/>
          <w:lang w:val="en-US"/>
        </w:rPr>
        <w:t>投标单位</w:t>
      </w:r>
      <w:r>
        <w:rPr>
          <w:rFonts w:hint="eastAsia" w:ascii="仿宋" w:hAnsi="仿宋" w:eastAsia="仿宋" w:cs="仿宋"/>
          <w:snapToGrid w:val="0"/>
          <w:sz w:val="24"/>
          <w:szCs w:val="24"/>
        </w:rPr>
        <w:t>名称）的法定代表人，现授权委托本单位在职员工</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rPr>
        <w:t>（姓名，职务）（身份证号码：</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rPr>
        <w:t>手机号码：</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rPr>
        <w:t>）作为</w:t>
      </w:r>
      <w:r>
        <w:rPr>
          <w:rFonts w:hint="eastAsia" w:ascii="仿宋" w:hAnsi="仿宋" w:eastAsia="仿宋" w:cs="仿宋"/>
          <w:snapToGrid w:val="0"/>
          <w:sz w:val="24"/>
          <w:szCs w:val="24"/>
          <w:lang w:val="en-US"/>
        </w:rPr>
        <w:t>投标人</w:t>
      </w:r>
      <w:r>
        <w:rPr>
          <w:rFonts w:hint="eastAsia" w:ascii="仿宋" w:hAnsi="仿宋" w:eastAsia="仿宋" w:cs="仿宋"/>
          <w:snapToGrid w:val="0"/>
          <w:sz w:val="24"/>
          <w:szCs w:val="24"/>
        </w:rPr>
        <w:t>代表以我方的名义参加贵单位组织的项目（</w:t>
      </w:r>
      <w:r>
        <w:rPr>
          <w:rFonts w:hint="eastAsia" w:ascii="仿宋" w:hAnsi="仿宋" w:eastAsia="仿宋" w:cs="仿宋"/>
          <w:snapToGrid w:val="0"/>
          <w:sz w:val="24"/>
          <w:szCs w:val="24"/>
          <w:lang w:val="en-US"/>
        </w:rPr>
        <w:t>项目</w:t>
      </w:r>
      <w:r>
        <w:rPr>
          <w:rFonts w:hint="eastAsia" w:ascii="仿宋" w:hAnsi="仿宋" w:eastAsia="仿宋" w:cs="仿宋"/>
          <w:snapToGrid w:val="0"/>
          <w:sz w:val="24"/>
          <w:szCs w:val="24"/>
        </w:rPr>
        <w:t>编号：</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rPr>
        <w:t>）的投标活动，并代表我方全权处理一切与之有关的具体事务和签署相关文件，我均予以承认。</w:t>
      </w:r>
    </w:p>
    <w:p>
      <w:pPr>
        <w:pStyle w:val="6"/>
        <w:spacing w:line="360" w:lineRule="auto"/>
        <w:ind w:left="0" w:leftChars="0" w:firstLine="418" w:firstLineChars="200"/>
        <w:rPr>
          <w:rFonts w:ascii="仿宋" w:hAnsi="仿宋" w:eastAsia="仿宋" w:cs="仿宋"/>
          <w:snapToGrid w:val="0"/>
          <w:sz w:val="24"/>
          <w:szCs w:val="24"/>
        </w:rPr>
      </w:pPr>
      <w:r>
        <w:rPr>
          <w:rFonts w:hint="eastAsia" w:ascii="仿宋" w:hAnsi="仿宋" w:eastAsia="仿宋" w:cs="仿宋"/>
          <w:snapToGrid w:val="0"/>
          <w:sz w:val="24"/>
          <w:szCs w:val="24"/>
        </w:rPr>
        <w:t>代理人无权转让委托权。</w:t>
      </w:r>
    </w:p>
    <w:p>
      <w:pPr>
        <w:pStyle w:val="6"/>
        <w:spacing w:line="360" w:lineRule="auto"/>
        <w:ind w:left="0" w:leftChars="0" w:firstLine="418" w:firstLineChars="200"/>
        <w:rPr>
          <w:rFonts w:ascii="仿宋" w:hAnsi="仿宋" w:eastAsia="仿宋" w:cs="仿宋"/>
          <w:snapToGrid w:val="0"/>
          <w:sz w:val="24"/>
          <w:szCs w:val="24"/>
        </w:rPr>
      </w:pPr>
      <w:r>
        <w:rPr>
          <w:rFonts w:hint="eastAsia" w:ascii="仿宋" w:hAnsi="仿宋" w:eastAsia="仿宋" w:cs="仿宋"/>
          <w:snapToGrid w:val="0"/>
          <w:sz w:val="24"/>
          <w:szCs w:val="24"/>
        </w:rPr>
        <w:t>本授权书至投标有效期结束前始终有效。</w:t>
      </w:r>
    </w:p>
    <w:p>
      <w:pPr>
        <w:pStyle w:val="6"/>
        <w:spacing w:line="360" w:lineRule="auto"/>
        <w:ind w:left="0" w:leftChars="0" w:firstLine="418" w:firstLineChars="200"/>
        <w:rPr>
          <w:rFonts w:ascii="仿宋" w:hAnsi="仿宋" w:eastAsia="仿宋" w:cs="仿宋"/>
          <w:snapToGrid w:val="0"/>
          <w:sz w:val="24"/>
          <w:szCs w:val="24"/>
        </w:rPr>
      </w:pPr>
      <w:r>
        <w:rPr>
          <w:rFonts w:hint="eastAsia" w:ascii="仿宋" w:hAnsi="仿宋" w:eastAsia="仿宋" w:cs="仿宋"/>
          <w:snapToGrid w:val="0"/>
          <w:sz w:val="24"/>
          <w:szCs w:val="24"/>
        </w:rPr>
        <w:t>特此声明。</w:t>
      </w:r>
    </w:p>
    <w:p>
      <w:pPr>
        <w:pStyle w:val="6"/>
        <w:spacing w:line="360" w:lineRule="auto"/>
        <w:ind w:left="0" w:leftChars="0" w:firstLine="418" w:firstLineChars="200"/>
        <w:rPr>
          <w:rFonts w:ascii="仿宋" w:hAnsi="仿宋" w:eastAsia="仿宋" w:cs="仿宋"/>
          <w:snapToGrid w:val="0"/>
          <w:sz w:val="24"/>
          <w:szCs w:val="24"/>
        </w:rPr>
      </w:pPr>
    </w:p>
    <w:p>
      <w:pPr>
        <w:pStyle w:val="6"/>
        <w:spacing w:line="360" w:lineRule="auto"/>
        <w:ind w:left="0" w:leftChars="0" w:firstLine="418" w:firstLineChars="200"/>
        <w:rPr>
          <w:rFonts w:ascii="仿宋" w:hAnsi="仿宋" w:eastAsia="仿宋" w:cs="仿宋"/>
          <w:snapToGrid w:val="0"/>
          <w:sz w:val="24"/>
          <w:szCs w:val="24"/>
        </w:rPr>
      </w:pPr>
    </w:p>
    <w:p>
      <w:pPr>
        <w:pStyle w:val="6"/>
        <w:spacing w:line="360" w:lineRule="auto"/>
        <w:ind w:left="0" w:leftChars="0" w:firstLine="418" w:firstLineChars="200"/>
        <w:rPr>
          <w:rFonts w:ascii="仿宋" w:hAnsi="仿宋" w:eastAsia="仿宋" w:cs="仿宋"/>
          <w:snapToGrid w:val="0"/>
          <w:sz w:val="24"/>
          <w:szCs w:val="24"/>
        </w:rPr>
      </w:pPr>
      <w:r>
        <w:rPr>
          <w:rFonts w:hint="eastAsia" w:ascii="仿宋" w:hAnsi="仿宋" w:eastAsia="仿宋" w:cs="仿宋"/>
          <w:snapToGrid w:val="0"/>
          <w:sz w:val="24"/>
          <w:szCs w:val="24"/>
          <w:lang w:val="en-US"/>
        </w:rPr>
        <w:t>投标人</w:t>
      </w:r>
      <w:r>
        <w:rPr>
          <w:rFonts w:hint="eastAsia" w:ascii="仿宋" w:hAnsi="仿宋" w:eastAsia="仿宋" w:cs="仿宋"/>
          <w:snapToGrid w:val="0"/>
          <w:sz w:val="24"/>
          <w:szCs w:val="24"/>
        </w:rPr>
        <w:t>（企业电子章）：</w:t>
      </w:r>
    </w:p>
    <w:p>
      <w:pPr>
        <w:pStyle w:val="6"/>
        <w:spacing w:line="360" w:lineRule="auto"/>
        <w:ind w:left="0" w:leftChars="0" w:firstLine="418" w:firstLineChars="200"/>
        <w:rPr>
          <w:rFonts w:ascii="仿宋" w:hAnsi="仿宋" w:eastAsia="仿宋" w:cs="仿宋"/>
          <w:snapToGrid w:val="0"/>
          <w:sz w:val="24"/>
          <w:szCs w:val="24"/>
        </w:rPr>
      </w:pPr>
    </w:p>
    <w:p>
      <w:pPr>
        <w:pStyle w:val="6"/>
        <w:spacing w:line="360" w:lineRule="auto"/>
        <w:ind w:left="0" w:leftChars="0" w:firstLine="418" w:firstLineChars="200"/>
        <w:rPr>
          <w:rFonts w:ascii="仿宋" w:hAnsi="仿宋" w:eastAsia="仿宋" w:cs="仿宋"/>
          <w:snapToGrid w:val="0"/>
          <w:sz w:val="24"/>
          <w:szCs w:val="24"/>
        </w:rPr>
      </w:pPr>
      <w:r>
        <w:rPr>
          <w:rFonts w:hint="eastAsia" w:ascii="仿宋" w:hAnsi="仿宋" w:eastAsia="仿宋" w:cs="仿宋"/>
          <w:snapToGrid w:val="0"/>
          <w:sz w:val="24"/>
          <w:szCs w:val="24"/>
        </w:rPr>
        <w:t>法定代表人（个人电子章）：</w:t>
      </w:r>
    </w:p>
    <w:p>
      <w:pPr>
        <w:pStyle w:val="6"/>
        <w:spacing w:line="360" w:lineRule="auto"/>
        <w:ind w:left="0" w:leftChars="0" w:firstLine="418" w:firstLineChars="200"/>
        <w:rPr>
          <w:rFonts w:ascii="仿宋" w:hAnsi="仿宋" w:eastAsia="仿宋" w:cs="仿宋"/>
          <w:snapToGrid w:val="0"/>
          <w:sz w:val="24"/>
          <w:szCs w:val="24"/>
        </w:rPr>
      </w:pPr>
    </w:p>
    <w:p>
      <w:pPr>
        <w:pStyle w:val="6"/>
        <w:spacing w:line="360" w:lineRule="auto"/>
        <w:ind w:left="0" w:leftChars="0" w:firstLine="418" w:firstLineChars="200"/>
        <w:rPr>
          <w:rFonts w:ascii="仿宋" w:hAnsi="仿宋" w:eastAsia="仿宋" w:cs="仿宋"/>
          <w:snapToGrid w:val="0"/>
          <w:sz w:val="24"/>
          <w:szCs w:val="24"/>
        </w:rPr>
      </w:pPr>
      <w:r>
        <w:rPr>
          <w:rFonts w:hint="eastAsia" w:ascii="仿宋" w:hAnsi="仿宋" w:eastAsia="仿宋" w:cs="仿宋"/>
          <w:snapToGrid w:val="0"/>
          <w:sz w:val="24"/>
          <w:szCs w:val="24"/>
        </w:rPr>
        <w:t>日期：</w:t>
      </w:r>
    </w:p>
    <w:p>
      <w:pPr>
        <w:pStyle w:val="6"/>
        <w:spacing w:line="360" w:lineRule="auto"/>
        <w:ind w:left="0" w:leftChars="0" w:firstLine="418" w:firstLineChars="200"/>
        <w:rPr>
          <w:rFonts w:ascii="仿宋" w:hAnsi="仿宋" w:eastAsia="仿宋" w:cs="仿宋"/>
          <w:snapToGrid w:val="0"/>
          <w:sz w:val="24"/>
          <w:szCs w:val="24"/>
        </w:rPr>
        <w:sectPr>
          <w:pgSz w:w="11906" w:h="16838"/>
          <w:pgMar w:top="1134" w:right="1134" w:bottom="1134" w:left="1134" w:header="680" w:footer="992" w:gutter="0"/>
          <w:cols w:space="720" w:num="1"/>
          <w:docGrid w:type="linesAndChars" w:linePitch="466" w:charSpace="-6394"/>
        </w:sectPr>
      </w:pPr>
    </w:p>
    <w:p>
      <w:pPr>
        <w:pStyle w:val="6"/>
        <w:spacing w:line="360" w:lineRule="auto"/>
        <w:ind w:left="0" w:leftChars="0"/>
        <w:outlineLvl w:val="0"/>
        <w:rPr>
          <w:rFonts w:ascii="仿宋" w:hAnsi="仿宋" w:eastAsia="仿宋" w:cs="仿宋"/>
          <w:b/>
          <w:bCs/>
          <w:snapToGrid w:val="0"/>
          <w:sz w:val="28"/>
          <w:szCs w:val="28"/>
        </w:rPr>
      </w:pPr>
      <w:bookmarkStart w:id="100" w:name="_Toc30670"/>
      <w:bookmarkStart w:id="101" w:name="_Toc26542"/>
      <w:bookmarkStart w:id="102" w:name="_Toc1660954"/>
      <w:bookmarkStart w:id="103" w:name="_Toc25046"/>
      <w:bookmarkStart w:id="104" w:name="_Toc16632"/>
      <w:r>
        <w:rPr>
          <w:rFonts w:hint="eastAsia" w:ascii="仿宋" w:hAnsi="仿宋" w:eastAsia="仿宋" w:cs="仿宋"/>
          <w:b/>
          <w:bCs/>
          <w:snapToGrid w:val="0"/>
          <w:sz w:val="28"/>
          <w:szCs w:val="28"/>
          <w:lang w:val="en-US"/>
        </w:rPr>
        <w:t>四、</w:t>
      </w:r>
      <w:r>
        <w:rPr>
          <w:rFonts w:hint="eastAsia" w:ascii="仿宋" w:hAnsi="仿宋" w:eastAsia="仿宋" w:cs="仿宋"/>
          <w:b/>
          <w:bCs/>
          <w:snapToGrid w:val="0"/>
          <w:sz w:val="28"/>
          <w:szCs w:val="28"/>
        </w:rPr>
        <w:t>法人被授权人身份证扫描件</w:t>
      </w:r>
      <w:bookmarkEnd w:id="100"/>
      <w:bookmarkEnd w:id="101"/>
      <w:bookmarkEnd w:id="102"/>
      <w:bookmarkEnd w:id="103"/>
      <w:bookmarkEnd w:id="104"/>
    </w:p>
    <w:p>
      <w:pPr>
        <w:pStyle w:val="6"/>
        <w:spacing w:line="360" w:lineRule="auto"/>
        <w:ind w:left="0" w:leftChars="0" w:firstLine="480" w:firstLineChars="200"/>
        <w:rPr>
          <w:rFonts w:ascii="仿宋" w:hAnsi="仿宋" w:eastAsia="仿宋" w:cs="仿宋"/>
          <w:snapToGrid w:val="0"/>
          <w:sz w:val="24"/>
          <w:szCs w:val="24"/>
        </w:rPr>
      </w:pPr>
    </w:p>
    <w:p>
      <w:pPr>
        <w:pStyle w:val="6"/>
        <w:spacing w:line="360" w:lineRule="auto"/>
        <w:ind w:left="0" w:leftChars="0" w:firstLine="480" w:firstLineChars="200"/>
        <w:rPr>
          <w:rFonts w:ascii="仿宋" w:hAnsi="仿宋" w:eastAsia="仿宋" w:cs="仿宋"/>
          <w:snapToGrid w:val="0"/>
          <w:sz w:val="24"/>
          <w:szCs w:val="24"/>
        </w:rPr>
      </w:pPr>
    </w:p>
    <w:p>
      <w:pPr>
        <w:pStyle w:val="6"/>
        <w:spacing w:line="360" w:lineRule="auto"/>
        <w:ind w:left="0" w:leftChars="0" w:firstLine="480" w:firstLineChars="200"/>
        <w:rPr>
          <w:rFonts w:ascii="仿宋" w:hAnsi="仿宋" w:eastAsia="仿宋" w:cs="仿宋"/>
          <w:snapToGrid w:val="0"/>
          <w:sz w:val="24"/>
          <w:szCs w:val="24"/>
        </w:rPr>
      </w:pPr>
    </w:p>
    <w:p>
      <w:pPr>
        <w:pStyle w:val="6"/>
        <w:spacing w:line="360" w:lineRule="auto"/>
        <w:ind w:left="0" w:leftChars="0"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1、法定代表人身份证正面和反面扫描件</w:t>
      </w:r>
    </w:p>
    <w:p>
      <w:pPr>
        <w:pStyle w:val="6"/>
        <w:spacing w:line="360" w:lineRule="auto"/>
        <w:ind w:left="0" w:leftChars="0" w:firstLine="480" w:firstLineChars="200"/>
        <w:rPr>
          <w:rFonts w:ascii="仿宋" w:hAnsi="仿宋" w:eastAsia="仿宋" w:cs="仿宋"/>
          <w:snapToGrid w:val="0"/>
          <w:sz w:val="24"/>
          <w:szCs w:val="24"/>
        </w:rPr>
      </w:pPr>
    </w:p>
    <w:p>
      <w:pPr>
        <w:pStyle w:val="6"/>
        <w:spacing w:line="360" w:lineRule="auto"/>
        <w:ind w:left="0" w:leftChars="0" w:firstLine="480" w:firstLineChars="200"/>
        <w:rPr>
          <w:rFonts w:ascii="仿宋" w:hAnsi="仿宋" w:eastAsia="仿宋" w:cs="仿宋"/>
          <w:snapToGrid w:val="0"/>
          <w:sz w:val="24"/>
          <w:szCs w:val="24"/>
        </w:rPr>
      </w:pPr>
    </w:p>
    <w:p>
      <w:pPr>
        <w:pStyle w:val="6"/>
        <w:spacing w:line="360" w:lineRule="auto"/>
        <w:ind w:left="0" w:leftChars="0" w:firstLine="480" w:firstLineChars="200"/>
        <w:rPr>
          <w:rFonts w:ascii="仿宋" w:hAnsi="仿宋" w:eastAsia="仿宋" w:cs="仿宋"/>
          <w:snapToGrid w:val="0"/>
          <w:sz w:val="24"/>
          <w:szCs w:val="24"/>
        </w:rPr>
      </w:pPr>
    </w:p>
    <w:p>
      <w:pPr>
        <w:pStyle w:val="6"/>
        <w:spacing w:line="360" w:lineRule="auto"/>
        <w:ind w:left="0" w:leftChars="0" w:firstLine="480" w:firstLineChars="200"/>
        <w:rPr>
          <w:rFonts w:ascii="仿宋" w:hAnsi="仿宋" w:eastAsia="仿宋" w:cs="仿宋"/>
          <w:snapToGrid w:val="0"/>
          <w:sz w:val="24"/>
          <w:szCs w:val="24"/>
        </w:rPr>
      </w:pPr>
    </w:p>
    <w:p>
      <w:pPr>
        <w:pStyle w:val="6"/>
        <w:spacing w:line="360" w:lineRule="auto"/>
        <w:ind w:left="0" w:leftChars="0" w:firstLine="480" w:firstLineChars="200"/>
        <w:rPr>
          <w:rFonts w:ascii="仿宋" w:hAnsi="仿宋" w:eastAsia="仿宋" w:cs="仿宋"/>
          <w:snapToGrid w:val="0"/>
          <w:sz w:val="24"/>
          <w:szCs w:val="24"/>
        </w:rPr>
      </w:pPr>
    </w:p>
    <w:p>
      <w:pPr>
        <w:pStyle w:val="6"/>
        <w:spacing w:line="360" w:lineRule="auto"/>
        <w:ind w:left="0" w:leftChars="0" w:firstLine="480" w:firstLineChars="200"/>
        <w:rPr>
          <w:rFonts w:ascii="仿宋" w:hAnsi="仿宋" w:eastAsia="仿宋" w:cs="仿宋"/>
          <w:snapToGrid w:val="0"/>
          <w:sz w:val="24"/>
          <w:szCs w:val="24"/>
        </w:rPr>
      </w:pPr>
    </w:p>
    <w:p>
      <w:pPr>
        <w:widowControl/>
        <w:ind w:firstLine="480" w:firstLineChars="200"/>
        <w:rPr>
          <w:rFonts w:ascii="仿宋" w:hAnsi="仿宋" w:eastAsia="仿宋" w:cs="仿宋"/>
          <w:snapToGrid w:val="0"/>
          <w:sz w:val="24"/>
          <w:szCs w:val="24"/>
        </w:rPr>
        <w:sectPr>
          <w:pgSz w:w="11906" w:h="16838"/>
          <w:pgMar w:top="1134" w:right="1134" w:bottom="1134" w:left="1134" w:header="851" w:footer="992" w:gutter="0"/>
          <w:cols w:space="425" w:num="1"/>
          <w:docGrid w:type="lines" w:linePitch="312" w:charSpace="0"/>
        </w:sectPr>
      </w:pPr>
      <w:r>
        <w:rPr>
          <w:rFonts w:hint="eastAsia" w:ascii="仿宋" w:hAnsi="仿宋" w:eastAsia="仿宋" w:cs="仿宋"/>
          <w:snapToGrid w:val="0"/>
          <w:sz w:val="24"/>
          <w:szCs w:val="24"/>
          <w:lang w:val="en-US"/>
        </w:rPr>
        <w:t>2、</w:t>
      </w:r>
      <w:r>
        <w:rPr>
          <w:rFonts w:ascii="仿宋" w:hAnsi="仿宋" w:eastAsia="仿宋" w:cs="仿宋"/>
          <w:color w:val="000000"/>
          <w:sz w:val="24"/>
          <w:szCs w:val="24"/>
          <w:lang w:val="en-US"/>
        </w:rPr>
        <w:t>投标人</w:t>
      </w:r>
      <w:r>
        <w:rPr>
          <w:rFonts w:hint="eastAsia" w:ascii="仿宋" w:hAnsi="仿宋" w:eastAsia="仿宋" w:cs="仿宋"/>
          <w:snapToGrid w:val="0"/>
          <w:sz w:val="24"/>
          <w:szCs w:val="24"/>
        </w:rPr>
        <w:t>代表（被授权人）身份证正面和反面扫描件</w:t>
      </w:r>
    </w:p>
    <w:p>
      <w:pPr>
        <w:spacing w:line="360" w:lineRule="auto"/>
        <w:outlineLvl w:val="0"/>
        <w:rPr>
          <w:rFonts w:ascii="仿宋" w:hAnsi="仿宋" w:eastAsia="仿宋" w:cs="仿宋"/>
          <w:b/>
          <w:bCs/>
          <w:snapToGrid w:val="0"/>
          <w:sz w:val="28"/>
          <w:szCs w:val="28"/>
        </w:rPr>
      </w:pPr>
      <w:bookmarkStart w:id="105" w:name="_Toc10600"/>
      <w:bookmarkStart w:id="106" w:name="_Toc2125"/>
      <w:bookmarkStart w:id="107" w:name="_Toc301"/>
      <w:bookmarkStart w:id="108" w:name="_Toc1660956"/>
      <w:bookmarkStart w:id="109" w:name="_Toc3732"/>
      <w:r>
        <w:rPr>
          <w:rFonts w:hint="eastAsia" w:ascii="仿宋" w:hAnsi="仿宋" w:eastAsia="仿宋" w:cs="仿宋"/>
          <w:b/>
          <w:bCs/>
          <w:snapToGrid w:val="0"/>
          <w:sz w:val="28"/>
          <w:szCs w:val="28"/>
          <w:lang w:val="en-US"/>
        </w:rPr>
        <w:t>五、</w:t>
      </w:r>
      <w:r>
        <w:rPr>
          <w:rFonts w:hint="eastAsia" w:ascii="仿宋" w:hAnsi="仿宋" w:eastAsia="仿宋" w:cs="仿宋"/>
          <w:b/>
          <w:bCs/>
          <w:snapToGrid w:val="0"/>
          <w:sz w:val="28"/>
          <w:szCs w:val="28"/>
        </w:rPr>
        <w:t>资格证明材料</w:t>
      </w:r>
      <w:bookmarkEnd w:id="105"/>
      <w:bookmarkEnd w:id="106"/>
      <w:bookmarkEnd w:id="107"/>
      <w:bookmarkEnd w:id="108"/>
      <w:bookmarkEnd w:id="109"/>
    </w:p>
    <w:p>
      <w:pPr>
        <w:spacing w:line="360" w:lineRule="auto"/>
        <w:ind w:firstLine="480" w:firstLineChars="200"/>
        <w:rPr>
          <w:rFonts w:ascii="仿宋" w:hAnsi="仿宋" w:eastAsia="仿宋" w:cs="仿宋"/>
          <w:snapToGrid w:val="0"/>
          <w:sz w:val="24"/>
          <w:szCs w:val="24"/>
        </w:rPr>
      </w:pPr>
    </w:p>
    <w:p>
      <w:pPr>
        <w:spacing w:line="360" w:lineRule="auto"/>
        <w:jc w:val="center"/>
        <w:rPr>
          <w:rFonts w:ascii="仿宋" w:hAnsi="仿宋" w:eastAsia="仿宋" w:cs="仿宋"/>
          <w:snapToGrid w:val="0"/>
          <w:sz w:val="24"/>
          <w:szCs w:val="24"/>
        </w:rPr>
      </w:pPr>
      <w:r>
        <w:rPr>
          <w:rFonts w:hint="eastAsia" w:ascii="仿宋" w:hAnsi="仿宋" w:eastAsia="仿宋" w:cs="仿宋"/>
          <w:b/>
          <w:bCs/>
          <w:snapToGrid w:val="0"/>
          <w:sz w:val="28"/>
          <w:szCs w:val="28"/>
        </w:rPr>
        <w:t>资格证明材料</w:t>
      </w:r>
      <w:bookmarkStart w:id="110" w:name="_Toc31975"/>
      <w:bookmarkStart w:id="111" w:name="_Toc22668"/>
      <w:bookmarkStart w:id="112" w:name="_Toc28479"/>
      <w:bookmarkStart w:id="113" w:name="_Toc25421"/>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lang w:val="en-US"/>
        </w:rPr>
        <w:t>包括但不限于营业执照（或事业单位登记证书等投标人身份证明材料）、资质证书、《洛阳市政府采购供应商信用承诺函》（后附格式）。</w:t>
      </w:r>
    </w:p>
    <w:p>
      <w:pPr>
        <w:spacing w:line="360" w:lineRule="auto"/>
        <w:ind w:firstLine="480" w:firstLineChars="200"/>
        <w:rPr>
          <w:rFonts w:ascii="仿宋" w:hAnsi="仿宋" w:eastAsia="仿宋" w:cs="仿宋"/>
          <w:snapToGrid w:val="0"/>
          <w:sz w:val="24"/>
          <w:szCs w:val="24"/>
        </w:rPr>
      </w:pPr>
    </w:p>
    <w:p>
      <w:pPr>
        <w:spacing w:line="360" w:lineRule="auto"/>
        <w:ind w:firstLine="480" w:firstLineChars="200"/>
        <w:rPr>
          <w:rFonts w:ascii="仿宋" w:hAnsi="仿宋" w:eastAsia="仿宋" w:cs="仿宋"/>
          <w:snapToGrid w:val="0"/>
          <w:sz w:val="24"/>
          <w:szCs w:val="24"/>
        </w:rPr>
        <w:sectPr>
          <w:pgSz w:w="11906" w:h="16838"/>
          <w:pgMar w:top="1134" w:right="1134" w:bottom="1134" w:left="1134" w:header="851" w:footer="992" w:gutter="0"/>
          <w:cols w:space="425" w:num="1"/>
          <w:docGrid w:type="lines" w:linePitch="312" w:charSpace="0"/>
        </w:sectPr>
      </w:pPr>
      <w:r>
        <w:rPr>
          <w:rFonts w:hint="eastAsia" w:ascii="仿宋" w:hAnsi="仿宋" w:eastAsia="仿宋" w:cs="仿宋"/>
          <w:snapToGrid w:val="0"/>
          <w:sz w:val="24"/>
          <w:szCs w:val="24"/>
        </w:rPr>
        <w:t>注：在投标文件中附扫描件。</w:t>
      </w:r>
    </w:p>
    <w:p>
      <w:pPr>
        <w:widowControl/>
        <w:autoSpaceDE/>
        <w:autoSpaceDN/>
        <w:rPr>
          <w:rFonts w:ascii="仿宋" w:hAnsi="仿宋" w:eastAsia="仿宋" w:cs="仿宋"/>
          <w:b/>
          <w:bCs/>
          <w:snapToGrid w:val="0"/>
          <w:sz w:val="28"/>
          <w:szCs w:val="28"/>
        </w:rPr>
      </w:pPr>
      <w:bookmarkStart w:id="114" w:name="_Toc8484"/>
    </w:p>
    <w:p>
      <w:pPr>
        <w:tabs>
          <w:tab w:val="left" w:pos="1982"/>
          <w:tab w:val="center" w:pos="4819"/>
        </w:tabs>
        <w:spacing w:line="360" w:lineRule="auto"/>
        <w:rPr>
          <w:rFonts w:ascii="仿宋" w:hAnsi="仿宋" w:eastAsia="仿宋" w:cs="仿宋"/>
          <w:b/>
          <w:bCs/>
          <w:snapToGrid w:val="0"/>
          <w:sz w:val="28"/>
          <w:szCs w:val="28"/>
        </w:rPr>
      </w:pPr>
      <w:r>
        <w:rPr>
          <w:rFonts w:ascii="仿宋" w:hAnsi="仿宋" w:eastAsia="仿宋" w:cs="仿宋"/>
          <w:b/>
          <w:bCs/>
          <w:snapToGrid w:val="0"/>
          <w:sz w:val="28"/>
          <w:szCs w:val="28"/>
        </w:rPr>
        <w:tab/>
      </w:r>
      <w:r>
        <w:rPr>
          <w:rFonts w:ascii="仿宋" w:hAnsi="仿宋" w:eastAsia="仿宋" w:cs="仿宋"/>
          <w:b/>
          <w:bCs/>
          <w:snapToGrid w:val="0"/>
          <w:sz w:val="28"/>
          <w:szCs w:val="28"/>
        </w:rPr>
        <w:tab/>
      </w:r>
      <w:r>
        <w:rPr>
          <w:rFonts w:hint="eastAsia" w:ascii="仿宋" w:hAnsi="仿宋" w:eastAsia="仿宋" w:cs="仿宋"/>
          <w:b/>
          <w:bCs/>
          <w:snapToGrid w:val="0"/>
          <w:sz w:val="28"/>
          <w:szCs w:val="28"/>
        </w:rPr>
        <w:t>洛阳市政府采购供应商信用承诺函</w:t>
      </w:r>
      <w:bookmarkEnd w:id="114"/>
    </w:p>
    <w:p>
      <w:pPr>
        <w:adjustRightInd w:val="0"/>
        <w:snapToGrid w:val="0"/>
        <w:spacing w:beforeLines="50" w:line="480" w:lineRule="exact"/>
        <w:ind w:firstLine="504" w:firstLineChars="200"/>
        <w:rPr>
          <w:rFonts w:ascii="仿宋" w:hAnsi="仿宋" w:eastAsia="仿宋" w:cs="仿宋"/>
          <w:snapToGrid w:val="0"/>
          <w:color w:val="000000"/>
          <w:spacing w:val="6"/>
          <w:sz w:val="24"/>
          <w:szCs w:val="24"/>
        </w:rPr>
      </w:pP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致</w:t>
      </w:r>
      <w:r>
        <w:rPr>
          <w:rFonts w:hint="eastAsia" w:ascii="仿宋" w:hAnsi="仿宋" w:eastAsia="仿宋" w:cs="仿宋"/>
          <w:snapToGrid w:val="0"/>
          <w:color w:val="000000"/>
          <w:spacing w:val="6"/>
          <w:sz w:val="24"/>
          <w:szCs w:val="24"/>
          <w:u w:val="single"/>
        </w:rPr>
        <w:t xml:space="preserve">  （采购人或采购代理机构）  </w:t>
      </w:r>
      <w:r>
        <w:rPr>
          <w:rFonts w:hint="eastAsia" w:ascii="仿宋" w:hAnsi="仿宋" w:eastAsia="仿宋" w:cs="仿宋"/>
          <w:snapToGrid w:val="0"/>
          <w:color w:val="000000"/>
          <w:spacing w:val="6"/>
          <w:sz w:val="24"/>
          <w:szCs w:val="24"/>
        </w:rPr>
        <w:t>：</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单位名称（自然人姓名）：</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统一社会信用代码（身份证号码）：</w:t>
      </w:r>
    </w:p>
    <w:p>
      <w:pPr>
        <w:widowControl/>
        <w:spacing w:line="480" w:lineRule="exact"/>
        <w:ind w:firstLine="504" w:firstLineChars="200"/>
        <w:rPr>
          <w:rFonts w:ascii="仿宋" w:hAnsi="仿宋" w:eastAsia="仿宋" w:cs="仿宋"/>
          <w:snapToGrid w:val="0"/>
          <w:color w:val="000000"/>
          <w:spacing w:val="6"/>
          <w:sz w:val="24"/>
          <w:szCs w:val="24"/>
          <w:u w:val="single"/>
        </w:rPr>
      </w:pPr>
      <w:r>
        <w:rPr>
          <w:rFonts w:hint="eastAsia" w:ascii="仿宋" w:hAnsi="仿宋" w:eastAsia="仿宋" w:cs="仿宋"/>
          <w:snapToGrid w:val="0"/>
          <w:color w:val="000000"/>
          <w:spacing w:val="6"/>
          <w:sz w:val="24"/>
          <w:szCs w:val="24"/>
        </w:rPr>
        <w:t>法定代表人（负责人）：</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联系地址和电话：</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为维护公平、公正、公开的政府采购市场秩序，树立诚实守信的政府采购供应商形象，我单位（本人）自愿作出以下承诺：</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（一）具有独立承担民事责任的能力；</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（二）具有良好的商业信誉和健全的财务会计制度；</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（三）具有履行合同所必需的设备和专业技术能力；</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（四）有依法缴纳税收和社会保障资金的良好记录；</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（五）参加政府采购活动前三年内，在经营活动中没有重大违法记录；</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（六）未被列入经营异常名录或者严重违法失信名单、失信被执行人、重大税收违法案件当事人名单、政府采购严重违法失信行为记录名单；</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（七）未被相关监管部门作出行政处罚且尚在处罚有效期内；</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（八）未曾作出虚假采购承诺；</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（九）符合法律、行政法规规定的其他条件。</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widowControl/>
        <w:spacing w:line="480" w:lineRule="exact"/>
        <w:ind w:firstLine="504" w:firstLineChars="200"/>
        <w:rPr>
          <w:rFonts w:ascii="仿宋" w:hAnsi="仿宋" w:eastAsia="仿宋" w:cs="仿宋"/>
          <w:snapToGrid w:val="0"/>
          <w:color w:val="000000"/>
          <w:spacing w:val="6"/>
          <w:sz w:val="24"/>
          <w:szCs w:val="24"/>
        </w:rPr>
      </w:pP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 xml:space="preserve">供应商（电子章）： </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 xml:space="preserve">法定代表人、负责人、本人、或授权代表(签字或电子印章)： </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 xml:space="preserve">日期：    年    月    日 </w:t>
      </w:r>
    </w:p>
    <w:p>
      <w:pPr>
        <w:widowControl/>
        <w:spacing w:line="480" w:lineRule="exact"/>
        <w:ind w:firstLine="504" w:firstLineChars="200"/>
        <w:rPr>
          <w:rFonts w:ascii="仿宋" w:hAnsi="仿宋" w:eastAsia="仿宋" w:cs="仿宋"/>
          <w:snapToGrid w:val="0"/>
          <w:color w:val="000000"/>
          <w:spacing w:val="6"/>
          <w:sz w:val="24"/>
          <w:szCs w:val="24"/>
        </w:rPr>
      </w:pPr>
    </w:p>
    <w:p>
      <w:pPr>
        <w:widowControl/>
        <w:ind w:left="756" w:hanging="756" w:hangingChars="3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注：1.</w:t>
      </w:r>
      <w:r>
        <w:rPr>
          <w:rFonts w:ascii="仿宋" w:hAnsi="仿宋" w:eastAsia="仿宋" w:cs="仿宋"/>
          <w:color w:val="000000"/>
          <w:sz w:val="24"/>
          <w:szCs w:val="24"/>
          <w:lang w:val="en-US"/>
        </w:rPr>
        <w:t>投标人</w:t>
      </w:r>
      <w:r>
        <w:rPr>
          <w:rFonts w:hint="eastAsia" w:ascii="仿宋" w:hAnsi="仿宋" w:eastAsia="仿宋" w:cs="仿宋"/>
          <w:snapToGrid w:val="0"/>
          <w:color w:val="000000"/>
          <w:spacing w:val="6"/>
          <w:sz w:val="24"/>
          <w:szCs w:val="24"/>
        </w:rPr>
        <w:t>须在</w:t>
      </w:r>
      <w:r>
        <w:rPr>
          <w:rFonts w:ascii="仿宋" w:hAnsi="仿宋" w:eastAsia="仿宋" w:cs="仿宋"/>
          <w:color w:val="000000"/>
          <w:sz w:val="24"/>
          <w:szCs w:val="24"/>
          <w:lang w:val="en-US"/>
        </w:rPr>
        <w:t>投标</w:t>
      </w:r>
      <w:r>
        <w:rPr>
          <w:rFonts w:hint="eastAsia" w:ascii="仿宋" w:hAnsi="仿宋" w:eastAsia="仿宋" w:cs="仿宋"/>
          <w:snapToGrid w:val="0"/>
          <w:color w:val="000000"/>
          <w:spacing w:val="6"/>
          <w:sz w:val="24"/>
          <w:szCs w:val="24"/>
        </w:rPr>
        <w:t>文件中按此模板提供承诺函，未提供视为未实质性响应</w:t>
      </w:r>
      <w:r>
        <w:rPr>
          <w:rFonts w:hint="eastAsia" w:ascii="仿宋" w:hAnsi="仿宋" w:eastAsia="仿宋" w:cs="仿宋"/>
          <w:snapToGrid w:val="0"/>
          <w:color w:val="000000"/>
          <w:spacing w:val="6"/>
          <w:sz w:val="24"/>
          <w:szCs w:val="24"/>
          <w:lang w:val="en-US"/>
        </w:rPr>
        <w:t>招标</w:t>
      </w:r>
      <w:r>
        <w:rPr>
          <w:rFonts w:hint="eastAsia" w:ascii="仿宋" w:hAnsi="仿宋" w:eastAsia="仿宋" w:cs="仿宋"/>
          <w:snapToGrid w:val="0"/>
          <w:color w:val="000000"/>
          <w:spacing w:val="6"/>
          <w:sz w:val="24"/>
          <w:szCs w:val="24"/>
        </w:rPr>
        <w:t>文件要求，按无效投标处理。</w:t>
      </w:r>
    </w:p>
    <w:p>
      <w:pPr>
        <w:widowControl/>
        <w:spacing w:line="480" w:lineRule="exact"/>
        <w:ind w:firstLine="504" w:firstLineChars="200"/>
        <w:rPr>
          <w:rFonts w:ascii="仿宋" w:hAnsi="仿宋" w:eastAsia="仿宋" w:cs="仿宋"/>
          <w:snapToGrid w:val="0"/>
          <w:color w:val="000000"/>
          <w:spacing w:val="6"/>
          <w:sz w:val="24"/>
          <w:szCs w:val="24"/>
        </w:rPr>
      </w:pPr>
      <w:r>
        <w:rPr>
          <w:rFonts w:hint="eastAsia" w:ascii="仿宋" w:hAnsi="仿宋" w:eastAsia="仿宋" w:cs="仿宋"/>
          <w:snapToGrid w:val="0"/>
          <w:color w:val="000000"/>
          <w:spacing w:val="6"/>
          <w:sz w:val="24"/>
          <w:szCs w:val="24"/>
        </w:rPr>
        <w:t>2.</w:t>
      </w:r>
      <w:r>
        <w:rPr>
          <w:rFonts w:ascii="仿宋" w:hAnsi="仿宋" w:eastAsia="仿宋" w:cs="仿宋"/>
          <w:color w:val="000000"/>
          <w:sz w:val="24"/>
          <w:szCs w:val="24"/>
          <w:lang w:val="en-US"/>
        </w:rPr>
        <w:t>投标人</w:t>
      </w:r>
      <w:r>
        <w:rPr>
          <w:rFonts w:hint="eastAsia" w:ascii="仿宋" w:hAnsi="仿宋" w:eastAsia="仿宋" w:cs="仿宋"/>
          <w:snapToGrid w:val="0"/>
          <w:color w:val="000000"/>
          <w:spacing w:val="6"/>
          <w:sz w:val="24"/>
          <w:szCs w:val="24"/>
        </w:rPr>
        <w:t xml:space="preserve">的法定代表人或者授权代表的签字或盖章应真实、有效，如由授权代表签字或盖章的，应提供“法定代表人授权书”。 </w:t>
      </w:r>
    </w:p>
    <w:p>
      <w:pPr>
        <w:pStyle w:val="47"/>
        <w:spacing w:line="480" w:lineRule="exact"/>
        <w:rPr>
          <w:rFonts w:ascii="宋体" w:hAnsi="宋体" w:eastAsia="宋体" w:cs="宋体"/>
          <w:snapToGrid w:val="0"/>
          <w:spacing w:val="6"/>
          <w:sz w:val="24"/>
          <w:szCs w:val="24"/>
        </w:rPr>
      </w:pPr>
    </w:p>
    <w:p>
      <w:pPr>
        <w:pStyle w:val="6"/>
        <w:spacing w:line="360" w:lineRule="auto"/>
        <w:ind w:left="0" w:leftChars="0"/>
        <w:jc w:val="both"/>
        <w:outlineLvl w:val="0"/>
        <w:rPr>
          <w:rFonts w:ascii="仿宋" w:hAnsi="仿宋" w:eastAsia="仿宋" w:cs="仿宋"/>
          <w:b/>
          <w:bCs/>
          <w:snapToGrid w:val="0"/>
          <w:sz w:val="28"/>
          <w:szCs w:val="28"/>
        </w:rPr>
      </w:pPr>
      <w:r>
        <w:rPr>
          <w:rFonts w:hint="eastAsia"/>
          <w:snapToGrid w:val="0"/>
          <w:spacing w:val="6"/>
        </w:rPr>
        <w:br w:type="page"/>
      </w:r>
      <w:r>
        <w:rPr>
          <w:rFonts w:hint="eastAsia" w:ascii="仿宋" w:hAnsi="仿宋" w:eastAsia="仿宋" w:cs="仿宋"/>
          <w:b/>
          <w:bCs/>
          <w:snapToGrid w:val="0"/>
          <w:sz w:val="28"/>
          <w:szCs w:val="28"/>
          <w:lang w:val="en-US"/>
        </w:rPr>
        <w:t>六、</w:t>
      </w:r>
      <w:r>
        <w:rPr>
          <w:rFonts w:hint="eastAsia" w:ascii="仿宋" w:hAnsi="仿宋" w:eastAsia="仿宋" w:cs="仿宋"/>
          <w:b/>
          <w:bCs/>
          <w:snapToGrid w:val="0"/>
          <w:sz w:val="28"/>
          <w:szCs w:val="28"/>
        </w:rPr>
        <w:t>开标一览表</w:t>
      </w:r>
      <w:bookmarkEnd w:id="110"/>
      <w:bookmarkEnd w:id="111"/>
      <w:bookmarkEnd w:id="112"/>
      <w:bookmarkEnd w:id="113"/>
    </w:p>
    <w:p>
      <w:pPr>
        <w:pStyle w:val="6"/>
        <w:spacing w:line="360" w:lineRule="auto"/>
        <w:ind w:left="0" w:leftChars="0" w:firstLine="562" w:firstLineChars="200"/>
        <w:jc w:val="both"/>
        <w:rPr>
          <w:rFonts w:ascii="仿宋" w:hAnsi="仿宋" w:eastAsia="仿宋" w:cs="仿宋"/>
          <w:b/>
          <w:bCs/>
          <w:snapToGrid w:val="0"/>
          <w:sz w:val="28"/>
          <w:szCs w:val="28"/>
        </w:rPr>
      </w:pPr>
    </w:p>
    <w:p>
      <w:pPr>
        <w:pStyle w:val="6"/>
        <w:spacing w:line="360" w:lineRule="auto"/>
        <w:ind w:left="0" w:leftChars="0"/>
        <w:jc w:val="center"/>
        <w:rPr>
          <w:rFonts w:ascii="仿宋" w:hAnsi="仿宋" w:eastAsia="仿宋" w:cs="仿宋"/>
          <w:b/>
          <w:bCs/>
          <w:snapToGrid w:val="0"/>
          <w:sz w:val="28"/>
          <w:szCs w:val="28"/>
        </w:rPr>
      </w:pPr>
      <w:r>
        <w:rPr>
          <w:rFonts w:hint="eastAsia" w:ascii="仿宋" w:hAnsi="仿宋" w:eastAsia="仿宋" w:cs="仿宋"/>
          <w:b/>
          <w:bCs/>
          <w:snapToGrid w:val="0"/>
          <w:sz w:val="28"/>
          <w:szCs w:val="28"/>
        </w:rPr>
        <w:t>开标一览表</w:t>
      </w:r>
    </w:p>
    <w:p>
      <w:pPr>
        <w:pStyle w:val="7"/>
        <w:spacing w:before="11" w:after="1"/>
        <w:rPr>
          <w:sz w:val="16"/>
        </w:rPr>
      </w:pPr>
      <w:bookmarkStart w:id="115" w:name="_Toc1660958"/>
      <w:bookmarkStart w:id="116" w:name="_Toc31303"/>
      <w:bookmarkStart w:id="117" w:name="_Toc28564"/>
    </w:p>
    <w:tbl>
      <w:tblPr>
        <w:tblStyle w:val="20"/>
        <w:tblW w:w="0" w:type="auto"/>
        <w:tblInd w:w="5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19"/>
        <w:gridCol w:w="53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4" w:hRule="atLeast"/>
        </w:trPr>
        <w:tc>
          <w:tcPr>
            <w:tcW w:w="2419" w:type="dxa"/>
            <w:vAlign w:val="center"/>
          </w:tcPr>
          <w:p>
            <w:pPr>
              <w:pStyle w:val="6"/>
              <w:spacing w:line="360" w:lineRule="auto"/>
              <w:ind w:left="0" w:leftChars="0"/>
              <w:jc w:val="center"/>
              <w:rPr>
                <w:rFonts w:ascii="仿宋" w:hAnsi="仿宋" w:eastAsia="仿宋" w:cs="仿宋"/>
                <w:snapToGrid w:val="0"/>
                <w:sz w:val="24"/>
                <w:szCs w:val="24"/>
              </w:rPr>
            </w:pPr>
            <w:r>
              <w:rPr>
                <w:rFonts w:hint="eastAsia" w:ascii="仿宋" w:hAnsi="仿宋" w:eastAsia="仿宋" w:cs="仿宋"/>
                <w:snapToGrid w:val="0"/>
                <w:sz w:val="24"/>
                <w:szCs w:val="24"/>
              </w:rPr>
              <w:t>投标报价</w:t>
            </w:r>
          </w:p>
        </w:tc>
        <w:tc>
          <w:tcPr>
            <w:tcW w:w="5342"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8" w:hRule="atLeast"/>
        </w:trPr>
        <w:tc>
          <w:tcPr>
            <w:tcW w:w="2419" w:type="dxa"/>
            <w:vAlign w:val="center"/>
          </w:tcPr>
          <w:p>
            <w:pPr>
              <w:pStyle w:val="59"/>
              <w:jc w:val="center"/>
              <w:rPr>
                <w:rFonts w:ascii="仿宋" w:hAnsi="仿宋" w:eastAsia="仿宋" w:cs="仿宋"/>
                <w:snapToGrid w:val="0"/>
              </w:rPr>
            </w:pPr>
            <w:r>
              <w:rPr>
                <w:rFonts w:hint="eastAsia" w:ascii="仿宋" w:hAnsi="仿宋" w:eastAsia="仿宋" w:cs="仿宋"/>
                <w:snapToGrid w:val="0"/>
                <w:lang w:bidi="zh-CN"/>
              </w:rPr>
              <w:t>服务期</w:t>
            </w:r>
          </w:p>
        </w:tc>
        <w:tc>
          <w:tcPr>
            <w:tcW w:w="5342" w:type="dxa"/>
            <w:vAlign w:val="center"/>
          </w:tcPr>
          <w:p>
            <w:pPr>
              <w:pStyle w:val="59"/>
              <w:jc w:val="center"/>
              <w:rPr>
                <w:rFonts w:ascii="仿宋" w:hAnsi="仿宋" w:eastAsia="仿宋" w:cs="仿宋"/>
                <w:snapToGrid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2" w:hRule="atLeast"/>
        </w:trPr>
        <w:tc>
          <w:tcPr>
            <w:tcW w:w="2419" w:type="dxa"/>
            <w:vAlign w:val="center"/>
          </w:tcPr>
          <w:p>
            <w:pPr>
              <w:pStyle w:val="59"/>
              <w:jc w:val="center"/>
              <w:rPr>
                <w:rFonts w:ascii="仿宋" w:hAnsi="仿宋" w:eastAsia="仿宋" w:cs="仿宋"/>
                <w:snapToGrid w:val="0"/>
              </w:rPr>
            </w:pPr>
            <w:r>
              <w:rPr>
                <w:rFonts w:hint="eastAsia" w:ascii="仿宋" w:hAnsi="仿宋" w:eastAsia="仿宋" w:cs="仿宋"/>
                <w:snapToGrid w:val="0"/>
                <w:lang w:bidi="zh-CN"/>
              </w:rPr>
              <w:t>质量要求</w:t>
            </w:r>
          </w:p>
        </w:tc>
        <w:tc>
          <w:tcPr>
            <w:tcW w:w="5342" w:type="dxa"/>
            <w:vAlign w:val="center"/>
          </w:tcPr>
          <w:p>
            <w:pPr>
              <w:pStyle w:val="59"/>
              <w:jc w:val="center"/>
              <w:rPr>
                <w:rFonts w:ascii="仿宋" w:hAnsi="仿宋" w:eastAsia="仿宋" w:cs="仿宋"/>
                <w:snapToGrid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2419" w:type="dxa"/>
            <w:vAlign w:val="center"/>
          </w:tcPr>
          <w:p>
            <w:pPr>
              <w:pStyle w:val="59"/>
              <w:jc w:val="center"/>
              <w:rPr>
                <w:rFonts w:ascii="仿宋" w:hAnsi="仿宋" w:eastAsia="仿宋" w:cs="仿宋"/>
                <w:snapToGrid w:val="0"/>
                <w:lang w:val="zh-CN" w:bidi="zh-CN"/>
              </w:rPr>
            </w:pPr>
            <w:r>
              <w:rPr>
                <w:rFonts w:hint="eastAsia" w:ascii="仿宋" w:hAnsi="仿宋" w:eastAsia="仿宋" w:cs="仿宋"/>
                <w:snapToGrid w:val="0"/>
                <w:lang w:bidi="zh-CN"/>
              </w:rPr>
              <w:t>付款方式</w:t>
            </w:r>
          </w:p>
        </w:tc>
        <w:tc>
          <w:tcPr>
            <w:tcW w:w="5342" w:type="dxa"/>
            <w:vAlign w:val="center"/>
          </w:tcPr>
          <w:p>
            <w:pPr>
              <w:pStyle w:val="59"/>
              <w:jc w:val="center"/>
              <w:rPr>
                <w:rFonts w:ascii="仿宋" w:hAnsi="仿宋" w:eastAsia="仿宋" w:cs="仿宋"/>
                <w:snapToGrid w:val="0"/>
                <w:lang w:val="zh-CN" w:bidi="zh-CN"/>
              </w:rPr>
            </w:pPr>
          </w:p>
        </w:tc>
      </w:tr>
    </w:tbl>
    <w:p>
      <w:pPr>
        <w:rPr>
          <w:rFonts w:ascii="仿宋" w:hAnsi="仿宋" w:eastAsia="仿宋" w:cs="仿宋"/>
          <w:snapToGrid w:val="0"/>
          <w:sz w:val="24"/>
          <w:szCs w:val="24"/>
        </w:rPr>
      </w:pPr>
      <w:r>
        <w:rPr>
          <w:rFonts w:hint="eastAsia" w:ascii="仿宋" w:hAnsi="仿宋" w:eastAsia="仿宋" w:cs="仿宋"/>
          <w:snapToGrid w:val="0"/>
          <w:sz w:val="24"/>
          <w:szCs w:val="24"/>
        </w:rPr>
        <w:br w:type="page"/>
      </w:r>
    </w:p>
    <w:p>
      <w:pPr>
        <w:pStyle w:val="6"/>
        <w:spacing w:line="360" w:lineRule="auto"/>
        <w:ind w:left="0" w:leftChars="0"/>
        <w:outlineLvl w:val="0"/>
        <w:rPr>
          <w:rFonts w:ascii="仿宋" w:hAnsi="仿宋" w:eastAsia="仿宋" w:cs="仿宋"/>
          <w:b/>
          <w:bCs/>
          <w:snapToGrid w:val="0"/>
          <w:sz w:val="28"/>
          <w:szCs w:val="28"/>
        </w:rPr>
      </w:pPr>
      <w:bookmarkStart w:id="118" w:name="_Toc6594"/>
      <w:bookmarkStart w:id="119" w:name="_Toc2141"/>
      <w:r>
        <w:rPr>
          <w:rFonts w:hint="eastAsia" w:ascii="仿宋" w:hAnsi="仿宋" w:eastAsia="仿宋" w:cs="仿宋"/>
          <w:b/>
          <w:bCs/>
          <w:snapToGrid w:val="0"/>
          <w:sz w:val="28"/>
          <w:szCs w:val="28"/>
          <w:lang w:val="en-US"/>
        </w:rPr>
        <w:t>七、服务</w:t>
      </w:r>
      <w:r>
        <w:rPr>
          <w:rFonts w:hint="eastAsia" w:ascii="仿宋" w:hAnsi="仿宋" w:eastAsia="仿宋" w:cs="仿宋"/>
          <w:b/>
          <w:bCs/>
          <w:snapToGrid w:val="0"/>
          <w:sz w:val="28"/>
          <w:szCs w:val="28"/>
        </w:rPr>
        <w:t>报价明细表</w:t>
      </w:r>
      <w:bookmarkEnd w:id="115"/>
      <w:bookmarkEnd w:id="116"/>
      <w:bookmarkEnd w:id="117"/>
      <w:bookmarkEnd w:id="118"/>
      <w:bookmarkEnd w:id="119"/>
    </w:p>
    <w:p>
      <w:pPr>
        <w:pStyle w:val="6"/>
        <w:spacing w:line="360" w:lineRule="auto"/>
        <w:ind w:left="0" w:leftChars="0" w:firstLine="560" w:firstLineChars="200"/>
        <w:jc w:val="center"/>
        <w:rPr>
          <w:rFonts w:ascii="仿宋" w:hAnsi="仿宋" w:eastAsia="仿宋" w:cs="仿宋"/>
          <w:snapToGrid w:val="0"/>
          <w:sz w:val="24"/>
          <w:szCs w:val="24"/>
        </w:rPr>
      </w:pPr>
      <w:r>
        <w:rPr>
          <w:rFonts w:hint="eastAsia" w:ascii="仿宋" w:hAnsi="仿宋" w:eastAsia="仿宋" w:cs="仿宋"/>
          <w:snapToGrid w:val="0"/>
          <w:sz w:val="28"/>
          <w:szCs w:val="28"/>
          <w:lang w:val="en-US"/>
        </w:rPr>
        <w:t>服务</w:t>
      </w:r>
      <w:r>
        <w:rPr>
          <w:rFonts w:hint="eastAsia" w:ascii="仿宋" w:hAnsi="仿宋" w:eastAsia="仿宋" w:cs="仿宋"/>
          <w:snapToGrid w:val="0"/>
          <w:sz w:val="28"/>
          <w:szCs w:val="28"/>
        </w:rPr>
        <w:t>报价明细表</w:t>
      </w:r>
    </w:p>
    <w:tbl>
      <w:tblPr>
        <w:tblStyle w:val="20"/>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2757"/>
        <w:gridCol w:w="2784"/>
        <w:gridCol w:w="1018"/>
        <w:gridCol w:w="80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299" w:type="dxa"/>
            <w:vAlign w:val="center"/>
          </w:tcPr>
          <w:p>
            <w:pPr>
              <w:pStyle w:val="6"/>
              <w:spacing w:line="360" w:lineRule="auto"/>
              <w:ind w:left="0" w:leftChars="0"/>
              <w:jc w:val="center"/>
              <w:rPr>
                <w:rFonts w:ascii="仿宋" w:hAnsi="仿宋" w:eastAsia="仿宋" w:cs="仿宋"/>
                <w:snapToGrid w:val="0"/>
                <w:sz w:val="24"/>
                <w:szCs w:val="24"/>
              </w:rPr>
            </w:pPr>
            <w:r>
              <w:rPr>
                <w:rFonts w:hint="eastAsia" w:ascii="仿宋" w:hAnsi="仿宋" w:eastAsia="仿宋" w:cs="仿宋"/>
                <w:snapToGrid w:val="0"/>
                <w:sz w:val="24"/>
                <w:szCs w:val="24"/>
              </w:rPr>
              <w:t>序号</w:t>
            </w:r>
          </w:p>
        </w:tc>
        <w:tc>
          <w:tcPr>
            <w:tcW w:w="2757" w:type="dxa"/>
            <w:vAlign w:val="center"/>
          </w:tcPr>
          <w:p>
            <w:pPr>
              <w:pStyle w:val="6"/>
              <w:spacing w:line="360" w:lineRule="auto"/>
              <w:ind w:left="0" w:leftChars="0"/>
              <w:jc w:val="center"/>
              <w:rPr>
                <w:rFonts w:ascii="仿宋" w:hAnsi="仿宋" w:eastAsia="仿宋" w:cs="仿宋"/>
                <w:snapToGrid w:val="0"/>
                <w:sz w:val="24"/>
                <w:szCs w:val="24"/>
              </w:rPr>
            </w:pPr>
            <w:r>
              <w:rPr>
                <w:rFonts w:hint="eastAsia" w:ascii="仿宋" w:hAnsi="仿宋" w:eastAsia="仿宋" w:cs="仿宋"/>
                <w:snapToGrid w:val="0"/>
                <w:sz w:val="24"/>
                <w:szCs w:val="24"/>
              </w:rPr>
              <w:t>服务内容</w:t>
            </w:r>
          </w:p>
        </w:tc>
        <w:tc>
          <w:tcPr>
            <w:tcW w:w="2784" w:type="dxa"/>
            <w:vAlign w:val="center"/>
          </w:tcPr>
          <w:p>
            <w:pPr>
              <w:pStyle w:val="6"/>
              <w:spacing w:line="360" w:lineRule="auto"/>
              <w:ind w:left="0" w:leftChars="0"/>
              <w:jc w:val="center"/>
              <w:rPr>
                <w:rFonts w:ascii="仿宋" w:hAnsi="仿宋" w:eastAsia="仿宋" w:cs="仿宋"/>
                <w:snapToGrid w:val="0"/>
                <w:sz w:val="24"/>
                <w:szCs w:val="24"/>
              </w:rPr>
            </w:pPr>
            <w:r>
              <w:rPr>
                <w:rFonts w:hint="eastAsia" w:ascii="仿宋" w:hAnsi="仿宋" w:eastAsia="仿宋" w:cs="仿宋"/>
                <w:snapToGrid w:val="0"/>
                <w:sz w:val="24"/>
                <w:szCs w:val="24"/>
              </w:rPr>
              <w:t>是否属于小型微型（监狱、残疾人福利性单位）企业承担的服务</w:t>
            </w:r>
          </w:p>
        </w:tc>
        <w:tc>
          <w:tcPr>
            <w:tcW w:w="1018"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数量</w:t>
            </w:r>
          </w:p>
        </w:tc>
        <w:tc>
          <w:tcPr>
            <w:tcW w:w="800"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单价</w:t>
            </w:r>
          </w:p>
        </w:tc>
        <w:tc>
          <w:tcPr>
            <w:tcW w:w="800" w:type="dxa"/>
            <w:vAlign w:val="center"/>
          </w:tcPr>
          <w:p>
            <w:pPr>
              <w:pStyle w:val="6"/>
              <w:spacing w:line="360" w:lineRule="auto"/>
              <w:ind w:left="0" w:leftChars="0"/>
              <w:jc w:val="center"/>
              <w:rPr>
                <w:rFonts w:ascii="仿宋" w:hAnsi="仿宋" w:eastAsia="仿宋" w:cs="仿宋"/>
                <w:snapToGrid w:val="0"/>
                <w:sz w:val="24"/>
                <w:szCs w:val="24"/>
                <w:lang w:val="en-US"/>
              </w:rPr>
            </w:pPr>
            <w:r>
              <w:rPr>
                <w:rFonts w:hint="eastAsia" w:ascii="仿宋" w:hAnsi="仿宋" w:eastAsia="仿宋" w:cs="仿宋"/>
                <w:snapToGrid w:val="0"/>
                <w:sz w:val="24"/>
                <w:szCs w:val="24"/>
                <w:lang w:val="en-US"/>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6"/>
              <w:spacing w:line="360" w:lineRule="auto"/>
              <w:ind w:left="0" w:leftChars="0"/>
              <w:jc w:val="center"/>
              <w:rPr>
                <w:rFonts w:ascii="仿宋" w:hAnsi="仿宋" w:eastAsia="仿宋" w:cs="仿宋"/>
                <w:snapToGrid w:val="0"/>
                <w:sz w:val="24"/>
                <w:szCs w:val="24"/>
                <w:lang w:val="en-US"/>
              </w:rPr>
            </w:pPr>
          </w:p>
        </w:tc>
        <w:tc>
          <w:tcPr>
            <w:tcW w:w="2757" w:type="dxa"/>
            <w:vAlign w:val="center"/>
          </w:tcPr>
          <w:p>
            <w:pPr>
              <w:pStyle w:val="6"/>
              <w:spacing w:line="360" w:lineRule="auto"/>
              <w:ind w:left="0" w:leftChars="0"/>
              <w:jc w:val="center"/>
              <w:rPr>
                <w:rFonts w:ascii="仿宋" w:hAnsi="仿宋" w:eastAsia="仿宋" w:cs="仿宋"/>
                <w:snapToGrid w:val="0"/>
                <w:sz w:val="24"/>
                <w:szCs w:val="24"/>
              </w:rPr>
            </w:pPr>
          </w:p>
        </w:tc>
        <w:tc>
          <w:tcPr>
            <w:tcW w:w="2784" w:type="dxa"/>
            <w:vAlign w:val="center"/>
          </w:tcPr>
          <w:p>
            <w:pPr>
              <w:pStyle w:val="6"/>
              <w:spacing w:line="360" w:lineRule="auto"/>
              <w:ind w:left="0" w:leftChars="0"/>
              <w:jc w:val="center"/>
              <w:rPr>
                <w:rFonts w:ascii="仿宋" w:hAnsi="仿宋" w:eastAsia="仿宋" w:cs="仿宋"/>
                <w:snapToGrid w:val="0"/>
                <w:sz w:val="24"/>
                <w:szCs w:val="24"/>
              </w:rPr>
            </w:pPr>
          </w:p>
        </w:tc>
        <w:tc>
          <w:tcPr>
            <w:tcW w:w="1018"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6"/>
              <w:spacing w:line="360" w:lineRule="auto"/>
              <w:ind w:left="0" w:leftChars="0"/>
              <w:jc w:val="center"/>
              <w:rPr>
                <w:rFonts w:ascii="仿宋" w:hAnsi="仿宋" w:eastAsia="仿宋" w:cs="仿宋"/>
                <w:snapToGrid w:val="0"/>
                <w:sz w:val="24"/>
                <w:szCs w:val="24"/>
                <w:lang w:val="en-US"/>
              </w:rPr>
            </w:pPr>
          </w:p>
        </w:tc>
        <w:tc>
          <w:tcPr>
            <w:tcW w:w="2757" w:type="dxa"/>
            <w:vAlign w:val="center"/>
          </w:tcPr>
          <w:p>
            <w:pPr>
              <w:pStyle w:val="6"/>
              <w:spacing w:line="360" w:lineRule="auto"/>
              <w:ind w:left="0" w:leftChars="0"/>
              <w:jc w:val="center"/>
              <w:rPr>
                <w:rFonts w:ascii="仿宋" w:hAnsi="仿宋" w:eastAsia="仿宋" w:cs="仿宋"/>
                <w:snapToGrid w:val="0"/>
                <w:sz w:val="24"/>
                <w:szCs w:val="24"/>
              </w:rPr>
            </w:pPr>
          </w:p>
        </w:tc>
        <w:tc>
          <w:tcPr>
            <w:tcW w:w="2784" w:type="dxa"/>
            <w:vAlign w:val="center"/>
          </w:tcPr>
          <w:p>
            <w:pPr>
              <w:pStyle w:val="6"/>
              <w:spacing w:line="360" w:lineRule="auto"/>
              <w:ind w:left="0" w:leftChars="0"/>
              <w:jc w:val="center"/>
              <w:rPr>
                <w:rFonts w:ascii="仿宋" w:hAnsi="仿宋" w:eastAsia="仿宋" w:cs="仿宋"/>
                <w:snapToGrid w:val="0"/>
                <w:sz w:val="24"/>
                <w:szCs w:val="24"/>
              </w:rPr>
            </w:pPr>
          </w:p>
        </w:tc>
        <w:tc>
          <w:tcPr>
            <w:tcW w:w="1018"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6"/>
              <w:spacing w:line="360" w:lineRule="auto"/>
              <w:ind w:left="0" w:leftChars="0"/>
              <w:jc w:val="center"/>
              <w:rPr>
                <w:rFonts w:ascii="仿宋" w:hAnsi="仿宋" w:eastAsia="仿宋" w:cs="仿宋"/>
                <w:snapToGrid w:val="0"/>
                <w:sz w:val="24"/>
                <w:szCs w:val="24"/>
                <w:lang w:val="en-US"/>
              </w:rPr>
            </w:pPr>
          </w:p>
        </w:tc>
        <w:tc>
          <w:tcPr>
            <w:tcW w:w="2757" w:type="dxa"/>
            <w:vAlign w:val="center"/>
          </w:tcPr>
          <w:p>
            <w:pPr>
              <w:pStyle w:val="6"/>
              <w:spacing w:line="360" w:lineRule="auto"/>
              <w:ind w:left="0" w:leftChars="0"/>
              <w:jc w:val="center"/>
              <w:rPr>
                <w:rFonts w:ascii="仿宋" w:hAnsi="仿宋" w:eastAsia="仿宋" w:cs="仿宋"/>
                <w:snapToGrid w:val="0"/>
                <w:sz w:val="24"/>
                <w:szCs w:val="24"/>
              </w:rPr>
            </w:pPr>
          </w:p>
        </w:tc>
        <w:tc>
          <w:tcPr>
            <w:tcW w:w="2784" w:type="dxa"/>
            <w:vAlign w:val="center"/>
          </w:tcPr>
          <w:p>
            <w:pPr>
              <w:pStyle w:val="6"/>
              <w:spacing w:line="360" w:lineRule="auto"/>
              <w:ind w:left="0" w:leftChars="0"/>
              <w:jc w:val="center"/>
              <w:rPr>
                <w:rFonts w:ascii="仿宋" w:hAnsi="仿宋" w:eastAsia="仿宋" w:cs="仿宋"/>
                <w:snapToGrid w:val="0"/>
                <w:sz w:val="24"/>
                <w:szCs w:val="24"/>
              </w:rPr>
            </w:pPr>
          </w:p>
        </w:tc>
        <w:tc>
          <w:tcPr>
            <w:tcW w:w="1018"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6"/>
              <w:spacing w:line="360" w:lineRule="auto"/>
              <w:ind w:left="0" w:leftChars="0"/>
              <w:jc w:val="center"/>
              <w:rPr>
                <w:rFonts w:ascii="仿宋" w:hAnsi="仿宋" w:eastAsia="仿宋" w:cs="仿宋"/>
                <w:snapToGrid w:val="0"/>
                <w:sz w:val="24"/>
                <w:szCs w:val="24"/>
              </w:rPr>
            </w:pPr>
          </w:p>
        </w:tc>
        <w:tc>
          <w:tcPr>
            <w:tcW w:w="2757" w:type="dxa"/>
            <w:vAlign w:val="center"/>
          </w:tcPr>
          <w:p>
            <w:pPr>
              <w:pStyle w:val="6"/>
              <w:spacing w:line="360" w:lineRule="auto"/>
              <w:ind w:left="0" w:leftChars="0"/>
              <w:jc w:val="center"/>
              <w:rPr>
                <w:rFonts w:ascii="仿宋" w:hAnsi="仿宋" w:eastAsia="仿宋" w:cs="仿宋"/>
                <w:snapToGrid w:val="0"/>
                <w:sz w:val="24"/>
                <w:szCs w:val="24"/>
              </w:rPr>
            </w:pPr>
          </w:p>
        </w:tc>
        <w:tc>
          <w:tcPr>
            <w:tcW w:w="2784" w:type="dxa"/>
            <w:vAlign w:val="center"/>
          </w:tcPr>
          <w:p>
            <w:pPr>
              <w:pStyle w:val="6"/>
              <w:spacing w:line="360" w:lineRule="auto"/>
              <w:ind w:left="0" w:leftChars="0"/>
              <w:jc w:val="center"/>
              <w:rPr>
                <w:rFonts w:ascii="仿宋" w:hAnsi="仿宋" w:eastAsia="仿宋" w:cs="仿宋"/>
                <w:snapToGrid w:val="0"/>
                <w:sz w:val="24"/>
                <w:szCs w:val="24"/>
              </w:rPr>
            </w:pPr>
          </w:p>
        </w:tc>
        <w:tc>
          <w:tcPr>
            <w:tcW w:w="1018"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6"/>
              <w:spacing w:line="360" w:lineRule="auto"/>
              <w:ind w:left="0" w:leftChars="0"/>
              <w:jc w:val="center"/>
              <w:rPr>
                <w:rFonts w:ascii="仿宋" w:hAnsi="仿宋" w:eastAsia="仿宋" w:cs="仿宋"/>
                <w:snapToGrid w:val="0"/>
                <w:sz w:val="24"/>
                <w:szCs w:val="24"/>
              </w:rPr>
            </w:pPr>
          </w:p>
        </w:tc>
        <w:tc>
          <w:tcPr>
            <w:tcW w:w="2757" w:type="dxa"/>
            <w:vAlign w:val="center"/>
          </w:tcPr>
          <w:p>
            <w:pPr>
              <w:pStyle w:val="6"/>
              <w:spacing w:line="360" w:lineRule="auto"/>
              <w:ind w:left="0" w:leftChars="0"/>
              <w:jc w:val="center"/>
              <w:rPr>
                <w:rFonts w:ascii="仿宋" w:hAnsi="仿宋" w:eastAsia="仿宋" w:cs="仿宋"/>
                <w:snapToGrid w:val="0"/>
                <w:sz w:val="24"/>
                <w:szCs w:val="24"/>
              </w:rPr>
            </w:pPr>
          </w:p>
        </w:tc>
        <w:tc>
          <w:tcPr>
            <w:tcW w:w="2784" w:type="dxa"/>
            <w:vAlign w:val="center"/>
          </w:tcPr>
          <w:p>
            <w:pPr>
              <w:pStyle w:val="6"/>
              <w:spacing w:line="360" w:lineRule="auto"/>
              <w:ind w:left="0" w:leftChars="0"/>
              <w:jc w:val="center"/>
              <w:rPr>
                <w:rFonts w:ascii="仿宋" w:hAnsi="仿宋" w:eastAsia="仿宋" w:cs="仿宋"/>
                <w:snapToGrid w:val="0"/>
                <w:sz w:val="24"/>
                <w:szCs w:val="24"/>
              </w:rPr>
            </w:pPr>
          </w:p>
        </w:tc>
        <w:tc>
          <w:tcPr>
            <w:tcW w:w="1018"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6"/>
              <w:spacing w:line="360" w:lineRule="auto"/>
              <w:ind w:left="0" w:leftChars="0"/>
              <w:jc w:val="center"/>
              <w:rPr>
                <w:rFonts w:ascii="仿宋" w:hAnsi="仿宋" w:eastAsia="仿宋" w:cs="仿宋"/>
                <w:snapToGrid w:val="0"/>
                <w:sz w:val="24"/>
                <w:szCs w:val="24"/>
              </w:rPr>
            </w:pPr>
          </w:p>
        </w:tc>
        <w:tc>
          <w:tcPr>
            <w:tcW w:w="2757" w:type="dxa"/>
            <w:vAlign w:val="center"/>
          </w:tcPr>
          <w:p>
            <w:pPr>
              <w:pStyle w:val="6"/>
              <w:spacing w:line="360" w:lineRule="auto"/>
              <w:ind w:left="0" w:leftChars="0"/>
              <w:jc w:val="center"/>
              <w:rPr>
                <w:rFonts w:ascii="仿宋" w:hAnsi="仿宋" w:eastAsia="仿宋" w:cs="仿宋"/>
                <w:snapToGrid w:val="0"/>
                <w:sz w:val="24"/>
                <w:szCs w:val="24"/>
              </w:rPr>
            </w:pPr>
          </w:p>
        </w:tc>
        <w:tc>
          <w:tcPr>
            <w:tcW w:w="2784" w:type="dxa"/>
            <w:vAlign w:val="center"/>
          </w:tcPr>
          <w:p>
            <w:pPr>
              <w:pStyle w:val="6"/>
              <w:spacing w:line="360" w:lineRule="auto"/>
              <w:ind w:left="0" w:leftChars="0"/>
              <w:jc w:val="center"/>
              <w:rPr>
                <w:rFonts w:ascii="仿宋" w:hAnsi="仿宋" w:eastAsia="仿宋" w:cs="仿宋"/>
                <w:snapToGrid w:val="0"/>
                <w:sz w:val="24"/>
                <w:szCs w:val="24"/>
              </w:rPr>
            </w:pPr>
          </w:p>
        </w:tc>
        <w:tc>
          <w:tcPr>
            <w:tcW w:w="1018"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6"/>
              <w:spacing w:line="360" w:lineRule="auto"/>
              <w:ind w:left="0" w:leftChars="0"/>
              <w:jc w:val="center"/>
              <w:rPr>
                <w:rFonts w:ascii="仿宋" w:hAnsi="仿宋" w:eastAsia="仿宋" w:cs="仿宋"/>
                <w:snapToGrid w:val="0"/>
                <w:sz w:val="24"/>
                <w:szCs w:val="24"/>
              </w:rPr>
            </w:pPr>
          </w:p>
        </w:tc>
        <w:tc>
          <w:tcPr>
            <w:tcW w:w="2757" w:type="dxa"/>
            <w:vAlign w:val="center"/>
          </w:tcPr>
          <w:p>
            <w:pPr>
              <w:pStyle w:val="6"/>
              <w:spacing w:line="360" w:lineRule="auto"/>
              <w:ind w:left="0" w:leftChars="0"/>
              <w:jc w:val="center"/>
              <w:rPr>
                <w:rFonts w:ascii="仿宋" w:hAnsi="仿宋" w:eastAsia="仿宋" w:cs="仿宋"/>
                <w:snapToGrid w:val="0"/>
                <w:sz w:val="24"/>
                <w:szCs w:val="24"/>
              </w:rPr>
            </w:pPr>
          </w:p>
        </w:tc>
        <w:tc>
          <w:tcPr>
            <w:tcW w:w="2784" w:type="dxa"/>
            <w:vAlign w:val="center"/>
          </w:tcPr>
          <w:p>
            <w:pPr>
              <w:pStyle w:val="6"/>
              <w:spacing w:line="360" w:lineRule="auto"/>
              <w:ind w:left="0" w:leftChars="0"/>
              <w:jc w:val="center"/>
              <w:rPr>
                <w:rFonts w:ascii="仿宋" w:hAnsi="仿宋" w:eastAsia="仿宋" w:cs="仿宋"/>
                <w:snapToGrid w:val="0"/>
                <w:sz w:val="24"/>
                <w:szCs w:val="24"/>
              </w:rPr>
            </w:pPr>
          </w:p>
        </w:tc>
        <w:tc>
          <w:tcPr>
            <w:tcW w:w="1018"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6"/>
              <w:spacing w:line="360" w:lineRule="auto"/>
              <w:ind w:left="0" w:leftChars="0"/>
              <w:jc w:val="center"/>
              <w:rPr>
                <w:rFonts w:ascii="仿宋" w:hAnsi="仿宋" w:eastAsia="仿宋" w:cs="仿宋"/>
                <w:snapToGrid w:val="0"/>
                <w:sz w:val="24"/>
                <w:szCs w:val="24"/>
              </w:rPr>
            </w:pPr>
          </w:p>
        </w:tc>
        <w:tc>
          <w:tcPr>
            <w:tcW w:w="2757" w:type="dxa"/>
            <w:vAlign w:val="center"/>
          </w:tcPr>
          <w:p>
            <w:pPr>
              <w:pStyle w:val="6"/>
              <w:spacing w:line="360" w:lineRule="auto"/>
              <w:ind w:left="0" w:leftChars="0"/>
              <w:jc w:val="center"/>
              <w:rPr>
                <w:rFonts w:ascii="仿宋" w:hAnsi="仿宋" w:eastAsia="仿宋" w:cs="仿宋"/>
                <w:snapToGrid w:val="0"/>
                <w:sz w:val="24"/>
                <w:szCs w:val="24"/>
              </w:rPr>
            </w:pPr>
          </w:p>
        </w:tc>
        <w:tc>
          <w:tcPr>
            <w:tcW w:w="2784" w:type="dxa"/>
            <w:vAlign w:val="center"/>
          </w:tcPr>
          <w:p>
            <w:pPr>
              <w:pStyle w:val="6"/>
              <w:spacing w:line="360" w:lineRule="auto"/>
              <w:ind w:left="0" w:leftChars="0"/>
              <w:jc w:val="center"/>
              <w:rPr>
                <w:rFonts w:ascii="仿宋" w:hAnsi="仿宋" w:eastAsia="仿宋" w:cs="仿宋"/>
                <w:snapToGrid w:val="0"/>
                <w:sz w:val="24"/>
                <w:szCs w:val="24"/>
              </w:rPr>
            </w:pPr>
          </w:p>
        </w:tc>
        <w:tc>
          <w:tcPr>
            <w:tcW w:w="1018"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c>
          <w:tcPr>
            <w:tcW w:w="800" w:type="dxa"/>
            <w:vAlign w:val="center"/>
          </w:tcPr>
          <w:p>
            <w:pPr>
              <w:pStyle w:val="6"/>
              <w:spacing w:line="360" w:lineRule="auto"/>
              <w:ind w:left="0" w:leftChars="0"/>
              <w:jc w:val="center"/>
              <w:rPr>
                <w:rFonts w:ascii="仿宋" w:hAnsi="仿宋" w:eastAsia="仿宋" w:cs="仿宋"/>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9458" w:type="dxa"/>
            <w:gridSpan w:val="6"/>
            <w:vAlign w:val="center"/>
          </w:tcPr>
          <w:p>
            <w:pPr>
              <w:pStyle w:val="6"/>
              <w:spacing w:line="360" w:lineRule="auto"/>
              <w:ind w:left="0" w:leftChars="0"/>
              <w:rPr>
                <w:rFonts w:ascii="仿宋" w:hAnsi="仿宋" w:eastAsia="仿宋" w:cs="仿宋"/>
                <w:snapToGrid w:val="0"/>
                <w:sz w:val="24"/>
                <w:szCs w:val="24"/>
              </w:rPr>
            </w:pPr>
            <w:r>
              <w:rPr>
                <w:rFonts w:hint="eastAsia" w:ascii="仿宋" w:hAnsi="仿宋" w:eastAsia="仿宋" w:cs="仿宋"/>
                <w:snapToGrid w:val="0"/>
                <w:sz w:val="24"/>
                <w:szCs w:val="24"/>
                <w:lang w:val="en-US"/>
              </w:rPr>
              <w:t xml:space="preserve">投标报价人民币小写： </w:t>
            </w:r>
          </w:p>
          <w:p>
            <w:pPr>
              <w:pStyle w:val="6"/>
              <w:spacing w:line="360" w:lineRule="auto"/>
              <w:ind w:left="0" w:leftChars="0"/>
              <w:rPr>
                <w:rFonts w:ascii="仿宋" w:hAnsi="仿宋" w:eastAsia="仿宋" w:cs="仿宋"/>
                <w:snapToGrid w:val="0"/>
                <w:sz w:val="24"/>
                <w:szCs w:val="24"/>
              </w:rPr>
            </w:pPr>
            <w:r>
              <w:rPr>
                <w:rFonts w:hint="eastAsia" w:ascii="仿宋" w:hAnsi="仿宋" w:eastAsia="仿宋" w:cs="仿宋"/>
                <w:snapToGrid w:val="0"/>
                <w:sz w:val="24"/>
                <w:szCs w:val="24"/>
                <w:lang w:val="en-US"/>
              </w:rPr>
              <w:t>投标报价人民币大写：</w:t>
            </w:r>
          </w:p>
        </w:tc>
      </w:tr>
    </w:tbl>
    <w:p>
      <w:pPr>
        <w:pStyle w:val="6"/>
        <w:spacing w:line="360" w:lineRule="auto"/>
        <w:ind w:left="0" w:leftChars="0" w:firstLine="480" w:firstLineChars="200"/>
        <w:rPr>
          <w:rFonts w:ascii="仿宋" w:hAnsi="仿宋" w:eastAsia="仿宋" w:cs="仿宋"/>
          <w:snapToGrid w:val="0"/>
          <w:sz w:val="24"/>
          <w:szCs w:val="24"/>
        </w:rPr>
      </w:pPr>
    </w:p>
    <w:p>
      <w:pPr>
        <w:pStyle w:val="6"/>
        <w:spacing w:line="360" w:lineRule="auto"/>
        <w:ind w:left="0" w:leftChars="0" w:firstLine="480" w:firstLineChars="200"/>
        <w:rPr>
          <w:rFonts w:ascii="仿宋" w:hAnsi="仿宋" w:eastAsia="仿宋" w:cs="仿宋"/>
          <w:snapToGrid w:val="0"/>
          <w:sz w:val="24"/>
          <w:szCs w:val="24"/>
        </w:rPr>
      </w:pPr>
      <w:r>
        <w:rPr>
          <w:rFonts w:hint="eastAsia" w:ascii="仿宋" w:hAnsi="仿宋" w:eastAsia="仿宋" w:cs="仿宋"/>
          <w:snapToGrid w:val="0"/>
          <w:sz w:val="24"/>
          <w:szCs w:val="24"/>
          <w:lang w:val="en-US"/>
        </w:rPr>
        <w:t>投标人</w:t>
      </w:r>
      <w:r>
        <w:rPr>
          <w:rFonts w:hint="eastAsia" w:ascii="仿宋" w:hAnsi="仿宋" w:eastAsia="仿宋" w:cs="仿宋"/>
          <w:snapToGrid w:val="0"/>
          <w:sz w:val="24"/>
          <w:szCs w:val="24"/>
        </w:rPr>
        <w:t>（企业电子章）：</w:t>
      </w:r>
    </w:p>
    <w:p>
      <w:pPr>
        <w:pStyle w:val="6"/>
        <w:spacing w:line="360" w:lineRule="auto"/>
        <w:ind w:left="0" w:leftChars="0" w:firstLine="480" w:firstLineChars="200"/>
        <w:rPr>
          <w:rFonts w:ascii="仿宋" w:hAnsi="仿宋" w:eastAsia="仿宋" w:cs="仿宋"/>
          <w:snapToGrid w:val="0"/>
          <w:sz w:val="24"/>
          <w:szCs w:val="24"/>
        </w:rPr>
      </w:pPr>
    </w:p>
    <w:p>
      <w:pPr>
        <w:pStyle w:val="6"/>
        <w:spacing w:line="360" w:lineRule="auto"/>
        <w:ind w:left="0" w:leftChars="0"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注：1、</w:t>
      </w:r>
      <w:r>
        <w:rPr>
          <w:rFonts w:hint="eastAsia" w:ascii="仿宋" w:hAnsi="仿宋" w:eastAsia="仿宋" w:cs="仿宋"/>
          <w:snapToGrid w:val="0"/>
          <w:sz w:val="24"/>
          <w:szCs w:val="24"/>
          <w:lang w:val="en-US"/>
        </w:rPr>
        <w:t>投标人</w:t>
      </w:r>
      <w:r>
        <w:rPr>
          <w:rFonts w:hint="eastAsia" w:ascii="仿宋" w:hAnsi="仿宋" w:eastAsia="仿宋" w:cs="仿宋"/>
          <w:snapToGrid w:val="0"/>
          <w:sz w:val="24"/>
          <w:szCs w:val="24"/>
        </w:rPr>
        <w:t>可根据需要自行增减表格行数。</w:t>
      </w:r>
    </w:p>
    <w:p>
      <w:pPr>
        <w:pStyle w:val="6"/>
        <w:spacing w:line="360" w:lineRule="auto"/>
        <w:ind w:left="0" w:leftChars="0"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w:t>
      </w:r>
      <w:r>
        <w:rPr>
          <w:rFonts w:hint="eastAsia" w:ascii="仿宋" w:hAnsi="仿宋" w:eastAsia="仿宋" w:cs="仿宋"/>
          <w:snapToGrid w:val="0"/>
          <w:sz w:val="24"/>
          <w:szCs w:val="24"/>
          <w:lang w:val="en-US"/>
        </w:rPr>
        <w:t>投标人</w:t>
      </w:r>
      <w:r>
        <w:rPr>
          <w:rFonts w:hint="eastAsia" w:ascii="仿宋" w:hAnsi="仿宋" w:eastAsia="仿宋" w:cs="仿宋"/>
          <w:snapToGrid w:val="0"/>
          <w:sz w:val="24"/>
          <w:szCs w:val="24"/>
        </w:rPr>
        <w:t>对所报相关内容的真实性负责，采购代理机构有权将相关内容进行公示，因弄虚作假导致的后果由</w:t>
      </w:r>
      <w:r>
        <w:rPr>
          <w:rFonts w:hint="eastAsia" w:ascii="仿宋" w:hAnsi="仿宋" w:eastAsia="仿宋" w:cs="仿宋"/>
          <w:snapToGrid w:val="0"/>
          <w:sz w:val="24"/>
          <w:szCs w:val="24"/>
          <w:lang w:val="en-US"/>
        </w:rPr>
        <w:t>投标人</w:t>
      </w:r>
      <w:r>
        <w:rPr>
          <w:rFonts w:hint="eastAsia" w:ascii="仿宋" w:hAnsi="仿宋" w:eastAsia="仿宋" w:cs="仿宋"/>
          <w:snapToGrid w:val="0"/>
          <w:sz w:val="24"/>
          <w:szCs w:val="24"/>
        </w:rPr>
        <w:t>自行承担。</w:t>
      </w:r>
    </w:p>
    <w:p>
      <w:pPr>
        <w:rPr>
          <w:rFonts w:ascii="仿宋" w:hAnsi="仿宋" w:eastAsia="仿宋" w:cs="仿宋"/>
          <w:snapToGrid w:val="0"/>
          <w:sz w:val="24"/>
          <w:szCs w:val="24"/>
        </w:rPr>
      </w:pPr>
      <w:r>
        <w:rPr>
          <w:rFonts w:hint="eastAsia" w:ascii="仿宋" w:hAnsi="仿宋" w:eastAsia="仿宋" w:cs="仿宋"/>
          <w:snapToGrid w:val="0"/>
          <w:sz w:val="24"/>
          <w:szCs w:val="24"/>
        </w:rPr>
        <w:br w:type="page"/>
      </w:r>
    </w:p>
    <w:p>
      <w:pPr>
        <w:pStyle w:val="6"/>
        <w:spacing w:line="360" w:lineRule="auto"/>
        <w:ind w:left="0" w:leftChars="0"/>
        <w:jc w:val="center"/>
        <w:rPr>
          <w:rFonts w:ascii="仿宋" w:hAnsi="仿宋" w:eastAsia="仿宋" w:cs="仿宋"/>
          <w:b/>
          <w:bCs/>
          <w:snapToGrid w:val="0"/>
          <w:sz w:val="28"/>
          <w:szCs w:val="28"/>
        </w:rPr>
      </w:pPr>
    </w:p>
    <w:p>
      <w:pPr>
        <w:widowControl/>
        <w:ind w:firstLine="482"/>
        <w:jc w:val="center"/>
        <w:rPr>
          <w:rFonts w:ascii="仿宋" w:hAnsi="仿宋" w:eastAsia="仿宋" w:cs="仿宋"/>
          <w:spacing w:val="14"/>
          <w:sz w:val="28"/>
          <w:szCs w:val="28"/>
        </w:rPr>
      </w:pPr>
      <w:r>
        <w:rPr>
          <w:rFonts w:hint="eastAsia" w:ascii="仿宋" w:hAnsi="仿宋" w:eastAsia="仿宋" w:cs="仿宋"/>
          <w:spacing w:val="14"/>
          <w:sz w:val="28"/>
          <w:szCs w:val="28"/>
        </w:rPr>
        <w:t>中小企业（监狱企业、残疾人福利性单位）说明</w:t>
      </w:r>
    </w:p>
    <w:p>
      <w:pPr>
        <w:widowControl/>
        <w:jc w:val="center"/>
        <w:rPr>
          <w:rFonts w:ascii="仿宋" w:hAnsi="仿宋" w:eastAsia="仿宋" w:cs="仿宋"/>
          <w:spacing w:val="14"/>
          <w:sz w:val="24"/>
        </w:rPr>
      </w:pPr>
    </w:p>
    <w:p>
      <w:pPr>
        <w:widowControl/>
        <w:ind w:firstLine="482"/>
        <w:rPr>
          <w:rFonts w:ascii="仿宋" w:hAnsi="仿宋" w:eastAsia="仿宋" w:cs="仿宋"/>
          <w:spacing w:val="14"/>
          <w:sz w:val="24"/>
        </w:rPr>
      </w:pPr>
      <w:r>
        <w:rPr>
          <w:rFonts w:hint="eastAsia" w:ascii="仿宋" w:hAnsi="仿宋" w:eastAsia="仿宋" w:cs="仿宋"/>
          <w:spacing w:val="14"/>
          <w:sz w:val="24"/>
        </w:rPr>
        <w:t>1、投标人须在投标文件中提供《中小企业声明函》；如未按要求提供或相关内容表述不清的或内容不全的，将不予认可。</w:t>
      </w:r>
    </w:p>
    <w:p>
      <w:pPr>
        <w:widowControl/>
        <w:ind w:firstLine="482"/>
        <w:rPr>
          <w:rFonts w:ascii="仿宋" w:hAnsi="仿宋" w:eastAsia="仿宋" w:cs="仿宋"/>
          <w:spacing w:val="14"/>
          <w:sz w:val="24"/>
        </w:rPr>
      </w:pPr>
      <w:r>
        <w:rPr>
          <w:rFonts w:hint="eastAsia" w:ascii="仿宋" w:hAnsi="仿宋" w:eastAsia="仿宋" w:cs="仿宋"/>
          <w:spacing w:val="14"/>
          <w:sz w:val="24"/>
        </w:rPr>
        <w:t>2、根据财政部、司法部发布的《关于政府采购支持监狱企业发展有关问题的通知》（财库〔2014〕68号）规定，</w:t>
      </w:r>
      <w:r>
        <w:rPr>
          <w:rFonts w:hint="eastAsia" w:ascii="仿宋" w:hAnsi="仿宋" w:eastAsia="仿宋" w:cs="仿宋"/>
          <w:sz w:val="24"/>
        </w:rPr>
        <w:t>本项目在评审中对监狱企业视同小型、微型企业，享受价格扣除政策</w:t>
      </w:r>
      <w:r>
        <w:rPr>
          <w:rFonts w:hint="eastAsia" w:ascii="仿宋" w:hAnsi="仿宋" w:eastAsia="仿宋" w:cs="仿宋"/>
          <w:spacing w:val="14"/>
          <w:sz w:val="24"/>
        </w:rPr>
        <w:t>。监狱企业作为投标人须提供由省级以上监狱管理局、戒毒管理局(含新疆生产建设兵团)出具的属于监狱企业的证明文件的扫描件，否则不予认定。</w:t>
      </w:r>
    </w:p>
    <w:p>
      <w:pPr>
        <w:widowControl/>
        <w:ind w:firstLine="482"/>
        <w:rPr>
          <w:rFonts w:ascii="仿宋" w:hAnsi="仿宋" w:eastAsia="仿宋" w:cs="仿宋"/>
          <w:spacing w:val="14"/>
          <w:sz w:val="24"/>
        </w:rPr>
      </w:pPr>
      <w:r>
        <w:rPr>
          <w:rFonts w:hint="eastAsia" w:ascii="仿宋" w:hAnsi="仿宋" w:eastAsia="仿宋" w:cs="仿宋"/>
          <w:spacing w:val="14"/>
          <w:sz w:val="24"/>
        </w:rPr>
        <w:t>3、根据财政部、民政部、中国残疾人联合会《关于促进残疾人就业政府采购政策的通知》（财库〔2017〕141号）规定，</w:t>
      </w:r>
      <w:r>
        <w:rPr>
          <w:rFonts w:hint="eastAsia" w:ascii="仿宋" w:hAnsi="仿宋" w:eastAsia="仿宋" w:cs="仿宋"/>
          <w:sz w:val="24"/>
        </w:rPr>
        <w:t>本项目在评审中对残疾人福利性单位视同小型、微型企业，享受价格扣除政策。</w:t>
      </w:r>
      <w:r>
        <w:rPr>
          <w:rFonts w:hint="eastAsia" w:ascii="仿宋" w:hAnsi="仿宋" w:eastAsia="仿宋" w:cs="仿宋"/>
          <w:spacing w:val="14"/>
          <w:sz w:val="24"/>
        </w:rPr>
        <w:t>残疾人福利性单位作为投标人须提供《残疾人福利性单位声明函》，否则不予认定。</w:t>
      </w:r>
    </w:p>
    <w:p>
      <w:pPr>
        <w:widowControl/>
        <w:ind w:firstLine="482"/>
        <w:rPr>
          <w:rFonts w:ascii="仿宋" w:hAnsi="仿宋" w:eastAsia="仿宋" w:cs="仿宋"/>
          <w:spacing w:val="14"/>
          <w:sz w:val="24"/>
        </w:rPr>
      </w:pPr>
      <w:r>
        <w:rPr>
          <w:rFonts w:hint="eastAsia" w:ascii="仿宋" w:hAnsi="仿宋" w:eastAsia="仿宋" w:cs="仿宋"/>
          <w:spacing w:val="14"/>
          <w:sz w:val="24"/>
        </w:rPr>
        <w:t>4、投标人对所报相关内容的真实性负责，采购代理机构有权将相关内容进行公示，因弄虚作假导致的后果由投标人自行承担。</w:t>
      </w:r>
    </w:p>
    <w:p>
      <w:pPr>
        <w:ind w:firstLine="536" w:firstLineChars="200"/>
        <w:rPr>
          <w:rFonts w:ascii="仿宋" w:hAnsi="仿宋" w:eastAsia="仿宋" w:cs="仿宋"/>
          <w:spacing w:val="14"/>
          <w:sz w:val="24"/>
        </w:rPr>
      </w:pPr>
      <w:r>
        <w:rPr>
          <w:rFonts w:hint="eastAsia" w:ascii="仿宋" w:hAnsi="仿宋" w:eastAsia="仿宋" w:cs="仿宋"/>
          <w:spacing w:val="14"/>
          <w:sz w:val="24"/>
        </w:rPr>
        <w:t>5、相关证明资料附后。</w:t>
      </w:r>
    </w:p>
    <w:p/>
    <w:p>
      <w:pPr>
        <w:rPr>
          <w:snapToGrid w:val="0"/>
        </w:rPr>
      </w:pPr>
      <w:r>
        <w:rPr>
          <w:rFonts w:hint="eastAsia"/>
          <w:snapToGrid w:val="0"/>
        </w:rPr>
        <w:br w:type="page"/>
      </w:r>
    </w:p>
    <w:p>
      <w:pPr>
        <w:pStyle w:val="49"/>
        <w:spacing w:line="360" w:lineRule="auto"/>
        <w:outlineLvl w:val="0"/>
        <w:rPr>
          <w:rFonts w:ascii="仿宋" w:hAnsi="仿宋" w:eastAsia="仿宋" w:cs="仿宋"/>
          <w:snapToGrid w:val="0"/>
          <w:sz w:val="28"/>
          <w:szCs w:val="28"/>
        </w:rPr>
      </w:pPr>
      <w:bookmarkStart w:id="120" w:name="_Toc2476"/>
      <w:bookmarkStart w:id="121" w:name="_Toc3836"/>
      <w:r>
        <w:rPr>
          <w:rFonts w:hint="eastAsia" w:ascii="仿宋" w:hAnsi="仿宋" w:eastAsia="仿宋" w:cs="仿宋"/>
          <w:snapToGrid w:val="0"/>
          <w:sz w:val="28"/>
          <w:szCs w:val="28"/>
        </w:rPr>
        <w:t>八、中小微企业声明函（投标人）</w:t>
      </w:r>
      <w:bookmarkEnd w:id="120"/>
      <w:bookmarkEnd w:id="121"/>
    </w:p>
    <w:p>
      <w:pPr>
        <w:pStyle w:val="50"/>
        <w:spacing w:line="360" w:lineRule="auto"/>
        <w:ind w:firstLine="480" w:firstLineChars="200"/>
        <w:jc w:val="left"/>
        <w:rPr>
          <w:rFonts w:ascii="仿宋" w:hAnsi="仿宋" w:eastAsia="仿宋" w:cs="仿宋"/>
          <w:snapToGrid w:val="0"/>
          <w:kern w:val="0"/>
          <w:sz w:val="24"/>
          <w:szCs w:val="24"/>
        </w:rPr>
      </w:pPr>
    </w:p>
    <w:p>
      <w:pPr>
        <w:spacing w:line="360" w:lineRule="auto"/>
        <w:jc w:val="center"/>
        <w:rPr>
          <w:rFonts w:ascii="仿宋" w:hAnsi="仿宋" w:eastAsia="仿宋" w:cs="仿宋"/>
          <w:snapToGrid w:val="0"/>
          <w:sz w:val="28"/>
          <w:szCs w:val="28"/>
          <w:lang w:val="en-US" w:bidi="ar-SA"/>
        </w:rPr>
      </w:pPr>
      <w:r>
        <w:rPr>
          <w:rFonts w:hint="eastAsia" w:ascii="仿宋" w:hAnsi="仿宋" w:eastAsia="仿宋" w:cs="仿宋"/>
          <w:snapToGrid w:val="0"/>
          <w:sz w:val="28"/>
          <w:szCs w:val="28"/>
          <w:lang w:val="en-US" w:bidi="ar-SA"/>
        </w:rPr>
        <w:t>中小企业声明函（服务）</w:t>
      </w:r>
    </w:p>
    <w:p>
      <w:pPr>
        <w:spacing w:line="360" w:lineRule="auto"/>
        <w:ind w:firstLine="480" w:firstLineChars="200"/>
        <w:rPr>
          <w:rFonts w:ascii="仿宋" w:hAnsi="仿宋" w:eastAsia="仿宋" w:cs="仿宋"/>
          <w:snapToGrid w:val="0"/>
          <w:sz w:val="24"/>
          <w:szCs w:val="24"/>
        </w:rPr>
      </w:pPr>
    </w:p>
    <w:p>
      <w:pPr>
        <w:wordWrap w:val="0"/>
        <w:topLinePunct/>
        <w:autoSpaceDE/>
        <w:autoSpaceDN/>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lang w:val="en-US"/>
        </w:rPr>
        <w:t>本公司（联合体）郑重声明，根据《政府采购促进中小企业发展管理办法》（财库﹝2020﹞46号）的规定，本公司（联合体）参加</w:t>
      </w:r>
      <w:r>
        <w:rPr>
          <w:rFonts w:hint="eastAsia" w:ascii="仿宋" w:hAnsi="仿宋" w:eastAsia="仿宋" w:cs="仿宋"/>
          <w:snapToGrid w:val="0"/>
          <w:sz w:val="24"/>
          <w:szCs w:val="24"/>
          <w:u w:val="single"/>
          <w:lang w:val="en-US"/>
        </w:rPr>
        <w:t>（单位名称）</w:t>
      </w:r>
      <w:r>
        <w:rPr>
          <w:rFonts w:hint="eastAsia" w:ascii="仿宋" w:hAnsi="仿宋" w:eastAsia="仿宋" w:cs="仿宋"/>
          <w:snapToGrid w:val="0"/>
          <w:sz w:val="24"/>
          <w:szCs w:val="24"/>
          <w:lang w:val="en-US"/>
        </w:rPr>
        <w:t>的</w:t>
      </w:r>
      <w:r>
        <w:rPr>
          <w:rFonts w:hint="eastAsia" w:ascii="仿宋" w:hAnsi="仿宋" w:eastAsia="仿宋" w:cs="仿宋"/>
          <w:snapToGrid w:val="0"/>
          <w:sz w:val="24"/>
          <w:szCs w:val="24"/>
          <w:u w:val="single"/>
          <w:lang w:val="en-US"/>
        </w:rPr>
        <w:t>（项目名称）</w:t>
      </w:r>
      <w:r>
        <w:rPr>
          <w:rFonts w:hint="eastAsia" w:ascii="仿宋" w:hAnsi="仿宋" w:eastAsia="仿宋" w:cs="仿宋"/>
          <w:snapToGrid w:val="0"/>
          <w:sz w:val="24"/>
          <w:szCs w:val="24"/>
          <w:lang w:val="en-US"/>
        </w:rPr>
        <w:t>采购活动，工程的施工单位全部为符合政策要求的中小企业（或者：服务全部由符合政策要求的中小企业承接）。相关企业（含联合体中的中小企业、签订分包意向协议的中小企业）的具体情况如下：</w:t>
      </w:r>
    </w:p>
    <w:p>
      <w:pPr>
        <w:wordWrap w:val="0"/>
        <w:topLinePunct/>
        <w:autoSpaceDE/>
        <w:autoSpaceDN/>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lang w:val="en-US"/>
        </w:rPr>
        <w:t>1、</w:t>
      </w:r>
      <w:r>
        <w:rPr>
          <w:rFonts w:hint="eastAsia" w:ascii="仿宋" w:hAnsi="仿宋" w:eastAsia="仿宋" w:cs="仿宋"/>
          <w:snapToGrid w:val="0"/>
          <w:sz w:val="24"/>
          <w:szCs w:val="24"/>
          <w:u w:val="single"/>
          <w:lang w:val="en-US"/>
        </w:rPr>
        <w:t>（标的名称）</w:t>
      </w:r>
      <w:r>
        <w:rPr>
          <w:rFonts w:hint="eastAsia" w:ascii="仿宋" w:hAnsi="仿宋" w:eastAsia="仿宋" w:cs="仿宋"/>
          <w:snapToGrid w:val="0"/>
          <w:sz w:val="24"/>
          <w:szCs w:val="24"/>
          <w:lang w:val="en-US"/>
        </w:rPr>
        <w:t>，属于</w:t>
      </w:r>
      <w:r>
        <w:rPr>
          <w:rFonts w:hint="eastAsia" w:ascii="仿宋" w:hAnsi="仿宋" w:eastAsia="仿宋" w:cs="仿宋"/>
          <w:snapToGrid w:val="0"/>
          <w:sz w:val="24"/>
          <w:szCs w:val="24"/>
          <w:u w:val="single"/>
          <w:lang w:val="en-US"/>
        </w:rPr>
        <w:t>（采购文件中明确的所属行业）</w:t>
      </w:r>
      <w:r>
        <w:rPr>
          <w:rFonts w:hint="eastAsia" w:ascii="仿宋" w:hAnsi="仿宋" w:eastAsia="仿宋" w:cs="仿宋"/>
          <w:snapToGrid w:val="0"/>
          <w:sz w:val="24"/>
          <w:szCs w:val="24"/>
          <w:lang w:val="en-US"/>
        </w:rPr>
        <w:t>；承建（承接）企业为</w:t>
      </w:r>
      <w:r>
        <w:rPr>
          <w:rFonts w:hint="eastAsia" w:ascii="仿宋" w:hAnsi="仿宋" w:eastAsia="仿宋" w:cs="仿宋"/>
          <w:snapToGrid w:val="0"/>
          <w:sz w:val="24"/>
          <w:szCs w:val="24"/>
          <w:u w:val="single"/>
          <w:lang w:val="en-US"/>
        </w:rPr>
        <w:t>（企业名称）</w:t>
      </w:r>
      <w:r>
        <w:rPr>
          <w:rFonts w:hint="eastAsia" w:ascii="仿宋" w:hAnsi="仿宋" w:eastAsia="仿宋" w:cs="仿宋"/>
          <w:snapToGrid w:val="0"/>
          <w:sz w:val="24"/>
          <w:szCs w:val="24"/>
          <w:lang w:val="en-US"/>
        </w:rPr>
        <w:t>，从业人员人，营业收入为万元，资产总额为万元，属于</w:t>
      </w:r>
      <w:r>
        <w:rPr>
          <w:rFonts w:hint="eastAsia" w:ascii="仿宋" w:hAnsi="仿宋" w:eastAsia="仿宋" w:cs="仿宋"/>
          <w:snapToGrid w:val="0"/>
          <w:sz w:val="24"/>
          <w:szCs w:val="24"/>
          <w:u w:val="single"/>
          <w:lang w:val="en-US"/>
        </w:rPr>
        <w:t>（中型企业、小型企业、微型企业）</w:t>
      </w:r>
      <w:r>
        <w:rPr>
          <w:rFonts w:hint="eastAsia" w:ascii="仿宋" w:hAnsi="仿宋" w:eastAsia="仿宋" w:cs="仿宋"/>
          <w:snapToGrid w:val="0"/>
          <w:sz w:val="24"/>
          <w:szCs w:val="24"/>
          <w:lang w:val="en-US"/>
        </w:rPr>
        <w:t xml:space="preserve">； </w:t>
      </w:r>
    </w:p>
    <w:p>
      <w:pPr>
        <w:wordWrap w:val="0"/>
        <w:topLinePunct/>
        <w:autoSpaceDE/>
        <w:autoSpaceDN/>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lang w:val="en-US"/>
        </w:rPr>
        <w:t>2、</w:t>
      </w:r>
      <w:r>
        <w:rPr>
          <w:rFonts w:hint="eastAsia" w:ascii="仿宋" w:hAnsi="仿宋" w:eastAsia="仿宋" w:cs="仿宋"/>
          <w:snapToGrid w:val="0"/>
          <w:sz w:val="24"/>
          <w:szCs w:val="24"/>
          <w:u w:val="single"/>
          <w:lang w:val="en-US"/>
        </w:rPr>
        <w:t>（标的名称）</w:t>
      </w:r>
      <w:r>
        <w:rPr>
          <w:rFonts w:hint="eastAsia" w:ascii="仿宋" w:hAnsi="仿宋" w:eastAsia="仿宋" w:cs="仿宋"/>
          <w:snapToGrid w:val="0"/>
          <w:sz w:val="24"/>
          <w:szCs w:val="24"/>
          <w:lang w:val="en-US"/>
        </w:rPr>
        <w:t>，属于</w:t>
      </w:r>
      <w:r>
        <w:rPr>
          <w:rFonts w:hint="eastAsia" w:ascii="仿宋" w:hAnsi="仿宋" w:eastAsia="仿宋" w:cs="仿宋"/>
          <w:snapToGrid w:val="0"/>
          <w:sz w:val="24"/>
          <w:szCs w:val="24"/>
          <w:u w:val="single"/>
          <w:lang w:val="en-US"/>
        </w:rPr>
        <w:t>（采购文件中明确的所属行业）</w:t>
      </w:r>
      <w:r>
        <w:rPr>
          <w:rFonts w:hint="eastAsia" w:ascii="仿宋" w:hAnsi="仿宋" w:eastAsia="仿宋" w:cs="仿宋"/>
          <w:snapToGrid w:val="0"/>
          <w:sz w:val="24"/>
          <w:szCs w:val="24"/>
          <w:lang w:val="en-US"/>
        </w:rPr>
        <w:t>；承建（承接）企业为</w:t>
      </w:r>
      <w:r>
        <w:rPr>
          <w:rFonts w:hint="eastAsia" w:ascii="仿宋" w:hAnsi="仿宋" w:eastAsia="仿宋" w:cs="仿宋"/>
          <w:snapToGrid w:val="0"/>
          <w:sz w:val="24"/>
          <w:szCs w:val="24"/>
          <w:u w:val="single"/>
          <w:lang w:val="en-US"/>
        </w:rPr>
        <w:t>（企业名称）</w:t>
      </w:r>
      <w:r>
        <w:rPr>
          <w:rFonts w:hint="eastAsia" w:ascii="仿宋" w:hAnsi="仿宋" w:eastAsia="仿宋" w:cs="仿宋"/>
          <w:snapToGrid w:val="0"/>
          <w:sz w:val="24"/>
          <w:szCs w:val="24"/>
          <w:lang w:val="en-US"/>
        </w:rPr>
        <w:t>，从业人员人，营业收入为万元，资产总额为万元，属于</w:t>
      </w:r>
      <w:r>
        <w:rPr>
          <w:rFonts w:hint="eastAsia" w:ascii="仿宋" w:hAnsi="仿宋" w:eastAsia="仿宋" w:cs="仿宋"/>
          <w:snapToGrid w:val="0"/>
          <w:sz w:val="24"/>
          <w:szCs w:val="24"/>
          <w:u w:val="single"/>
          <w:lang w:val="en-US"/>
        </w:rPr>
        <w:t>（中型企业、小型企业、微型企业）</w:t>
      </w:r>
      <w:r>
        <w:rPr>
          <w:rFonts w:hint="eastAsia" w:ascii="仿宋" w:hAnsi="仿宋" w:eastAsia="仿宋" w:cs="仿宋"/>
          <w:snapToGrid w:val="0"/>
          <w:sz w:val="24"/>
          <w:szCs w:val="24"/>
          <w:lang w:val="en-US"/>
        </w:rPr>
        <w:t xml:space="preserve">； </w:t>
      </w:r>
    </w:p>
    <w:p>
      <w:pPr>
        <w:wordWrap w:val="0"/>
        <w:topLinePunct/>
        <w:autoSpaceDE/>
        <w:autoSpaceDN/>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lang w:val="en-US"/>
        </w:rPr>
        <w:t>……</w:t>
      </w:r>
    </w:p>
    <w:p>
      <w:pPr>
        <w:wordWrap w:val="0"/>
        <w:topLinePunct/>
        <w:autoSpaceDE/>
        <w:autoSpaceDN/>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lang w:val="en-US"/>
        </w:rPr>
        <w:t>以上企业，不属于大企业的分支机构，不存在控股股东为大企业的情形，也不存在与大企业的负责人为同一人的情形。</w:t>
      </w:r>
    </w:p>
    <w:p>
      <w:pPr>
        <w:wordWrap w:val="0"/>
        <w:topLinePunct/>
        <w:autoSpaceDE/>
        <w:autoSpaceDN/>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lang w:val="en-US"/>
        </w:rPr>
        <w:t>本企业对上述声明内容的真实性负责。如有虚假，将依法承担相应责任。</w:t>
      </w:r>
    </w:p>
    <w:p>
      <w:pPr>
        <w:wordWrap w:val="0"/>
        <w:topLinePunct/>
        <w:autoSpaceDE/>
        <w:autoSpaceDN/>
        <w:spacing w:line="360" w:lineRule="auto"/>
        <w:ind w:firstLine="480" w:firstLineChars="200"/>
        <w:rPr>
          <w:rFonts w:ascii="仿宋" w:hAnsi="仿宋" w:eastAsia="仿宋" w:cs="仿宋"/>
          <w:snapToGrid w:val="0"/>
          <w:sz w:val="24"/>
          <w:szCs w:val="24"/>
          <w:lang w:val="en-US"/>
        </w:rPr>
      </w:pPr>
    </w:p>
    <w:p>
      <w:pPr>
        <w:wordWrap w:val="0"/>
        <w:topLinePunct/>
        <w:autoSpaceDE/>
        <w:autoSpaceDN/>
        <w:spacing w:line="360" w:lineRule="auto"/>
        <w:rPr>
          <w:rFonts w:ascii="仿宋" w:hAnsi="仿宋" w:eastAsia="仿宋" w:cs="仿宋"/>
          <w:snapToGrid w:val="0"/>
          <w:sz w:val="24"/>
          <w:szCs w:val="24"/>
          <w:lang w:val="en-US"/>
        </w:rPr>
      </w:pPr>
    </w:p>
    <w:p>
      <w:pPr>
        <w:pStyle w:val="6"/>
        <w:spacing w:line="360" w:lineRule="auto"/>
        <w:ind w:left="440"/>
        <w:jc w:val="both"/>
        <w:rPr>
          <w:rFonts w:ascii="仿宋" w:hAnsi="仿宋" w:eastAsia="仿宋" w:cs="仿宋"/>
          <w:snapToGrid w:val="0"/>
          <w:sz w:val="24"/>
          <w:szCs w:val="24"/>
        </w:rPr>
      </w:pPr>
      <w:r>
        <w:rPr>
          <w:rFonts w:hint="eastAsia" w:ascii="仿宋" w:hAnsi="仿宋" w:eastAsia="仿宋" w:cs="仿宋"/>
          <w:snapToGrid w:val="0"/>
          <w:sz w:val="24"/>
          <w:szCs w:val="24"/>
        </w:rPr>
        <w:t>投标人（企业电子章）：</w:t>
      </w:r>
    </w:p>
    <w:p>
      <w:pPr>
        <w:pStyle w:val="6"/>
        <w:spacing w:line="360" w:lineRule="auto"/>
        <w:ind w:left="440"/>
        <w:rPr>
          <w:rFonts w:ascii="仿宋" w:hAnsi="仿宋" w:eastAsia="仿宋" w:cs="仿宋"/>
          <w:snapToGrid w:val="0"/>
          <w:sz w:val="24"/>
          <w:szCs w:val="24"/>
        </w:rPr>
      </w:pPr>
      <w:r>
        <w:rPr>
          <w:rFonts w:hint="eastAsia" w:ascii="仿宋" w:hAnsi="仿宋" w:eastAsia="仿宋" w:cs="仿宋"/>
          <w:snapToGrid w:val="0"/>
          <w:sz w:val="24"/>
          <w:szCs w:val="24"/>
        </w:rPr>
        <w:t>日期：</w:t>
      </w:r>
    </w:p>
    <w:p>
      <w:pPr>
        <w:pStyle w:val="6"/>
        <w:spacing w:line="360" w:lineRule="auto"/>
        <w:ind w:left="0" w:leftChars="0" w:firstLine="4800" w:firstLineChars="2000"/>
        <w:rPr>
          <w:rFonts w:ascii="仿宋" w:hAnsi="仿宋" w:eastAsia="仿宋" w:cs="仿宋"/>
          <w:snapToGrid w:val="0"/>
          <w:sz w:val="24"/>
          <w:szCs w:val="24"/>
        </w:rPr>
      </w:pPr>
    </w:p>
    <w:p>
      <w:pPr>
        <w:pStyle w:val="18"/>
        <w:ind w:firstLine="0" w:firstLineChars="0"/>
        <w:rPr>
          <w:lang w:val="en-US"/>
        </w:rPr>
      </w:pPr>
    </w:p>
    <w:p>
      <w:pPr>
        <w:pStyle w:val="19"/>
        <w:ind w:left="440" w:firstLine="600"/>
        <w:rPr>
          <w:lang w:val="en-US"/>
        </w:rPr>
      </w:pPr>
    </w:p>
    <w:p>
      <w:pPr>
        <w:rPr>
          <w:rFonts w:ascii="仿宋" w:hAnsi="仿宋" w:eastAsia="仿宋"/>
          <w:spacing w:val="14"/>
          <w:szCs w:val="21"/>
        </w:rPr>
      </w:pPr>
      <w:r>
        <w:rPr>
          <w:rFonts w:ascii="仿宋" w:hAnsi="仿宋" w:eastAsia="仿宋"/>
          <w:spacing w:val="14"/>
          <w:szCs w:val="21"/>
        </w:rPr>
        <w:t>注</w:t>
      </w:r>
      <w:r>
        <w:rPr>
          <w:rFonts w:hint="eastAsia" w:ascii="仿宋" w:hAnsi="仿宋" w:eastAsia="仿宋"/>
          <w:spacing w:val="14"/>
          <w:szCs w:val="21"/>
        </w:rPr>
        <w:t>：1、从业人员、营业收入、资产总额填报上一年度数据，无上一年度数据的新成立企业可不填报。</w:t>
      </w:r>
    </w:p>
    <w:p>
      <w:pPr>
        <w:rPr>
          <w:sz w:val="28"/>
          <w:szCs w:val="28"/>
        </w:rPr>
      </w:pPr>
      <w:r>
        <w:rPr>
          <w:rFonts w:hint="eastAsia" w:ascii="仿宋" w:hAnsi="仿宋" w:eastAsia="仿宋"/>
          <w:spacing w:val="14"/>
          <w:szCs w:val="21"/>
        </w:rPr>
        <w:t>2、中小企业划分标准见工业和信息化部国家统计局国家发展和改革委员财政部《关于印发中小企业划型标准规定的通知》（工信部联企业〔2011〕300号)。</w:t>
      </w:r>
    </w:p>
    <w:p>
      <w:pPr>
        <w:sectPr>
          <w:pgSz w:w="11906" w:h="16838"/>
          <w:pgMar w:top="1134" w:right="1134" w:bottom="1134" w:left="1134" w:header="851" w:footer="992" w:gutter="0"/>
          <w:cols w:space="425" w:num="1"/>
          <w:docGrid w:type="lines" w:linePitch="312" w:charSpace="0"/>
        </w:sectPr>
      </w:pPr>
    </w:p>
    <w:p>
      <w:pPr>
        <w:spacing w:line="360" w:lineRule="auto"/>
        <w:outlineLvl w:val="0"/>
        <w:rPr>
          <w:rFonts w:ascii="仿宋" w:hAnsi="仿宋" w:eastAsia="仿宋" w:cs="仿宋"/>
          <w:b/>
          <w:bCs/>
          <w:snapToGrid w:val="0"/>
          <w:sz w:val="28"/>
          <w:szCs w:val="28"/>
        </w:rPr>
      </w:pPr>
      <w:bookmarkStart w:id="122" w:name="_Toc5883"/>
      <w:bookmarkStart w:id="123" w:name="_Toc1660960"/>
      <w:bookmarkStart w:id="124" w:name="_Toc20807"/>
      <w:bookmarkStart w:id="125" w:name="_Toc249"/>
      <w:bookmarkStart w:id="126" w:name="_Toc13935"/>
      <w:r>
        <w:rPr>
          <w:rFonts w:hint="eastAsia" w:ascii="仿宋" w:hAnsi="仿宋" w:eastAsia="仿宋" w:cs="仿宋"/>
          <w:b/>
          <w:bCs/>
          <w:snapToGrid w:val="0"/>
          <w:sz w:val="28"/>
          <w:szCs w:val="28"/>
          <w:lang w:val="en-US"/>
        </w:rPr>
        <w:t>九、</w:t>
      </w:r>
      <w:r>
        <w:rPr>
          <w:rFonts w:hint="eastAsia" w:ascii="仿宋" w:hAnsi="仿宋" w:eastAsia="仿宋" w:cs="仿宋"/>
          <w:b/>
          <w:bCs/>
          <w:snapToGrid w:val="0"/>
          <w:sz w:val="28"/>
          <w:szCs w:val="28"/>
        </w:rPr>
        <w:t>残疾人福利性单位声明函</w:t>
      </w:r>
      <w:bookmarkEnd w:id="122"/>
      <w:bookmarkEnd w:id="123"/>
      <w:bookmarkEnd w:id="124"/>
      <w:bookmarkEnd w:id="125"/>
      <w:bookmarkEnd w:id="126"/>
    </w:p>
    <w:p>
      <w:pPr>
        <w:spacing w:line="360" w:lineRule="auto"/>
        <w:ind w:firstLine="418" w:firstLineChars="200"/>
        <w:rPr>
          <w:rFonts w:ascii="仿宋" w:hAnsi="仿宋" w:eastAsia="仿宋" w:cs="仿宋"/>
          <w:snapToGrid w:val="0"/>
          <w:sz w:val="24"/>
          <w:szCs w:val="24"/>
        </w:rPr>
      </w:pPr>
    </w:p>
    <w:p>
      <w:pPr>
        <w:spacing w:line="360" w:lineRule="auto"/>
        <w:jc w:val="center"/>
        <w:rPr>
          <w:rFonts w:ascii="仿宋" w:hAnsi="仿宋" w:eastAsia="仿宋" w:cs="仿宋"/>
          <w:snapToGrid w:val="0"/>
          <w:sz w:val="28"/>
          <w:szCs w:val="28"/>
        </w:rPr>
      </w:pPr>
      <w:r>
        <w:rPr>
          <w:rFonts w:hint="eastAsia" w:ascii="仿宋" w:hAnsi="仿宋" w:eastAsia="仿宋" w:cs="仿宋"/>
          <w:snapToGrid w:val="0"/>
          <w:sz w:val="28"/>
          <w:szCs w:val="28"/>
        </w:rPr>
        <w:t>残疾人福利性单位声明函</w:t>
      </w:r>
    </w:p>
    <w:p>
      <w:pPr>
        <w:spacing w:line="360" w:lineRule="auto"/>
        <w:ind w:firstLine="418" w:firstLineChars="200"/>
        <w:rPr>
          <w:rFonts w:ascii="仿宋" w:hAnsi="仿宋" w:eastAsia="仿宋" w:cs="仿宋"/>
          <w:snapToGrid w:val="0"/>
          <w:sz w:val="24"/>
          <w:szCs w:val="24"/>
        </w:rPr>
      </w:pPr>
    </w:p>
    <w:p>
      <w:pPr>
        <w:spacing w:line="360" w:lineRule="auto"/>
        <w:ind w:firstLine="418" w:firstLineChars="200"/>
        <w:rPr>
          <w:rFonts w:ascii="仿宋" w:hAnsi="仿宋" w:eastAsia="仿宋" w:cs="仿宋"/>
          <w:snapToGrid w:val="0"/>
          <w:sz w:val="24"/>
          <w:szCs w:val="24"/>
        </w:rPr>
      </w:pPr>
      <w:r>
        <w:rPr>
          <w:rFonts w:hint="eastAsia" w:ascii="仿宋" w:hAnsi="仿宋" w:eastAsia="仿宋" w:cs="仿宋"/>
          <w:snapToGrid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141号）的规定，本单位为符合条件的残疾人福利性单位，且本单位参加______单位的______项目采购活动提供本单位的服务。</w:t>
      </w:r>
    </w:p>
    <w:p>
      <w:pPr>
        <w:spacing w:line="360" w:lineRule="auto"/>
        <w:ind w:firstLine="418" w:firstLineChars="200"/>
        <w:rPr>
          <w:rFonts w:ascii="仿宋" w:hAnsi="仿宋" w:eastAsia="仿宋" w:cs="仿宋"/>
          <w:snapToGrid w:val="0"/>
          <w:sz w:val="24"/>
          <w:szCs w:val="24"/>
        </w:rPr>
      </w:pPr>
      <w:r>
        <w:rPr>
          <w:rFonts w:hint="eastAsia" w:ascii="仿宋" w:hAnsi="仿宋" w:eastAsia="仿宋" w:cs="仿宋"/>
          <w:snapToGrid w:val="0"/>
          <w:sz w:val="24"/>
          <w:szCs w:val="24"/>
        </w:rPr>
        <w:t>本单位对上述声明的真实性负责。如有虚假，将依法承担相应责任。</w:t>
      </w:r>
    </w:p>
    <w:p>
      <w:pPr>
        <w:spacing w:line="360" w:lineRule="auto"/>
        <w:ind w:firstLine="418" w:firstLineChars="200"/>
        <w:rPr>
          <w:rFonts w:ascii="仿宋" w:hAnsi="仿宋" w:eastAsia="仿宋" w:cs="仿宋"/>
          <w:snapToGrid w:val="0"/>
          <w:sz w:val="24"/>
          <w:szCs w:val="24"/>
        </w:rPr>
      </w:pPr>
    </w:p>
    <w:p>
      <w:pPr>
        <w:spacing w:line="360" w:lineRule="auto"/>
        <w:ind w:firstLine="418" w:firstLineChars="200"/>
        <w:rPr>
          <w:rFonts w:ascii="仿宋" w:hAnsi="仿宋" w:eastAsia="仿宋" w:cs="仿宋"/>
          <w:snapToGrid w:val="0"/>
          <w:sz w:val="24"/>
          <w:szCs w:val="24"/>
        </w:rPr>
      </w:pPr>
    </w:p>
    <w:p>
      <w:pPr>
        <w:spacing w:line="360" w:lineRule="auto"/>
        <w:ind w:firstLine="418" w:firstLineChars="200"/>
        <w:jc w:val="right"/>
        <w:rPr>
          <w:rFonts w:ascii="仿宋" w:hAnsi="仿宋" w:eastAsia="仿宋" w:cs="仿宋"/>
          <w:snapToGrid w:val="0"/>
          <w:sz w:val="24"/>
          <w:szCs w:val="24"/>
        </w:rPr>
      </w:pPr>
      <w:r>
        <w:rPr>
          <w:rFonts w:hint="eastAsia" w:ascii="仿宋" w:hAnsi="仿宋" w:eastAsia="仿宋" w:cs="仿宋"/>
          <w:snapToGrid w:val="0"/>
          <w:sz w:val="24"/>
          <w:szCs w:val="24"/>
          <w:lang w:val="en-US"/>
        </w:rPr>
        <w:t>投标人</w:t>
      </w:r>
      <w:r>
        <w:rPr>
          <w:rFonts w:hint="eastAsia" w:ascii="仿宋" w:hAnsi="仿宋" w:eastAsia="仿宋" w:cs="仿宋"/>
          <w:snapToGrid w:val="0"/>
          <w:sz w:val="24"/>
          <w:szCs w:val="24"/>
        </w:rPr>
        <w:t>（企业电子章）：</w:t>
      </w:r>
    </w:p>
    <w:p>
      <w:pPr>
        <w:rPr>
          <w:rFonts w:ascii="仿宋" w:hAnsi="仿宋" w:eastAsia="仿宋" w:cs="仿宋"/>
          <w:snapToGrid w:val="0"/>
          <w:sz w:val="24"/>
          <w:szCs w:val="24"/>
        </w:rPr>
      </w:pPr>
      <w:r>
        <w:rPr>
          <w:rFonts w:hint="eastAsia" w:ascii="仿宋" w:hAnsi="仿宋" w:eastAsia="仿宋" w:cs="仿宋"/>
          <w:snapToGrid w:val="0"/>
          <w:sz w:val="24"/>
          <w:szCs w:val="24"/>
        </w:rPr>
        <w:br w:type="page"/>
      </w:r>
    </w:p>
    <w:p>
      <w:pPr>
        <w:pStyle w:val="3"/>
        <w:spacing w:line="360" w:lineRule="auto"/>
        <w:ind w:left="0" w:firstLine="500"/>
        <w:rPr>
          <w:rFonts w:ascii="仿宋" w:hAnsi="仿宋" w:eastAsia="仿宋" w:cs="仿宋"/>
          <w:snapToGrid w:val="0"/>
          <w:sz w:val="28"/>
          <w:szCs w:val="28"/>
        </w:rPr>
      </w:pPr>
      <w:bookmarkStart w:id="127" w:name="_Toc24806"/>
      <w:bookmarkStart w:id="128" w:name="_Toc21599"/>
      <w:bookmarkStart w:id="129" w:name="_Toc8560"/>
      <w:bookmarkStart w:id="130" w:name="_Toc26486"/>
      <w:bookmarkStart w:id="131" w:name="_Toc1660961"/>
      <w:r>
        <w:rPr>
          <w:rFonts w:hint="eastAsia" w:ascii="仿宋" w:hAnsi="仿宋" w:eastAsia="仿宋" w:cs="仿宋"/>
          <w:snapToGrid w:val="0"/>
          <w:sz w:val="28"/>
          <w:szCs w:val="28"/>
          <w:lang w:val="en-US"/>
        </w:rPr>
        <w:t>十、</w:t>
      </w:r>
      <w:r>
        <w:rPr>
          <w:rFonts w:hint="eastAsia" w:ascii="仿宋" w:hAnsi="仿宋" w:eastAsia="仿宋" w:cs="仿宋"/>
          <w:snapToGrid w:val="0"/>
          <w:sz w:val="28"/>
          <w:szCs w:val="28"/>
        </w:rPr>
        <w:t>监狱企业证明文件</w:t>
      </w:r>
      <w:bookmarkEnd w:id="127"/>
      <w:bookmarkEnd w:id="128"/>
      <w:bookmarkEnd w:id="129"/>
      <w:bookmarkEnd w:id="130"/>
      <w:bookmarkEnd w:id="131"/>
    </w:p>
    <w:p>
      <w:pPr>
        <w:pStyle w:val="3"/>
        <w:spacing w:line="360" w:lineRule="auto"/>
        <w:ind w:left="0" w:firstLine="418" w:firstLineChars="200"/>
        <w:rPr>
          <w:rFonts w:ascii="仿宋" w:hAnsi="仿宋" w:eastAsia="仿宋" w:cs="仿宋"/>
          <w:b w:val="0"/>
          <w:bCs w:val="0"/>
          <w:snapToGrid w:val="0"/>
          <w:sz w:val="24"/>
          <w:szCs w:val="24"/>
        </w:rPr>
      </w:pPr>
    </w:p>
    <w:p>
      <w:pPr>
        <w:pStyle w:val="3"/>
        <w:spacing w:line="360" w:lineRule="auto"/>
        <w:ind w:left="0" w:firstLine="498"/>
        <w:jc w:val="center"/>
        <w:rPr>
          <w:rFonts w:ascii="仿宋" w:hAnsi="仿宋" w:eastAsia="仿宋" w:cs="仿宋"/>
          <w:b w:val="0"/>
          <w:bCs w:val="0"/>
          <w:snapToGrid w:val="0"/>
          <w:sz w:val="28"/>
          <w:szCs w:val="28"/>
        </w:rPr>
      </w:pPr>
      <w:r>
        <w:rPr>
          <w:rFonts w:hint="eastAsia" w:ascii="仿宋" w:hAnsi="仿宋" w:eastAsia="仿宋" w:cs="仿宋"/>
          <w:b w:val="0"/>
          <w:bCs w:val="0"/>
          <w:snapToGrid w:val="0"/>
          <w:sz w:val="28"/>
          <w:szCs w:val="28"/>
        </w:rPr>
        <w:t>监狱企业证明文件</w:t>
      </w:r>
    </w:p>
    <w:p>
      <w:pPr>
        <w:pStyle w:val="3"/>
        <w:spacing w:line="360" w:lineRule="auto"/>
        <w:ind w:left="0" w:firstLine="418" w:firstLineChars="200"/>
        <w:rPr>
          <w:rFonts w:ascii="仿宋" w:hAnsi="仿宋" w:eastAsia="仿宋" w:cs="仿宋"/>
          <w:b w:val="0"/>
          <w:bCs w:val="0"/>
          <w:snapToGrid w:val="0"/>
          <w:sz w:val="24"/>
          <w:szCs w:val="24"/>
        </w:rPr>
      </w:pPr>
    </w:p>
    <w:p>
      <w:pPr>
        <w:pStyle w:val="3"/>
        <w:spacing w:line="360" w:lineRule="auto"/>
        <w:ind w:left="0" w:firstLine="418" w:firstLineChars="200"/>
        <w:rPr>
          <w:rFonts w:ascii="仿宋" w:hAnsi="仿宋" w:eastAsia="仿宋" w:cs="仿宋"/>
          <w:b w:val="0"/>
          <w:bCs w:val="0"/>
          <w:snapToGrid w:val="0"/>
          <w:sz w:val="24"/>
          <w:szCs w:val="24"/>
        </w:rPr>
      </w:pPr>
      <w:r>
        <w:rPr>
          <w:rFonts w:hint="eastAsia" w:ascii="仿宋" w:hAnsi="仿宋" w:eastAsia="仿宋" w:cs="仿宋"/>
          <w:b w:val="0"/>
          <w:bCs w:val="0"/>
          <w:snapToGrid w:val="0"/>
          <w:sz w:val="24"/>
          <w:szCs w:val="24"/>
        </w:rPr>
        <w:t>（监狱企业参加政府采购活动时，应当提供由省级以上监狱管理局、戒毒管理局(含新疆生产建设兵团)出具的属于监狱企业的证明文件。</w:t>
      </w:r>
    </w:p>
    <w:p>
      <w:pPr>
        <w:pStyle w:val="3"/>
        <w:spacing w:line="360" w:lineRule="auto"/>
        <w:ind w:left="0" w:firstLine="418" w:firstLineChars="200"/>
        <w:rPr>
          <w:rFonts w:ascii="仿宋" w:hAnsi="仿宋" w:eastAsia="仿宋" w:cs="仿宋"/>
          <w:b w:val="0"/>
          <w:bCs w:val="0"/>
          <w:snapToGrid w:val="0"/>
          <w:sz w:val="24"/>
          <w:szCs w:val="24"/>
        </w:rPr>
      </w:pPr>
    </w:p>
    <w:p>
      <w:pPr>
        <w:pStyle w:val="3"/>
        <w:spacing w:line="360" w:lineRule="auto"/>
        <w:ind w:left="0" w:firstLine="418" w:firstLineChars="200"/>
        <w:rPr>
          <w:rFonts w:ascii="仿宋" w:hAnsi="仿宋" w:eastAsia="仿宋" w:cs="仿宋"/>
          <w:b w:val="0"/>
          <w:bCs w:val="0"/>
          <w:snapToGrid w:val="0"/>
          <w:sz w:val="24"/>
          <w:szCs w:val="24"/>
        </w:rPr>
      </w:pPr>
    </w:p>
    <w:p>
      <w:pPr>
        <w:pStyle w:val="3"/>
        <w:spacing w:line="360" w:lineRule="auto"/>
        <w:ind w:left="0" w:firstLine="418" w:firstLineChars="200"/>
        <w:rPr>
          <w:rFonts w:ascii="仿宋" w:hAnsi="仿宋" w:eastAsia="仿宋" w:cs="仿宋"/>
          <w:b w:val="0"/>
          <w:bCs w:val="0"/>
          <w:snapToGrid w:val="0"/>
          <w:sz w:val="24"/>
          <w:szCs w:val="24"/>
        </w:rPr>
      </w:pPr>
      <w:r>
        <w:rPr>
          <w:rFonts w:hint="eastAsia" w:ascii="仿宋" w:hAnsi="仿宋" w:eastAsia="仿宋" w:cs="仿宋"/>
          <w:b w:val="0"/>
          <w:bCs w:val="0"/>
          <w:snapToGrid w:val="0"/>
          <w:sz w:val="24"/>
          <w:szCs w:val="24"/>
        </w:rPr>
        <w:t>注：在投标文件中附扫描件</w:t>
      </w:r>
    </w:p>
    <w:p>
      <w:pPr>
        <w:spacing w:line="360" w:lineRule="auto"/>
        <w:ind w:firstLine="418" w:firstLineChars="200"/>
        <w:rPr>
          <w:rFonts w:ascii="仿宋" w:hAnsi="仿宋" w:eastAsia="仿宋" w:cs="仿宋"/>
          <w:snapToGrid w:val="0"/>
          <w:sz w:val="24"/>
          <w:szCs w:val="24"/>
        </w:rPr>
      </w:pPr>
    </w:p>
    <w:p>
      <w:pPr>
        <w:rPr>
          <w:rFonts w:ascii="仿宋" w:hAnsi="仿宋" w:eastAsia="仿宋" w:cs="仿宋"/>
          <w:b/>
          <w:bCs/>
          <w:snapToGrid w:val="0"/>
          <w:sz w:val="28"/>
          <w:szCs w:val="28"/>
        </w:rPr>
      </w:pPr>
      <w:bookmarkStart w:id="132" w:name="_Toc1660965"/>
      <w:bookmarkStart w:id="133" w:name="_Toc9552"/>
      <w:bookmarkStart w:id="134" w:name="_Toc19488"/>
      <w:r>
        <w:rPr>
          <w:rFonts w:hint="eastAsia" w:ascii="仿宋" w:hAnsi="仿宋" w:eastAsia="仿宋" w:cs="仿宋"/>
          <w:b/>
          <w:bCs/>
          <w:snapToGrid w:val="0"/>
          <w:sz w:val="28"/>
          <w:szCs w:val="28"/>
        </w:rPr>
        <w:br w:type="page"/>
      </w:r>
    </w:p>
    <w:p>
      <w:pPr>
        <w:jc w:val="both"/>
        <w:rPr>
          <w:rFonts w:ascii="仿宋" w:hAnsi="仿宋" w:eastAsia="仿宋" w:cs="仿宋"/>
          <w:b/>
          <w:bCs/>
          <w:snapToGrid w:val="0"/>
          <w:sz w:val="28"/>
          <w:szCs w:val="28"/>
        </w:rPr>
      </w:pPr>
      <w:bookmarkStart w:id="135" w:name="_Toc18402"/>
      <w:bookmarkStart w:id="136" w:name="_Toc24280"/>
      <w:r>
        <w:rPr>
          <w:rFonts w:hint="eastAsia" w:ascii="仿宋" w:hAnsi="仿宋" w:eastAsia="仿宋" w:cs="仿宋"/>
          <w:b/>
          <w:bCs/>
          <w:snapToGrid w:val="0"/>
          <w:sz w:val="28"/>
          <w:szCs w:val="28"/>
          <w:lang w:val="en-US"/>
        </w:rPr>
        <w:t>十一、</w:t>
      </w:r>
      <w:r>
        <w:rPr>
          <w:rFonts w:hint="eastAsia" w:ascii="仿宋" w:hAnsi="仿宋" w:eastAsia="仿宋" w:cs="仿宋"/>
          <w:b/>
          <w:bCs/>
          <w:snapToGrid w:val="0"/>
          <w:sz w:val="28"/>
          <w:szCs w:val="28"/>
        </w:rPr>
        <w:t>服务要求响应与偏差表</w:t>
      </w:r>
    </w:p>
    <w:p>
      <w:pPr>
        <w:widowControl/>
        <w:jc w:val="center"/>
        <w:rPr>
          <w:rFonts w:ascii="仿宋" w:hAnsi="仿宋" w:eastAsia="仿宋"/>
          <w:color w:val="000000"/>
          <w:spacing w:val="14"/>
          <w:szCs w:val="21"/>
        </w:rPr>
      </w:pPr>
    </w:p>
    <w:p>
      <w:pPr>
        <w:pStyle w:val="18"/>
        <w:ind w:firstLine="237"/>
        <w:rPr>
          <w:rFonts w:ascii="仿宋" w:hAnsi="仿宋" w:eastAsia="仿宋"/>
          <w:color w:val="000000"/>
          <w:spacing w:val="14"/>
          <w:szCs w:val="21"/>
        </w:rPr>
      </w:pPr>
    </w:p>
    <w:p>
      <w:pPr>
        <w:pStyle w:val="19"/>
        <w:ind w:left="0" w:leftChars="0" w:firstLine="0" w:firstLineChars="0"/>
        <w:jc w:val="center"/>
      </w:pPr>
      <w:r>
        <w:rPr>
          <w:rFonts w:hint="eastAsia" w:ascii="仿宋" w:hAnsi="仿宋" w:eastAsia="仿宋"/>
          <w:color w:val="000000"/>
          <w:spacing w:val="14"/>
          <w:sz w:val="28"/>
          <w:szCs w:val="28"/>
        </w:rPr>
        <w:t>服务要求响应与偏差表</w:t>
      </w:r>
    </w:p>
    <w:tbl>
      <w:tblPr>
        <w:tblStyle w:val="20"/>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3020"/>
        <w:gridCol w:w="3021"/>
        <w:gridCol w:w="14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23" w:type="dxa"/>
            <w:noWrap/>
            <w:vAlign w:val="center"/>
          </w:tcPr>
          <w:p>
            <w:pPr>
              <w:jc w:val="center"/>
              <w:rPr>
                <w:rFonts w:ascii="仿宋" w:hAnsi="仿宋" w:eastAsia="仿宋"/>
                <w:szCs w:val="21"/>
              </w:rPr>
            </w:pPr>
            <w:r>
              <w:rPr>
                <w:rFonts w:hint="eastAsia" w:ascii="仿宋" w:hAnsi="仿宋" w:eastAsia="仿宋"/>
                <w:szCs w:val="21"/>
              </w:rPr>
              <w:t>序号</w:t>
            </w:r>
          </w:p>
        </w:tc>
        <w:tc>
          <w:tcPr>
            <w:tcW w:w="3020" w:type="dxa"/>
            <w:noWrap/>
            <w:vAlign w:val="center"/>
          </w:tcPr>
          <w:p>
            <w:pPr>
              <w:jc w:val="center"/>
              <w:rPr>
                <w:rFonts w:ascii="仿宋" w:hAnsi="仿宋" w:eastAsia="仿宋"/>
                <w:szCs w:val="21"/>
              </w:rPr>
            </w:pPr>
            <w:r>
              <w:rPr>
                <w:rFonts w:hint="eastAsia" w:ascii="仿宋" w:hAnsi="仿宋" w:eastAsia="仿宋"/>
                <w:szCs w:val="21"/>
              </w:rPr>
              <w:t>招标</w:t>
            </w:r>
            <w:r>
              <w:rPr>
                <w:rFonts w:hint="eastAsia" w:ascii="仿宋" w:hAnsi="仿宋" w:eastAsia="仿宋"/>
                <w:szCs w:val="21"/>
                <w:lang w:val="en-US"/>
              </w:rPr>
              <w:t>文件</w:t>
            </w:r>
            <w:r>
              <w:rPr>
                <w:rFonts w:hint="eastAsia" w:ascii="仿宋" w:hAnsi="仿宋" w:eastAsia="仿宋"/>
                <w:szCs w:val="21"/>
              </w:rPr>
              <w:t>服务要求</w:t>
            </w:r>
          </w:p>
        </w:tc>
        <w:tc>
          <w:tcPr>
            <w:tcW w:w="3021" w:type="dxa"/>
            <w:noWrap/>
            <w:vAlign w:val="center"/>
          </w:tcPr>
          <w:p>
            <w:pPr>
              <w:jc w:val="center"/>
              <w:rPr>
                <w:rFonts w:ascii="仿宋" w:hAnsi="仿宋" w:eastAsia="仿宋"/>
                <w:szCs w:val="21"/>
              </w:rPr>
            </w:pPr>
            <w:r>
              <w:rPr>
                <w:rFonts w:hint="eastAsia" w:ascii="仿宋" w:hAnsi="仿宋" w:eastAsia="仿宋"/>
                <w:szCs w:val="21"/>
              </w:rPr>
              <w:t>投标人承诺的服务响应</w:t>
            </w:r>
          </w:p>
        </w:tc>
        <w:tc>
          <w:tcPr>
            <w:tcW w:w="1418" w:type="dxa"/>
            <w:noWrap/>
            <w:vAlign w:val="center"/>
          </w:tcPr>
          <w:p>
            <w:pPr>
              <w:jc w:val="center"/>
              <w:rPr>
                <w:rFonts w:ascii="仿宋" w:hAnsi="仿宋" w:eastAsia="仿宋"/>
                <w:szCs w:val="21"/>
              </w:rPr>
            </w:pPr>
            <w:r>
              <w:rPr>
                <w:rFonts w:hint="eastAsia" w:ascii="仿宋" w:hAnsi="仿宋" w:eastAsia="仿宋"/>
                <w:szCs w:val="21"/>
              </w:rPr>
              <w:t>偏差描述</w:t>
            </w:r>
          </w:p>
        </w:tc>
        <w:tc>
          <w:tcPr>
            <w:tcW w:w="850" w:type="dxa"/>
            <w:noWrap/>
            <w:vAlign w:val="center"/>
          </w:tcPr>
          <w:p>
            <w:pPr>
              <w:jc w:val="center"/>
              <w:rPr>
                <w:rFonts w:ascii="仿宋" w:hAnsi="仿宋" w:eastAsia="仿宋"/>
                <w:szCs w:val="21"/>
              </w:rPr>
            </w:pPr>
            <w:r>
              <w:rPr>
                <w:rFonts w:hint="eastAsia" w:ascii="仿宋" w:hAnsi="仿宋" w:eastAsia="仿宋"/>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tcPr>
          <w:p>
            <w:pPr>
              <w:rPr>
                <w:rFonts w:ascii="仿宋" w:hAnsi="仿宋" w:eastAsia="仿宋"/>
                <w:szCs w:val="21"/>
              </w:rPr>
            </w:pPr>
          </w:p>
        </w:tc>
        <w:tc>
          <w:tcPr>
            <w:tcW w:w="3020" w:type="dxa"/>
            <w:noWrap/>
          </w:tcPr>
          <w:p>
            <w:pPr>
              <w:rPr>
                <w:rFonts w:ascii="仿宋" w:hAnsi="仿宋" w:eastAsia="仿宋"/>
                <w:szCs w:val="21"/>
              </w:rPr>
            </w:pPr>
          </w:p>
        </w:tc>
        <w:tc>
          <w:tcPr>
            <w:tcW w:w="3021" w:type="dxa"/>
            <w:noWrap/>
          </w:tcPr>
          <w:p>
            <w:pPr>
              <w:rPr>
                <w:rFonts w:ascii="仿宋" w:hAnsi="仿宋" w:eastAsia="仿宋"/>
                <w:szCs w:val="21"/>
              </w:rPr>
            </w:pPr>
          </w:p>
        </w:tc>
        <w:tc>
          <w:tcPr>
            <w:tcW w:w="1418" w:type="dxa"/>
            <w:noWrap/>
          </w:tcPr>
          <w:p>
            <w:pPr>
              <w:rPr>
                <w:rFonts w:ascii="仿宋" w:hAnsi="仿宋" w:eastAsia="仿宋"/>
                <w:szCs w:val="21"/>
              </w:rPr>
            </w:pPr>
          </w:p>
        </w:tc>
        <w:tc>
          <w:tcPr>
            <w:tcW w:w="850" w:type="dxa"/>
            <w:noWrap/>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tcPr>
          <w:p>
            <w:pPr>
              <w:rPr>
                <w:rFonts w:ascii="仿宋" w:hAnsi="仿宋" w:eastAsia="仿宋"/>
                <w:szCs w:val="21"/>
              </w:rPr>
            </w:pPr>
          </w:p>
        </w:tc>
        <w:tc>
          <w:tcPr>
            <w:tcW w:w="3020" w:type="dxa"/>
            <w:noWrap/>
          </w:tcPr>
          <w:p>
            <w:pPr>
              <w:rPr>
                <w:rFonts w:ascii="仿宋" w:hAnsi="仿宋" w:eastAsia="仿宋"/>
                <w:szCs w:val="21"/>
              </w:rPr>
            </w:pPr>
          </w:p>
        </w:tc>
        <w:tc>
          <w:tcPr>
            <w:tcW w:w="3021" w:type="dxa"/>
            <w:noWrap/>
          </w:tcPr>
          <w:p>
            <w:pPr>
              <w:rPr>
                <w:rFonts w:ascii="仿宋" w:hAnsi="仿宋" w:eastAsia="仿宋"/>
                <w:szCs w:val="21"/>
              </w:rPr>
            </w:pPr>
          </w:p>
        </w:tc>
        <w:tc>
          <w:tcPr>
            <w:tcW w:w="1418" w:type="dxa"/>
            <w:noWrap/>
          </w:tcPr>
          <w:p>
            <w:pPr>
              <w:rPr>
                <w:rFonts w:ascii="仿宋" w:hAnsi="仿宋" w:eastAsia="仿宋"/>
                <w:szCs w:val="21"/>
              </w:rPr>
            </w:pPr>
          </w:p>
        </w:tc>
        <w:tc>
          <w:tcPr>
            <w:tcW w:w="850" w:type="dxa"/>
            <w:noWrap/>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tcPr>
          <w:p>
            <w:pPr>
              <w:rPr>
                <w:rFonts w:ascii="仿宋" w:hAnsi="仿宋" w:eastAsia="仿宋"/>
                <w:szCs w:val="21"/>
              </w:rPr>
            </w:pPr>
          </w:p>
        </w:tc>
        <w:tc>
          <w:tcPr>
            <w:tcW w:w="3020" w:type="dxa"/>
            <w:noWrap/>
          </w:tcPr>
          <w:p>
            <w:pPr>
              <w:rPr>
                <w:rFonts w:ascii="仿宋" w:hAnsi="仿宋" w:eastAsia="仿宋"/>
                <w:szCs w:val="21"/>
              </w:rPr>
            </w:pPr>
          </w:p>
        </w:tc>
        <w:tc>
          <w:tcPr>
            <w:tcW w:w="3021" w:type="dxa"/>
            <w:noWrap/>
          </w:tcPr>
          <w:p>
            <w:pPr>
              <w:rPr>
                <w:rFonts w:ascii="仿宋" w:hAnsi="仿宋" w:eastAsia="仿宋"/>
                <w:szCs w:val="21"/>
              </w:rPr>
            </w:pPr>
          </w:p>
        </w:tc>
        <w:tc>
          <w:tcPr>
            <w:tcW w:w="1418" w:type="dxa"/>
            <w:noWrap/>
          </w:tcPr>
          <w:p>
            <w:pPr>
              <w:rPr>
                <w:rFonts w:ascii="仿宋" w:hAnsi="仿宋" w:eastAsia="仿宋"/>
                <w:szCs w:val="21"/>
              </w:rPr>
            </w:pPr>
          </w:p>
        </w:tc>
        <w:tc>
          <w:tcPr>
            <w:tcW w:w="850" w:type="dxa"/>
            <w:noWrap/>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tcPr>
          <w:p>
            <w:pPr>
              <w:rPr>
                <w:rFonts w:ascii="仿宋" w:hAnsi="仿宋" w:eastAsia="仿宋"/>
                <w:szCs w:val="21"/>
              </w:rPr>
            </w:pPr>
          </w:p>
        </w:tc>
        <w:tc>
          <w:tcPr>
            <w:tcW w:w="3020" w:type="dxa"/>
            <w:noWrap/>
          </w:tcPr>
          <w:p>
            <w:pPr>
              <w:rPr>
                <w:rFonts w:ascii="仿宋" w:hAnsi="仿宋" w:eastAsia="仿宋"/>
                <w:szCs w:val="21"/>
              </w:rPr>
            </w:pPr>
          </w:p>
        </w:tc>
        <w:tc>
          <w:tcPr>
            <w:tcW w:w="3021" w:type="dxa"/>
            <w:noWrap/>
          </w:tcPr>
          <w:p>
            <w:pPr>
              <w:rPr>
                <w:rFonts w:ascii="仿宋" w:hAnsi="仿宋" w:eastAsia="仿宋"/>
                <w:szCs w:val="21"/>
              </w:rPr>
            </w:pPr>
          </w:p>
        </w:tc>
        <w:tc>
          <w:tcPr>
            <w:tcW w:w="1418" w:type="dxa"/>
            <w:noWrap/>
          </w:tcPr>
          <w:p>
            <w:pPr>
              <w:rPr>
                <w:rFonts w:ascii="仿宋" w:hAnsi="仿宋" w:eastAsia="仿宋"/>
                <w:szCs w:val="21"/>
              </w:rPr>
            </w:pPr>
          </w:p>
        </w:tc>
        <w:tc>
          <w:tcPr>
            <w:tcW w:w="850" w:type="dxa"/>
            <w:noWrap/>
          </w:tcPr>
          <w:p>
            <w:pPr>
              <w:rPr>
                <w:rFonts w:ascii="仿宋" w:hAnsi="仿宋" w:eastAsia="仿宋"/>
                <w:szCs w:val="21"/>
              </w:rPr>
            </w:pPr>
          </w:p>
        </w:tc>
      </w:tr>
    </w:tbl>
    <w:p>
      <w:pPr>
        <w:widowControl/>
        <w:rPr>
          <w:rFonts w:ascii="仿宋" w:hAnsi="仿宋" w:eastAsia="仿宋"/>
          <w:color w:val="000000"/>
          <w:spacing w:val="14"/>
          <w:szCs w:val="21"/>
        </w:rPr>
      </w:pPr>
      <w:r>
        <w:rPr>
          <w:rFonts w:hint="eastAsia" w:ascii="仿宋" w:hAnsi="仿宋" w:eastAsia="仿宋"/>
          <w:color w:val="000000"/>
          <w:spacing w:val="14"/>
          <w:szCs w:val="21"/>
        </w:rPr>
        <w:t xml:space="preserve">投标人（企业电子章）：                                           </w:t>
      </w:r>
    </w:p>
    <w:p>
      <w:pPr>
        <w:widowControl/>
        <w:rPr>
          <w:rFonts w:ascii="仿宋" w:hAnsi="仿宋" w:eastAsia="仿宋"/>
          <w:color w:val="000000"/>
          <w:spacing w:val="14"/>
          <w:szCs w:val="21"/>
        </w:rPr>
      </w:pPr>
    </w:p>
    <w:p>
      <w:pPr>
        <w:widowControl/>
        <w:rPr>
          <w:rFonts w:ascii="仿宋" w:hAnsi="仿宋" w:eastAsia="仿宋"/>
          <w:color w:val="000000"/>
          <w:spacing w:val="14"/>
          <w:szCs w:val="21"/>
        </w:rPr>
      </w:pPr>
      <w:r>
        <w:rPr>
          <w:rFonts w:hint="eastAsia" w:ascii="仿宋" w:hAnsi="仿宋" w:eastAsia="仿宋"/>
          <w:color w:val="000000"/>
          <w:spacing w:val="14"/>
          <w:szCs w:val="21"/>
        </w:rPr>
        <w:t>注：</w:t>
      </w:r>
    </w:p>
    <w:p>
      <w:pPr>
        <w:widowControl/>
        <w:ind w:firstLine="482"/>
        <w:rPr>
          <w:rFonts w:ascii="仿宋" w:hAnsi="仿宋" w:eastAsia="仿宋"/>
          <w:color w:val="000000"/>
          <w:spacing w:val="14"/>
          <w:szCs w:val="21"/>
        </w:rPr>
      </w:pPr>
      <w:r>
        <w:rPr>
          <w:rFonts w:hint="eastAsia" w:ascii="仿宋" w:hAnsi="仿宋" w:eastAsia="仿宋"/>
          <w:color w:val="000000"/>
          <w:spacing w:val="14"/>
          <w:szCs w:val="21"/>
        </w:rPr>
        <w:t>1、投标人应根据招标要求逐条逐项表述说明投标响应情况。</w:t>
      </w:r>
    </w:p>
    <w:p>
      <w:pPr>
        <w:widowControl/>
        <w:ind w:firstLine="482"/>
        <w:rPr>
          <w:rFonts w:ascii="仿宋" w:hAnsi="仿宋" w:eastAsia="仿宋"/>
          <w:color w:val="000000"/>
          <w:spacing w:val="14"/>
          <w:szCs w:val="21"/>
        </w:rPr>
      </w:pPr>
      <w:r>
        <w:rPr>
          <w:rFonts w:hint="eastAsia" w:ascii="仿宋" w:hAnsi="仿宋" w:eastAsia="仿宋"/>
          <w:color w:val="000000"/>
          <w:spacing w:val="14"/>
          <w:szCs w:val="21"/>
        </w:rPr>
        <w:t>2、投标人提交的投标文件中的服务响应与招标文件的服务要求不同时，应逐条逐项如实填列在偏离表中。投标人不如实填写偏离情况、存在弄虚作假行为的，将依法承担相应的法律责任。</w:t>
      </w:r>
    </w:p>
    <w:p>
      <w:pPr>
        <w:widowControl/>
        <w:ind w:firstLine="482"/>
        <w:rPr>
          <w:rFonts w:ascii="仿宋" w:hAnsi="仿宋" w:eastAsia="仿宋"/>
          <w:color w:val="000000"/>
          <w:spacing w:val="14"/>
          <w:szCs w:val="21"/>
        </w:rPr>
      </w:pPr>
      <w:r>
        <w:rPr>
          <w:rFonts w:hint="eastAsia" w:ascii="仿宋" w:hAnsi="仿宋" w:eastAsia="仿宋"/>
          <w:color w:val="000000"/>
          <w:spacing w:val="14"/>
          <w:szCs w:val="21"/>
        </w:rPr>
        <w:t>3、投标人应结合实际情况说明或描述其实际服务内容。如果完全复制粘贴本招标文件之服务要求，或者只注明“符合”、“满足”等类似无具体内容的表述，因此而产生的不利于投标人的评审风险由投标人自行承担。</w:t>
      </w:r>
    </w:p>
    <w:p>
      <w:pPr>
        <w:widowControl/>
        <w:ind w:firstLine="420"/>
        <w:rPr>
          <w:rFonts w:ascii="仿宋" w:hAnsi="仿宋" w:eastAsia="仿宋"/>
          <w:b/>
          <w:bCs/>
          <w:color w:val="000000"/>
          <w:sz w:val="28"/>
          <w:szCs w:val="28"/>
        </w:rPr>
      </w:pPr>
      <w:r>
        <w:rPr>
          <w:rFonts w:hint="eastAsia" w:ascii="仿宋" w:hAnsi="仿宋" w:eastAsia="仿宋"/>
          <w:color w:val="000000"/>
          <w:spacing w:val="14"/>
          <w:szCs w:val="21"/>
        </w:rPr>
        <w:t>4、投标人可根据需要自行增减表格行数。</w:t>
      </w:r>
    </w:p>
    <w:p/>
    <w:p>
      <w:pPr>
        <w:pStyle w:val="3"/>
        <w:spacing w:line="360" w:lineRule="auto"/>
        <w:ind w:left="0" w:firstLine="500"/>
        <w:rPr>
          <w:rFonts w:ascii="仿宋" w:hAnsi="仿宋" w:eastAsia="仿宋" w:cs="仿宋"/>
          <w:snapToGrid w:val="0"/>
          <w:sz w:val="28"/>
          <w:szCs w:val="28"/>
        </w:rPr>
      </w:pPr>
    </w:p>
    <w:p>
      <w:pPr>
        <w:pStyle w:val="3"/>
        <w:spacing w:line="360" w:lineRule="auto"/>
        <w:ind w:left="0" w:firstLine="500"/>
        <w:rPr>
          <w:rFonts w:ascii="仿宋" w:hAnsi="仿宋" w:eastAsia="仿宋" w:cs="仿宋"/>
          <w:snapToGrid w:val="0"/>
          <w:sz w:val="28"/>
          <w:szCs w:val="28"/>
        </w:rPr>
      </w:pPr>
    </w:p>
    <w:p>
      <w:pPr>
        <w:pStyle w:val="3"/>
        <w:spacing w:line="360" w:lineRule="auto"/>
        <w:ind w:left="0" w:firstLine="500"/>
        <w:rPr>
          <w:rFonts w:ascii="仿宋" w:hAnsi="仿宋" w:eastAsia="仿宋" w:cs="仿宋"/>
          <w:snapToGrid w:val="0"/>
          <w:sz w:val="28"/>
          <w:szCs w:val="28"/>
        </w:rPr>
      </w:pPr>
    </w:p>
    <w:p>
      <w:pPr>
        <w:pStyle w:val="3"/>
        <w:spacing w:line="360" w:lineRule="auto"/>
        <w:ind w:left="0" w:firstLine="500"/>
        <w:rPr>
          <w:rFonts w:ascii="仿宋" w:hAnsi="仿宋" w:eastAsia="仿宋" w:cs="仿宋"/>
          <w:snapToGrid w:val="0"/>
          <w:sz w:val="28"/>
          <w:szCs w:val="28"/>
        </w:rPr>
      </w:pPr>
    </w:p>
    <w:p>
      <w:pPr>
        <w:rPr>
          <w:rFonts w:ascii="仿宋" w:hAnsi="仿宋" w:eastAsia="仿宋" w:cs="仿宋"/>
          <w:b/>
          <w:bCs/>
          <w:snapToGrid w:val="0"/>
          <w:sz w:val="28"/>
          <w:szCs w:val="28"/>
        </w:rPr>
      </w:pPr>
    </w:p>
    <w:p>
      <w:pPr>
        <w:pStyle w:val="18"/>
        <w:ind w:firstLine="250"/>
        <w:rPr>
          <w:rFonts w:ascii="仿宋" w:hAnsi="仿宋" w:eastAsia="仿宋" w:cs="仿宋"/>
          <w:b/>
          <w:bCs/>
          <w:snapToGrid w:val="0"/>
          <w:sz w:val="28"/>
          <w:szCs w:val="28"/>
        </w:rPr>
      </w:pPr>
    </w:p>
    <w:p>
      <w:pPr>
        <w:jc w:val="both"/>
        <w:rPr>
          <w:rFonts w:hint="eastAsia" w:ascii="仿宋" w:hAnsi="仿宋" w:eastAsia="仿宋" w:cs="仿宋"/>
          <w:b/>
          <w:bCs/>
          <w:snapToGrid w:val="0"/>
          <w:sz w:val="28"/>
          <w:szCs w:val="28"/>
          <w:lang w:val="en-US"/>
        </w:rPr>
      </w:pPr>
    </w:p>
    <w:p>
      <w:pPr>
        <w:jc w:val="both"/>
        <w:rPr>
          <w:rFonts w:ascii="仿宋" w:hAnsi="仿宋" w:eastAsia="仿宋" w:cs="仿宋"/>
          <w:b/>
          <w:bCs/>
          <w:snapToGrid w:val="0"/>
          <w:sz w:val="28"/>
          <w:szCs w:val="28"/>
        </w:rPr>
      </w:pPr>
      <w:r>
        <w:rPr>
          <w:rFonts w:hint="eastAsia" w:ascii="仿宋" w:hAnsi="仿宋" w:eastAsia="仿宋" w:cs="仿宋"/>
          <w:b/>
          <w:bCs/>
          <w:snapToGrid w:val="0"/>
          <w:sz w:val="28"/>
          <w:szCs w:val="28"/>
          <w:lang w:val="en-US"/>
        </w:rPr>
        <w:t>十二、</w:t>
      </w:r>
      <w:r>
        <w:rPr>
          <w:rFonts w:hint="eastAsia" w:ascii="仿宋" w:hAnsi="仿宋" w:eastAsia="仿宋" w:cs="仿宋"/>
          <w:b/>
          <w:bCs/>
          <w:snapToGrid w:val="0"/>
          <w:sz w:val="28"/>
          <w:szCs w:val="28"/>
        </w:rPr>
        <w:t>商务要求响应与偏差表</w:t>
      </w:r>
    </w:p>
    <w:p>
      <w:pPr>
        <w:jc w:val="both"/>
        <w:rPr>
          <w:rFonts w:ascii="仿宋" w:hAnsi="仿宋" w:eastAsia="仿宋"/>
          <w:color w:val="000000"/>
          <w:spacing w:val="14"/>
          <w:sz w:val="28"/>
          <w:szCs w:val="28"/>
        </w:rPr>
      </w:pPr>
    </w:p>
    <w:p>
      <w:pPr>
        <w:jc w:val="center"/>
        <w:rPr>
          <w:rFonts w:ascii="仿宋" w:hAnsi="仿宋" w:eastAsia="仿宋" w:cs="仿宋"/>
          <w:snapToGrid w:val="0"/>
          <w:sz w:val="28"/>
          <w:szCs w:val="28"/>
        </w:rPr>
      </w:pPr>
      <w:r>
        <w:rPr>
          <w:rFonts w:hint="eastAsia" w:ascii="仿宋" w:hAnsi="仿宋" w:eastAsia="仿宋" w:cs="仿宋"/>
          <w:snapToGrid w:val="0"/>
          <w:sz w:val="28"/>
          <w:szCs w:val="28"/>
        </w:rPr>
        <w:t>商务要求响应与偏差表</w:t>
      </w:r>
    </w:p>
    <w:p>
      <w:pPr>
        <w:jc w:val="both"/>
        <w:rPr>
          <w:rFonts w:ascii="仿宋" w:hAnsi="仿宋" w:eastAsia="仿宋"/>
          <w:color w:val="000000"/>
          <w:spacing w:val="14"/>
          <w:sz w:val="28"/>
          <w:szCs w:val="28"/>
        </w:rPr>
      </w:pPr>
    </w:p>
    <w:tbl>
      <w:tblPr>
        <w:tblStyle w:val="20"/>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742"/>
        <w:gridCol w:w="326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ign w:val="center"/>
          </w:tcPr>
          <w:p>
            <w:pPr>
              <w:widowControl/>
              <w:rPr>
                <w:rFonts w:ascii="仿宋" w:hAnsi="仿宋" w:eastAsia="仿宋"/>
                <w:color w:val="000000"/>
                <w:szCs w:val="21"/>
              </w:rPr>
            </w:pPr>
            <w:r>
              <w:rPr>
                <w:rFonts w:hint="eastAsia" w:ascii="仿宋" w:hAnsi="仿宋" w:eastAsia="仿宋"/>
                <w:color w:val="000000"/>
                <w:szCs w:val="21"/>
              </w:rPr>
              <w:t>序号</w:t>
            </w:r>
          </w:p>
        </w:tc>
        <w:tc>
          <w:tcPr>
            <w:tcW w:w="3742" w:type="dxa"/>
            <w:noWrap/>
            <w:vAlign w:val="center"/>
          </w:tcPr>
          <w:p>
            <w:pPr>
              <w:widowControl/>
              <w:rPr>
                <w:rFonts w:ascii="仿宋" w:hAnsi="仿宋" w:eastAsia="仿宋"/>
                <w:color w:val="000000"/>
                <w:szCs w:val="21"/>
              </w:rPr>
            </w:pPr>
            <w:r>
              <w:rPr>
                <w:rFonts w:hint="eastAsia" w:ascii="仿宋" w:hAnsi="仿宋" w:eastAsia="仿宋"/>
                <w:color w:val="000000"/>
                <w:szCs w:val="21"/>
              </w:rPr>
              <w:t>招标文件商务要求</w:t>
            </w:r>
          </w:p>
        </w:tc>
        <w:tc>
          <w:tcPr>
            <w:tcW w:w="3260" w:type="dxa"/>
            <w:noWrap/>
            <w:vAlign w:val="center"/>
          </w:tcPr>
          <w:p>
            <w:pPr>
              <w:widowControl/>
              <w:rPr>
                <w:rFonts w:ascii="仿宋" w:hAnsi="仿宋" w:eastAsia="仿宋"/>
                <w:color w:val="000000"/>
                <w:szCs w:val="21"/>
              </w:rPr>
            </w:pPr>
            <w:r>
              <w:rPr>
                <w:rFonts w:hint="eastAsia" w:ascii="仿宋" w:hAnsi="仿宋" w:eastAsia="仿宋"/>
                <w:color w:val="000000"/>
                <w:szCs w:val="21"/>
              </w:rPr>
              <w:t>投标人响应具体内容</w:t>
            </w:r>
          </w:p>
        </w:tc>
        <w:tc>
          <w:tcPr>
            <w:tcW w:w="1199" w:type="dxa"/>
            <w:noWrap/>
            <w:vAlign w:val="center"/>
          </w:tcPr>
          <w:p>
            <w:pPr>
              <w:widowControl/>
              <w:rPr>
                <w:rFonts w:ascii="仿宋" w:hAnsi="仿宋" w:eastAsia="仿宋"/>
                <w:color w:val="000000"/>
                <w:szCs w:val="21"/>
              </w:rPr>
            </w:pPr>
            <w:r>
              <w:rPr>
                <w:rFonts w:hint="eastAsia" w:ascii="仿宋" w:hAnsi="仿宋" w:eastAsia="仿宋"/>
                <w:color w:val="00000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ign w:val="center"/>
          </w:tcPr>
          <w:p>
            <w:pPr>
              <w:widowControl/>
              <w:jc w:val="center"/>
              <w:rPr>
                <w:rFonts w:ascii="仿宋" w:hAnsi="仿宋" w:eastAsia="仿宋"/>
                <w:color w:val="000000"/>
                <w:szCs w:val="21"/>
              </w:rPr>
            </w:pPr>
          </w:p>
        </w:tc>
        <w:tc>
          <w:tcPr>
            <w:tcW w:w="3742" w:type="dxa"/>
            <w:noWrap/>
            <w:vAlign w:val="center"/>
          </w:tcPr>
          <w:p>
            <w:pPr>
              <w:widowControl/>
              <w:rPr>
                <w:rFonts w:ascii="仿宋" w:hAnsi="仿宋" w:eastAsia="仿宋"/>
                <w:color w:val="000000"/>
                <w:szCs w:val="21"/>
              </w:rPr>
            </w:pPr>
          </w:p>
        </w:tc>
        <w:tc>
          <w:tcPr>
            <w:tcW w:w="3260" w:type="dxa"/>
            <w:noWrap/>
            <w:vAlign w:val="center"/>
          </w:tcPr>
          <w:p>
            <w:pPr>
              <w:widowControl/>
              <w:rPr>
                <w:rFonts w:ascii="仿宋" w:hAnsi="仿宋" w:eastAsia="仿宋"/>
                <w:color w:val="000000"/>
                <w:szCs w:val="21"/>
              </w:rPr>
            </w:pPr>
          </w:p>
        </w:tc>
        <w:tc>
          <w:tcPr>
            <w:tcW w:w="1199" w:type="dxa"/>
            <w:noWrap/>
            <w:vAlign w:val="center"/>
          </w:tcPr>
          <w:p>
            <w:pPr>
              <w:widowControl/>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ign w:val="center"/>
          </w:tcPr>
          <w:p>
            <w:pPr>
              <w:widowControl/>
              <w:jc w:val="center"/>
              <w:rPr>
                <w:rFonts w:ascii="仿宋" w:hAnsi="仿宋" w:eastAsia="仿宋"/>
                <w:color w:val="000000"/>
                <w:szCs w:val="21"/>
              </w:rPr>
            </w:pPr>
          </w:p>
        </w:tc>
        <w:tc>
          <w:tcPr>
            <w:tcW w:w="3742" w:type="dxa"/>
            <w:noWrap/>
            <w:vAlign w:val="center"/>
          </w:tcPr>
          <w:p>
            <w:pPr>
              <w:widowControl/>
              <w:rPr>
                <w:rFonts w:ascii="仿宋" w:hAnsi="仿宋" w:eastAsia="仿宋"/>
                <w:color w:val="000000"/>
                <w:szCs w:val="21"/>
              </w:rPr>
            </w:pPr>
          </w:p>
        </w:tc>
        <w:tc>
          <w:tcPr>
            <w:tcW w:w="3260" w:type="dxa"/>
            <w:noWrap/>
            <w:vAlign w:val="center"/>
          </w:tcPr>
          <w:p>
            <w:pPr>
              <w:widowControl/>
              <w:rPr>
                <w:rFonts w:ascii="仿宋" w:hAnsi="仿宋" w:eastAsia="仿宋"/>
                <w:color w:val="000000"/>
                <w:szCs w:val="21"/>
              </w:rPr>
            </w:pPr>
          </w:p>
        </w:tc>
        <w:tc>
          <w:tcPr>
            <w:tcW w:w="1199" w:type="dxa"/>
            <w:noWrap/>
            <w:vAlign w:val="center"/>
          </w:tcPr>
          <w:p>
            <w:pPr>
              <w:widowControl/>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ign w:val="center"/>
          </w:tcPr>
          <w:p>
            <w:pPr>
              <w:widowControl/>
              <w:jc w:val="center"/>
              <w:rPr>
                <w:rFonts w:ascii="仿宋" w:hAnsi="仿宋" w:eastAsia="仿宋"/>
                <w:color w:val="000000"/>
                <w:szCs w:val="21"/>
              </w:rPr>
            </w:pPr>
          </w:p>
        </w:tc>
        <w:tc>
          <w:tcPr>
            <w:tcW w:w="3742" w:type="dxa"/>
            <w:noWrap/>
            <w:vAlign w:val="center"/>
          </w:tcPr>
          <w:p>
            <w:pPr>
              <w:widowControl/>
              <w:rPr>
                <w:rFonts w:ascii="仿宋" w:hAnsi="仿宋" w:eastAsia="仿宋"/>
                <w:color w:val="000000"/>
                <w:szCs w:val="21"/>
              </w:rPr>
            </w:pPr>
          </w:p>
        </w:tc>
        <w:tc>
          <w:tcPr>
            <w:tcW w:w="3260" w:type="dxa"/>
            <w:noWrap/>
            <w:vAlign w:val="center"/>
          </w:tcPr>
          <w:p>
            <w:pPr>
              <w:widowControl/>
              <w:rPr>
                <w:rFonts w:ascii="仿宋" w:hAnsi="仿宋" w:eastAsia="仿宋"/>
                <w:color w:val="000000"/>
                <w:szCs w:val="21"/>
              </w:rPr>
            </w:pPr>
          </w:p>
        </w:tc>
        <w:tc>
          <w:tcPr>
            <w:tcW w:w="1199" w:type="dxa"/>
            <w:noWrap/>
            <w:vAlign w:val="center"/>
          </w:tcPr>
          <w:p>
            <w:pPr>
              <w:widowControl/>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ign w:val="center"/>
          </w:tcPr>
          <w:p>
            <w:pPr>
              <w:widowControl/>
              <w:jc w:val="center"/>
              <w:rPr>
                <w:rFonts w:ascii="仿宋" w:hAnsi="仿宋" w:eastAsia="仿宋"/>
                <w:color w:val="000000"/>
                <w:szCs w:val="21"/>
              </w:rPr>
            </w:pPr>
          </w:p>
        </w:tc>
        <w:tc>
          <w:tcPr>
            <w:tcW w:w="3742" w:type="dxa"/>
            <w:noWrap/>
            <w:vAlign w:val="center"/>
          </w:tcPr>
          <w:p>
            <w:pPr>
              <w:widowControl/>
              <w:rPr>
                <w:rFonts w:ascii="仿宋" w:hAnsi="仿宋" w:eastAsia="仿宋"/>
                <w:color w:val="000000"/>
                <w:szCs w:val="21"/>
              </w:rPr>
            </w:pPr>
          </w:p>
        </w:tc>
        <w:tc>
          <w:tcPr>
            <w:tcW w:w="3260" w:type="dxa"/>
            <w:noWrap/>
            <w:vAlign w:val="center"/>
          </w:tcPr>
          <w:p>
            <w:pPr>
              <w:widowControl/>
              <w:rPr>
                <w:rFonts w:ascii="仿宋" w:hAnsi="仿宋" w:eastAsia="仿宋"/>
                <w:color w:val="000000"/>
                <w:szCs w:val="21"/>
              </w:rPr>
            </w:pPr>
          </w:p>
        </w:tc>
        <w:tc>
          <w:tcPr>
            <w:tcW w:w="1199" w:type="dxa"/>
            <w:noWrap/>
            <w:vAlign w:val="center"/>
          </w:tcPr>
          <w:p>
            <w:pPr>
              <w:widowControl/>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ign w:val="center"/>
          </w:tcPr>
          <w:p>
            <w:pPr>
              <w:widowControl/>
              <w:jc w:val="center"/>
              <w:rPr>
                <w:rFonts w:ascii="仿宋" w:hAnsi="仿宋" w:eastAsia="仿宋"/>
                <w:color w:val="000000"/>
                <w:szCs w:val="21"/>
              </w:rPr>
            </w:pPr>
          </w:p>
        </w:tc>
        <w:tc>
          <w:tcPr>
            <w:tcW w:w="3742" w:type="dxa"/>
            <w:noWrap/>
            <w:vAlign w:val="center"/>
          </w:tcPr>
          <w:p>
            <w:pPr>
              <w:widowControl/>
              <w:rPr>
                <w:rFonts w:ascii="仿宋" w:hAnsi="仿宋" w:eastAsia="仿宋"/>
                <w:color w:val="000000"/>
                <w:szCs w:val="21"/>
              </w:rPr>
            </w:pPr>
          </w:p>
        </w:tc>
        <w:tc>
          <w:tcPr>
            <w:tcW w:w="3260" w:type="dxa"/>
            <w:noWrap/>
            <w:vAlign w:val="center"/>
          </w:tcPr>
          <w:p>
            <w:pPr>
              <w:widowControl/>
              <w:rPr>
                <w:rFonts w:ascii="仿宋" w:hAnsi="仿宋" w:eastAsia="仿宋"/>
                <w:color w:val="000000"/>
                <w:szCs w:val="21"/>
              </w:rPr>
            </w:pPr>
          </w:p>
        </w:tc>
        <w:tc>
          <w:tcPr>
            <w:tcW w:w="1199" w:type="dxa"/>
            <w:noWrap/>
            <w:vAlign w:val="center"/>
          </w:tcPr>
          <w:p>
            <w:pPr>
              <w:widowControl/>
              <w:rPr>
                <w:rFonts w:ascii="仿宋" w:hAnsi="仿宋" w:eastAsia="仿宋"/>
                <w:color w:val="000000"/>
                <w:szCs w:val="21"/>
              </w:rPr>
            </w:pPr>
          </w:p>
        </w:tc>
      </w:tr>
    </w:tbl>
    <w:p>
      <w:pPr>
        <w:widowControl/>
        <w:rPr>
          <w:rFonts w:ascii="仿宋" w:hAnsi="仿宋" w:eastAsia="仿宋"/>
          <w:color w:val="000000"/>
          <w:szCs w:val="21"/>
        </w:rPr>
      </w:pPr>
    </w:p>
    <w:p>
      <w:pPr>
        <w:widowControl/>
        <w:rPr>
          <w:rFonts w:ascii="仿宋" w:hAnsi="仿宋" w:eastAsia="仿宋"/>
          <w:color w:val="000000"/>
          <w:szCs w:val="21"/>
        </w:rPr>
      </w:pPr>
      <w:r>
        <w:rPr>
          <w:rFonts w:ascii="仿宋" w:hAnsi="仿宋" w:eastAsia="仿宋"/>
          <w:color w:val="000000"/>
          <w:szCs w:val="21"/>
        </w:rPr>
        <w:t>投标人保证：除</w:t>
      </w:r>
      <w:r>
        <w:rPr>
          <w:rFonts w:hint="eastAsia" w:ascii="仿宋" w:hAnsi="仿宋" w:eastAsia="仿宋"/>
          <w:color w:val="000000"/>
          <w:szCs w:val="21"/>
        </w:rPr>
        <w:t>本</w:t>
      </w:r>
      <w:r>
        <w:rPr>
          <w:rFonts w:ascii="仿宋" w:hAnsi="仿宋" w:eastAsia="仿宋"/>
          <w:color w:val="000000"/>
          <w:szCs w:val="21"/>
        </w:rPr>
        <w:t>表列出的</w:t>
      </w:r>
      <w:r>
        <w:rPr>
          <w:rFonts w:hint="eastAsia" w:ascii="仿宋" w:hAnsi="仿宋" w:eastAsia="仿宋"/>
          <w:color w:val="000000"/>
          <w:szCs w:val="21"/>
        </w:rPr>
        <w:t>商务</w:t>
      </w:r>
      <w:r>
        <w:rPr>
          <w:rFonts w:ascii="仿宋" w:hAnsi="仿宋" w:eastAsia="仿宋"/>
          <w:color w:val="000000"/>
          <w:szCs w:val="21"/>
        </w:rPr>
        <w:t>偏差外，投标人响应招标文件的全部</w:t>
      </w:r>
      <w:r>
        <w:rPr>
          <w:rFonts w:hint="eastAsia" w:ascii="仿宋" w:hAnsi="仿宋" w:eastAsia="仿宋"/>
          <w:color w:val="000000"/>
          <w:szCs w:val="21"/>
        </w:rPr>
        <w:t>商务</w:t>
      </w:r>
      <w:r>
        <w:rPr>
          <w:rFonts w:ascii="仿宋" w:hAnsi="仿宋" w:eastAsia="仿宋"/>
          <w:color w:val="000000"/>
          <w:szCs w:val="21"/>
        </w:rPr>
        <w:t>要求。</w:t>
      </w:r>
    </w:p>
    <w:p>
      <w:pPr>
        <w:widowControl/>
        <w:rPr>
          <w:rFonts w:ascii="仿宋" w:hAnsi="仿宋" w:eastAsia="仿宋"/>
          <w:color w:val="000000"/>
          <w:szCs w:val="21"/>
        </w:rPr>
      </w:pPr>
    </w:p>
    <w:p>
      <w:pPr>
        <w:widowControl/>
        <w:rPr>
          <w:rFonts w:ascii="仿宋" w:hAnsi="仿宋" w:eastAsia="仿宋"/>
          <w:color w:val="000000"/>
          <w:szCs w:val="21"/>
        </w:rPr>
      </w:pPr>
      <w:r>
        <w:rPr>
          <w:rFonts w:hint="eastAsia" w:ascii="仿宋" w:hAnsi="仿宋" w:eastAsia="仿宋"/>
          <w:color w:val="000000"/>
          <w:szCs w:val="21"/>
        </w:rPr>
        <w:t xml:space="preserve">投标人（企业电子章）：                                            </w:t>
      </w:r>
    </w:p>
    <w:p>
      <w:pPr>
        <w:widowControl/>
        <w:rPr>
          <w:rFonts w:ascii="仿宋" w:hAnsi="仿宋" w:eastAsia="仿宋"/>
          <w:color w:val="000000"/>
          <w:szCs w:val="21"/>
        </w:rPr>
      </w:pPr>
    </w:p>
    <w:p>
      <w:pPr>
        <w:widowControl/>
        <w:rPr>
          <w:rFonts w:ascii="仿宋" w:hAnsi="仿宋" w:eastAsia="仿宋"/>
          <w:color w:val="000000"/>
          <w:szCs w:val="21"/>
        </w:rPr>
      </w:pPr>
      <w:r>
        <w:rPr>
          <w:rFonts w:hint="eastAsia" w:ascii="仿宋" w:hAnsi="仿宋" w:eastAsia="仿宋"/>
          <w:color w:val="000000"/>
          <w:szCs w:val="21"/>
        </w:rPr>
        <w:t>注：投标人可根据需要自行增减表格行数。</w:t>
      </w:r>
    </w:p>
    <w:p/>
    <w:p>
      <w:pPr>
        <w:pStyle w:val="19"/>
        <w:ind w:left="378" w:firstLine="500"/>
        <w:rPr>
          <w:rFonts w:ascii="仿宋" w:hAnsi="仿宋" w:eastAsia="仿宋" w:cs="仿宋"/>
          <w:b/>
          <w:bCs/>
          <w:snapToGrid w:val="0"/>
          <w:sz w:val="28"/>
          <w:szCs w:val="28"/>
        </w:rPr>
      </w:pPr>
    </w:p>
    <w:p>
      <w:pPr>
        <w:rPr>
          <w:rFonts w:ascii="仿宋" w:hAnsi="仿宋" w:eastAsia="仿宋" w:cs="仿宋"/>
          <w:b/>
          <w:bCs/>
          <w:snapToGrid w:val="0"/>
          <w:sz w:val="28"/>
          <w:szCs w:val="28"/>
        </w:rPr>
      </w:pPr>
    </w:p>
    <w:p>
      <w:pPr>
        <w:pStyle w:val="18"/>
        <w:ind w:firstLine="209"/>
      </w:pPr>
    </w:p>
    <w:p>
      <w:pPr>
        <w:pStyle w:val="19"/>
        <w:ind w:left="378" w:firstLine="538"/>
      </w:pPr>
    </w:p>
    <w:p/>
    <w:p>
      <w:pPr>
        <w:pStyle w:val="18"/>
        <w:ind w:firstLine="209"/>
      </w:pPr>
    </w:p>
    <w:p>
      <w:pPr>
        <w:pStyle w:val="19"/>
        <w:ind w:left="378" w:firstLine="538"/>
      </w:pPr>
    </w:p>
    <w:p/>
    <w:p>
      <w:pPr>
        <w:pStyle w:val="18"/>
        <w:ind w:firstLine="209"/>
      </w:pPr>
    </w:p>
    <w:p>
      <w:pPr>
        <w:jc w:val="both"/>
        <w:rPr>
          <w:rFonts w:hint="eastAsia" w:ascii="仿宋" w:hAnsi="仿宋" w:eastAsia="仿宋" w:cs="仿宋"/>
          <w:b/>
          <w:bCs/>
          <w:snapToGrid w:val="0"/>
          <w:sz w:val="28"/>
          <w:szCs w:val="28"/>
          <w:lang w:val="en-US"/>
        </w:rPr>
      </w:pPr>
    </w:p>
    <w:p>
      <w:pPr>
        <w:jc w:val="both"/>
        <w:rPr>
          <w:rFonts w:ascii="仿宋" w:hAnsi="仿宋" w:eastAsia="仿宋" w:cs="仿宋"/>
          <w:b/>
          <w:bCs/>
          <w:snapToGrid w:val="0"/>
          <w:sz w:val="28"/>
          <w:szCs w:val="28"/>
        </w:rPr>
      </w:pPr>
      <w:r>
        <w:rPr>
          <w:rFonts w:hint="eastAsia" w:ascii="仿宋" w:hAnsi="仿宋" w:eastAsia="仿宋" w:cs="仿宋"/>
          <w:b/>
          <w:bCs/>
          <w:snapToGrid w:val="0"/>
          <w:sz w:val="28"/>
          <w:szCs w:val="28"/>
          <w:lang w:val="en-US"/>
        </w:rPr>
        <w:t>十三、</w:t>
      </w:r>
      <w:r>
        <w:rPr>
          <w:rFonts w:hint="eastAsia" w:ascii="仿宋" w:hAnsi="仿宋" w:eastAsia="仿宋" w:cs="仿宋"/>
          <w:b/>
          <w:bCs/>
          <w:snapToGrid w:val="0"/>
          <w:sz w:val="28"/>
          <w:szCs w:val="28"/>
        </w:rPr>
        <w:t>项目实施方案</w:t>
      </w:r>
      <w:bookmarkEnd w:id="132"/>
      <w:bookmarkEnd w:id="133"/>
      <w:bookmarkEnd w:id="134"/>
      <w:bookmarkEnd w:id="135"/>
      <w:bookmarkEnd w:id="136"/>
    </w:p>
    <w:p>
      <w:pPr>
        <w:pStyle w:val="3"/>
        <w:spacing w:line="360" w:lineRule="auto"/>
        <w:ind w:left="0" w:firstLine="418" w:firstLineChars="200"/>
        <w:rPr>
          <w:rFonts w:ascii="仿宋" w:hAnsi="仿宋" w:eastAsia="仿宋" w:cs="仿宋"/>
          <w:b w:val="0"/>
          <w:bCs w:val="0"/>
          <w:snapToGrid w:val="0"/>
          <w:sz w:val="24"/>
          <w:szCs w:val="24"/>
        </w:rPr>
      </w:pPr>
    </w:p>
    <w:p>
      <w:pPr>
        <w:pStyle w:val="3"/>
        <w:spacing w:line="360" w:lineRule="auto"/>
        <w:ind w:left="0" w:firstLine="418" w:firstLineChars="200"/>
        <w:jc w:val="center"/>
        <w:rPr>
          <w:rFonts w:ascii="仿宋" w:hAnsi="仿宋" w:eastAsia="仿宋" w:cs="仿宋"/>
          <w:b w:val="0"/>
          <w:bCs w:val="0"/>
          <w:snapToGrid w:val="0"/>
          <w:sz w:val="28"/>
          <w:szCs w:val="28"/>
        </w:rPr>
      </w:pPr>
      <w:r>
        <w:rPr>
          <w:rFonts w:hint="eastAsia" w:ascii="仿宋" w:hAnsi="仿宋" w:eastAsia="仿宋" w:cs="仿宋"/>
          <w:b w:val="0"/>
          <w:bCs w:val="0"/>
          <w:snapToGrid w:val="0"/>
          <w:sz w:val="24"/>
          <w:szCs w:val="24"/>
        </w:rPr>
        <w:t>项目</w:t>
      </w:r>
      <w:r>
        <w:rPr>
          <w:rFonts w:hint="eastAsia" w:ascii="仿宋" w:hAnsi="仿宋" w:eastAsia="仿宋" w:cs="仿宋"/>
          <w:b w:val="0"/>
          <w:bCs w:val="0"/>
          <w:snapToGrid w:val="0"/>
          <w:sz w:val="28"/>
          <w:szCs w:val="28"/>
        </w:rPr>
        <w:t>实施方案</w:t>
      </w:r>
    </w:p>
    <w:p>
      <w:pPr>
        <w:pStyle w:val="3"/>
        <w:spacing w:line="360" w:lineRule="auto"/>
        <w:ind w:left="0" w:firstLine="418" w:firstLineChars="200"/>
        <w:rPr>
          <w:rFonts w:ascii="仿宋" w:hAnsi="仿宋" w:eastAsia="仿宋" w:cs="仿宋"/>
          <w:b w:val="0"/>
          <w:bCs w:val="0"/>
          <w:snapToGrid w:val="0"/>
          <w:sz w:val="24"/>
          <w:szCs w:val="24"/>
        </w:rPr>
      </w:pPr>
    </w:p>
    <w:p>
      <w:pPr>
        <w:pStyle w:val="3"/>
        <w:spacing w:line="360" w:lineRule="auto"/>
        <w:ind w:left="0" w:firstLine="418" w:firstLineChars="200"/>
        <w:rPr>
          <w:rFonts w:ascii="仿宋" w:hAnsi="仿宋" w:eastAsia="仿宋" w:cs="仿宋"/>
          <w:b w:val="0"/>
          <w:bCs w:val="0"/>
          <w:snapToGrid w:val="0"/>
          <w:sz w:val="24"/>
          <w:szCs w:val="24"/>
        </w:rPr>
      </w:pPr>
      <w:r>
        <w:rPr>
          <w:rFonts w:hint="eastAsia" w:ascii="仿宋" w:hAnsi="仿宋" w:eastAsia="仿宋" w:cs="仿宋"/>
          <w:b w:val="0"/>
          <w:bCs w:val="0"/>
          <w:snapToGrid w:val="0"/>
          <w:sz w:val="24"/>
          <w:szCs w:val="24"/>
          <w:lang w:val="en-US"/>
        </w:rPr>
        <w:t>投标人</w:t>
      </w:r>
      <w:r>
        <w:rPr>
          <w:rFonts w:hint="eastAsia" w:ascii="仿宋" w:hAnsi="仿宋" w:eastAsia="仿宋" w:cs="仿宋"/>
          <w:b w:val="0"/>
          <w:bCs w:val="0"/>
          <w:snapToGrid w:val="0"/>
          <w:sz w:val="24"/>
          <w:szCs w:val="24"/>
        </w:rPr>
        <w:t xml:space="preserve">根据采购项目要求及自身情况自行编制。 </w:t>
      </w:r>
    </w:p>
    <w:p>
      <w:pPr>
        <w:pStyle w:val="3"/>
        <w:spacing w:line="360" w:lineRule="auto"/>
        <w:ind w:left="0" w:firstLine="418" w:firstLineChars="200"/>
        <w:rPr>
          <w:rFonts w:ascii="仿宋" w:hAnsi="仿宋" w:eastAsia="仿宋" w:cs="仿宋"/>
          <w:b w:val="0"/>
          <w:bCs w:val="0"/>
          <w:snapToGrid w:val="0"/>
          <w:sz w:val="24"/>
          <w:szCs w:val="24"/>
        </w:rPr>
      </w:pPr>
    </w:p>
    <w:p>
      <w:pPr>
        <w:pStyle w:val="3"/>
        <w:spacing w:line="360" w:lineRule="auto"/>
        <w:ind w:left="0" w:firstLine="418" w:firstLineChars="200"/>
        <w:rPr>
          <w:rFonts w:ascii="仿宋" w:hAnsi="仿宋" w:eastAsia="仿宋" w:cs="仿宋"/>
          <w:b w:val="0"/>
          <w:bCs w:val="0"/>
          <w:snapToGrid w:val="0"/>
          <w:sz w:val="24"/>
          <w:szCs w:val="24"/>
        </w:rPr>
      </w:pPr>
    </w:p>
    <w:p>
      <w:pPr>
        <w:pStyle w:val="3"/>
        <w:spacing w:line="360" w:lineRule="auto"/>
        <w:ind w:left="0" w:firstLine="418" w:firstLineChars="200"/>
        <w:rPr>
          <w:rFonts w:ascii="仿宋" w:hAnsi="仿宋" w:eastAsia="仿宋" w:cs="仿宋"/>
          <w:b w:val="0"/>
          <w:bCs w:val="0"/>
          <w:snapToGrid w:val="0"/>
          <w:sz w:val="24"/>
          <w:szCs w:val="24"/>
        </w:rPr>
      </w:pPr>
      <w:r>
        <w:rPr>
          <w:rFonts w:hint="eastAsia" w:ascii="仿宋" w:hAnsi="仿宋" w:eastAsia="仿宋" w:cs="仿宋"/>
          <w:b w:val="0"/>
          <w:bCs w:val="0"/>
          <w:snapToGrid w:val="0"/>
          <w:sz w:val="24"/>
          <w:szCs w:val="24"/>
          <w:lang w:val="en-US"/>
        </w:rPr>
        <w:t>投标人</w:t>
      </w:r>
      <w:r>
        <w:rPr>
          <w:rFonts w:hint="eastAsia" w:ascii="仿宋" w:hAnsi="仿宋" w:eastAsia="仿宋" w:cs="仿宋"/>
          <w:b w:val="0"/>
          <w:bCs w:val="0"/>
          <w:snapToGrid w:val="0"/>
          <w:sz w:val="24"/>
          <w:szCs w:val="24"/>
        </w:rPr>
        <w:t>（企业电子章）：</w:t>
      </w:r>
      <w:bookmarkStart w:id="137" w:name="_Toc9026"/>
      <w:bookmarkStart w:id="138" w:name="_Toc4593"/>
    </w:p>
    <w:p>
      <w:pPr>
        <w:rPr>
          <w:rFonts w:ascii="仿宋" w:hAnsi="仿宋" w:eastAsia="仿宋" w:cs="仿宋"/>
          <w:snapToGrid w:val="0"/>
          <w:sz w:val="24"/>
          <w:szCs w:val="24"/>
        </w:rPr>
      </w:pPr>
      <w:r>
        <w:rPr>
          <w:rFonts w:hint="eastAsia" w:ascii="仿宋" w:hAnsi="仿宋" w:eastAsia="仿宋" w:cs="仿宋"/>
          <w:snapToGrid w:val="0"/>
          <w:sz w:val="24"/>
          <w:szCs w:val="24"/>
        </w:rPr>
        <w:br w:type="page"/>
      </w:r>
    </w:p>
    <w:p>
      <w:pPr>
        <w:pStyle w:val="5"/>
        <w:rPr>
          <w:rFonts w:ascii="仿宋" w:hAnsi="仿宋" w:cs="仿宋"/>
          <w:snapToGrid w:val="0"/>
          <w:lang w:val="en-US"/>
        </w:rPr>
      </w:pPr>
      <w:bookmarkStart w:id="139" w:name="_Toc32323"/>
      <w:bookmarkStart w:id="140" w:name="_Toc9958"/>
      <w:r>
        <w:rPr>
          <w:rFonts w:hint="eastAsia" w:ascii="仿宋" w:hAnsi="仿宋" w:cs="仿宋"/>
          <w:snapToGrid w:val="0"/>
          <w:lang w:val="en-US"/>
        </w:rPr>
        <w:t>十四、辅助资料表</w:t>
      </w:r>
    </w:p>
    <w:p>
      <w:pPr>
        <w:pStyle w:val="5"/>
        <w:rPr>
          <w:rFonts w:ascii="仿宋" w:hAnsi="仿宋" w:cs="仿宋"/>
          <w:sz w:val="24"/>
          <w:szCs w:val="24"/>
          <w:lang w:val="en-US"/>
        </w:rPr>
      </w:pPr>
    </w:p>
    <w:p>
      <w:pPr>
        <w:jc w:val="center"/>
        <w:rPr>
          <w:rFonts w:ascii="仿宋" w:hAnsi="仿宋" w:eastAsia="仿宋" w:cs="仿宋"/>
          <w:snapToGrid w:val="0"/>
          <w:sz w:val="28"/>
          <w:szCs w:val="28"/>
        </w:rPr>
      </w:pPr>
      <w:r>
        <w:rPr>
          <w:rFonts w:hint="eastAsia" w:ascii="仿宋" w:hAnsi="仿宋" w:eastAsia="仿宋" w:cs="仿宋"/>
          <w:snapToGrid w:val="0"/>
          <w:sz w:val="28"/>
          <w:szCs w:val="28"/>
        </w:rPr>
        <w:t>辅助资料表</w:t>
      </w:r>
    </w:p>
    <w:p>
      <w:pPr>
        <w:rPr>
          <w:rFonts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rPr>
        <w:t xml:space="preserve">    一、投标企业综合说明</w:t>
      </w:r>
    </w:p>
    <w:p>
      <w:pPr>
        <w:rPr>
          <w:rFonts w:ascii="仿宋" w:hAnsi="仿宋" w:eastAsia="仿宋" w:cs="仿宋"/>
          <w:sz w:val="24"/>
          <w:szCs w:val="24"/>
        </w:rPr>
      </w:pPr>
      <w:r>
        <w:rPr>
          <w:rFonts w:hint="eastAsia" w:ascii="仿宋" w:hAnsi="仿宋" w:eastAsia="仿宋" w:cs="仿宋"/>
          <w:sz w:val="24"/>
          <w:szCs w:val="24"/>
        </w:rPr>
        <w:t xml:space="preserve">    二、项目负责人简历表（必须包含以下内容）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670"/>
        <w:gridCol w:w="1238"/>
        <w:gridCol w:w="653"/>
        <w:gridCol w:w="778"/>
        <w:gridCol w:w="1744"/>
        <w:gridCol w:w="1436"/>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2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姓名</w:t>
            </w:r>
          </w:p>
        </w:tc>
        <w:tc>
          <w:tcPr>
            <w:tcW w:w="190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性别</w:t>
            </w:r>
          </w:p>
        </w:tc>
        <w:tc>
          <w:tcPr>
            <w:tcW w:w="1744"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s="仿宋"/>
                <w:sz w:val="24"/>
                <w:szCs w:val="24"/>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年龄</w:t>
            </w:r>
          </w:p>
        </w:tc>
        <w:tc>
          <w:tcPr>
            <w:tcW w:w="1716" w:type="dxa"/>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2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职务</w:t>
            </w:r>
          </w:p>
        </w:tc>
        <w:tc>
          <w:tcPr>
            <w:tcW w:w="190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职称</w:t>
            </w:r>
          </w:p>
        </w:tc>
        <w:tc>
          <w:tcPr>
            <w:tcW w:w="1744"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s="仿宋"/>
                <w:sz w:val="24"/>
                <w:szCs w:val="24"/>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学历</w:t>
            </w:r>
          </w:p>
        </w:tc>
        <w:tc>
          <w:tcPr>
            <w:tcW w:w="1716" w:type="dxa"/>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3129"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参加工作时间</w:t>
            </w:r>
          </w:p>
        </w:tc>
        <w:tc>
          <w:tcPr>
            <w:tcW w:w="6327" w:type="dxa"/>
            <w:gridSpan w:val="5"/>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9456" w:type="dxa"/>
            <w:gridSpan w:val="8"/>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89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采购单位</w:t>
            </w:r>
          </w:p>
        </w:tc>
        <w:tc>
          <w:tcPr>
            <w:tcW w:w="189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项目名称</w:t>
            </w:r>
          </w:p>
        </w:tc>
        <w:tc>
          <w:tcPr>
            <w:tcW w:w="3958"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项目主要概况</w:t>
            </w:r>
          </w:p>
        </w:tc>
        <w:tc>
          <w:tcPr>
            <w:tcW w:w="171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lang w:val="en-US"/>
              </w:rPr>
            </w:pPr>
            <w:r>
              <w:rPr>
                <w:rFonts w:hint="eastAsia" w:ascii="仿宋" w:hAnsi="仿宋" w:eastAsia="仿宋" w:cs="仿宋"/>
                <w:sz w:val="24"/>
                <w:szCs w:val="24"/>
                <w:lang w:val="en-US"/>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1891" w:type="dxa"/>
            <w:gridSpan w:val="2"/>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3958" w:type="dxa"/>
            <w:gridSpan w:val="3"/>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1716" w:type="dxa"/>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1891" w:type="dxa"/>
            <w:gridSpan w:val="2"/>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3958" w:type="dxa"/>
            <w:gridSpan w:val="3"/>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1716" w:type="dxa"/>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1891" w:type="dxa"/>
            <w:gridSpan w:val="2"/>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3958" w:type="dxa"/>
            <w:gridSpan w:val="3"/>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1716" w:type="dxa"/>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1891" w:type="dxa"/>
            <w:gridSpan w:val="2"/>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3958" w:type="dxa"/>
            <w:gridSpan w:val="3"/>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1716" w:type="dxa"/>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1891" w:type="dxa"/>
            <w:gridSpan w:val="2"/>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3958" w:type="dxa"/>
            <w:gridSpan w:val="3"/>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1716" w:type="dxa"/>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1891" w:type="dxa"/>
            <w:gridSpan w:val="2"/>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3958" w:type="dxa"/>
            <w:gridSpan w:val="3"/>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c>
          <w:tcPr>
            <w:tcW w:w="1716" w:type="dxa"/>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p>
        </w:tc>
      </w:tr>
    </w:tbl>
    <w:p>
      <w:pPr>
        <w:rPr>
          <w:rFonts w:ascii="仿宋" w:hAnsi="仿宋" w:eastAsia="仿宋" w:cs="仿宋"/>
          <w:sz w:val="24"/>
          <w:szCs w:val="24"/>
        </w:rPr>
      </w:pPr>
    </w:p>
    <w:p>
      <w:pPr>
        <w:rPr>
          <w:rFonts w:ascii="仿宋" w:hAnsi="仿宋" w:eastAsia="仿宋" w:cs="仿宋"/>
          <w:b/>
          <w:sz w:val="24"/>
          <w:szCs w:val="24"/>
          <w:u w:val="single"/>
        </w:rPr>
      </w:pPr>
    </w:p>
    <w:p>
      <w:pPr>
        <w:widowControl/>
        <w:rPr>
          <w:rFonts w:ascii="仿宋" w:hAnsi="仿宋" w:eastAsia="仿宋" w:cs="仿宋"/>
          <w:sz w:val="24"/>
          <w:szCs w:val="24"/>
        </w:rPr>
        <w:sectPr>
          <w:pgSz w:w="11906" w:h="16838"/>
          <w:pgMar w:top="1418" w:right="1247" w:bottom="1418" w:left="1418" w:header="851" w:footer="992" w:gutter="0"/>
          <w:cols w:space="720" w:num="1"/>
          <w:docGrid w:type="linesAndChars" w:linePitch="466" w:charSpace="-6394"/>
        </w:sectPr>
      </w:pPr>
    </w:p>
    <w:p>
      <w:pPr>
        <w:jc w:val="center"/>
        <w:rPr>
          <w:rFonts w:ascii="仿宋" w:hAnsi="仿宋" w:eastAsia="仿宋" w:cs="仿宋"/>
          <w:b/>
          <w:sz w:val="24"/>
          <w:szCs w:val="24"/>
        </w:rPr>
      </w:pPr>
    </w:p>
    <w:p>
      <w:pPr>
        <w:jc w:val="center"/>
        <w:rPr>
          <w:rFonts w:ascii="仿宋" w:hAnsi="仿宋" w:eastAsia="仿宋" w:cs="仿宋"/>
          <w:b/>
          <w:sz w:val="24"/>
          <w:szCs w:val="24"/>
        </w:rPr>
      </w:pPr>
      <w:r>
        <w:rPr>
          <w:rFonts w:hint="eastAsia" w:ascii="仿宋" w:hAnsi="仿宋" w:eastAsia="仿宋" w:cs="仿宋"/>
          <w:b/>
          <w:sz w:val="24"/>
          <w:szCs w:val="24"/>
        </w:rPr>
        <w:t>拟投入本项目人员表</w:t>
      </w:r>
    </w:p>
    <w:tbl>
      <w:tblPr>
        <w:tblStyle w:val="20"/>
        <w:tblW w:w="0" w:type="auto"/>
        <w:tblInd w:w="2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92"/>
        <w:gridCol w:w="560"/>
        <w:gridCol w:w="560"/>
        <w:gridCol w:w="1610"/>
        <w:gridCol w:w="1276"/>
        <w:gridCol w:w="21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1008" w:type="dxa"/>
            <w:tcBorders>
              <w:top w:val="single" w:color="auto" w:sz="12" w:space="0"/>
              <w:left w:val="single" w:color="auto" w:sz="12" w:space="0"/>
              <w:bottom w:val="single" w:color="auto" w:sz="4" w:space="0"/>
              <w:right w:val="single" w:color="auto" w:sz="4" w:space="0"/>
            </w:tcBorders>
            <w:noWrap/>
            <w:vAlign w:val="center"/>
          </w:tcPr>
          <w:p>
            <w:pPr>
              <w:jc w:val="center"/>
              <w:rPr>
                <w:rFonts w:ascii="仿宋" w:hAnsi="仿宋" w:eastAsia="仿宋" w:cs="仿宋"/>
                <w:b/>
                <w:sz w:val="24"/>
                <w:szCs w:val="24"/>
              </w:rPr>
            </w:pPr>
            <w:r>
              <w:rPr>
                <w:rFonts w:hint="eastAsia" w:ascii="仿宋" w:hAnsi="仿宋" w:eastAsia="仿宋" w:cs="仿宋"/>
                <w:b/>
                <w:sz w:val="24"/>
                <w:szCs w:val="24"/>
              </w:rPr>
              <w:t>拟设</w:t>
            </w:r>
          </w:p>
          <w:p>
            <w:pPr>
              <w:jc w:val="center"/>
              <w:rPr>
                <w:rFonts w:ascii="仿宋" w:hAnsi="仿宋" w:eastAsia="仿宋" w:cs="仿宋"/>
                <w:b/>
                <w:sz w:val="24"/>
                <w:szCs w:val="24"/>
              </w:rPr>
            </w:pPr>
            <w:r>
              <w:rPr>
                <w:rFonts w:hint="eastAsia" w:ascii="仿宋" w:hAnsi="仿宋" w:eastAsia="仿宋" w:cs="仿宋"/>
                <w:b/>
                <w:sz w:val="24"/>
                <w:szCs w:val="24"/>
              </w:rPr>
              <w:t>职务</w:t>
            </w:r>
          </w:p>
        </w:tc>
        <w:tc>
          <w:tcPr>
            <w:tcW w:w="1792" w:type="dxa"/>
            <w:tcBorders>
              <w:top w:val="single" w:color="auto" w:sz="12" w:space="0"/>
              <w:left w:val="single" w:color="auto" w:sz="4" w:space="0"/>
              <w:bottom w:val="single" w:color="auto" w:sz="4" w:space="0"/>
              <w:right w:val="single" w:color="auto" w:sz="4" w:space="0"/>
            </w:tcBorders>
            <w:noWrap/>
            <w:vAlign w:val="center"/>
          </w:tcPr>
          <w:p>
            <w:pPr>
              <w:jc w:val="center"/>
              <w:rPr>
                <w:rFonts w:ascii="仿宋" w:hAnsi="仿宋" w:eastAsia="仿宋" w:cs="仿宋"/>
                <w:b/>
                <w:sz w:val="24"/>
                <w:szCs w:val="24"/>
              </w:rPr>
            </w:pPr>
            <w:r>
              <w:rPr>
                <w:rFonts w:hint="eastAsia" w:ascii="仿宋" w:hAnsi="仿宋" w:eastAsia="仿宋" w:cs="仿宋"/>
                <w:b/>
                <w:sz w:val="24"/>
                <w:szCs w:val="24"/>
              </w:rPr>
              <w:t>姓名</w:t>
            </w:r>
          </w:p>
        </w:tc>
        <w:tc>
          <w:tcPr>
            <w:tcW w:w="560" w:type="dxa"/>
            <w:tcBorders>
              <w:top w:val="single" w:color="auto" w:sz="12" w:space="0"/>
              <w:left w:val="single" w:color="auto" w:sz="4" w:space="0"/>
              <w:bottom w:val="single" w:color="auto" w:sz="4" w:space="0"/>
              <w:right w:val="single" w:color="auto" w:sz="4" w:space="0"/>
            </w:tcBorders>
            <w:noWrap/>
            <w:vAlign w:val="center"/>
          </w:tcPr>
          <w:p>
            <w:pPr>
              <w:jc w:val="center"/>
              <w:rPr>
                <w:rFonts w:ascii="仿宋" w:hAnsi="仿宋" w:eastAsia="仿宋" w:cs="仿宋"/>
                <w:b/>
                <w:sz w:val="24"/>
                <w:szCs w:val="24"/>
              </w:rPr>
            </w:pPr>
            <w:r>
              <w:rPr>
                <w:rFonts w:hint="eastAsia" w:ascii="仿宋" w:hAnsi="仿宋" w:eastAsia="仿宋" w:cs="仿宋"/>
                <w:b/>
                <w:sz w:val="24"/>
                <w:szCs w:val="24"/>
              </w:rPr>
              <w:t>性别</w:t>
            </w:r>
          </w:p>
        </w:tc>
        <w:tc>
          <w:tcPr>
            <w:tcW w:w="560" w:type="dxa"/>
            <w:tcBorders>
              <w:top w:val="single" w:color="auto" w:sz="12" w:space="0"/>
              <w:left w:val="single" w:color="auto" w:sz="4" w:space="0"/>
              <w:bottom w:val="single" w:color="auto" w:sz="4" w:space="0"/>
              <w:right w:val="single" w:color="auto" w:sz="4" w:space="0"/>
            </w:tcBorders>
            <w:noWrap/>
            <w:vAlign w:val="center"/>
          </w:tcPr>
          <w:p>
            <w:pPr>
              <w:jc w:val="center"/>
              <w:rPr>
                <w:rFonts w:ascii="仿宋" w:hAnsi="仿宋" w:eastAsia="仿宋" w:cs="仿宋"/>
                <w:b/>
                <w:sz w:val="24"/>
                <w:szCs w:val="24"/>
              </w:rPr>
            </w:pPr>
            <w:r>
              <w:rPr>
                <w:rFonts w:hint="eastAsia" w:ascii="仿宋" w:hAnsi="仿宋" w:eastAsia="仿宋" w:cs="仿宋"/>
                <w:b/>
                <w:sz w:val="24"/>
                <w:szCs w:val="24"/>
              </w:rPr>
              <w:t>年龄</w:t>
            </w:r>
          </w:p>
        </w:tc>
        <w:tc>
          <w:tcPr>
            <w:tcW w:w="1610" w:type="dxa"/>
            <w:tcBorders>
              <w:top w:val="single" w:color="auto" w:sz="12" w:space="0"/>
              <w:left w:val="single" w:color="auto" w:sz="4" w:space="0"/>
              <w:bottom w:val="single" w:color="auto" w:sz="4" w:space="0"/>
              <w:right w:val="single" w:color="auto" w:sz="4" w:space="0"/>
            </w:tcBorders>
            <w:noWrap/>
            <w:vAlign w:val="center"/>
          </w:tcPr>
          <w:p>
            <w:pPr>
              <w:jc w:val="center"/>
              <w:rPr>
                <w:rFonts w:ascii="仿宋" w:hAnsi="仿宋" w:eastAsia="仿宋" w:cs="仿宋"/>
                <w:b/>
                <w:sz w:val="24"/>
                <w:szCs w:val="24"/>
              </w:rPr>
            </w:pPr>
            <w:r>
              <w:rPr>
                <w:rFonts w:hint="eastAsia" w:ascii="仿宋" w:hAnsi="仿宋" w:eastAsia="仿宋" w:cs="仿宋"/>
                <w:b/>
                <w:sz w:val="24"/>
                <w:szCs w:val="24"/>
              </w:rPr>
              <w:t>职称</w:t>
            </w:r>
          </w:p>
        </w:tc>
        <w:tc>
          <w:tcPr>
            <w:tcW w:w="1276" w:type="dxa"/>
            <w:tcBorders>
              <w:top w:val="single" w:color="auto" w:sz="12" w:space="0"/>
              <w:left w:val="single" w:color="auto" w:sz="4" w:space="0"/>
              <w:bottom w:val="single" w:color="auto" w:sz="4" w:space="0"/>
              <w:right w:val="single" w:color="auto" w:sz="4" w:space="0"/>
            </w:tcBorders>
            <w:noWrap/>
            <w:vAlign w:val="center"/>
          </w:tcPr>
          <w:p>
            <w:pPr>
              <w:rPr>
                <w:rFonts w:ascii="仿宋" w:hAnsi="仿宋" w:eastAsia="仿宋" w:cs="仿宋"/>
                <w:b/>
                <w:sz w:val="24"/>
                <w:szCs w:val="24"/>
              </w:rPr>
            </w:pPr>
            <w:r>
              <w:rPr>
                <w:rFonts w:hint="eastAsia" w:ascii="仿宋" w:hAnsi="仿宋" w:eastAsia="仿宋" w:cs="仿宋"/>
                <w:b/>
                <w:sz w:val="24"/>
                <w:szCs w:val="24"/>
              </w:rPr>
              <w:t>服务年限</w:t>
            </w:r>
          </w:p>
        </w:tc>
        <w:tc>
          <w:tcPr>
            <w:tcW w:w="2154" w:type="dxa"/>
            <w:tcBorders>
              <w:top w:val="single" w:color="auto" w:sz="12" w:space="0"/>
              <w:left w:val="single" w:color="auto" w:sz="4" w:space="0"/>
              <w:bottom w:val="single" w:color="auto" w:sz="4" w:space="0"/>
              <w:right w:val="single" w:color="auto" w:sz="12" w:space="0"/>
            </w:tcBorders>
            <w:noWrap/>
            <w:vAlign w:val="center"/>
          </w:tcPr>
          <w:p>
            <w:pPr>
              <w:jc w:val="center"/>
              <w:rPr>
                <w:rFonts w:ascii="仿宋" w:hAnsi="仿宋" w:eastAsia="仿宋" w:cs="仿宋"/>
                <w:b/>
                <w:sz w:val="24"/>
                <w:szCs w:val="24"/>
              </w:rPr>
            </w:pPr>
            <w:r>
              <w:rPr>
                <w:rFonts w:hint="eastAsia" w:ascii="仿宋" w:hAnsi="仿宋" w:eastAsia="仿宋" w:cs="仿宋"/>
                <w:b/>
                <w:sz w:val="24"/>
                <w:szCs w:val="24"/>
              </w:rPr>
              <w:t>学历及专业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008" w:type="dxa"/>
            <w:tcBorders>
              <w:top w:val="single" w:color="auto" w:sz="4" w:space="0"/>
              <w:left w:val="single" w:color="auto" w:sz="12"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17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161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2154" w:type="dxa"/>
            <w:tcBorders>
              <w:top w:val="single" w:color="auto" w:sz="4" w:space="0"/>
              <w:left w:val="single" w:color="auto" w:sz="4" w:space="0"/>
              <w:bottom w:val="single" w:color="auto" w:sz="4"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noWrap/>
            <w:vAlign w:val="center"/>
          </w:tcPr>
          <w:p>
            <w:pPr>
              <w:rPr>
                <w:rFonts w:ascii="仿宋" w:hAnsi="仿宋" w:eastAsia="仿宋" w:cs="仿宋"/>
                <w:sz w:val="24"/>
                <w:szCs w:val="24"/>
              </w:rPr>
            </w:pPr>
          </w:p>
        </w:tc>
        <w:tc>
          <w:tcPr>
            <w:tcW w:w="17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161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2154" w:type="dxa"/>
            <w:tcBorders>
              <w:top w:val="single" w:color="auto" w:sz="4" w:space="0"/>
              <w:left w:val="single" w:color="auto" w:sz="4" w:space="0"/>
              <w:bottom w:val="single" w:color="auto" w:sz="4"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noWrap/>
            <w:vAlign w:val="center"/>
          </w:tcPr>
          <w:p>
            <w:pPr>
              <w:rPr>
                <w:rFonts w:ascii="仿宋" w:hAnsi="仿宋" w:eastAsia="仿宋" w:cs="仿宋"/>
                <w:sz w:val="24"/>
                <w:szCs w:val="24"/>
              </w:rPr>
            </w:pPr>
          </w:p>
        </w:tc>
        <w:tc>
          <w:tcPr>
            <w:tcW w:w="17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161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2154" w:type="dxa"/>
            <w:tcBorders>
              <w:top w:val="single" w:color="auto" w:sz="4" w:space="0"/>
              <w:left w:val="single" w:color="auto" w:sz="4" w:space="0"/>
              <w:bottom w:val="single" w:color="auto" w:sz="4"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noWrap/>
            <w:vAlign w:val="center"/>
          </w:tcPr>
          <w:p>
            <w:pPr>
              <w:rPr>
                <w:rFonts w:ascii="仿宋" w:hAnsi="仿宋" w:eastAsia="仿宋" w:cs="仿宋"/>
                <w:sz w:val="24"/>
                <w:szCs w:val="24"/>
              </w:rPr>
            </w:pPr>
          </w:p>
        </w:tc>
        <w:tc>
          <w:tcPr>
            <w:tcW w:w="17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161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2154" w:type="dxa"/>
            <w:tcBorders>
              <w:top w:val="single" w:color="auto" w:sz="4" w:space="0"/>
              <w:left w:val="single" w:color="auto" w:sz="4" w:space="0"/>
              <w:bottom w:val="single" w:color="auto" w:sz="4"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noWrap/>
            <w:vAlign w:val="center"/>
          </w:tcPr>
          <w:p>
            <w:pPr>
              <w:rPr>
                <w:rFonts w:ascii="仿宋" w:hAnsi="仿宋" w:eastAsia="仿宋" w:cs="仿宋"/>
                <w:sz w:val="24"/>
                <w:szCs w:val="24"/>
              </w:rPr>
            </w:pPr>
          </w:p>
        </w:tc>
        <w:tc>
          <w:tcPr>
            <w:tcW w:w="17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161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2154" w:type="dxa"/>
            <w:tcBorders>
              <w:top w:val="single" w:color="auto" w:sz="4" w:space="0"/>
              <w:left w:val="single" w:color="auto" w:sz="4" w:space="0"/>
              <w:bottom w:val="single" w:color="auto" w:sz="4"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noWrap/>
            <w:vAlign w:val="center"/>
          </w:tcPr>
          <w:p>
            <w:pPr>
              <w:rPr>
                <w:rFonts w:ascii="仿宋" w:hAnsi="仿宋" w:eastAsia="仿宋" w:cs="仿宋"/>
                <w:sz w:val="24"/>
                <w:szCs w:val="24"/>
              </w:rPr>
            </w:pPr>
          </w:p>
        </w:tc>
        <w:tc>
          <w:tcPr>
            <w:tcW w:w="17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161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p>
        </w:tc>
        <w:tc>
          <w:tcPr>
            <w:tcW w:w="2154" w:type="dxa"/>
            <w:tcBorders>
              <w:top w:val="single" w:color="auto" w:sz="4" w:space="0"/>
              <w:left w:val="single" w:color="auto" w:sz="4" w:space="0"/>
              <w:bottom w:val="single" w:color="auto" w:sz="4"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45" w:hRule="atLeast"/>
        </w:trPr>
        <w:tc>
          <w:tcPr>
            <w:tcW w:w="8960" w:type="dxa"/>
            <w:gridSpan w:val="7"/>
            <w:tcBorders>
              <w:top w:val="single" w:color="auto" w:sz="4" w:space="0"/>
              <w:left w:val="single" w:color="auto" w:sz="12" w:space="0"/>
              <w:bottom w:val="single" w:color="auto" w:sz="4" w:space="0"/>
              <w:right w:val="single" w:color="auto" w:sz="12" w:space="0"/>
            </w:tcBorders>
            <w:noWrap/>
          </w:tcPr>
          <w:p>
            <w:pPr>
              <w:rPr>
                <w:rFonts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rPr>
              <w:t>其中：具有高级技术职称       人；</w:t>
            </w:r>
          </w:p>
          <w:p>
            <w:pPr>
              <w:ind w:firstLine="712" w:firstLineChars="297"/>
              <w:rPr>
                <w:rFonts w:ascii="仿宋" w:hAnsi="仿宋" w:eastAsia="仿宋" w:cs="仿宋"/>
                <w:sz w:val="24"/>
                <w:szCs w:val="24"/>
              </w:rPr>
            </w:pPr>
            <w:r>
              <w:rPr>
                <w:rFonts w:hint="eastAsia" w:ascii="仿宋" w:hAnsi="仿宋" w:eastAsia="仿宋" w:cs="仿宋"/>
                <w:sz w:val="24"/>
                <w:szCs w:val="24"/>
              </w:rPr>
              <w:t>具有中级技术职称       人。</w:t>
            </w:r>
          </w:p>
          <w:p>
            <w:pPr>
              <w:ind w:firstLine="715" w:firstLineChars="298"/>
              <w:rPr>
                <w:rFonts w:ascii="仿宋" w:hAnsi="仿宋" w:eastAsia="仿宋" w:cs="仿宋"/>
                <w:sz w:val="24"/>
                <w:szCs w:val="24"/>
              </w:rPr>
            </w:pPr>
            <w:r>
              <w:rPr>
                <w:rFonts w:hint="eastAsia" w:ascii="仿宋" w:hAnsi="仿宋" w:eastAsia="仿宋" w:cs="仿宋"/>
                <w:sz w:val="24"/>
                <w:szCs w:val="24"/>
              </w:rPr>
              <w:t>具有初级技术职称       人。</w:t>
            </w:r>
          </w:p>
          <w:p>
            <w:pPr>
              <w:ind w:firstLine="645"/>
              <w:rPr>
                <w:rFonts w:ascii="仿宋" w:hAnsi="仿宋" w:eastAsia="仿宋" w:cs="仿宋"/>
                <w:sz w:val="24"/>
                <w:szCs w:val="24"/>
              </w:rPr>
            </w:pPr>
          </w:p>
        </w:tc>
      </w:tr>
    </w:tbl>
    <w:p>
      <w:pPr>
        <w:pStyle w:val="3"/>
        <w:spacing w:line="360" w:lineRule="auto"/>
        <w:ind w:left="0" w:firstLine="562"/>
        <w:rPr>
          <w:rFonts w:ascii="仿宋" w:hAnsi="仿宋" w:eastAsia="仿宋" w:cs="仿宋"/>
          <w:snapToGrid w:val="0"/>
          <w:sz w:val="28"/>
          <w:szCs w:val="28"/>
        </w:rPr>
      </w:pPr>
    </w:p>
    <w:p>
      <w:pPr>
        <w:rPr>
          <w:rFonts w:ascii="仿宋" w:hAnsi="仿宋" w:eastAsia="仿宋" w:cs="仿宋"/>
          <w:b/>
          <w:bCs/>
          <w:snapToGrid w:val="0"/>
          <w:sz w:val="28"/>
          <w:szCs w:val="28"/>
        </w:rPr>
      </w:pPr>
    </w:p>
    <w:p>
      <w:pPr>
        <w:jc w:val="center"/>
        <w:rPr>
          <w:rFonts w:ascii="仿宋" w:hAnsi="仿宋" w:eastAsia="仿宋"/>
          <w:b/>
          <w:szCs w:val="21"/>
        </w:rPr>
      </w:pPr>
      <w:r>
        <w:rPr>
          <w:rFonts w:hint="eastAsia" w:ascii="仿宋" w:hAnsi="仿宋" w:eastAsia="仿宋"/>
          <w:b/>
          <w:szCs w:val="21"/>
        </w:rPr>
        <w:t>计划用于本项目的机械设备</w:t>
      </w:r>
    </w:p>
    <w:tbl>
      <w:tblPr>
        <w:tblStyle w:val="20"/>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157"/>
        <w:gridCol w:w="908"/>
        <w:gridCol w:w="1531"/>
        <w:gridCol w:w="2218"/>
        <w:gridCol w:w="908"/>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序号</w:t>
            </w:r>
          </w:p>
        </w:tc>
        <w:tc>
          <w:tcPr>
            <w:tcW w:w="115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设备</w:t>
            </w:r>
          </w:p>
          <w:p>
            <w:pPr>
              <w:jc w:val="center"/>
              <w:rPr>
                <w:rFonts w:ascii="仿宋" w:hAnsi="仿宋" w:eastAsia="仿宋"/>
                <w:szCs w:val="21"/>
              </w:rPr>
            </w:pPr>
            <w:r>
              <w:rPr>
                <w:rFonts w:hint="eastAsia" w:ascii="仿宋" w:hAnsi="仿宋" w:eastAsia="仿宋"/>
                <w:szCs w:val="21"/>
              </w:rPr>
              <w:t>名称</w:t>
            </w:r>
          </w:p>
        </w:tc>
        <w:tc>
          <w:tcPr>
            <w:tcW w:w="90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型号</w:t>
            </w:r>
          </w:p>
        </w:tc>
        <w:tc>
          <w:tcPr>
            <w:tcW w:w="153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制造年份及</w:t>
            </w:r>
          </w:p>
          <w:p>
            <w:pPr>
              <w:jc w:val="center"/>
              <w:rPr>
                <w:rFonts w:ascii="仿宋" w:hAnsi="仿宋" w:eastAsia="仿宋"/>
                <w:szCs w:val="21"/>
              </w:rPr>
            </w:pPr>
            <w:r>
              <w:rPr>
                <w:rFonts w:hint="eastAsia" w:ascii="仿宋" w:hAnsi="仿宋" w:eastAsia="仿宋"/>
                <w:szCs w:val="21"/>
              </w:rPr>
              <w:t>使用年限</w:t>
            </w:r>
          </w:p>
        </w:tc>
        <w:tc>
          <w:tcPr>
            <w:tcW w:w="221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现状</w:t>
            </w:r>
          </w:p>
          <w:p>
            <w:pPr>
              <w:jc w:val="center"/>
              <w:rPr>
                <w:rFonts w:ascii="仿宋" w:hAnsi="仿宋" w:eastAsia="仿宋"/>
                <w:szCs w:val="21"/>
              </w:rPr>
            </w:pPr>
            <w:r>
              <w:rPr>
                <w:rFonts w:hint="eastAsia" w:ascii="仿宋" w:hAnsi="仿宋" w:eastAsia="仿宋"/>
                <w:szCs w:val="21"/>
              </w:rPr>
              <w:t>（新旧程度）</w:t>
            </w:r>
          </w:p>
        </w:tc>
        <w:tc>
          <w:tcPr>
            <w:tcW w:w="90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数量</w:t>
            </w: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自有或</w:t>
            </w:r>
          </w:p>
          <w:p>
            <w:pPr>
              <w:jc w:val="center"/>
              <w:rPr>
                <w:rFonts w:ascii="仿宋" w:hAnsi="仿宋" w:eastAsia="仿宋"/>
                <w:szCs w:val="21"/>
              </w:rPr>
            </w:pPr>
            <w:r>
              <w:rPr>
                <w:rFonts w:hint="eastAsia" w:ascii="仿宋" w:hAnsi="仿宋" w:eastAsia="仿宋"/>
                <w:szCs w:val="21"/>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157"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90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531"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221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90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360"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157"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90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531"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221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90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360"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157"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90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531"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221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90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360"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157"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90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531"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221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90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360"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157"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90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531"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221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90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360"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157"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90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531"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221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908"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c>
          <w:tcPr>
            <w:tcW w:w="1360" w:type="dxa"/>
            <w:tcBorders>
              <w:top w:val="single" w:color="auto" w:sz="4" w:space="0"/>
              <w:left w:val="single" w:color="auto" w:sz="4" w:space="0"/>
              <w:bottom w:val="single" w:color="auto" w:sz="4" w:space="0"/>
              <w:right w:val="single" w:color="auto" w:sz="4" w:space="0"/>
            </w:tcBorders>
            <w:noWrap/>
          </w:tcPr>
          <w:p>
            <w:pPr>
              <w:jc w:val="center"/>
              <w:rPr>
                <w:rFonts w:ascii="仿宋" w:hAnsi="仿宋" w:eastAsia="仿宋"/>
                <w:szCs w:val="21"/>
              </w:rPr>
            </w:pPr>
          </w:p>
        </w:tc>
      </w:tr>
    </w:tbl>
    <w:p>
      <w:pPr>
        <w:pStyle w:val="18"/>
        <w:ind w:firstLine="281"/>
        <w:rPr>
          <w:rFonts w:ascii="仿宋" w:hAnsi="仿宋" w:eastAsia="仿宋" w:cs="仿宋"/>
          <w:b/>
          <w:bCs/>
          <w:snapToGrid w:val="0"/>
          <w:sz w:val="28"/>
          <w:szCs w:val="28"/>
        </w:rPr>
      </w:pPr>
    </w:p>
    <w:p>
      <w:pPr>
        <w:pStyle w:val="19"/>
        <w:ind w:left="440" w:firstLine="562"/>
        <w:rPr>
          <w:rFonts w:ascii="仿宋" w:hAnsi="仿宋" w:eastAsia="仿宋" w:cs="仿宋"/>
          <w:b/>
          <w:bCs/>
          <w:snapToGrid w:val="0"/>
          <w:sz w:val="28"/>
          <w:szCs w:val="28"/>
        </w:rPr>
      </w:pPr>
    </w:p>
    <w:p>
      <w:pPr>
        <w:rPr>
          <w:rFonts w:ascii="仿宋" w:hAnsi="仿宋" w:eastAsia="仿宋" w:cs="仿宋"/>
          <w:b/>
          <w:bCs/>
          <w:snapToGrid w:val="0"/>
          <w:sz w:val="28"/>
          <w:szCs w:val="28"/>
        </w:rPr>
      </w:pPr>
    </w:p>
    <w:p>
      <w:pPr>
        <w:pStyle w:val="18"/>
        <w:ind w:firstLine="281"/>
        <w:rPr>
          <w:rFonts w:ascii="仿宋" w:hAnsi="仿宋" w:eastAsia="仿宋" w:cs="仿宋"/>
          <w:b/>
          <w:bCs/>
          <w:snapToGrid w:val="0"/>
          <w:sz w:val="28"/>
          <w:szCs w:val="28"/>
        </w:rPr>
      </w:pPr>
    </w:p>
    <w:p>
      <w:pPr>
        <w:pStyle w:val="19"/>
        <w:ind w:left="440" w:firstLine="562"/>
        <w:rPr>
          <w:rFonts w:ascii="仿宋" w:hAnsi="仿宋" w:eastAsia="仿宋" w:cs="仿宋"/>
          <w:b/>
          <w:bCs/>
          <w:snapToGrid w:val="0"/>
          <w:sz w:val="28"/>
          <w:szCs w:val="28"/>
        </w:rPr>
      </w:pPr>
    </w:p>
    <w:p>
      <w:pPr>
        <w:rPr>
          <w:rFonts w:ascii="仿宋" w:hAnsi="仿宋" w:eastAsia="仿宋" w:cs="仿宋"/>
          <w:b/>
          <w:bCs/>
          <w:snapToGrid w:val="0"/>
          <w:sz w:val="28"/>
          <w:szCs w:val="28"/>
        </w:rPr>
      </w:pPr>
    </w:p>
    <w:p>
      <w:pPr>
        <w:pStyle w:val="3"/>
        <w:spacing w:line="360" w:lineRule="auto"/>
        <w:ind w:left="0" w:firstLine="562"/>
        <w:rPr>
          <w:rFonts w:hint="eastAsia" w:ascii="仿宋" w:hAnsi="仿宋" w:eastAsia="仿宋" w:cs="仿宋"/>
          <w:snapToGrid w:val="0"/>
          <w:sz w:val="28"/>
          <w:szCs w:val="28"/>
          <w:lang w:val="en-US"/>
        </w:rPr>
      </w:pPr>
    </w:p>
    <w:p>
      <w:pPr>
        <w:pStyle w:val="3"/>
        <w:spacing w:line="360" w:lineRule="auto"/>
        <w:ind w:left="0" w:firstLine="562"/>
        <w:rPr>
          <w:rFonts w:ascii="仿宋" w:hAnsi="仿宋" w:eastAsia="仿宋" w:cs="仿宋"/>
          <w:snapToGrid w:val="0"/>
          <w:sz w:val="28"/>
          <w:szCs w:val="28"/>
        </w:rPr>
      </w:pPr>
      <w:r>
        <w:rPr>
          <w:rFonts w:hint="eastAsia" w:ascii="仿宋" w:hAnsi="仿宋" w:eastAsia="仿宋" w:cs="仿宋"/>
          <w:snapToGrid w:val="0"/>
          <w:sz w:val="28"/>
          <w:szCs w:val="28"/>
          <w:lang w:val="en-US"/>
        </w:rPr>
        <w:t>十五、</w:t>
      </w:r>
      <w:r>
        <w:rPr>
          <w:rFonts w:hint="eastAsia" w:ascii="仿宋" w:hAnsi="仿宋" w:eastAsia="仿宋" w:cs="仿宋"/>
          <w:snapToGrid w:val="0"/>
          <w:sz w:val="28"/>
          <w:szCs w:val="28"/>
        </w:rPr>
        <w:t>后续服务及优惠条件</w:t>
      </w:r>
      <w:bookmarkEnd w:id="137"/>
      <w:bookmarkEnd w:id="138"/>
      <w:bookmarkEnd w:id="139"/>
      <w:bookmarkEnd w:id="140"/>
    </w:p>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560"/>
        <w:jc w:val="center"/>
        <w:rPr>
          <w:rFonts w:ascii="仿宋" w:hAnsi="仿宋" w:eastAsia="仿宋" w:cs="仿宋"/>
          <w:b w:val="0"/>
          <w:bCs w:val="0"/>
          <w:snapToGrid w:val="0"/>
          <w:sz w:val="28"/>
          <w:szCs w:val="28"/>
        </w:rPr>
      </w:pPr>
      <w:r>
        <w:rPr>
          <w:rFonts w:hint="eastAsia" w:ascii="仿宋" w:hAnsi="仿宋" w:eastAsia="仿宋" w:cs="仿宋"/>
          <w:b w:val="0"/>
          <w:bCs w:val="0"/>
          <w:snapToGrid w:val="0"/>
          <w:sz w:val="28"/>
          <w:szCs w:val="28"/>
        </w:rPr>
        <w:t>后续服务及优惠条件</w:t>
      </w:r>
    </w:p>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480" w:firstLineChars="200"/>
        <w:rPr>
          <w:rFonts w:ascii="仿宋" w:hAnsi="仿宋" w:eastAsia="仿宋" w:cs="仿宋"/>
          <w:b w:val="0"/>
          <w:bCs w:val="0"/>
          <w:snapToGrid w:val="0"/>
          <w:sz w:val="24"/>
          <w:szCs w:val="24"/>
        </w:rPr>
      </w:pPr>
      <w:r>
        <w:rPr>
          <w:rFonts w:hint="eastAsia" w:ascii="仿宋" w:hAnsi="仿宋" w:eastAsia="仿宋" w:cs="仿宋"/>
          <w:b w:val="0"/>
          <w:bCs w:val="0"/>
          <w:snapToGrid w:val="0"/>
          <w:sz w:val="24"/>
          <w:szCs w:val="24"/>
          <w:lang w:val="en-US"/>
        </w:rPr>
        <w:t>投标人</w:t>
      </w:r>
      <w:r>
        <w:rPr>
          <w:rFonts w:hint="eastAsia" w:ascii="仿宋" w:hAnsi="仿宋" w:eastAsia="仿宋" w:cs="仿宋"/>
          <w:b w:val="0"/>
          <w:bCs w:val="0"/>
          <w:snapToGrid w:val="0"/>
          <w:sz w:val="24"/>
          <w:szCs w:val="24"/>
        </w:rPr>
        <w:t>根据采购项目要求及自身情况自行填报。</w:t>
      </w:r>
    </w:p>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480" w:firstLineChars="200"/>
        <w:rPr>
          <w:rFonts w:ascii="仿宋" w:hAnsi="仿宋" w:eastAsia="仿宋" w:cs="仿宋"/>
          <w:b w:val="0"/>
          <w:bCs w:val="0"/>
          <w:snapToGrid w:val="0"/>
          <w:sz w:val="24"/>
          <w:szCs w:val="24"/>
        </w:rPr>
      </w:pPr>
      <w:r>
        <w:rPr>
          <w:rFonts w:hint="eastAsia" w:ascii="仿宋" w:hAnsi="仿宋" w:eastAsia="仿宋" w:cs="仿宋"/>
          <w:b w:val="0"/>
          <w:bCs w:val="0"/>
          <w:snapToGrid w:val="0"/>
          <w:sz w:val="24"/>
          <w:szCs w:val="24"/>
          <w:lang w:val="en-US"/>
        </w:rPr>
        <w:t>投标人</w:t>
      </w:r>
      <w:r>
        <w:rPr>
          <w:rFonts w:hint="eastAsia" w:ascii="仿宋" w:hAnsi="仿宋" w:eastAsia="仿宋" w:cs="仿宋"/>
          <w:b w:val="0"/>
          <w:bCs w:val="0"/>
          <w:snapToGrid w:val="0"/>
          <w:sz w:val="24"/>
          <w:szCs w:val="24"/>
        </w:rPr>
        <w:t>（企业电子章）：</w:t>
      </w:r>
      <w:bookmarkStart w:id="141" w:name="_Toc14383"/>
      <w:bookmarkStart w:id="142" w:name="_Toc531940071"/>
      <w:bookmarkStart w:id="143" w:name="_Toc1660967"/>
    </w:p>
    <w:p>
      <w:pPr>
        <w:rPr>
          <w:rFonts w:ascii="仿宋" w:hAnsi="仿宋" w:eastAsia="仿宋" w:cs="仿宋"/>
          <w:snapToGrid w:val="0"/>
          <w:sz w:val="24"/>
          <w:szCs w:val="24"/>
        </w:rPr>
      </w:pPr>
      <w:r>
        <w:rPr>
          <w:rFonts w:hint="eastAsia" w:ascii="仿宋" w:hAnsi="仿宋" w:eastAsia="仿宋" w:cs="仿宋"/>
          <w:snapToGrid w:val="0"/>
          <w:sz w:val="24"/>
          <w:szCs w:val="24"/>
        </w:rPr>
        <w:br w:type="page"/>
      </w:r>
    </w:p>
    <w:p>
      <w:pPr>
        <w:pStyle w:val="3"/>
        <w:spacing w:line="360" w:lineRule="auto"/>
        <w:ind w:left="0" w:firstLine="562"/>
        <w:rPr>
          <w:rFonts w:ascii="仿宋" w:hAnsi="仿宋" w:eastAsia="仿宋" w:cs="仿宋"/>
          <w:snapToGrid w:val="0"/>
          <w:sz w:val="28"/>
          <w:szCs w:val="28"/>
        </w:rPr>
      </w:pPr>
      <w:bookmarkStart w:id="144" w:name="_Toc3424"/>
      <w:bookmarkStart w:id="145" w:name="_Toc15596"/>
      <w:r>
        <w:rPr>
          <w:rFonts w:hint="eastAsia" w:ascii="仿宋" w:hAnsi="仿宋" w:eastAsia="仿宋" w:cs="仿宋"/>
          <w:snapToGrid w:val="0"/>
          <w:sz w:val="28"/>
          <w:szCs w:val="28"/>
          <w:lang w:val="en-US"/>
        </w:rPr>
        <w:t>十六、</w:t>
      </w:r>
      <w:r>
        <w:rPr>
          <w:rFonts w:hint="eastAsia" w:ascii="仿宋" w:hAnsi="仿宋" w:eastAsia="仿宋" w:cs="仿宋"/>
          <w:snapToGrid w:val="0"/>
          <w:sz w:val="28"/>
          <w:szCs w:val="28"/>
        </w:rPr>
        <w:t>其他需要提供的资料</w:t>
      </w:r>
      <w:bookmarkEnd w:id="141"/>
      <w:bookmarkEnd w:id="142"/>
      <w:bookmarkEnd w:id="143"/>
      <w:bookmarkEnd w:id="144"/>
      <w:bookmarkEnd w:id="145"/>
    </w:p>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560"/>
        <w:jc w:val="center"/>
        <w:rPr>
          <w:rFonts w:ascii="仿宋" w:hAnsi="仿宋" w:eastAsia="仿宋" w:cs="仿宋"/>
          <w:b w:val="0"/>
          <w:bCs w:val="0"/>
          <w:snapToGrid w:val="0"/>
          <w:sz w:val="28"/>
          <w:szCs w:val="28"/>
        </w:rPr>
      </w:pPr>
      <w:r>
        <w:rPr>
          <w:rFonts w:hint="eastAsia" w:ascii="仿宋" w:hAnsi="仿宋" w:eastAsia="仿宋" w:cs="仿宋"/>
          <w:b w:val="0"/>
          <w:bCs w:val="0"/>
          <w:snapToGrid w:val="0"/>
          <w:sz w:val="28"/>
          <w:szCs w:val="28"/>
        </w:rPr>
        <w:t>其他需要提供的资料</w:t>
      </w:r>
    </w:p>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480" w:firstLineChars="200"/>
        <w:rPr>
          <w:rFonts w:ascii="仿宋" w:hAnsi="仿宋" w:eastAsia="仿宋" w:cs="仿宋"/>
          <w:b w:val="0"/>
          <w:bCs w:val="0"/>
          <w:snapToGrid w:val="0"/>
          <w:sz w:val="24"/>
          <w:szCs w:val="24"/>
        </w:rPr>
      </w:pPr>
      <w:r>
        <w:rPr>
          <w:rFonts w:hint="eastAsia" w:ascii="仿宋" w:hAnsi="仿宋" w:eastAsia="仿宋" w:cs="仿宋"/>
          <w:b w:val="0"/>
          <w:bCs w:val="0"/>
          <w:snapToGrid w:val="0"/>
          <w:sz w:val="24"/>
          <w:szCs w:val="24"/>
          <w:lang w:val="en-US"/>
        </w:rPr>
        <w:t>投标人</w:t>
      </w:r>
      <w:r>
        <w:rPr>
          <w:rFonts w:hint="eastAsia" w:ascii="仿宋" w:hAnsi="仿宋" w:eastAsia="仿宋" w:cs="仿宋"/>
          <w:b w:val="0"/>
          <w:bCs w:val="0"/>
          <w:snapToGrid w:val="0"/>
          <w:sz w:val="24"/>
          <w:szCs w:val="24"/>
        </w:rPr>
        <w:t>根据</w:t>
      </w:r>
      <w:r>
        <w:rPr>
          <w:rFonts w:hint="eastAsia" w:ascii="仿宋" w:hAnsi="仿宋" w:eastAsia="仿宋" w:cs="仿宋"/>
          <w:b w:val="0"/>
          <w:bCs w:val="0"/>
          <w:snapToGrid w:val="0"/>
          <w:sz w:val="24"/>
          <w:szCs w:val="24"/>
          <w:lang w:val="en-US"/>
        </w:rPr>
        <w:t>招标</w:t>
      </w:r>
      <w:r>
        <w:rPr>
          <w:rFonts w:hint="eastAsia" w:ascii="仿宋" w:hAnsi="仿宋" w:eastAsia="仿宋" w:cs="仿宋"/>
          <w:b w:val="0"/>
          <w:bCs w:val="0"/>
          <w:snapToGrid w:val="0"/>
          <w:sz w:val="24"/>
          <w:szCs w:val="24"/>
        </w:rPr>
        <w:t>项目要求及自身情况自行填报。</w:t>
      </w:r>
      <w:bookmarkStart w:id="146" w:name="_Toc27995"/>
      <w:bookmarkStart w:id="147" w:name="_Toc1660968"/>
    </w:p>
    <w:p>
      <w:pPr>
        <w:rPr>
          <w:rFonts w:ascii="仿宋" w:hAnsi="仿宋" w:eastAsia="仿宋" w:cs="仿宋"/>
          <w:snapToGrid w:val="0"/>
          <w:sz w:val="24"/>
          <w:szCs w:val="24"/>
        </w:rPr>
      </w:pPr>
      <w:r>
        <w:rPr>
          <w:rFonts w:hint="eastAsia" w:ascii="仿宋" w:hAnsi="仿宋" w:eastAsia="仿宋" w:cs="仿宋"/>
          <w:snapToGrid w:val="0"/>
          <w:sz w:val="24"/>
          <w:szCs w:val="24"/>
        </w:rPr>
        <w:br w:type="page"/>
      </w:r>
    </w:p>
    <w:p>
      <w:pPr>
        <w:pStyle w:val="3"/>
        <w:spacing w:line="360" w:lineRule="auto"/>
        <w:ind w:left="0" w:firstLine="562"/>
        <w:rPr>
          <w:rFonts w:ascii="仿宋" w:hAnsi="仿宋" w:eastAsia="仿宋" w:cs="仿宋"/>
          <w:snapToGrid w:val="0"/>
          <w:sz w:val="28"/>
          <w:szCs w:val="28"/>
        </w:rPr>
      </w:pPr>
      <w:bookmarkStart w:id="148" w:name="_Toc32465"/>
      <w:bookmarkStart w:id="149" w:name="_Toc12325"/>
      <w:r>
        <w:rPr>
          <w:rFonts w:hint="eastAsia" w:ascii="仿宋" w:hAnsi="仿宋" w:eastAsia="仿宋" w:cs="仿宋"/>
          <w:snapToGrid w:val="0"/>
          <w:sz w:val="28"/>
          <w:szCs w:val="28"/>
          <w:lang w:val="en-US"/>
        </w:rPr>
        <w:t>十七、</w:t>
      </w:r>
      <w:r>
        <w:rPr>
          <w:rFonts w:hint="eastAsia" w:ascii="仿宋" w:hAnsi="仿宋" w:eastAsia="仿宋" w:cs="仿宋"/>
          <w:snapToGrid w:val="0"/>
          <w:sz w:val="28"/>
          <w:szCs w:val="28"/>
        </w:rPr>
        <w:t>参与评审打分的证书（证件）一览表</w:t>
      </w:r>
      <w:bookmarkEnd w:id="146"/>
      <w:bookmarkEnd w:id="147"/>
      <w:bookmarkEnd w:id="148"/>
      <w:bookmarkEnd w:id="149"/>
    </w:p>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560"/>
        <w:jc w:val="center"/>
        <w:rPr>
          <w:rFonts w:ascii="仿宋" w:hAnsi="仿宋" w:eastAsia="仿宋" w:cs="仿宋"/>
          <w:b w:val="0"/>
          <w:bCs w:val="0"/>
          <w:snapToGrid w:val="0"/>
          <w:sz w:val="28"/>
          <w:szCs w:val="28"/>
        </w:rPr>
      </w:pPr>
      <w:r>
        <w:rPr>
          <w:rFonts w:hint="eastAsia" w:ascii="仿宋" w:hAnsi="仿宋" w:eastAsia="仿宋" w:cs="仿宋"/>
          <w:b w:val="0"/>
          <w:bCs w:val="0"/>
          <w:snapToGrid w:val="0"/>
          <w:sz w:val="28"/>
          <w:szCs w:val="28"/>
        </w:rPr>
        <w:t>参与评审打分的证书（证件）一览表</w:t>
      </w:r>
    </w:p>
    <w:p>
      <w:pPr>
        <w:pStyle w:val="3"/>
        <w:spacing w:line="360" w:lineRule="auto"/>
        <w:ind w:left="0" w:firstLine="480" w:firstLineChars="200"/>
        <w:rPr>
          <w:rFonts w:ascii="仿宋" w:hAnsi="仿宋" w:eastAsia="仿宋" w:cs="仿宋"/>
          <w:b w:val="0"/>
          <w:bCs w:val="0"/>
          <w:snapToGrid w:val="0"/>
          <w:sz w:val="24"/>
          <w:szCs w:val="24"/>
        </w:rPr>
      </w:pPr>
    </w:p>
    <w:tbl>
      <w:tblPr>
        <w:tblStyle w:val="20"/>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09"/>
        <w:gridCol w:w="2410"/>
        <w:gridCol w:w="2410"/>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4"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r>
              <w:rPr>
                <w:rFonts w:hint="eastAsia" w:ascii="仿宋" w:hAnsi="仿宋" w:eastAsia="仿宋" w:cs="仿宋"/>
                <w:b w:val="0"/>
                <w:bCs w:val="0"/>
                <w:snapToGrid w:val="0"/>
                <w:sz w:val="24"/>
                <w:szCs w:val="24"/>
                <w:lang w:val="en-US"/>
              </w:rPr>
              <w:t>序号</w:t>
            </w:r>
          </w:p>
        </w:tc>
        <w:tc>
          <w:tcPr>
            <w:tcW w:w="240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r>
              <w:rPr>
                <w:rFonts w:hint="eastAsia" w:ascii="仿宋" w:hAnsi="仿宋" w:eastAsia="仿宋" w:cs="仿宋"/>
                <w:b w:val="0"/>
                <w:bCs w:val="0"/>
                <w:snapToGrid w:val="0"/>
                <w:sz w:val="24"/>
                <w:szCs w:val="24"/>
                <w:lang w:val="en-US"/>
              </w:rPr>
              <w:t>证书（证件）名称</w:t>
            </w: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r>
              <w:rPr>
                <w:rFonts w:hint="eastAsia" w:ascii="仿宋" w:hAnsi="仿宋" w:eastAsia="仿宋" w:cs="仿宋"/>
                <w:b w:val="0"/>
                <w:bCs w:val="0"/>
                <w:snapToGrid w:val="0"/>
                <w:sz w:val="24"/>
                <w:szCs w:val="24"/>
                <w:lang w:val="en-US"/>
              </w:rPr>
              <w:t>持证单位（人）</w:t>
            </w: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r>
              <w:rPr>
                <w:rFonts w:hint="eastAsia" w:ascii="仿宋" w:hAnsi="仿宋" w:eastAsia="仿宋" w:cs="仿宋"/>
                <w:b w:val="0"/>
                <w:bCs w:val="0"/>
                <w:snapToGrid w:val="0"/>
                <w:sz w:val="24"/>
                <w:szCs w:val="24"/>
                <w:lang w:val="en-US"/>
              </w:rPr>
              <w:t>发证机构</w:t>
            </w:r>
          </w:p>
        </w:tc>
        <w:tc>
          <w:tcPr>
            <w:tcW w:w="1367"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r>
              <w:rPr>
                <w:rFonts w:hint="eastAsia" w:ascii="仿宋" w:hAnsi="仿宋" w:eastAsia="仿宋" w:cs="仿宋"/>
                <w:b w:val="0"/>
                <w:bCs w:val="0"/>
                <w:snapToGrid w:val="0"/>
                <w:sz w:val="24"/>
                <w:szCs w:val="24"/>
                <w:lang w:val="en-US"/>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0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1367"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0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1367"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0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1367"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0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1367"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0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1367"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0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1367"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0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410"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1367"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r>
    </w:tbl>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480" w:firstLineChars="200"/>
        <w:rPr>
          <w:rFonts w:ascii="仿宋" w:hAnsi="仿宋" w:eastAsia="仿宋" w:cs="仿宋"/>
          <w:b w:val="0"/>
          <w:bCs w:val="0"/>
          <w:snapToGrid w:val="0"/>
          <w:sz w:val="24"/>
          <w:szCs w:val="24"/>
        </w:rPr>
      </w:pPr>
      <w:r>
        <w:rPr>
          <w:rFonts w:hint="eastAsia" w:ascii="仿宋" w:hAnsi="仿宋" w:eastAsia="仿宋" w:cs="仿宋"/>
          <w:b w:val="0"/>
          <w:bCs w:val="0"/>
          <w:snapToGrid w:val="0"/>
          <w:sz w:val="24"/>
          <w:szCs w:val="24"/>
          <w:lang w:val="en-US"/>
        </w:rPr>
        <w:t>投标人</w:t>
      </w:r>
      <w:r>
        <w:rPr>
          <w:rFonts w:hint="eastAsia" w:ascii="仿宋" w:hAnsi="仿宋" w:eastAsia="仿宋" w:cs="仿宋"/>
          <w:b w:val="0"/>
          <w:bCs w:val="0"/>
          <w:snapToGrid w:val="0"/>
          <w:sz w:val="24"/>
          <w:szCs w:val="24"/>
        </w:rPr>
        <w:t>（企业电子章）：</w:t>
      </w:r>
    </w:p>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480" w:firstLineChars="200"/>
        <w:rPr>
          <w:rFonts w:ascii="仿宋" w:hAnsi="仿宋" w:eastAsia="仿宋" w:cs="仿宋"/>
          <w:b w:val="0"/>
          <w:bCs w:val="0"/>
          <w:snapToGrid w:val="0"/>
          <w:sz w:val="24"/>
          <w:szCs w:val="24"/>
        </w:rPr>
      </w:pPr>
      <w:r>
        <w:rPr>
          <w:rFonts w:hint="eastAsia" w:ascii="仿宋" w:hAnsi="仿宋" w:eastAsia="仿宋" w:cs="仿宋"/>
          <w:b w:val="0"/>
          <w:bCs w:val="0"/>
          <w:snapToGrid w:val="0"/>
          <w:sz w:val="24"/>
          <w:szCs w:val="24"/>
        </w:rPr>
        <w:t>注：1、</w:t>
      </w:r>
      <w:r>
        <w:rPr>
          <w:rFonts w:hint="eastAsia" w:ascii="仿宋" w:hAnsi="仿宋" w:eastAsia="仿宋" w:cs="仿宋"/>
          <w:b w:val="0"/>
          <w:bCs w:val="0"/>
          <w:snapToGrid w:val="0"/>
          <w:sz w:val="24"/>
          <w:szCs w:val="24"/>
          <w:lang w:val="en-US"/>
        </w:rPr>
        <w:t>投标人</w:t>
      </w:r>
      <w:r>
        <w:rPr>
          <w:rFonts w:hint="eastAsia" w:ascii="仿宋" w:hAnsi="仿宋" w:eastAsia="仿宋" w:cs="仿宋"/>
          <w:b w:val="0"/>
          <w:bCs w:val="0"/>
          <w:snapToGrid w:val="0"/>
          <w:sz w:val="24"/>
          <w:szCs w:val="24"/>
        </w:rPr>
        <w:t>可根据需要自行增减表格行数。</w:t>
      </w:r>
    </w:p>
    <w:p>
      <w:pPr>
        <w:pStyle w:val="3"/>
        <w:spacing w:line="360" w:lineRule="auto"/>
        <w:ind w:left="0" w:firstLine="480" w:firstLineChars="200"/>
        <w:rPr>
          <w:rFonts w:ascii="仿宋" w:hAnsi="仿宋" w:eastAsia="仿宋" w:cs="仿宋"/>
          <w:b w:val="0"/>
          <w:bCs w:val="0"/>
          <w:snapToGrid w:val="0"/>
          <w:sz w:val="24"/>
          <w:szCs w:val="24"/>
        </w:rPr>
      </w:pPr>
      <w:r>
        <w:rPr>
          <w:rFonts w:hint="eastAsia" w:ascii="仿宋" w:hAnsi="仿宋" w:eastAsia="仿宋" w:cs="仿宋"/>
          <w:b w:val="0"/>
          <w:bCs w:val="0"/>
          <w:snapToGrid w:val="0"/>
          <w:sz w:val="24"/>
          <w:szCs w:val="24"/>
        </w:rPr>
        <w:t>2、</w:t>
      </w:r>
      <w:r>
        <w:rPr>
          <w:rFonts w:hint="eastAsia" w:ascii="仿宋" w:hAnsi="仿宋" w:eastAsia="仿宋" w:cs="仿宋"/>
          <w:b w:val="0"/>
          <w:bCs w:val="0"/>
          <w:snapToGrid w:val="0"/>
          <w:sz w:val="24"/>
          <w:szCs w:val="24"/>
          <w:lang w:val="en-US"/>
        </w:rPr>
        <w:t>投标人</w:t>
      </w:r>
      <w:r>
        <w:rPr>
          <w:rFonts w:hint="eastAsia" w:ascii="仿宋" w:hAnsi="仿宋" w:eastAsia="仿宋" w:cs="仿宋"/>
          <w:b w:val="0"/>
          <w:bCs w:val="0"/>
          <w:snapToGrid w:val="0"/>
          <w:sz w:val="24"/>
          <w:szCs w:val="24"/>
        </w:rPr>
        <w:t>对所报相关内容的真实性负责，采购代理机构有权将相关内容进行公示，因弄虚作假导致的后果由供应商自行承担。</w:t>
      </w:r>
      <w:bookmarkStart w:id="150" w:name="_Toc26924"/>
      <w:bookmarkStart w:id="151" w:name="_Toc20092"/>
      <w:bookmarkStart w:id="152" w:name="_Toc1660969"/>
    </w:p>
    <w:p>
      <w:pPr>
        <w:rPr>
          <w:rFonts w:ascii="仿宋" w:hAnsi="仿宋" w:eastAsia="仿宋" w:cs="仿宋"/>
          <w:snapToGrid w:val="0"/>
          <w:sz w:val="24"/>
          <w:szCs w:val="24"/>
        </w:rPr>
      </w:pPr>
      <w:r>
        <w:rPr>
          <w:rFonts w:hint="eastAsia" w:ascii="仿宋" w:hAnsi="仿宋" w:eastAsia="仿宋" w:cs="仿宋"/>
          <w:snapToGrid w:val="0"/>
          <w:sz w:val="24"/>
          <w:szCs w:val="24"/>
        </w:rPr>
        <w:br w:type="page"/>
      </w:r>
    </w:p>
    <w:p>
      <w:pPr>
        <w:pStyle w:val="3"/>
        <w:spacing w:line="360" w:lineRule="auto"/>
        <w:ind w:left="0" w:firstLine="562"/>
        <w:rPr>
          <w:rFonts w:ascii="仿宋" w:hAnsi="仿宋" w:eastAsia="仿宋" w:cs="仿宋"/>
          <w:snapToGrid w:val="0"/>
          <w:sz w:val="28"/>
          <w:szCs w:val="28"/>
        </w:rPr>
      </w:pPr>
      <w:bookmarkStart w:id="153" w:name="_Toc30475"/>
      <w:bookmarkStart w:id="154" w:name="_Toc28044"/>
      <w:r>
        <w:rPr>
          <w:rFonts w:hint="eastAsia" w:ascii="仿宋" w:hAnsi="仿宋" w:eastAsia="仿宋" w:cs="仿宋"/>
          <w:snapToGrid w:val="0"/>
          <w:sz w:val="28"/>
          <w:szCs w:val="28"/>
          <w:lang w:val="en-US"/>
        </w:rPr>
        <w:t>十八、</w:t>
      </w:r>
      <w:r>
        <w:rPr>
          <w:rFonts w:hint="eastAsia" w:ascii="仿宋" w:hAnsi="仿宋" w:eastAsia="仿宋" w:cs="仿宋"/>
          <w:snapToGrid w:val="0"/>
          <w:sz w:val="28"/>
          <w:szCs w:val="28"/>
        </w:rPr>
        <w:t>参与评审打分的证书（证件）扫描件</w:t>
      </w:r>
      <w:bookmarkEnd w:id="150"/>
      <w:bookmarkEnd w:id="151"/>
      <w:bookmarkEnd w:id="152"/>
      <w:bookmarkEnd w:id="153"/>
      <w:bookmarkEnd w:id="154"/>
      <w:bookmarkStart w:id="155" w:name="_Toc1660970"/>
      <w:bookmarkStart w:id="156" w:name="_Toc32302"/>
    </w:p>
    <w:p>
      <w:pPr>
        <w:rPr>
          <w:rFonts w:ascii="仿宋" w:hAnsi="仿宋" w:eastAsia="仿宋" w:cs="仿宋"/>
          <w:b/>
          <w:bCs/>
          <w:snapToGrid w:val="0"/>
          <w:sz w:val="28"/>
          <w:szCs w:val="28"/>
        </w:rPr>
      </w:pPr>
      <w:r>
        <w:rPr>
          <w:rFonts w:hint="eastAsia" w:ascii="仿宋" w:hAnsi="仿宋" w:eastAsia="仿宋" w:cs="仿宋"/>
          <w:b/>
          <w:bCs/>
          <w:snapToGrid w:val="0"/>
          <w:sz w:val="28"/>
          <w:szCs w:val="28"/>
        </w:rPr>
        <w:br w:type="page"/>
      </w:r>
    </w:p>
    <w:p>
      <w:pPr>
        <w:pStyle w:val="3"/>
        <w:spacing w:line="360" w:lineRule="auto"/>
        <w:ind w:left="0" w:firstLine="562"/>
        <w:rPr>
          <w:rFonts w:ascii="仿宋" w:hAnsi="仿宋" w:eastAsia="仿宋" w:cs="仿宋"/>
          <w:snapToGrid w:val="0"/>
          <w:sz w:val="28"/>
          <w:szCs w:val="28"/>
        </w:rPr>
      </w:pPr>
      <w:bookmarkStart w:id="157" w:name="_Toc30237"/>
      <w:bookmarkStart w:id="158" w:name="_Toc802"/>
      <w:r>
        <w:rPr>
          <w:rFonts w:hint="eastAsia" w:ascii="仿宋" w:hAnsi="仿宋" w:eastAsia="仿宋" w:cs="仿宋"/>
          <w:snapToGrid w:val="0"/>
          <w:sz w:val="28"/>
          <w:szCs w:val="28"/>
          <w:lang w:val="en-US"/>
        </w:rPr>
        <w:t>十九、</w:t>
      </w:r>
      <w:r>
        <w:rPr>
          <w:rFonts w:hint="eastAsia" w:ascii="仿宋" w:hAnsi="仿宋" w:eastAsia="仿宋" w:cs="仿宋"/>
          <w:snapToGrid w:val="0"/>
          <w:sz w:val="28"/>
          <w:szCs w:val="28"/>
        </w:rPr>
        <w:t>参与评审打分的合同业绩一览表</w:t>
      </w:r>
      <w:bookmarkEnd w:id="155"/>
      <w:bookmarkEnd w:id="156"/>
      <w:bookmarkEnd w:id="157"/>
      <w:bookmarkEnd w:id="158"/>
    </w:p>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560"/>
        <w:jc w:val="center"/>
        <w:rPr>
          <w:rFonts w:ascii="仿宋" w:hAnsi="仿宋" w:eastAsia="仿宋" w:cs="仿宋"/>
          <w:b w:val="0"/>
          <w:bCs w:val="0"/>
          <w:snapToGrid w:val="0"/>
          <w:sz w:val="28"/>
          <w:szCs w:val="28"/>
        </w:rPr>
      </w:pPr>
      <w:r>
        <w:rPr>
          <w:rFonts w:hint="eastAsia" w:ascii="仿宋" w:hAnsi="仿宋" w:eastAsia="仿宋" w:cs="仿宋"/>
          <w:b w:val="0"/>
          <w:bCs w:val="0"/>
          <w:snapToGrid w:val="0"/>
          <w:sz w:val="28"/>
          <w:szCs w:val="28"/>
        </w:rPr>
        <w:t>参与评审打分的合同业绩一览表</w:t>
      </w:r>
    </w:p>
    <w:p>
      <w:pPr>
        <w:pStyle w:val="3"/>
        <w:spacing w:line="360" w:lineRule="auto"/>
        <w:ind w:left="0" w:firstLine="480" w:firstLineChars="200"/>
        <w:rPr>
          <w:rFonts w:ascii="仿宋" w:hAnsi="仿宋" w:eastAsia="仿宋" w:cs="仿宋"/>
          <w:b w:val="0"/>
          <w:bCs w:val="0"/>
          <w:snapToGrid w:val="0"/>
          <w:sz w:val="24"/>
          <w:szCs w:val="24"/>
        </w:rPr>
      </w:pPr>
    </w:p>
    <w:tbl>
      <w:tblPr>
        <w:tblStyle w:val="20"/>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339"/>
        <w:gridCol w:w="2552"/>
        <w:gridCol w:w="2126"/>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r>
              <w:rPr>
                <w:rFonts w:hint="eastAsia" w:ascii="仿宋" w:hAnsi="仿宋" w:eastAsia="仿宋" w:cs="仿宋"/>
                <w:b w:val="0"/>
                <w:bCs w:val="0"/>
                <w:snapToGrid w:val="0"/>
                <w:sz w:val="24"/>
                <w:szCs w:val="24"/>
                <w:lang w:val="en-US"/>
              </w:rPr>
              <w:t>序号</w:t>
            </w:r>
          </w:p>
        </w:tc>
        <w:tc>
          <w:tcPr>
            <w:tcW w:w="233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r>
              <w:rPr>
                <w:rFonts w:hint="eastAsia" w:ascii="仿宋" w:hAnsi="仿宋" w:eastAsia="仿宋" w:cs="仿宋"/>
                <w:b w:val="0"/>
                <w:bCs w:val="0"/>
                <w:snapToGrid w:val="0"/>
                <w:sz w:val="24"/>
                <w:szCs w:val="24"/>
                <w:lang w:val="en-US"/>
              </w:rPr>
              <w:t>项目名称</w:t>
            </w:r>
          </w:p>
        </w:tc>
        <w:tc>
          <w:tcPr>
            <w:tcW w:w="2552"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r>
              <w:rPr>
                <w:rFonts w:hint="eastAsia" w:ascii="仿宋" w:hAnsi="仿宋" w:eastAsia="仿宋" w:cs="仿宋"/>
                <w:b w:val="0"/>
                <w:bCs w:val="0"/>
                <w:snapToGrid w:val="0"/>
                <w:sz w:val="24"/>
                <w:szCs w:val="24"/>
                <w:lang w:val="en-US"/>
              </w:rPr>
              <w:t>采购单位（甲方）名称</w:t>
            </w:r>
          </w:p>
        </w:tc>
        <w:tc>
          <w:tcPr>
            <w:tcW w:w="2126"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r>
              <w:rPr>
                <w:rFonts w:hint="eastAsia" w:ascii="仿宋" w:hAnsi="仿宋" w:eastAsia="仿宋" w:cs="仿宋"/>
                <w:b w:val="0"/>
                <w:bCs w:val="0"/>
                <w:snapToGrid w:val="0"/>
                <w:sz w:val="24"/>
                <w:szCs w:val="24"/>
                <w:lang w:val="en-US"/>
              </w:rPr>
              <w:t>合同金额（元）</w:t>
            </w:r>
          </w:p>
        </w:tc>
        <w:tc>
          <w:tcPr>
            <w:tcW w:w="1255"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r>
              <w:rPr>
                <w:rFonts w:hint="eastAsia" w:ascii="仿宋" w:hAnsi="仿宋" w:eastAsia="仿宋" w:cs="仿宋"/>
                <w:b w:val="0"/>
                <w:bCs w:val="0"/>
                <w:snapToGrid w:val="0"/>
                <w:sz w:val="24"/>
                <w:szCs w:val="24"/>
                <w:lang w:val="en-US"/>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33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552"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126"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1255"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33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552"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126"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1255"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33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552"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126"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1255"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33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552"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126"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1255"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33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552"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126"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1255"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33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552"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126"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1255"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339"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552"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2126"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c>
          <w:tcPr>
            <w:tcW w:w="1255" w:type="dxa"/>
            <w:vAlign w:val="center"/>
          </w:tcPr>
          <w:p>
            <w:pPr>
              <w:pStyle w:val="3"/>
              <w:spacing w:line="360" w:lineRule="auto"/>
              <w:ind w:left="0" w:firstLine="480"/>
              <w:jc w:val="center"/>
              <w:rPr>
                <w:rFonts w:ascii="仿宋" w:hAnsi="仿宋" w:eastAsia="仿宋" w:cs="仿宋"/>
                <w:b w:val="0"/>
                <w:bCs w:val="0"/>
                <w:snapToGrid w:val="0"/>
                <w:sz w:val="24"/>
                <w:szCs w:val="24"/>
                <w:lang w:val="en-US"/>
              </w:rPr>
            </w:pPr>
          </w:p>
        </w:tc>
      </w:tr>
    </w:tbl>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480" w:firstLineChars="200"/>
        <w:rPr>
          <w:rFonts w:ascii="仿宋" w:hAnsi="仿宋" w:eastAsia="仿宋" w:cs="仿宋"/>
          <w:b w:val="0"/>
          <w:bCs w:val="0"/>
          <w:snapToGrid w:val="0"/>
          <w:sz w:val="24"/>
          <w:szCs w:val="24"/>
        </w:rPr>
      </w:pPr>
      <w:r>
        <w:rPr>
          <w:rFonts w:hint="eastAsia" w:ascii="仿宋" w:hAnsi="仿宋" w:eastAsia="仿宋" w:cs="仿宋"/>
          <w:b w:val="0"/>
          <w:bCs w:val="0"/>
          <w:snapToGrid w:val="0"/>
          <w:sz w:val="24"/>
          <w:szCs w:val="24"/>
          <w:lang w:val="en-US"/>
        </w:rPr>
        <w:t>投标人</w:t>
      </w:r>
      <w:r>
        <w:rPr>
          <w:rFonts w:hint="eastAsia" w:ascii="仿宋" w:hAnsi="仿宋" w:eastAsia="仿宋" w:cs="仿宋"/>
          <w:b w:val="0"/>
          <w:bCs w:val="0"/>
          <w:snapToGrid w:val="0"/>
          <w:sz w:val="24"/>
          <w:szCs w:val="24"/>
        </w:rPr>
        <w:t>（企业电子章）：</w:t>
      </w:r>
    </w:p>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480" w:firstLineChars="200"/>
        <w:rPr>
          <w:rFonts w:ascii="仿宋" w:hAnsi="仿宋" w:eastAsia="仿宋" w:cs="仿宋"/>
          <w:b w:val="0"/>
          <w:bCs w:val="0"/>
          <w:snapToGrid w:val="0"/>
          <w:sz w:val="24"/>
          <w:szCs w:val="24"/>
        </w:rPr>
      </w:pPr>
      <w:r>
        <w:rPr>
          <w:rFonts w:hint="eastAsia" w:ascii="仿宋" w:hAnsi="仿宋" w:eastAsia="仿宋" w:cs="仿宋"/>
          <w:b w:val="0"/>
          <w:bCs w:val="0"/>
          <w:snapToGrid w:val="0"/>
          <w:sz w:val="24"/>
          <w:szCs w:val="24"/>
        </w:rPr>
        <w:t>注：1、</w:t>
      </w:r>
      <w:r>
        <w:rPr>
          <w:rFonts w:hint="eastAsia" w:ascii="仿宋" w:hAnsi="仿宋" w:eastAsia="仿宋" w:cs="仿宋"/>
          <w:b w:val="0"/>
          <w:bCs w:val="0"/>
          <w:snapToGrid w:val="0"/>
          <w:sz w:val="24"/>
          <w:szCs w:val="24"/>
          <w:lang w:val="en-US"/>
        </w:rPr>
        <w:t>投标人</w:t>
      </w:r>
      <w:r>
        <w:rPr>
          <w:rFonts w:hint="eastAsia" w:ascii="仿宋" w:hAnsi="仿宋" w:eastAsia="仿宋" w:cs="仿宋"/>
          <w:b w:val="0"/>
          <w:bCs w:val="0"/>
          <w:snapToGrid w:val="0"/>
          <w:sz w:val="24"/>
          <w:szCs w:val="24"/>
        </w:rPr>
        <w:t>可根据需要自行增减表格行数。</w:t>
      </w:r>
    </w:p>
    <w:p>
      <w:pPr>
        <w:pStyle w:val="3"/>
        <w:spacing w:line="360" w:lineRule="auto"/>
        <w:ind w:left="0" w:firstLine="480" w:firstLineChars="200"/>
        <w:rPr>
          <w:rFonts w:ascii="仿宋" w:hAnsi="仿宋" w:eastAsia="仿宋" w:cs="仿宋"/>
          <w:b w:val="0"/>
          <w:bCs w:val="0"/>
          <w:snapToGrid w:val="0"/>
          <w:sz w:val="24"/>
          <w:szCs w:val="24"/>
        </w:rPr>
      </w:pPr>
      <w:r>
        <w:rPr>
          <w:rFonts w:hint="eastAsia" w:ascii="仿宋" w:hAnsi="仿宋" w:eastAsia="仿宋" w:cs="仿宋"/>
          <w:b w:val="0"/>
          <w:bCs w:val="0"/>
          <w:snapToGrid w:val="0"/>
          <w:sz w:val="24"/>
          <w:szCs w:val="24"/>
        </w:rPr>
        <w:t>2、</w:t>
      </w:r>
      <w:r>
        <w:rPr>
          <w:rFonts w:hint="eastAsia" w:ascii="仿宋" w:hAnsi="仿宋" w:eastAsia="仿宋" w:cs="仿宋"/>
          <w:b w:val="0"/>
          <w:bCs w:val="0"/>
          <w:snapToGrid w:val="0"/>
          <w:sz w:val="24"/>
          <w:szCs w:val="24"/>
          <w:lang w:val="en-US"/>
        </w:rPr>
        <w:t>投标人</w:t>
      </w:r>
      <w:r>
        <w:rPr>
          <w:rFonts w:hint="eastAsia" w:ascii="仿宋" w:hAnsi="仿宋" w:eastAsia="仿宋" w:cs="仿宋"/>
          <w:b w:val="0"/>
          <w:bCs w:val="0"/>
          <w:snapToGrid w:val="0"/>
          <w:sz w:val="24"/>
          <w:szCs w:val="24"/>
        </w:rPr>
        <w:t>对所报相关内容的真实性负责，采购代理机构有权将相关内容进行公示，因弄虚作假导致的后果由供应商自行承担。</w:t>
      </w:r>
      <w:bookmarkStart w:id="159" w:name="_Toc1660971"/>
      <w:bookmarkStart w:id="160" w:name="_Toc4101"/>
      <w:bookmarkStart w:id="161" w:name="_Toc22139"/>
      <w:bookmarkStart w:id="162" w:name="_Toc504741952"/>
    </w:p>
    <w:p>
      <w:pPr>
        <w:rPr>
          <w:rFonts w:ascii="仿宋" w:hAnsi="仿宋" w:eastAsia="仿宋" w:cs="仿宋"/>
          <w:snapToGrid w:val="0"/>
          <w:sz w:val="24"/>
          <w:szCs w:val="24"/>
        </w:rPr>
      </w:pPr>
      <w:r>
        <w:rPr>
          <w:rFonts w:hint="eastAsia" w:ascii="仿宋" w:hAnsi="仿宋" w:eastAsia="仿宋" w:cs="仿宋"/>
          <w:snapToGrid w:val="0"/>
          <w:sz w:val="24"/>
          <w:szCs w:val="24"/>
        </w:rPr>
        <w:br w:type="page"/>
      </w:r>
    </w:p>
    <w:p>
      <w:pPr>
        <w:pStyle w:val="3"/>
        <w:spacing w:line="360" w:lineRule="auto"/>
        <w:ind w:left="0" w:firstLine="562"/>
        <w:rPr>
          <w:rFonts w:ascii="仿宋" w:hAnsi="仿宋" w:eastAsia="仿宋" w:cs="仿宋"/>
          <w:snapToGrid w:val="0"/>
          <w:sz w:val="28"/>
          <w:szCs w:val="28"/>
        </w:rPr>
      </w:pPr>
      <w:bookmarkStart w:id="163" w:name="_Toc7497"/>
      <w:bookmarkStart w:id="164" w:name="_Toc23614"/>
      <w:r>
        <w:rPr>
          <w:rFonts w:hint="eastAsia" w:ascii="仿宋" w:hAnsi="仿宋" w:eastAsia="仿宋" w:cs="仿宋"/>
          <w:snapToGrid w:val="0"/>
          <w:sz w:val="28"/>
          <w:szCs w:val="28"/>
          <w:lang w:val="en-US"/>
        </w:rPr>
        <w:t>二十、</w:t>
      </w:r>
      <w:r>
        <w:rPr>
          <w:rFonts w:hint="eastAsia" w:ascii="仿宋" w:hAnsi="仿宋" w:eastAsia="仿宋" w:cs="仿宋"/>
          <w:snapToGrid w:val="0"/>
          <w:sz w:val="28"/>
          <w:szCs w:val="28"/>
        </w:rPr>
        <w:t>参与评审打分的合同业绩扫描件</w:t>
      </w:r>
      <w:bookmarkEnd w:id="159"/>
      <w:bookmarkEnd w:id="160"/>
      <w:bookmarkEnd w:id="161"/>
      <w:bookmarkEnd w:id="163"/>
      <w:bookmarkEnd w:id="164"/>
    </w:p>
    <w:bookmarkEnd w:id="162"/>
    <w:p>
      <w:pPr>
        <w:pStyle w:val="3"/>
        <w:spacing w:line="360" w:lineRule="auto"/>
        <w:ind w:left="0" w:firstLine="480" w:firstLineChars="200"/>
        <w:rPr>
          <w:rFonts w:ascii="仿宋" w:hAnsi="仿宋" w:eastAsia="仿宋" w:cs="仿宋"/>
          <w:b w:val="0"/>
          <w:bCs w:val="0"/>
          <w:snapToGrid w:val="0"/>
          <w:sz w:val="24"/>
          <w:szCs w:val="24"/>
        </w:rPr>
      </w:pPr>
    </w:p>
    <w:p>
      <w:pPr>
        <w:pStyle w:val="3"/>
        <w:spacing w:line="360" w:lineRule="auto"/>
        <w:ind w:left="0" w:firstLine="480" w:firstLineChars="200"/>
        <w:rPr>
          <w:rFonts w:ascii="仿宋" w:hAnsi="仿宋" w:eastAsia="仿宋" w:cs="仿宋"/>
          <w:b w:val="0"/>
          <w:bCs w:val="0"/>
          <w:snapToGrid w:val="0"/>
          <w:sz w:val="24"/>
          <w:szCs w:val="24"/>
        </w:rPr>
      </w:pPr>
    </w:p>
    <w:p>
      <w:bookmarkStart w:id="165" w:name="_GoBack"/>
      <w:bookmarkEnd w:id="165"/>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7482F1-6D85-48EA-BD38-FB720B753B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Fallback">
    <w:altName w:val="宋体"/>
    <w:panose1 w:val="00000000000000000000"/>
    <w:charset w:val="86"/>
    <w:family w:val="swiss"/>
    <w:pitch w:val="default"/>
    <w:sig w:usb0="00000000" w:usb1="00000000" w:usb2="00000036" w:usb3="00000000" w:csb0="203F01FF" w:csb1="D7FF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2" w:fontKey="{D6083F16-DBCD-4827-9997-813E4E057A79}"/>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embedRegular r:id="rId3" w:fontKey="{50ADCB6B-4A8C-429E-A60B-AE8E4398AC7D}"/>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MingLiU">
    <w:altName w:val="PMingLiU-ExtB"/>
    <w:panose1 w:val="02010609000101010101"/>
    <w:charset w:val="88"/>
    <w:family w:val="modern"/>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4" w:fontKey="{9733D139-57CF-4A8F-A29C-B96DEECA120A}"/>
  </w:font>
  <w:font w:name="方正小标宋简体">
    <w:panose1 w:val="02000000000000000000"/>
    <w:charset w:val="86"/>
    <w:family w:val="auto"/>
    <w:pitch w:val="default"/>
    <w:sig w:usb0="00000001" w:usb1="08000000" w:usb2="00000000" w:usb3="00000000" w:csb0="00040000" w:csb1="00000000"/>
    <w:embedRegular r:id="rId5" w:fontKey="{463D73A6-8EDB-4761-B671-56E04AB08D87}"/>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92</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left" w:pos="5736"/>
      </w:tabs>
      <w:jc w:val="left"/>
      <w:rPr>
        <w:lang w:val="en-US"/>
      </w:rPr>
    </w:pPr>
    <w:r>
      <w:rPr>
        <w:rFonts w:hint="eastAsia"/>
        <w:lang w:val="en-US"/>
      </w:rPr>
      <w:tab/>
    </w:r>
    <w:r>
      <w:rPr>
        <w:rFonts w:hint="eastAsia"/>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ZiY2I0NzZkZDk3MWY3NjMyNjMyZmRmZTZlNmExOWEifQ=="/>
  </w:docVars>
  <w:rsids>
    <w:rsidRoot w:val="786F1488"/>
    <w:rsid w:val="000F495B"/>
    <w:rsid w:val="00181A89"/>
    <w:rsid w:val="002A512B"/>
    <w:rsid w:val="00317FAE"/>
    <w:rsid w:val="0033126C"/>
    <w:rsid w:val="003E0BDE"/>
    <w:rsid w:val="007830F2"/>
    <w:rsid w:val="008966DE"/>
    <w:rsid w:val="00B03D7E"/>
    <w:rsid w:val="00B177B3"/>
    <w:rsid w:val="00BE1545"/>
    <w:rsid w:val="00BF0446"/>
    <w:rsid w:val="00C03025"/>
    <w:rsid w:val="00CA660F"/>
    <w:rsid w:val="00FA6CCA"/>
    <w:rsid w:val="01D315AF"/>
    <w:rsid w:val="01F85DA0"/>
    <w:rsid w:val="028B3B34"/>
    <w:rsid w:val="028C25E7"/>
    <w:rsid w:val="02B7624C"/>
    <w:rsid w:val="031C07A5"/>
    <w:rsid w:val="03455F4E"/>
    <w:rsid w:val="03F4527E"/>
    <w:rsid w:val="054144F3"/>
    <w:rsid w:val="055B3806"/>
    <w:rsid w:val="055E50A5"/>
    <w:rsid w:val="05664F5A"/>
    <w:rsid w:val="05875F62"/>
    <w:rsid w:val="059960DD"/>
    <w:rsid w:val="061F2A86"/>
    <w:rsid w:val="06617F29"/>
    <w:rsid w:val="06853453"/>
    <w:rsid w:val="071719AF"/>
    <w:rsid w:val="0799178D"/>
    <w:rsid w:val="07E07FF3"/>
    <w:rsid w:val="07FB307F"/>
    <w:rsid w:val="08381BDD"/>
    <w:rsid w:val="0849203C"/>
    <w:rsid w:val="08872B64"/>
    <w:rsid w:val="08FE2FE3"/>
    <w:rsid w:val="095C5D9F"/>
    <w:rsid w:val="0963712E"/>
    <w:rsid w:val="09FC4E8C"/>
    <w:rsid w:val="0A116B8A"/>
    <w:rsid w:val="0A23066B"/>
    <w:rsid w:val="0A6C0264"/>
    <w:rsid w:val="0A9606DD"/>
    <w:rsid w:val="0AB665C5"/>
    <w:rsid w:val="0B48482D"/>
    <w:rsid w:val="0B867103"/>
    <w:rsid w:val="0B886070"/>
    <w:rsid w:val="0BD33F40"/>
    <w:rsid w:val="0D2E7A52"/>
    <w:rsid w:val="0D3A33DE"/>
    <w:rsid w:val="0D877C4B"/>
    <w:rsid w:val="0E372937"/>
    <w:rsid w:val="0E883192"/>
    <w:rsid w:val="0EE16603"/>
    <w:rsid w:val="0F6E2388"/>
    <w:rsid w:val="0FC05908"/>
    <w:rsid w:val="103E1D5B"/>
    <w:rsid w:val="10437371"/>
    <w:rsid w:val="105842F0"/>
    <w:rsid w:val="10AF5EFA"/>
    <w:rsid w:val="10D73F5D"/>
    <w:rsid w:val="10FB11F0"/>
    <w:rsid w:val="11673533"/>
    <w:rsid w:val="11B36778"/>
    <w:rsid w:val="123A0C48"/>
    <w:rsid w:val="1246555E"/>
    <w:rsid w:val="127F665A"/>
    <w:rsid w:val="129211B3"/>
    <w:rsid w:val="13702633"/>
    <w:rsid w:val="145853B5"/>
    <w:rsid w:val="145B549D"/>
    <w:rsid w:val="14A16D5C"/>
    <w:rsid w:val="150317C5"/>
    <w:rsid w:val="15396485"/>
    <w:rsid w:val="153C0833"/>
    <w:rsid w:val="154F32B7"/>
    <w:rsid w:val="15C54CCC"/>
    <w:rsid w:val="15F5735F"/>
    <w:rsid w:val="166507BE"/>
    <w:rsid w:val="16675489"/>
    <w:rsid w:val="168E50BE"/>
    <w:rsid w:val="171C1AC0"/>
    <w:rsid w:val="176522C3"/>
    <w:rsid w:val="176C36AC"/>
    <w:rsid w:val="17984446"/>
    <w:rsid w:val="17B1375A"/>
    <w:rsid w:val="17E05DED"/>
    <w:rsid w:val="18090B8D"/>
    <w:rsid w:val="18117D55"/>
    <w:rsid w:val="18B43502"/>
    <w:rsid w:val="18BA663E"/>
    <w:rsid w:val="18DA6CE0"/>
    <w:rsid w:val="19046D46"/>
    <w:rsid w:val="192D0BBE"/>
    <w:rsid w:val="19BB187E"/>
    <w:rsid w:val="19F85670"/>
    <w:rsid w:val="1A0E09F0"/>
    <w:rsid w:val="1A0E6D22"/>
    <w:rsid w:val="1A8037D4"/>
    <w:rsid w:val="1A9C0831"/>
    <w:rsid w:val="1AC63078"/>
    <w:rsid w:val="1B043BA1"/>
    <w:rsid w:val="1B284CAF"/>
    <w:rsid w:val="1B972C67"/>
    <w:rsid w:val="1BA23AE5"/>
    <w:rsid w:val="1BB630ED"/>
    <w:rsid w:val="1C765C9F"/>
    <w:rsid w:val="1CA3724C"/>
    <w:rsid w:val="1CA47A36"/>
    <w:rsid w:val="1CC23D13"/>
    <w:rsid w:val="1CDF6673"/>
    <w:rsid w:val="1CF86BD6"/>
    <w:rsid w:val="1D7B132A"/>
    <w:rsid w:val="1DAD016C"/>
    <w:rsid w:val="1E0F4D36"/>
    <w:rsid w:val="1E2527AC"/>
    <w:rsid w:val="1E3E561C"/>
    <w:rsid w:val="1E760993"/>
    <w:rsid w:val="1E9546C9"/>
    <w:rsid w:val="1EE12B77"/>
    <w:rsid w:val="1F0028D1"/>
    <w:rsid w:val="1F26058A"/>
    <w:rsid w:val="1F9279CD"/>
    <w:rsid w:val="1F9C6A9E"/>
    <w:rsid w:val="1FAB4F33"/>
    <w:rsid w:val="1FC41B50"/>
    <w:rsid w:val="1FE50445"/>
    <w:rsid w:val="20531E1E"/>
    <w:rsid w:val="206C6470"/>
    <w:rsid w:val="20FD5B40"/>
    <w:rsid w:val="218040F0"/>
    <w:rsid w:val="21E464DA"/>
    <w:rsid w:val="222C1D3E"/>
    <w:rsid w:val="222C4C92"/>
    <w:rsid w:val="228C104B"/>
    <w:rsid w:val="22916662"/>
    <w:rsid w:val="2294390E"/>
    <w:rsid w:val="22AC524A"/>
    <w:rsid w:val="230706D2"/>
    <w:rsid w:val="237C2F48"/>
    <w:rsid w:val="23AB3753"/>
    <w:rsid w:val="24212DB4"/>
    <w:rsid w:val="24A106B2"/>
    <w:rsid w:val="24AD52A9"/>
    <w:rsid w:val="24B108F5"/>
    <w:rsid w:val="25321926"/>
    <w:rsid w:val="25416E02"/>
    <w:rsid w:val="25A93A08"/>
    <w:rsid w:val="25CB59E7"/>
    <w:rsid w:val="25D43C44"/>
    <w:rsid w:val="26064C71"/>
    <w:rsid w:val="26190E48"/>
    <w:rsid w:val="26526108"/>
    <w:rsid w:val="267C003C"/>
    <w:rsid w:val="26CB1A16"/>
    <w:rsid w:val="27880C11"/>
    <w:rsid w:val="28496A41"/>
    <w:rsid w:val="28777AF3"/>
    <w:rsid w:val="290A3941"/>
    <w:rsid w:val="29CC2DAF"/>
    <w:rsid w:val="2A3A313B"/>
    <w:rsid w:val="2A502BF0"/>
    <w:rsid w:val="2ABC20C1"/>
    <w:rsid w:val="2AD46B7D"/>
    <w:rsid w:val="2B25487E"/>
    <w:rsid w:val="2B944ACD"/>
    <w:rsid w:val="2BA016C4"/>
    <w:rsid w:val="2C063C1D"/>
    <w:rsid w:val="2C145A91"/>
    <w:rsid w:val="2C1C39CD"/>
    <w:rsid w:val="2C736DD8"/>
    <w:rsid w:val="2C9C0210"/>
    <w:rsid w:val="2CF41C7E"/>
    <w:rsid w:val="2D637C9A"/>
    <w:rsid w:val="2E0979F4"/>
    <w:rsid w:val="2E5642BC"/>
    <w:rsid w:val="2E5D564A"/>
    <w:rsid w:val="2EF73CF0"/>
    <w:rsid w:val="2F0A1DA3"/>
    <w:rsid w:val="2F666780"/>
    <w:rsid w:val="2FD162F0"/>
    <w:rsid w:val="2FFD5337"/>
    <w:rsid w:val="30643A7C"/>
    <w:rsid w:val="30AB75AF"/>
    <w:rsid w:val="30B46E55"/>
    <w:rsid w:val="31156DF1"/>
    <w:rsid w:val="31556AAC"/>
    <w:rsid w:val="319E2826"/>
    <w:rsid w:val="31A970F2"/>
    <w:rsid w:val="32095EE6"/>
    <w:rsid w:val="326A2385"/>
    <w:rsid w:val="331C1F78"/>
    <w:rsid w:val="332E3321"/>
    <w:rsid w:val="33354DE7"/>
    <w:rsid w:val="33753436"/>
    <w:rsid w:val="33852A41"/>
    <w:rsid w:val="338E62A6"/>
    <w:rsid w:val="33D20888"/>
    <w:rsid w:val="34207B5A"/>
    <w:rsid w:val="34EC3BCC"/>
    <w:rsid w:val="36032F7B"/>
    <w:rsid w:val="361B33A6"/>
    <w:rsid w:val="367B0D63"/>
    <w:rsid w:val="36885BAA"/>
    <w:rsid w:val="36A06A1C"/>
    <w:rsid w:val="36AA33F6"/>
    <w:rsid w:val="36AF3103"/>
    <w:rsid w:val="36B56507"/>
    <w:rsid w:val="36B97ADD"/>
    <w:rsid w:val="36C4518B"/>
    <w:rsid w:val="37125407"/>
    <w:rsid w:val="37264D8C"/>
    <w:rsid w:val="372E0EA9"/>
    <w:rsid w:val="37971BCD"/>
    <w:rsid w:val="37A147F9"/>
    <w:rsid w:val="38507FCD"/>
    <w:rsid w:val="38567051"/>
    <w:rsid w:val="39D32C64"/>
    <w:rsid w:val="3A2D50A7"/>
    <w:rsid w:val="3A6E18DE"/>
    <w:rsid w:val="3AB138C6"/>
    <w:rsid w:val="3ABC194A"/>
    <w:rsid w:val="3AE23EC3"/>
    <w:rsid w:val="3AFA4311"/>
    <w:rsid w:val="3B084B8F"/>
    <w:rsid w:val="3BA37EBC"/>
    <w:rsid w:val="3BD51D88"/>
    <w:rsid w:val="3BD9788B"/>
    <w:rsid w:val="3C027831"/>
    <w:rsid w:val="3C241E9D"/>
    <w:rsid w:val="3C29300F"/>
    <w:rsid w:val="3C4B24C9"/>
    <w:rsid w:val="3C862210"/>
    <w:rsid w:val="3C940DD1"/>
    <w:rsid w:val="3CAB1C76"/>
    <w:rsid w:val="3EA03A5D"/>
    <w:rsid w:val="3EA352FB"/>
    <w:rsid w:val="3EE651E8"/>
    <w:rsid w:val="3F52287D"/>
    <w:rsid w:val="400022D9"/>
    <w:rsid w:val="40493C80"/>
    <w:rsid w:val="405D35E0"/>
    <w:rsid w:val="40724DEE"/>
    <w:rsid w:val="40E51150"/>
    <w:rsid w:val="40E816EB"/>
    <w:rsid w:val="41072EE9"/>
    <w:rsid w:val="411A73CB"/>
    <w:rsid w:val="416C7F03"/>
    <w:rsid w:val="41A970CC"/>
    <w:rsid w:val="42097B6B"/>
    <w:rsid w:val="42162288"/>
    <w:rsid w:val="426810C2"/>
    <w:rsid w:val="42984A4B"/>
    <w:rsid w:val="42A35F2E"/>
    <w:rsid w:val="430640AA"/>
    <w:rsid w:val="430E697C"/>
    <w:rsid w:val="43100A85"/>
    <w:rsid w:val="43C53F65"/>
    <w:rsid w:val="44240C8C"/>
    <w:rsid w:val="449851D6"/>
    <w:rsid w:val="44F37464"/>
    <w:rsid w:val="450A0068"/>
    <w:rsid w:val="45132E81"/>
    <w:rsid w:val="45585F0F"/>
    <w:rsid w:val="45911460"/>
    <w:rsid w:val="465462D1"/>
    <w:rsid w:val="473A48BF"/>
    <w:rsid w:val="47460F19"/>
    <w:rsid w:val="47A46FBF"/>
    <w:rsid w:val="481728B6"/>
    <w:rsid w:val="4871646A"/>
    <w:rsid w:val="48D56FCF"/>
    <w:rsid w:val="48F055E1"/>
    <w:rsid w:val="49F20EE5"/>
    <w:rsid w:val="4A593E78"/>
    <w:rsid w:val="4A5F3050"/>
    <w:rsid w:val="4AF55130"/>
    <w:rsid w:val="4B307F16"/>
    <w:rsid w:val="4B350FBC"/>
    <w:rsid w:val="4BE015FA"/>
    <w:rsid w:val="4C87000A"/>
    <w:rsid w:val="4D186EB4"/>
    <w:rsid w:val="4D8C33FE"/>
    <w:rsid w:val="4DA150FB"/>
    <w:rsid w:val="4DAE5A6A"/>
    <w:rsid w:val="4DD832A7"/>
    <w:rsid w:val="4E353A96"/>
    <w:rsid w:val="4E3F66C2"/>
    <w:rsid w:val="4E714E2D"/>
    <w:rsid w:val="4E8642F1"/>
    <w:rsid w:val="4E8862BB"/>
    <w:rsid w:val="4FD05402"/>
    <w:rsid w:val="4FDF015D"/>
    <w:rsid w:val="51782969"/>
    <w:rsid w:val="51B01DB1"/>
    <w:rsid w:val="525B0A9E"/>
    <w:rsid w:val="52862CE9"/>
    <w:rsid w:val="52902DE3"/>
    <w:rsid w:val="52E41E42"/>
    <w:rsid w:val="52E829FA"/>
    <w:rsid w:val="53230361"/>
    <w:rsid w:val="5394125E"/>
    <w:rsid w:val="55426099"/>
    <w:rsid w:val="55825812"/>
    <w:rsid w:val="562E599A"/>
    <w:rsid w:val="563F1955"/>
    <w:rsid w:val="572D7A00"/>
    <w:rsid w:val="57C71C02"/>
    <w:rsid w:val="57DD1426"/>
    <w:rsid w:val="57E1616A"/>
    <w:rsid w:val="580F64ED"/>
    <w:rsid w:val="58935F89"/>
    <w:rsid w:val="58975328"/>
    <w:rsid w:val="58AC6DD8"/>
    <w:rsid w:val="59575208"/>
    <w:rsid w:val="59A80B77"/>
    <w:rsid w:val="5A4C2893"/>
    <w:rsid w:val="5A4C4641"/>
    <w:rsid w:val="5A4D56CC"/>
    <w:rsid w:val="5A5A0B0C"/>
    <w:rsid w:val="5ADD1F6F"/>
    <w:rsid w:val="5B3E042E"/>
    <w:rsid w:val="5B905646"/>
    <w:rsid w:val="5C4E644E"/>
    <w:rsid w:val="5CB63FF4"/>
    <w:rsid w:val="5CD8040E"/>
    <w:rsid w:val="5DF04CB1"/>
    <w:rsid w:val="5E717C34"/>
    <w:rsid w:val="5E7D301B"/>
    <w:rsid w:val="5F4E49B7"/>
    <w:rsid w:val="5F9B0704"/>
    <w:rsid w:val="60B151FE"/>
    <w:rsid w:val="60F90953"/>
    <w:rsid w:val="617D3332"/>
    <w:rsid w:val="618C17C7"/>
    <w:rsid w:val="620B1CB1"/>
    <w:rsid w:val="621B223C"/>
    <w:rsid w:val="62316557"/>
    <w:rsid w:val="62620EA5"/>
    <w:rsid w:val="626C23AE"/>
    <w:rsid w:val="628677B7"/>
    <w:rsid w:val="62A04FE3"/>
    <w:rsid w:val="62A97722"/>
    <w:rsid w:val="62AA45FB"/>
    <w:rsid w:val="62B40FD5"/>
    <w:rsid w:val="62EC4C13"/>
    <w:rsid w:val="642E229E"/>
    <w:rsid w:val="64472F7C"/>
    <w:rsid w:val="644F5459"/>
    <w:rsid w:val="648D5C4D"/>
    <w:rsid w:val="64E831B8"/>
    <w:rsid w:val="651B533C"/>
    <w:rsid w:val="652561BA"/>
    <w:rsid w:val="65362175"/>
    <w:rsid w:val="65764C68"/>
    <w:rsid w:val="65C07C91"/>
    <w:rsid w:val="65C43C25"/>
    <w:rsid w:val="65ED6CD8"/>
    <w:rsid w:val="663C11C6"/>
    <w:rsid w:val="6679351B"/>
    <w:rsid w:val="668138C4"/>
    <w:rsid w:val="66D954AE"/>
    <w:rsid w:val="672C7CD4"/>
    <w:rsid w:val="678A67A9"/>
    <w:rsid w:val="679B1F3D"/>
    <w:rsid w:val="67C90ADB"/>
    <w:rsid w:val="67DF6AF4"/>
    <w:rsid w:val="67F73E3E"/>
    <w:rsid w:val="68224021"/>
    <w:rsid w:val="68336E40"/>
    <w:rsid w:val="68680898"/>
    <w:rsid w:val="68921DB9"/>
    <w:rsid w:val="697E16A7"/>
    <w:rsid w:val="699102C2"/>
    <w:rsid w:val="69BD2E65"/>
    <w:rsid w:val="69CC12FA"/>
    <w:rsid w:val="6A31115D"/>
    <w:rsid w:val="6AAF0A00"/>
    <w:rsid w:val="6AF503DD"/>
    <w:rsid w:val="6B376C47"/>
    <w:rsid w:val="6B767770"/>
    <w:rsid w:val="6BEB1DE5"/>
    <w:rsid w:val="6C264CF2"/>
    <w:rsid w:val="6CD41395"/>
    <w:rsid w:val="6D076C86"/>
    <w:rsid w:val="6E06752A"/>
    <w:rsid w:val="6E25722B"/>
    <w:rsid w:val="6E315BD0"/>
    <w:rsid w:val="6E3B25AB"/>
    <w:rsid w:val="6EFB658F"/>
    <w:rsid w:val="6F5953DE"/>
    <w:rsid w:val="6F5C0A2B"/>
    <w:rsid w:val="6F675D4D"/>
    <w:rsid w:val="6F7608A6"/>
    <w:rsid w:val="6FB0729E"/>
    <w:rsid w:val="6FE74798"/>
    <w:rsid w:val="70075747"/>
    <w:rsid w:val="70455963"/>
    <w:rsid w:val="70E4517B"/>
    <w:rsid w:val="70F74EAF"/>
    <w:rsid w:val="71153587"/>
    <w:rsid w:val="713056CE"/>
    <w:rsid w:val="71641E18"/>
    <w:rsid w:val="718030F6"/>
    <w:rsid w:val="71887955"/>
    <w:rsid w:val="71C50CDB"/>
    <w:rsid w:val="71D15700"/>
    <w:rsid w:val="723637B5"/>
    <w:rsid w:val="735008A6"/>
    <w:rsid w:val="736425A4"/>
    <w:rsid w:val="739335AF"/>
    <w:rsid w:val="742C4E6F"/>
    <w:rsid w:val="74406B6D"/>
    <w:rsid w:val="74664226"/>
    <w:rsid w:val="74AA048A"/>
    <w:rsid w:val="74C42DC4"/>
    <w:rsid w:val="74F03BAC"/>
    <w:rsid w:val="75B90985"/>
    <w:rsid w:val="75D4469C"/>
    <w:rsid w:val="768E6B29"/>
    <w:rsid w:val="770E11B9"/>
    <w:rsid w:val="7721192E"/>
    <w:rsid w:val="77334767"/>
    <w:rsid w:val="77440722"/>
    <w:rsid w:val="775D3592"/>
    <w:rsid w:val="779C31B3"/>
    <w:rsid w:val="78324A1E"/>
    <w:rsid w:val="7862132D"/>
    <w:rsid w:val="786F1488"/>
    <w:rsid w:val="7872231A"/>
    <w:rsid w:val="788A6608"/>
    <w:rsid w:val="78AF6B87"/>
    <w:rsid w:val="78D12489"/>
    <w:rsid w:val="797C13C9"/>
    <w:rsid w:val="79986B03"/>
    <w:rsid w:val="7A187C44"/>
    <w:rsid w:val="7A2860D9"/>
    <w:rsid w:val="7A2C7C8B"/>
    <w:rsid w:val="7ABD7E74"/>
    <w:rsid w:val="7AF97A75"/>
    <w:rsid w:val="7B2815F9"/>
    <w:rsid w:val="7C3B2A2C"/>
    <w:rsid w:val="7C815F74"/>
    <w:rsid w:val="7C8A4081"/>
    <w:rsid w:val="7CDE6F23"/>
    <w:rsid w:val="7D184A5F"/>
    <w:rsid w:val="7D502CB8"/>
    <w:rsid w:val="7D700AD9"/>
    <w:rsid w:val="7DE82DDE"/>
    <w:rsid w:val="7E8B4E88"/>
    <w:rsid w:val="7EC9775F"/>
    <w:rsid w:val="7F572FBC"/>
    <w:rsid w:val="7FC85570"/>
    <w:rsid w:val="7FFB2147"/>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line="471" w:lineRule="exact"/>
      <w:outlineLvl w:val="0"/>
    </w:pPr>
    <w:rPr>
      <w:rFonts w:ascii="Droid Sans Fallback" w:hAnsi="Droid Sans Fallback" w:eastAsia="Droid Sans Fallback" w:cs="Droid Sans Fallback"/>
      <w:sz w:val="39"/>
      <w:szCs w:val="39"/>
    </w:rPr>
  </w:style>
  <w:style w:type="paragraph" w:styleId="3">
    <w:name w:val="heading 2"/>
    <w:basedOn w:val="1"/>
    <w:next w:val="1"/>
    <w:autoRedefine/>
    <w:qFormat/>
    <w:uiPriority w:val="1"/>
    <w:pPr>
      <w:spacing w:line="527" w:lineRule="exact"/>
      <w:ind w:left="418"/>
      <w:outlineLvl w:val="1"/>
    </w:pPr>
    <w:rPr>
      <w:rFonts w:ascii="Microsoft JhengHei" w:hAnsi="Microsoft JhengHei" w:eastAsia="Microsoft JhengHei" w:cs="Microsoft JhengHei"/>
      <w:b/>
      <w:bCs/>
      <w:sz w:val="32"/>
      <w:szCs w:val="32"/>
    </w:rPr>
  </w:style>
  <w:style w:type="paragraph" w:styleId="4">
    <w:name w:val="heading 3"/>
    <w:basedOn w:val="1"/>
    <w:next w:val="1"/>
    <w:autoRedefine/>
    <w:qFormat/>
    <w:uiPriority w:val="0"/>
    <w:pPr>
      <w:keepNext/>
      <w:keepLines/>
      <w:spacing w:line="416" w:lineRule="auto"/>
      <w:outlineLvl w:val="2"/>
    </w:pPr>
    <w:rPr>
      <w:rFonts w:ascii="Times New Roman"/>
      <w:b/>
      <w:bCs/>
    </w:rPr>
  </w:style>
  <w:style w:type="paragraph" w:styleId="5">
    <w:name w:val="heading 4"/>
    <w:basedOn w:val="1"/>
    <w:next w:val="1"/>
    <w:autoRedefine/>
    <w:qFormat/>
    <w:uiPriority w:val="0"/>
    <w:pPr>
      <w:keepNext/>
      <w:keepLines/>
      <w:outlineLvl w:val="3"/>
    </w:pPr>
    <w:rPr>
      <w:rFonts w:ascii="Arial" w:hAnsi="Arial" w:eastAsia="仿宋"/>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unhideWhenUsed/>
    <w:qFormat/>
    <w:uiPriority w:val="99"/>
    <w:pPr>
      <w:ind w:left="420" w:leftChars="200"/>
    </w:pPr>
  </w:style>
  <w:style w:type="paragraph" w:styleId="7">
    <w:name w:val="Body Text"/>
    <w:basedOn w:val="1"/>
    <w:next w:val="8"/>
    <w:autoRedefine/>
    <w:qFormat/>
    <w:uiPriority w:val="1"/>
    <w:rPr>
      <w:sz w:val="24"/>
      <w:szCs w:val="24"/>
    </w:rPr>
  </w:style>
  <w:style w:type="paragraph" w:styleId="8">
    <w:name w:val="Body Text 2"/>
    <w:basedOn w:val="1"/>
    <w:next w:val="7"/>
    <w:autoRedefine/>
    <w:qFormat/>
    <w:uiPriority w:val="0"/>
    <w:pPr>
      <w:jc w:val="center"/>
      <w:outlineLvl w:val="0"/>
    </w:pPr>
    <w:rPr>
      <w:rFonts w:ascii="楷体_GB2312"/>
      <w:sz w:val="30"/>
      <w:szCs w:val="20"/>
    </w:rPr>
  </w:style>
  <w:style w:type="paragraph" w:styleId="9">
    <w:name w:val="Body Text Indent"/>
    <w:basedOn w:val="1"/>
    <w:next w:val="10"/>
    <w:autoRedefine/>
    <w:qFormat/>
    <w:uiPriority w:val="0"/>
    <w:pPr>
      <w:spacing w:line="400" w:lineRule="exact"/>
      <w:ind w:left="630"/>
    </w:pPr>
    <w:rPr>
      <w:rFonts w:ascii="楷体_GB2312"/>
      <w:sz w:val="30"/>
      <w:szCs w:val="30"/>
    </w:rPr>
  </w:style>
  <w:style w:type="paragraph" w:styleId="10">
    <w:name w:val="envelope return"/>
    <w:basedOn w:val="1"/>
    <w:autoRedefine/>
    <w:qFormat/>
    <w:uiPriority w:val="99"/>
    <w:pPr>
      <w:snapToGrid w:val="0"/>
    </w:pPr>
    <w:rPr>
      <w:rFonts w:ascii="Arial" w:hAnsi="Arial"/>
    </w:rPr>
  </w:style>
  <w:style w:type="paragraph" w:styleId="11">
    <w:name w:val="Block Text"/>
    <w:basedOn w:val="1"/>
    <w:autoRedefine/>
    <w:qFormat/>
    <w:uiPriority w:val="0"/>
    <w:pPr>
      <w:spacing w:line="300" w:lineRule="auto"/>
      <w:ind w:left="735" w:right="-26"/>
    </w:pPr>
    <w:rPr>
      <w:rFonts w:ascii="楷体_GB2312" w:eastAsia="楷体_GB2312"/>
      <w:sz w:val="24"/>
    </w:rPr>
  </w:style>
  <w:style w:type="paragraph" w:styleId="12">
    <w:name w:val="Balloon Text"/>
    <w:basedOn w:val="1"/>
    <w:link w:val="61"/>
    <w:autoRedefine/>
    <w:qFormat/>
    <w:uiPriority w:val="0"/>
    <w:rPr>
      <w:sz w:val="18"/>
      <w:szCs w:val="18"/>
    </w:rPr>
  </w:style>
  <w:style w:type="paragraph" w:styleId="13">
    <w:name w:val="footer"/>
    <w:basedOn w:val="1"/>
    <w:autoRedefine/>
    <w:qFormat/>
    <w:uiPriority w:val="0"/>
    <w:pPr>
      <w:tabs>
        <w:tab w:val="center" w:pos="4153"/>
        <w:tab w:val="right" w:pos="8306"/>
      </w:tabs>
      <w:snapToGrid w:val="0"/>
    </w:pPr>
    <w:rPr>
      <w:rFonts w:ascii="仿宋_GB2312" w:eastAsia="仿宋_GB2312"/>
      <w:kern w:val="2"/>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rFonts w:ascii="仿宋_GB2312" w:eastAsia="仿宋_GB2312"/>
      <w:kern w:val="2"/>
      <w:sz w:val="18"/>
      <w:szCs w:val="18"/>
    </w:rPr>
  </w:style>
  <w:style w:type="paragraph" w:styleId="15">
    <w:name w:val="toc 1"/>
    <w:basedOn w:val="1"/>
    <w:next w:val="1"/>
    <w:autoRedefine/>
    <w:qFormat/>
    <w:uiPriority w:val="1"/>
  </w:style>
  <w:style w:type="paragraph" w:styleId="16">
    <w:name w:val="Subtitle"/>
    <w:basedOn w:val="1"/>
    <w:next w:val="1"/>
    <w:autoRedefine/>
    <w:qFormat/>
    <w:uiPriority w:val="0"/>
    <w:pPr>
      <w:widowControl/>
      <w:jc w:val="center"/>
      <w:outlineLvl w:val="1"/>
    </w:pPr>
    <w:rPr>
      <w:rFonts w:ascii="Cambria" w:hAnsi="Cambria"/>
      <w:sz w:val="24"/>
      <w:szCs w:val="24"/>
      <w:lang w:eastAsia="en-US" w:bidi="en-US"/>
    </w:rPr>
  </w:style>
  <w:style w:type="paragraph" w:styleId="17">
    <w:name w:val="Normal (Web)"/>
    <w:basedOn w:val="1"/>
    <w:autoRedefine/>
    <w:qFormat/>
    <w:uiPriority w:val="0"/>
    <w:pPr>
      <w:widowControl/>
      <w:spacing w:before="100" w:beforeAutospacing="1" w:after="100" w:afterAutospacing="1"/>
    </w:pPr>
    <w:rPr>
      <w:sz w:val="24"/>
      <w:szCs w:val="24"/>
    </w:rPr>
  </w:style>
  <w:style w:type="paragraph" w:styleId="18">
    <w:name w:val="Body Text First Indent"/>
    <w:basedOn w:val="7"/>
    <w:autoRedefine/>
    <w:qFormat/>
    <w:uiPriority w:val="0"/>
    <w:pPr>
      <w:ind w:firstLine="420" w:firstLineChars="100"/>
    </w:pPr>
    <w:rPr>
      <w:rFonts w:ascii="Times New Roman" w:hAnsi="Times New Roman"/>
    </w:rPr>
  </w:style>
  <w:style w:type="paragraph" w:styleId="19">
    <w:name w:val="Body Text First Indent 2"/>
    <w:basedOn w:val="9"/>
    <w:next w:val="1"/>
    <w:autoRedefine/>
    <w:qFormat/>
    <w:uiPriority w:val="0"/>
    <w:pPr>
      <w:spacing w:line="240" w:lineRule="auto"/>
      <w:ind w:left="200" w:leftChars="200" w:firstLine="200" w:firstLineChars="200"/>
    </w:pPr>
  </w:style>
  <w:style w:type="table" w:styleId="21">
    <w:name w:val="Table Grid"/>
    <w:basedOn w:val="20"/>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0"/>
  </w:style>
  <w:style w:type="character" w:styleId="24">
    <w:name w:val="FollowedHyperlink"/>
    <w:basedOn w:val="22"/>
    <w:autoRedefine/>
    <w:qFormat/>
    <w:uiPriority w:val="0"/>
    <w:rPr>
      <w:color w:val="800080"/>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Typewriter"/>
    <w:basedOn w:val="22"/>
    <w:autoRedefine/>
    <w:qFormat/>
    <w:uiPriority w:val="0"/>
    <w:rPr>
      <w:rFonts w:hint="default" w:ascii="monospace" w:hAnsi="monospace" w:eastAsia="monospace" w:cs="monospace"/>
      <w:sz w:val="20"/>
    </w:rPr>
  </w:style>
  <w:style w:type="character" w:styleId="28">
    <w:name w:val="HTML Acronym"/>
    <w:basedOn w:val="22"/>
    <w:autoRedefine/>
    <w:qFormat/>
    <w:uiPriority w:val="0"/>
  </w:style>
  <w:style w:type="character" w:styleId="29">
    <w:name w:val="HTML Variable"/>
    <w:basedOn w:val="22"/>
    <w:autoRedefine/>
    <w:qFormat/>
    <w:uiPriority w:val="0"/>
  </w:style>
  <w:style w:type="character" w:styleId="30">
    <w:name w:val="Hyperlink"/>
    <w:autoRedefine/>
    <w:qFormat/>
    <w:uiPriority w:val="99"/>
    <w:rPr>
      <w:color w:val="0368A8"/>
      <w:u w:val="none"/>
    </w:rPr>
  </w:style>
  <w:style w:type="character" w:styleId="31">
    <w:name w:val="HTML Code"/>
    <w:basedOn w:val="22"/>
    <w:autoRedefine/>
    <w:qFormat/>
    <w:uiPriority w:val="0"/>
    <w:rPr>
      <w:rFonts w:ascii="monospace" w:hAnsi="monospace" w:eastAsia="monospace" w:cs="monospace"/>
      <w:sz w:val="20"/>
    </w:rPr>
  </w:style>
  <w:style w:type="character" w:styleId="32">
    <w:name w:val="HTML Cite"/>
    <w:basedOn w:val="22"/>
    <w:autoRedefine/>
    <w:qFormat/>
    <w:uiPriority w:val="0"/>
  </w:style>
  <w:style w:type="character" w:styleId="33">
    <w:name w:val="HTML Keyboard"/>
    <w:basedOn w:val="22"/>
    <w:autoRedefine/>
    <w:qFormat/>
    <w:uiPriority w:val="0"/>
    <w:rPr>
      <w:rFonts w:hint="default" w:ascii="monospace" w:hAnsi="monospace" w:eastAsia="monospace" w:cs="monospace"/>
      <w:sz w:val="20"/>
    </w:rPr>
  </w:style>
  <w:style w:type="character" w:styleId="34">
    <w:name w:val="HTML Sample"/>
    <w:basedOn w:val="22"/>
    <w:autoRedefine/>
    <w:qFormat/>
    <w:uiPriority w:val="0"/>
    <w:rPr>
      <w:rFonts w:hint="default" w:ascii="monospace" w:hAnsi="monospace" w:eastAsia="monospace" w:cs="monospace"/>
    </w:rPr>
  </w:style>
  <w:style w:type="paragraph" w:customStyle="1" w:styleId="35">
    <w:name w:val="Default"/>
    <w:next w:val="16"/>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正文_0"/>
    <w:next w:val="37"/>
    <w:autoRedefine/>
    <w:qFormat/>
    <w:uiPriority w:val="0"/>
    <w:pPr>
      <w:widowControl w:val="0"/>
      <w:jc w:val="both"/>
    </w:pPr>
    <w:rPr>
      <w:rFonts w:ascii="Times New Roman" w:hAnsi="Times New Roman" w:eastAsia="宋体" w:cs="Times New Roman"/>
      <w:lang w:val="en-US" w:eastAsia="zh-CN" w:bidi="ar-SA"/>
    </w:rPr>
  </w:style>
  <w:style w:type="paragraph" w:customStyle="1" w:styleId="37">
    <w:name w:val="正文文本_0"/>
    <w:next w:val="38"/>
    <w:autoRedefine/>
    <w:qFormat/>
    <w:uiPriority w:val="0"/>
    <w:pPr>
      <w:widowControl w:val="0"/>
      <w:jc w:val="both"/>
    </w:pPr>
    <w:rPr>
      <w:rFonts w:ascii="Calibri" w:hAnsi="Calibri" w:eastAsia="仿宋_GB2312" w:cs="Times New Roman"/>
      <w:kern w:val="2"/>
      <w:sz w:val="28"/>
      <w:szCs w:val="30"/>
      <w:lang w:val="en-US" w:eastAsia="zh-CN" w:bidi="ar-SA"/>
    </w:rPr>
  </w:style>
  <w:style w:type="paragraph" w:customStyle="1" w:styleId="38">
    <w:name w:val="正文_7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2_0"/>
    <w:next w:val="4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Default_1"/>
    <w:next w:val="4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表格文字_0_0"/>
    <w:basedOn w:val="39"/>
    <w:autoRedefine/>
    <w:qFormat/>
    <w:uiPriority w:val="0"/>
    <w:pPr>
      <w:adjustRightInd w:val="0"/>
      <w:spacing w:line="420" w:lineRule="atLeast"/>
      <w:jc w:val="left"/>
    </w:pPr>
    <w:rPr>
      <w:rFonts w:ascii="Times New Roman" w:hAnsi="Times New Roman"/>
      <w:kern w:val="0"/>
      <w:szCs w:val="20"/>
    </w:rPr>
  </w:style>
  <w:style w:type="paragraph" w:customStyle="1" w:styleId="42">
    <w:name w:val="Body text|1"/>
    <w:basedOn w:val="1"/>
    <w:autoRedefine/>
    <w:qFormat/>
    <w:uiPriority w:val="0"/>
    <w:pPr>
      <w:spacing w:after="220" w:line="420" w:lineRule="auto"/>
      <w:ind w:firstLine="400"/>
    </w:pPr>
    <w:rPr>
      <w:rFonts w:ascii="MingLiU" w:hAnsi="MingLiU" w:eastAsia="MingLiU" w:cs="MingLiU"/>
      <w:sz w:val="20"/>
      <w:szCs w:val="20"/>
      <w:lang w:val="zh-TW" w:eastAsia="zh-TW" w:bidi="zh-TW"/>
    </w:rPr>
  </w:style>
  <w:style w:type="paragraph" w:customStyle="1" w:styleId="43">
    <w:name w:val="列出段落1"/>
    <w:basedOn w:val="1"/>
    <w:autoRedefine/>
    <w:qFormat/>
    <w:uiPriority w:val="1"/>
    <w:pPr>
      <w:spacing w:before="192"/>
      <w:ind w:left="418" w:firstLine="420"/>
    </w:pPr>
  </w:style>
  <w:style w:type="paragraph" w:customStyle="1" w:styleId="44">
    <w:name w:val="大标题"/>
    <w:basedOn w:val="1"/>
    <w:next w:val="19"/>
    <w:autoRedefine/>
    <w:qFormat/>
    <w:uiPriority w:val="0"/>
    <w:pPr>
      <w:jc w:val="center"/>
    </w:pPr>
    <w:rPr>
      <w:rFonts w:ascii="Arial" w:hAnsi="Arial"/>
      <w:b/>
      <w:sz w:val="28"/>
      <w:szCs w:val="24"/>
    </w:rPr>
  </w:style>
  <w:style w:type="paragraph" w:customStyle="1" w:styleId="45">
    <w:name w:val="列出段落11"/>
    <w:basedOn w:val="1"/>
    <w:autoRedefine/>
    <w:qFormat/>
    <w:uiPriority w:val="0"/>
    <w:pPr>
      <w:widowControl/>
      <w:spacing w:line="300" w:lineRule="auto"/>
      <w:ind w:firstLine="200" w:firstLineChars="200"/>
    </w:pPr>
    <w:rPr>
      <w:rFonts w:ascii="Arial" w:hAnsi="Arial"/>
      <w:sz w:val="18"/>
    </w:rPr>
  </w:style>
  <w:style w:type="paragraph" w:customStyle="1" w:styleId="46">
    <w:name w:val="_Style 2"/>
    <w:basedOn w:val="1"/>
    <w:autoRedefine/>
    <w:qFormat/>
    <w:uiPriority w:val="0"/>
    <w:pPr>
      <w:ind w:firstLine="420" w:firstLineChars="200"/>
    </w:pPr>
    <w:rPr>
      <w:rFonts w:ascii="Calibri" w:hAnsi="Calibri" w:cs="Times New Roman"/>
    </w:rPr>
  </w:style>
  <w:style w:type="paragraph" w:customStyle="1" w:styleId="47">
    <w:name w:val="*正文_2_0"/>
    <w:next w:val="48"/>
    <w:autoRedefine/>
    <w:qFormat/>
    <w:uiPriority w:val="0"/>
    <w:pPr>
      <w:ind w:firstLine="482"/>
      <w:jc w:val="both"/>
    </w:pPr>
    <w:rPr>
      <w:rFonts w:ascii="微软雅黑" w:hAnsi="微软雅黑" w:eastAsia="微软雅黑" w:cs="Times New Roman"/>
      <w:sz w:val="21"/>
      <w:lang w:val="en-US" w:eastAsia="zh-CN" w:bidi="ar-SA"/>
    </w:rPr>
  </w:style>
  <w:style w:type="paragraph" w:customStyle="1" w:styleId="48">
    <w:name w:val="正文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Normal_9"/>
    <w:autoRedefine/>
    <w:qFormat/>
    <w:uiPriority w:val="0"/>
    <w:rPr>
      <w:rFonts w:ascii="黑体" w:hAnsi="黑体" w:eastAsia="黑体" w:cs="Times New Roman"/>
      <w:b/>
      <w:sz w:val="32"/>
      <w:szCs w:val="24"/>
      <w:lang w:val="en-US" w:eastAsia="zh-CN" w:bidi="ar-SA"/>
    </w:rPr>
  </w:style>
  <w:style w:type="paragraph" w:customStyle="1" w:styleId="50">
    <w:name w:val="正文_7"/>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
    <w:basedOn w:val="1"/>
    <w:next w:val="1"/>
    <w:autoRedefine/>
    <w:qFormat/>
    <w:uiPriority w:val="0"/>
    <w:pPr>
      <w:widowControl/>
      <w:ind w:firstLine="482"/>
    </w:pPr>
    <w:rPr>
      <w:rFonts w:ascii="微软雅黑" w:hAnsi="微软雅黑" w:eastAsia="微软雅黑"/>
      <w:sz w:val="21"/>
    </w:rPr>
  </w:style>
  <w:style w:type="paragraph" w:customStyle="1" w:styleId="52">
    <w:name w:val="Body Text 21"/>
    <w:basedOn w:val="1"/>
    <w:next w:val="1"/>
    <w:autoRedefine/>
    <w:qFormat/>
    <w:uiPriority w:val="0"/>
    <w:pPr>
      <w:spacing w:line="700" w:lineRule="exact"/>
    </w:pPr>
    <w:rPr>
      <w:sz w:val="28"/>
    </w:rPr>
  </w:style>
  <w:style w:type="paragraph" w:customStyle="1" w:styleId="53">
    <w:name w:val="pa-19"/>
    <w:basedOn w:val="1"/>
    <w:autoRedefine/>
    <w:qFormat/>
    <w:uiPriority w:val="99"/>
    <w:pPr>
      <w:widowControl/>
      <w:spacing w:before="150" w:after="150"/>
    </w:pPr>
    <w:rPr>
      <w:sz w:val="24"/>
    </w:rPr>
  </w:style>
  <w:style w:type="paragraph" w:customStyle="1" w:styleId="54">
    <w:name w:val="Normal_11"/>
    <w:autoRedefine/>
    <w:qFormat/>
    <w:uiPriority w:val="0"/>
    <w:rPr>
      <w:rFonts w:ascii="Times New Roman" w:hAnsi="Times New Roman" w:eastAsia="Times New Roman" w:cs="Times New Roman"/>
      <w:sz w:val="24"/>
      <w:szCs w:val="24"/>
      <w:lang w:val="en-US" w:eastAsia="zh-CN" w:bidi="ar-SA"/>
    </w:rPr>
  </w:style>
  <w:style w:type="paragraph" w:customStyle="1" w:styleId="55">
    <w:name w:val="普通(网站)1"/>
    <w:basedOn w:val="1"/>
    <w:autoRedefine/>
    <w:qFormat/>
    <w:uiPriority w:val="0"/>
    <w:pPr>
      <w:widowControl/>
      <w:spacing w:before="100" w:beforeAutospacing="1" w:after="100" w:afterAutospacing="1"/>
    </w:pPr>
    <w:rPr>
      <w:sz w:val="24"/>
      <w:szCs w:val="24"/>
    </w:rPr>
  </w:style>
  <w:style w:type="paragraph" w:customStyle="1" w:styleId="56">
    <w:name w:val="正文首行缩进 21"/>
    <w:basedOn w:val="57"/>
    <w:next w:val="1"/>
    <w:autoRedefine/>
    <w:qFormat/>
    <w:uiPriority w:val="0"/>
    <w:pPr>
      <w:ind w:firstLine="420" w:firstLineChars="200"/>
    </w:pPr>
  </w:style>
  <w:style w:type="paragraph" w:customStyle="1" w:styleId="57">
    <w:name w:val="正文文本缩进1"/>
    <w:basedOn w:val="1"/>
    <w:next w:val="58"/>
    <w:autoRedefine/>
    <w:qFormat/>
    <w:uiPriority w:val="0"/>
    <w:pPr>
      <w:ind w:left="420" w:leftChars="200"/>
    </w:pPr>
    <w:rPr>
      <w:rFonts w:ascii="Calibri" w:hAnsi="Calibri"/>
    </w:rPr>
  </w:style>
  <w:style w:type="paragraph" w:customStyle="1" w:styleId="58">
    <w:name w:val="寄信人地址1"/>
    <w:basedOn w:val="1"/>
    <w:autoRedefine/>
    <w:qFormat/>
    <w:uiPriority w:val="0"/>
    <w:pPr>
      <w:snapToGrid w:val="0"/>
    </w:pPr>
    <w:rPr>
      <w:rFonts w:ascii="Arial" w:hAnsi="Arial"/>
    </w:rPr>
  </w:style>
  <w:style w:type="paragraph" w:customStyle="1" w:styleId="59">
    <w:name w:val="Normal_21"/>
    <w:autoRedefine/>
    <w:qFormat/>
    <w:uiPriority w:val="0"/>
    <w:rPr>
      <w:rFonts w:ascii="Times New Roman" w:hAnsi="Times New Roman" w:eastAsia="Times New Roman" w:cs="Times New Roman"/>
      <w:sz w:val="24"/>
      <w:szCs w:val="24"/>
      <w:lang w:val="en-US" w:eastAsia="zh-CN" w:bidi="ar-SA"/>
    </w:rPr>
  </w:style>
  <w:style w:type="character" w:customStyle="1" w:styleId="60">
    <w:name w:val="font51"/>
    <w:autoRedefine/>
    <w:qFormat/>
    <w:uiPriority w:val="0"/>
    <w:rPr>
      <w:rFonts w:hint="default" w:ascii="仿宋" w:hAnsi="仿宋" w:eastAsia="仿宋" w:cs="仿宋"/>
      <w:b/>
      <w:color w:val="000000"/>
      <w:sz w:val="20"/>
      <w:szCs w:val="20"/>
      <w:u w:val="none"/>
    </w:rPr>
  </w:style>
  <w:style w:type="character" w:customStyle="1" w:styleId="61">
    <w:name w:val="批注框文本 Char"/>
    <w:basedOn w:val="22"/>
    <w:link w:val="12"/>
    <w:autoRedefine/>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8527</Words>
  <Characters>48605</Characters>
  <Lines>405</Lines>
  <Paragraphs>114</Paragraphs>
  <TotalTime>2</TotalTime>
  <ScaleCrop>false</ScaleCrop>
  <LinksUpToDate>false</LinksUpToDate>
  <CharactersWithSpaces>57018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2023-01-06T02:06:00Z</dcterms:created>
  <dc:creator>大婉</dc:creator>
  <cp:lastModifiedBy>NTKO</cp:lastModifiedBy>
  <dcterms:modified xsi:type="dcterms:W3CDTF">2024-04-30T08:38:50Z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0A8A4B7023434428A5251DE3DEA8BFF8</vt:lpwstr>
  </property>
</Properties>
</file>