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02F32">
      <w:pPr>
        <w:tabs>
          <w:tab w:val="left" w:pos="1260"/>
          <w:tab w:val="left" w:pos="2768"/>
          <w:tab w:val="left" w:pos="3522"/>
        </w:tabs>
        <w:spacing w:line="480" w:lineRule="auto"/>
        <w:jc w:val="center"/>
        <w:rPr>
          <w:rFonts w:ascii="宋体" w:hAnsi="宋体" w:cs="宋体"/>
          <w:b/>
          <w:sz w:val="36"/>
          <w:szCs w:val="36"/>
        </w:rPr>
      </w:pPr>
    </w:p>
    <w:p w14:paraId="69D7E8B3">
      <w:pPr>
        <w:pStyle w:val="20"/>
        <w:ind w:firstLine="0" w:firstLineChars="0"/>
        <w:jc w:val="center"/>
        <w:rPr>
          <w:rFonts w:hint="eastAsia" w:eastAsia="宋体"/>
          <w:b/>
          <w:sz w:val="48"/>
          <w:lang w:eastAsia="zh-CN"/>
        </w:rPr>
      </w:pPr>
      <w:r>
        <w:rPr>
          <w:rFonts w:hint="eastAsia" w:eastAsia="宋体"/>
          <w:b/>
          <w:sz w:val="48"/>
          <w:lang w:val="en-US" w:eastAsia="zh-CN"/>
        </w:rPr>
        <w:t>郑州市郑东新区社会事业局郑州市郑东新区2024年政府购买社会工作服务项目</w:t>
      </w:r>
    </w:p>
    <w:p w14:paraId="27653860">
      <w:pPr>
        <w:pStyle w:val="20"/>
        <w:ind w:firstLine="0" w:firstLineChars="0"/>
        <w:jc w:val="center"/>
        <w:rPr>
          <w:rFonts w:hint="default" w:ascii="宋体" w:eastAsia="宋体" w:cs="宋体"/>
          <w:lang w:val="en-US"/>
        </w:rPr>
      </w:pPr>
      <w:r>
        <w:rPr>
          <w:rFonts w:hint="eastAsia" w:eastAsia="宋体"/>
          <w:b/>
          <w:sz w:val="48"/>
          <w:lang w:eastAsia="zh-CN"/>
        </w:rPr>
        <w:t>（</w:t>
      </w:r>
      <w:r>
        <w:rPr>
          <w:rFonts w:hint="eastAsia" w:eastAsia="宋体"/>
          <w:b/>
          <w:sz w:val="48"/>
          <w:lang w:val="en-US" w:eastAsia="zh-CN"/>
        </w:rPr>
        <w:t xml:space="preserve"> F</w:t>
      </w:r>
      <w:bookmarkStart w:id="393" w:name="_GoBack"/>
      <w:bookmarkEnd w:id="393"/>
      <w:r>
        <w:rPr>
          <w:rFonts w:hint="eastAsia" w:eastAsia="宋体"/>
          <w:b/>
          <w:sz w:val="48"/>
          <w:lang w:val="en-US" w:eastAsia="zh-CN"/>
        </w:rPr>
        <w:t xml:space="preserve"> 包</w:t>
      </w:r>
      <w:r>
        <w:rPr>
          <w:rFonts w:hint="eastAsia" w:eastAsia="宋体"/>
          <w:b/>
          <w:sz w:val="48"/>
          <w:lang w:eastAsia="zh-CN"/>
        </w:rPr>
        <w:t>）</w:t>
      </w:r>
    </w:p>
    <w:p w14:paraId="54257FCE">
      <w:pPr>
        <w:pStyle w:val="20"/>
        <w:ind w:firstLine="0" w:firstLineChars="0"/>
        <w:rPr>
          <w:rFonts w:ascii="宋体" w:eastAsia="宋体" w:cs="宋体"/>
        </w:rPr>
      </w:pPr>
    </w:p>
    <w:p w14:paraId="328237FF">
      <w:pPr>
        <w:pStyle w:val="20"/>
        <w:ind w:firstLine="0" w:firstLineChars="0"/>
        <w:rPr>
          <w:rFonts w:ascii="宋体" w:eastAsia="宋体" w:cs="宋体"/>
        </w:rPr>
      </w:pPr>
    </w:p>
    <w:p w14:paraId="7CEDDD8B">
      <w:pPr>
        <w:pStyle w:val="20"/>
        <w:ind w:firstLine="0" w:firstLineChars="0"/>
        <w:rPr>
          <w:rFonts w:ascii="宋体" w:eastAsia="宋体" w:cs="宋体"/>
        </w:rPr>
      </w:pPr>
    </w:p>
    <w:p w14:paraId="05A89D06">
      <w:pPr>
        <w:pStyle w:val="20"/>
        <w:ind w:firstLine="0" w:firstLineChars="0"/>
        <w:rPr>
          <w:rFonts w:ascii="宋体" w:eastAsia="宋体" w:cs="宋体"/>
        </w:rPr>
      </w:pPr>
    </w:p>
    <w:p w14:paraId="5AEB50CD">
      <w:pPr>
        <w:spacing w:line="360" w:lineRule="auto"/>
        <w:ind w:left="528" w:right="528"/>
        <w:jc w:val="center"/>
        <w:rPr>
          <w:rFonts w:ascii="宋体" w:hAnsi="宋体" w:cs="宋体"/>
          <w:b/>
          <w:sz w:val="90"/>
          <w:szCs w:val="90"/>
        </w:rPr>
      </w:pPr>
      <w:r>
        <w:rPr>
          <w:rFonts w:hint="eastAsia" w:ascii="宋体" w:hAnsi="宋体" w:cs="宋体"/>
          <w:b/>
          <w:sz w:val="90"/>
          <w:szCs w:val="90"/>
        </w:rPr>
        <w:t>招 标 文 件</w:t>
      </w:r>
    </w:p>
    <w:p w14:paraId="3C0CCF53">
      <w:pPr>
        <w:spacing w:line="360" w:lineRule="auto"/>
        <w:ind w:left="528" w:right="528"/>
        <w:jc w:val="center"/>
        <w:rPr>
          <w:rFonts w:ascii="宋体" w:hAnsi="宋体" w:cs="宋体"/>
          <w:b/>
          <w:sz w:val="32"/>
          <w:szCs w:val="32"/>
          <w:highlight w:val="yellow"/>
        </w:rPr>
      </w:pPr>
      <w:r>
        <w:rPr>
          <w:rFonts w:hint="eastAsia" w:ascii="宋体" w:hAnsi="宋体" w:cs="宋体"/>
          <w:b/>
          <w:sz w:val="32"/>
          <w:szCs w:val="32"/>
        </w:rPr>
        <w:t>项目编号：</w:t>
      </w:r>
      <w:r>
        <w:rPr>
          <w:rFonts w:hint="eastAsia" w:ascii="宋体" w:hAnsi="宋体" w:cs="宋体"/>
          <w:b/>
          <w:sz w:val="32"/>
          <w:szCs w:val="32"/>
          <w:lang w:val="en-US" w:eastAsia="zh-CN"/>
        </w:rPr>
        <w:t>郑东公开备[2024]17号</w:t>
      </w:r>
    </w:p>
    <w:p w14:paraId="4560CF20">
      <w:pPr>
        <w:pStyle w:val="9"/>
        <w:jc w:val="both"/>
        <w:rPr>
          <w:rFonts w:ascii="宋体" w:hAnsi="宋体" w:eastAsia="宋体" w:cs="宋体"/>
          <w:b/>
          <w:sz w:val="32"/>
        </w:rPr>
      </w:pPr>
    </w:p>
    <w:p w14:paraId="2B489C06">
      <w:pPr>
        <w:rPr>
          <w:rFonts w:ascii="宋体" w:hAnsi="宋体" w:cs="宋体"/>
        </w:rPr>
      </w:pPr>
    </w:p>
    <w:p w14:paraId="2D1BF8DF">
      <w:pPr>
        <w:pStyle w:val="9"/>
        <w:jc w:val="both"/>
        <w:rPr>
          <w:rFonts w:ascii="宋体" w:hAnsi="宋体" w:eastAsia="宋体" w:cs="宋体"/>
          <w:b/>
          <w:sz w:val="32"/>
        </w:rPr>
      </w:pPr>
    </w:p>
    <w:p w14:paraId="77DAADBC">
      <w:pPr>
        <w:rPr>
          <w:rFonts w:ascii="宋体" w:hAnsi="宋体" w:cs="宋体"/>
        </w:rPr>
      </w:pPr>
    </w:p>
    <w:p w14:paraId="4B5969C0">
      <w:pPr>
        <w:pStyle w:val="20"/>
        <w:ind w:firstLine="0" w:firstLineChars="0"/>
        <w:rPr>
          <w:rFonts w:ascii="宋体" w:eastAsia="宋体" w:cs="宋体"/>
          <w:b/>
          <w:sz w:val="32"/>
        </w:rPr>
      </w:pPr>
    </w:p>
    <w:p w14:paraId="426D671D">
      <w:pPr>
        <w:pStyle w:val="20"/>
        <w:ind w:firstLine="0" w:firstLineChars="0"/>
        <w:rPr>
          <w:rFonts w:ascii="宋体" w:eastAsia="宋体" w:cs="宋体"/>
          <w:b/>
          <w:sz w:val="32"/>
        </w:rPr>
      </w:pPr>
    </w:p>
    <w:p w14:paraId="48EB1482">
      <w:pPr>
        <w:rPr>
          <w:rFonts w:ascii="宋体" w:hAnsi="宋体" w:cs="宋体"/>
          <w:b/>
          <w:sz w:val="36"/>
          <w:szCs w:val="36"/>
        </w:rPr>
      </w:pPr>
    </w:p>
    <w:p w14:paraId="62271D66">
      <w:pPr>
        <w:tabs>
          <w:tab w:val="left" w:pos="1260"/>
        </w:tabs>
        <w:spacing w:before="8" w:line="480" w:lineRule="auto"/>
        <w:ind w:left="1050" w:leftChars="500" w:firstLine="426" w:firstLineChars="118"/>
        <w:rPr>
          <w:rFonts w:hint="eastAsia" w:ascii="宋体" w:hAnsi="宋体" w:eastAsia="宋体" w:cs="宋体"/>
          <w:b/>
          <w:sz w:val="36"/>
          <w:szCs w:val="36"/>
          <w:lang w:eastAsia="zh-CN"/>
        </w:rPr>
      </w:pPr>
      <w:r>
        <w:rPr>
          <w:rFonts w:hint="eastAsia" w:ascii="宋体" w:hAnsi="宋体" w:cs="宋体"/>
          <w:b/>
          <w:sz w:val="36"/>
          <w:szCs w:val="36"/>
        </w:rPr>
        <w:t>采 购 人：郑州市郑东新区社会事业局</w:t>
      </w:r>
    </w:p>
    <w:p w14:paraId="76A0B37C">
      <w:pPr>
        <w:tabs>
          <w:tab w:val="left" w:pos="1260"/>
        </w:tabs>
        <w:spacing w:before="8" w:line="480" w:lineRule="auto"/>
        <w:ind w:left="1050" w:leftChars="500" w:firstLine="426" w:firstLineChars="118"/>
        <w:rPr>
          <w:rFonts w:ascii="宋体" w:hAnsi="宋体" w:cs="宋体"/>
          <w:b/>
          <w:sz w:val="36"/>
          <w:szCs w:val="36"/>
        </w:rPr>
      </w:pPr>
      <w:r>
        <w:rPr>
          <w:rFonts w:hint="eastAsia" w:ascii="宋体" w:hAnsi="宋体" w:cs="宋体"/>
          <w:b/>
          <w:sz w:val="36"/>
          <w:szCs w:val="36"/>
        </w:rPr>
        <w:t>代理机构：河南怀德敏行工程管理有限公司</w:t>
      </w:r>
    </w:p>
    <w:p w14:paraId="72BAAAAE">
      <w:pPr>
        <w:ind w:left="1050" w:leftChars="500" w:firstLine="426" w:firstLineChars="118"/>
        <w:rPr>
          <w:rFonts w:ascii="宋体" w:hAnsi="宋体" w:cs="宋体"/>
          <w:b/>
          <w:sz w:val="36"/>
          <w:szCs w:val="36"/>
        </w:rPr>
      </w:pPr>
      <w:r>
        <w:rPr>
          <w:rFonts w:hint="eastAsia" w:ascii="宋体" w:hAnsi="宋体" w:cs="宋体"/>
          <w:b/>
          <w:sz w:val="36"/>
          <w:szCs w:val="36"/>
        </w:rPr>
        <w:t>日    期：二〇二</w:t>
      </w:r>
      <w:r>
        <w:rPr>
          <w:rFonts w:hint="eastAsia" w:ascii="宋体" w:hAnsi="宋体" w:cs="宋体"/>
          <w:b/>
          <w:sz w:val="36"/>
          <w:szCs w:val="36"/>
          <w:lang w:eastAsia="zh-CN"/>
        </w:rPr>
        <w:t>四</w:t>
      </w:r>
      <w:r>
        <w:rPr>
          <w:rFonts w:hint="eastAsia" w:ascii="宋体" w:hAnsi="宋体" w:cs="宋体"/>
          <w:b/>
          <w:sz w:val="36"/>
          <w:szCs w:val="36"/>
        </w:rPr>
        <w:t>年</w:t>
      </w:r>
      <w:r>
        <w:rPr>
          <w:rFonts w:hint="eastAsia" w:ascii="宋体" w:hAnsi="宋体" w:cs="宋体"/>
          <w:b/>
          <w:sz w:val="36"/>
          <w:szCs w:val="36"/>
          <w:lang w:eastAsia="zh-CN"/>
        </w:rPr>
        <w:t>八</w:t>
      </w:r>
      <w:r>
        <w:rPr>
          <w:rFonts w:hint="eastAsia" w:ascii="宋体" w:hAnsi="宋体" w:cs="宋体"/>
          <w:b/>
          <w:sz w:val="36"/>
          <w:szCs w:val="36"/>
        </w:rPr>
        <w:t>月</w:t>
      </w:r>
    </w:p>
    <w:p w14:paraId="6EFA37E2">
      <w:pPr>
        <w:spacing w:line="360" w:lineRule="auto"/>
        <w:rPr>
          <w:rFonts w:ascii="宋体" w:hAnsi="宋体" w:cs="宋体"/>
          <w:b/>
          <w:sz w:val="48"/>
          <w:szCs w:val="48"/>
        </w:rPr>
        <w:sectPr>
          <w:pgSz w:w="11906" w:h="16838"/>
          <w:pgMar w:top="1417" w:right="1701" w:bottom="1417" w:left="1281" w:header="851" w:footer="992" w:gutter="0"/>
          <w:pgNumType w:fmt="decimal"/>
          <w:cols w:space="720" w:num="1"/>
          <w:titlePg/>
          <w:docGrid w:type="lines" w:linePitch="312" w:charSpace="0"/>
        </w:sectPr>
      </w:pPr>
    </w:p>
    <w:p w14:paraId="01605F85">
      <w:pPr>
        <w:spacing w:line="360" w:lineRule="auto"/>
        <w:jc w:val="center"/>
        <w:rPr>
          <w:rFonts w:ascii="宋体" w:hAnsi="宋体" w:cs="宋体"/>
          <w:b/>
          <w:sz w:val="44"/>
          <w:szCs w:val="44"/>
        </w:rPr>
      </w:pPr>
      <w:r>
        <w:rPr>
          <w:rFonts w:hint="eastAsia" w:ascii="宋体" w:hAnsi="宋体" w:cs="宋体"/>
          <w:b/>
          <w:sz w:val="44"/>
          <w:szCs w:val="44"/>
        </w:rPr>
        <w:t>目   录</w:t>
      </w:r>
    </w:p>
    <w:p w14:paraId="360E6A7D">
      <w:pPr>
        <w:pStyle w:val="18"/>
        <w:tabs>
          <w:tab w:val="right" w:leader="dot" w:pos="8504"/>
        </w:tabs>
        <w:rPr>
          <w:sz w:val="28"/>
          <w:szCs w:val="28"/>
        </w:rPr>
      </w:pPr>
      <w:bookmarkStart w:id="0" w:name="_Toc424801307"/>
      <w:bookmarkStart w:id="1" w:name="_Toc32478"/>
      <w:r>
        <w:rPr>
          <w:rFonts w:hint="eastAsia" w:ascii="宋体" w:hAnsi="宋体" w:cs="宋体"/>
          <w:sz w:val="28"/>
          <w:szCs w:val="28"/>
        </w:rPr>
        <w:fldChar w:fldCharType="begin"/>
      </w:r>
      <w:r>
        <w:rPr>
          <w:rFonts w:hint="eastAsia" w:ascii="宋体" w:hAnsi="宋体" w:cs="宋体"/>
          <w:sz w:val="28"/>
          <w:szCs w:val="28"/>
        </w:rPr>
        <w:instrText xml:space="preserve">TOC \o "1-3" \h \u </w:instrText>
      </w:r>
      <w:r>
        <w:rPr>
          <w:rFonts w:hint="eastAsia" w:ascii="宋体" w:hAnsi="宋体" w:cs="宋体"/>
          <w:sz w:val="28"/>
          <w:szCs w:val="28"/>
        </w:rPr>
        <w:fldChar w:fldCharType="separate"/>
      </w:r>
      <w:r>
        <w:rPr>
          <w:rFonts w:hint="eastAsia" w:ascii="宋体" w:hAnsi="宋体" w:cs="宋体"/>
          <w:sz w:val="28"/>
          <w:szCs w:val="28"/>
        </w:rPr>
        <w:fldChar w:fldCharType="begin"/>
      </w:r>
      <w:r>
        <w:rPr>
          <w:rFonts w:hint="eastAsia" w:ascii="宋体" w:hAnsi="宋体" w:cs="宋体"/>
          <w:sz w:val="28"/>
          <w:szCs w:val="28"/>
        </w:rPr>
        <w:instrText xml:space="preserve"> HYPERLINK \l _Toc28258 </w:instrText>
      </w:r>
      <w:r>
        <w:rPr>
          <w:rFonts w:hint="eastAsia" w:ascii="宋体" w:hAnsi="宋体" w:cs="宋体"/>
          <w:sz w:val="28"/>
          <w:szCs w:val="28"/>
        </w:rPr>
        <w:fldChar w:fldCharType="separate"/>
      </w:r>
      <w:r>
        <w:rPr>
          <w:rFonts w:hint="eastAsia" w:ascii="宋体" w:hAnsi="宋体" w:cs="宋体"/>
          <w:sz w:val="28"/>
          <w:szCs w:val="28"/>
        </w:rPr>
        <w:t>第一章 招标公告</w:t>
      </w:r>
      <w:r>
        <w:rPr>
          <w:sz w:val="28"/>
          <w:szCs w:val="28"/>
        </w:rPr>
        <w:tab/>
      </w:r>
      <w:r>
        <w:rPr>
          <w:sz w:val="28"/>
          <w:szCs w:val="28"/>
        </w:rPr>
        <w:fldChar w:fldCharType="begin"/>
      </w:r>
      <w:r>
        <w:rPr>
          <w:sz w:val="28"/>
          <w:szCs w:val="28"/>
        </w:rPr>
        <w:instrText xml:space="preserve"> PAGEREF _Toc28258 \h </w:instrText>
      </w:r>
      <w:r>
        <w:rPr>
          <w:sz w:val="28"/>
          <w:szCs w:val="28"/>
        </w:rPr>
        <w:fldChar w:fldCharType="separate"/>
      </w:r>
      <w:r>
        <w:rPr>
          <w:sz w:val="28"/>
          <w:szCs w:val="28"/>
        </w:rPr>
        <w:t>- 1 -</w:t>
      </w:r>
      <w:r>
        <w:rPr>
          <w:sz w:val="28"/>
          <w:szCs w:val="28"/>
        </w:rPr>
        <w:fldChar w:fldCharType="end"/>
      </w:r>
      <w:r>
        <w:rPr>
          <w:rFonts w:hint="eastAsia" w:ascii="宋体" w:hAnsi="宋体" w:cs="宋体"/>
          <w:sz w:val="28"/>
          <w:szCs w:val="28"/>
        </w:rPr>
        <w:fldChar w:fldCharType="end"/>
      </w:r>
    </w:p>
    <w:p w14:paraId="4E0903B3">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_Toc9458 </w:instrText>
      </w:r>
      <w:r>
        <w:rPr>
          <w:rFonts w:hint="eastAsia" w:ascii="宋体" w:hAnsi="宋体" w:cs="宋体"/>
          <w:sz w:val="28"/>
          <w:szCs w:val="28"/>
        </w:rPr>
        <w:fldChar w:fldCharType="separate"/>
      </w:r>
      <w:r>
        <w:rPr>
          <w:rFonts w:hint="eastAsia" w:ascii="宋体" w:hAnsi="宋体" w:cs="宋体"/>
          <w:sz w:val="28"/>
          <w:szCs w:val="28"/>
        </w:rPr>
        <w:t xml:space="preserve">第二章 </w:t>
      </w:r>
      <w:r>
        <w:rPr>
          <w:rFonts w:hint="eastAsia" w:ascii="宋体" w:hAnsi="宋体" w:cs="宋体"/>
          <w:sz w:val="28"/>
          <w:szCs w:val="28"/>
          <w:lang w:eastAsia="zh-CN"/>
        </w:rPr>
        <w:t>供应商须知</w:t>
      </w:r>
      <w:r>
        <w:rPr>
          <w:sz w:val="28"/>
          <w:szCs w:val="28"/>
        </w:rPr>
        <w:tab/>
      </w:r>
      <w:r>
        <w:rPr>
          <w:sz w:val="28"/>
          <w:szCs w:val="28"/>
        </w:rPr>
        <w:fldChar w:fldCharType="begin"/>
      </w:r>
      <w:r>
        <w:rPr>
          <w:sz w:val="28"/>
          <w:szCs w:val="28"/>
        </w:rPr>
        <w:instrText xml:space="preserve"> PAGEREF _Toc9458 \h </w:instrText>
      </w:r>
      <w:r>
        <w:rPr>
          <w:sz w:val="28"/>
          <w:szCs w:val="28"/>
        </w:rPr>
        <w:fldChar w:fldCharType="separate"/>
      </w:r>
      <w:r>
        <w:rPr>
          <w:sz w:val="28"/>
          <w:szCs w:val="28"/>
        </w:rPr>
        <w:t>- 5 -</w:t>
      </w:r>
      <w:r>
        <w:rPr>
          <w:sz w:val="28"/>
          <w:szCs w:val="28"/>
        </w:rPr>
        <w:fldChar w:fldCharType="end"/>
      </w:r>
      <w:r>
        <w:rPr>
          <w:rFonts w:hint="eastAsia" w:ascii="宋体" w:hAnsi="宋体" w:cs="宋体"/>
          <w:sz w:val="28"/>
          <w:szCs w:val="28"/>
        </w:rPr>
        <w:fldChar w:fldCharType="end"/>
      </w:r>
    </w:p>
    <w:p w14:paraId="481C1790">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_Toc26151 </w:instrText>
      </w:r>
      <w:r>
        <w:rPr>
          <w:rFonts w:hint="eastAsia" w:ascii="宋体" w:hAnsi="宋体" w:cs="宋体"/>
          <w:sz w:val="28"/>
          <w:szCs w:val="28"/>
        </w:rPr>
        <w:fldChar w:fldCharType="separate"/>
      </w:r>
      <w:r>
        <w:rPr>
          <w:rFonts w:hint="eastAsia" w:ascii="宋体" w:hAnsi="宋体" w:cs="宋体"/>
          <w:sz w:val="28"/>
          <w:szCs w:val="28"/>
        </w:rPr>
        <w:t>第三章 评标办法（综合评分法）</w:t>
      </w:r>
      <w:r>
        <w:rPr>
          <w:sz w:val="28"/>
          <w:szCs w:val="28"/>
        </w:rPr>
        <w:tab/>
      </w:r>
      <w:r>
        <w:rPr>
          <w:sz w:val="28"/>
          <w:szCs w:val="28"/>
        </w:rPr>
        <w:fldChar w:fldCharType="begin"/>
      </w:r>
      <w:r>
        <w:rPr>
          <w:sz w:val="28"/>
          <w:szCs w:val="28"/>
        </w:rPr>
        <w:instrText xml:space="preserve"> PAGEREF _Toc26151 \h </w:instrText>
      </w:r>
      <w:r>
        <w:rPr>
          <w:sz w:val="28"/>
          <w:szCs w:val="28"/>
        </w:rPr>
        <w:fldChar w:fldCharType="separate"/>
      </w:r>
      <w:r>
        <w:rPr>
          <w:sz w:val="28"/>
          <w:szCs w:val="28"/>
        </w:rPr>
        <w:t>- 22 -</w:t>
      </w:r>
      <w:r>
        <w:rPr>
          <w:sz w:val="28"/>
          <w:szCs w:val="28"/>
        </w:rPr>
        <w:fldChar w:fldCharType="end"/>
      </w:r>
      <w:r>
        <w:rPr>
          <w:rFonts w:hint="eastAsia" w:ascii="宋体" w:hAnsi="宋体" w:cs="宋体"/>
          <w:sz w:val="28"/>
          <w:szCs w:val="28"/>
        </w:rPr>
        <w:fldChar w:fldCharType="end"/>
      </w:r>
    </w:p>
    <w:p w14:paraId="4046D0F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_Toc21294 </w:instrText>
      </w:r>
      <w:r>
        <w:rPr>
          <w:rFonts w:hint="eastAsia" w:ascii="宋体" w:hAnsi="宋体" w:cs="宋体"/>
          <w:sz w:val="28"/>
          <w:szCs w:val="28"/>
        </w:rPr>
        <w:fldChar w:fldCharType="separate"/>
      </w:r>
      <w:r>
        <w:rPr>
          <w:rFonts w:hint="eastAsia" w:ascii="宋体" w:hAnsi="宋体" w:cs="宋体"/>
          <w:sz w:val="28"/>
          <w:szCs w:val="28"/>
          <w:highlight w:val="none"/>
        </w:rPr>
        <w:t>第四章 合同</w:t>
      </w:r>
      <w:r>
        <w:rPr>
          <w:rFonts w:hint="eastAsia" w:ascii="宋体" w:hAnsi="宋体" w:cs="宋体"/>
          <w:sz w:val="28"/>
          <w:szCs w:val="28"/>
          <w:highlight w:val="none"/>
          <w:lang w:eastAsia="zh-CN"/>
        </w:rPr>
        <w:t>条款</w:t>
      </w:r>
      <w:r>
        <w:rPr>
          <w:sz w:val="28"/>
          <w:szCs w:val="28"/>
        </w:rPr>
        <w:tab/>
      </w:r>
      <w:r>
        <w:rPr>
          <w:sz w:val="28"/>
          <w:szCs w:val="28"/>
        </w:rPr>
        <w:fldChar w:fldCharType="begin"/>
      </w:r>
      <w:r>
        <w:rPr>
          <w:sz w:val="28"/>
          <w:szCs w:val="28"/>
        </w:rPr>
        <w:instrText xml:space="preserve"> PAGEREF _Toc21294 \h </w:instrText>
      </w:r>
      <w:r>
        <w:rPr>
          <w:sz w:val="28"/>
          <w:szCs w:val="28"/>
        </w:rPr>
        <w:fldChar w:fldCharType="separate"/>
      </w:r>
      <w:r>
        <w:rPr>
          <w:sz w:val="28"/>
          <w:szCs w:val="28"/>
        </w:rPr>
        <w:t>- 31 -</w:t>
      </w:r>
      <w:r>
        <w:rPr>
          <w:sz w:val="28"/>
          <w:szCs w:val="28"/>
        </w:rPr>
        <w:fldChar w:fldCharType="end"/>
      </w:r>
      <w:r>
        <w:rPr>
          <w:rFonts w:hint="eastAsia" w:ascii="宋体" w:hAnsi="宋体" w:cs="宋体"/>
          <w:sz w:val="28"/>
          <w:szCs w:val="28"/>
        </w:rPr>
        <w:fldChar w:fldCharType="end"/>
      </w:r>
    </w:p>
    <w:p w14:paraId="5091245D">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_Toc27095 </w:instrText>
      </w:r>
      <w:r>
        <w:rPr>
          <w:rFonts w:hint="eastAsia" w:ascii="宋体" w:hAnsi="宋体" w:cs="宋体"/>
          <w:sz w:val="28"/>
          <w:szCs w:val="28"/>
        </w:rPr>
        <w:fldChar w:fldCharType="separate"/>
      </w:r>
      <w:r>
        <w:rPr>
          <w:rFonts w:hint="eastAsia" w:ascii="宋体" w:hAnsi="宋体" w:cs="宋体"/>
          <w:sz w:val="28"/>
          <w:szCs w:val="28"/>
        </w:rPr>
        <w:t>第</w:t>
      </w:r>
      <w:r>
        <w:rPr>
          <w:rFonts w:hint="eastAsia" w:ascii="宋体" w:hAnsi="宋体" w:cs="宋体"/>
          <w:sz w:val="28"/>
          <w:szCs w:val="28"/>
          <w:lang w:eastAsia="zh-CN"/>
        </w:rPr>
        <w:t>五章</w:t>
      </w:r>
      <w:r>
        <w:rPr>
          <w:rFonts w:hint="eastAsia" w:ascii="宋体" w:hAnsi="宋体" w:cs="宋体"/>
          <w:sz w:val="28"/>
          <w:szCs w:val="28"/>
          <w:lang w:val="en-US" w:eastAsia="zh-CN"/>
        </w:rPr>
        <w:t xml:space="preserve"> </w:t>
      </w:r>
      <w:r>
        <w:rPr>
          <w:rFonts w:hint="eastAsia" w:ascii="宋体" w:hAnsi="宋体" w:cs="宋体"/>
          <w:sz w:val="28"/>
          <w:szCs w:val="28"/>
          <w:lang w:eastAsia="zh-CN"/>
        </w:rPr>
        <w:t>服务要求</w:t>
      </w:r>
      <w:r>
        <w:rPr>
          <w:sz w:val="28"/>
          <w:szCs w:val="28"/>
        </w:rPr>
        <w:tab/>
      </w:r>
      <w:r>
        <w:rPr>
          <w:sz w:val="28"/>
          <w:szCs w:val="28"/>
        </w:rPr>
        <w:fldChar w:fldCharType="begin"/>
      </w:r>
      <w:r>
        <w:rPr>
          <w:sz w:val="28"/>
          <w:szCs w:val="28"/>
        </w:rPr>
        <w:instrText xml:space="preserve"> PAGEREF _Toc27095 \h </w:instrText>
      </w:r>
      <w:r>
        <w:rPr>
          <w:sz w:val="28"/>
          <w:szCs w:val="28"/>
        </w:rPr>
        <w:fldChar w:fldCharType="separate"/>
      </w:r>
      <w:r>
        <w:rPr>
          <w:sz w:val="28"/>
          <w:szCs w:val="28"/>
        </w:rPr>
        <w:t>- 44 -</w:t>
      </w:r>
      <w:r>
        <w:rPr>
          <w:sz w:val="28"/>
          <w:szCs w:val="28"/>
        </w:rPr>
        <w:fldChar w:fldCharType="end"/>
      </w:r>
      <w:r>
        <w:rPr>
          <w:rFonts w:hint="eastAsia" w:ascii="宋体" w:hAnsi="宋体" w:cs="宋体"/>
          <w:sz w:val="28"/>
          <w:szCs w:val="28"/>
        </w:rPr>
        <w:fldChar w:fldCharType="end"/>
      </w:r>
    </w:p>
    <w:p w14:paraId="5B8517C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_Toc30449 </w:instrText>
      </w:r>
      <w:r>
        <w:rPr>
          <w:rFonts w:hint="eastAsia" w:ascii="宋体" w:hAnsi="宋体" w:cs="宋体"/>
          <w:sz w:val="28"/>
          <w:szCs w:val="28"/>
        </w:rPr>
        <w:fldChar w:fldCharType="separate"/>
      </w:r>
      <w:r>
        <w:rPr>
          <w:rFonts w:hint="eastAsia" w:ascii="宋体" w:hAnsi="宋体" w:cs="宋体"/>
          <w:sz w:val="28"/>
          <w:szCs w:val="28"/>
        </w:rPr>
        <w:t>第六章 投标文件格式</w:t>
      </w:r>
      <w:r>
        <w:rPr>
          <w:sz w:val="28"/>
          <w:szCs w:val="28"/>
        </w:rPr>
        <w:tab/>
      </w:r>
      <w:r>
        <w:rPr>
          <w:sz w:val="28"/>
          <w:szCs w:val="28"/>
        </w:rPr>
        <w:fldChar w:fldCharType="begin"/>
      </w:r>
      <w:r>
        <w:rPr>
          <w:sz w:val="28"/>
          <w:szCs w:val="28"/>
        </w:rPr>
        <w:instrText xml:space="preserve"> PAGEREF _Toc30449 \h </w:instrText>
      </w:r>
      <w:r>
        <w:rPr>
          <w:sz w:val="28"/>
          <w:szCs w:val="28"/>
        </w:rPr>
        <w:fldChar w:fldCharType="separate"/>
      </w:r>
      <w:r>
        <w:rPr>
          <w:sz w:val="28"/>
          <w:szCs w:val="28"/>
        </w:rPr>
        <w:t>- 61 -</w:t>
      </w:r>
      <w:r>
        <w:rPr>
          <w:sz w:val="28"/>
          <w:szCs w:val="28"/>
        </w:rPr>
        <w:fldChar w:fldCharType="end"/>
      </w:r>
      <w:r>
        <w:rPr>
          <w:rFonts w:hint="eastAsia" w:ascii="宋体" w:hAnsi="宋体" w:cs="宋体"/>
          <w:sz w:val="28"/>
          <w:szCs w:val="28"/>
        </w:rPr>
        <w:fldChar w:fldCharType="end"/>
      </w:r>
    </w:p>
    <w:p w14:paraId="61C6B21D">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ascii="宋体" w:hAnsi="宋体" w:cs="宋体"/>
          <w:szCs w:val="28"/>
        </w:rPr>
      </w:pPr>
      <w:r>
        <w:rPr>
          <w:rFonts w:hint="eastAsia" w:ascii="宋体" w:hAnsi="宋体" w:cs="宋体"/>
          <w:sz w:val="28"/>
          <w:szCs w:val="28"/>
        </w:rPr>
        <w:fldChar w:fldCharType="end"/>
      </w:r>
    </w:p>
    <w:p w14:paraId="6C3C63A1">
      <w:pPr>
        <w:pStyle w:val="24"/>
        <w:ind w:firstLine="0" w:firstLineChars="0"/>
        <w:rPr>
          <w:rFonts w:ascii="宋体" w:hAnsi="宋体" w:eastAsia="宋体" w:cs="宋体"/>
        </w:rPr>
      </w:pPr>
    </w:p>
    <w:p w14:paraId="66858F02">
      <w:pPr>
        <w:pStyle w:val="24"/>
        <w:ind w:firstLine="0" w:firstLineChars="0"/>
        <w:rPr>
          <w:rFonts w:ascii="宋体" w:hAnsi="宋体" w:eastAsia="宋体" w:cs="宋体"/>
        </w:rPr>
      </w:pPr>
    </w:p>
    <w:p w14:paraId="45EED1C5">
      <w:pPr>
        <w:pStyle w:val="24"/>
        <w:ind w:firstLine="0" w:firstLineChars="0"/>
        <w:rPr>
          <w:rFonts w:ascii="宋体" w:hAnsi="宋体" w:eastAsia="宋体" w:cs="宋体"/>
        </w:rPr>
      </w:pPr>
    </w:p>
    <w:p w14:paraId="3DAAB6E3">
      <w:pPr>
        <w:pStyle w:val="24"/>
        <w:ind w:firstLine="0" w:firstLineChars="0"/>
        <w:rPr>
          <w:rFonts w:ascii="宋体" w:hAnsi="宋体" w:eastAsia="宋体" w:cs="宋体"/>
        </w:rPr>
      </w:pPr>
    </w:p>
    <w:p w14:paraId="4B39EC82">
      <w:pPr>
        <w:pStyle w:val="24"/>
        <w:ind w:firstLine="0" w:firstLineChars="0"/>
        <w:rPr>
          <w:rFonts w:ascii="宋体" w:hAnsi="宋体" w:eastAsia="宋体" w:cs="宋体"/>
        </w:rPr>
      </w:pPr>
    </w:p>
    <w:p w14:paraId="4DD8F4D4">
      <w:pPr>
        <w:pStyle w:val="24"/>
        <w:ind w:firstLine="0" w:firstLineChars="0"/>
        <w:rPr>
          <w:rFonts w:ascii="宋体" w:hAnsi="宋体" w:eastAsia="宋体" w:cs="宋体"/>
        </w:rPr>
      </w:pPr>
    </w:p>
    <w:p w14:paraId="6661FCFD">
      <w:pPr>
        <w:pStyle w:val="24"/>
        <w:ind w:firstLine="0" w:firstLineChars="0"/>
        <w:rPr>
          <w:rFonts w:ascii="宋体" w:hAnsi="宋体" w:eastAsia="宋体" w:cs="宋体"/>
        </w:rPr>
      </w:pPr>
    </w:p>
    <w:p w14:paraId="0893374B">
      <w:pPr>
        <w:pStyle w:val="24"/>
        <w:ind w:firstLine="0" w:firstLineChars="0"/>
        <w:rPr>
          <w:rFonts w:ascii="宋体" w:hAnsi="宋体" w:eastAsia="宋体" w:cs="宋体"/>
        </w:rPr>
      </w:pPr>
    </w:p>
    <w:p w14:paraId="083D8339">
      <w:pPr>
        <w:pStyle w:val="24"/>
        <w:ind w:firstLine="0" w:firstLineChars="0"/>
        <w:rPr>
          <w:rFonts w:ascii="宋体" w:hAnsi="宋体" w:eastAsia="宋体" w:cs="宋体"/>
        </w:rPr>
      </w:pPr>
    </w:p>
    <w:p w14:paraId="4366B905">
      <w:pPr>
        <w:pStyle w:val="24"/>
        <w:ind w:firstLine="0" w:firstLineChars="0"/>
        <w:rPr>
          <w:rFonts w:ascii="宋体" w:hAnsi="宋体" w:eastAsia="宋体" w:cs="宋体"/>
        </w:rPr>
      </w:pPr>
    </w:p>
    <w:p w14:paraId="185B3CF5">
      <w:pPr>
        <w:pStyle w:val="3"/>
        <w:jc w:val="center"/>
        <w:rPr>
          <w:rFonts w:ascii="宋体" w:hAnsi="宋体" w:cs="宋体"/>
          <w:szCs w:val="32"/>
        </w:rPr>
        <w:sectPr>
          <w:headerReference r:id="rId3" w:type="default"/>
          <w:footerReference r:id="rId4" w:type="default"/>
          <w:pgSz w:w="11906" w:h="16838"/>
          <w:pgMar w:top="1417" w:right="1701" w:bottom="1417" w:left="1701" w:header="851" w:footer="992" w:gutter="0"/>
          <w:pgNumType w:fmt="decimal" w:start="2"/>
          <w:cols w:space="720" w:num="1"/>
          <w:docGrid w:type="lines" w:linePitch="312" w:charSpace="0"/>
        </w:sectPr>
      </w:pPr>
      <w:bookmarkStart w:id="2" w:name="_Toc16771"/>
      <w:bookmarkStart w:id="3" w:name="_Toc26230"/>
    </w:p>
    <w:p w14:paraId="54B65AD7">
      <w:pPr>
        <w:pStyle w:val="3"/>
        <w:jc w:val="center"/>
        <w:rPr>
          <w:rFonts w:ascii="宋体" w:hAnsi="宋体" w:cs="宋体"/>
          <w:szCs w:val="32"/>
        </w:rPr>
      </w:pPr>
      <w:bookmarkStart w:id="4" w:name="_Toc28258"/>
      <w:r>
        <w:rPr>
          <w:rFonts w:hint="eastAsia" w:ascii="宋体" w:hAnsi="宋体" w:cs="宋体"/>
          <w:szCs w:val="32"/>
        </w:rPr>
        <w:t xml:space="preserve">第一章 </w:t>
      </w:r>
      <w:bookmarkEnd w:id="0"/>
      <w:bookmarkEnd w:id="1"/>
      <w:r>
        <w:rPr>
          <w:rFonts w:hint="eastAsia" w:ascii="宋体" w:hAnsi="宋体" w:cs="宋体"/>
          <w:szCs w:val="32"/>
        </w:rPr>
        <w:t>招标公告</w:t>
      </w:r>
      <w:bookmarkEnd w:id="2"/>
      <w:bookmarkEnd w:id="3"/>
      <w:bookmarkEnd w:id="4"/>
    </w:p>
    <w:p w14:paraId="6D160F58">
      <w:pPr>
        <w:autoSpaceDE w:val="0"/>
        <w:autoSpaceDN w:val="0"/>
        <w:adjustRightInd w:val="0"/>
        <w:snapToGrid w:val="0"/>
        <w:spacing w:line="336" w:lineRule="auto"/>
        <w:jc w:val="center"/>
        <w:rPr>
          <w:rFonts w:hint="eastAsia" w:ascii="宋体" w:hAnsi="宋体" w:eastAsia="宋体" w:cs="宋体"/>
          <w:b/>
          <w:sz w:val="28"/>
          <w:szCs w:val="28"/>
          <w:lang w:eastAsia="zh-CN"/>
        </w:rPr>
      </w:pPr>
      <w:bookmarkStart w:id="5" w:name="_Toc388951865"/>
      <w:bookmarkStart w:id="6" w:name="_Toc389067600"/>
      <w:bookmarkStart w:id="7" w:name="_Toc316462778"/>
      <w:bookmarkStart w:id="8" w:name="_Toc978"/>
      <w:bookmarkStart w:id="9" w:name="_Toc12765"/>
      <w:bookmarkStart w:id="10" w:name="_Toc390104731"/>
      <w:bookmarkStart w:id="11" w:name="_Toc1563"/>
      <w:bookmarkStart w:id="12" w:name="_Toc388951952"/>
      <w:bookmarkStart w:id="13" w:name="_Toc13833120"/>
      <w:bookmarkStart w:id="14" w:name="_Toc520811301"/>
      <w:bookmarkStart w:id="15" w:name="_Toc387746381"/>
      <w:bookmarkStart w:id="16" w:name="_Toc386126336"/>
      <w:bookmarkStart w:id="17" w:name="_Toc530126038"/>
      <w:bookmarkStart w:id="18" w:name="_Toc5623"/>
      <w:bookmarkStart w:id="19" w:name="_Toc388976907"/>
      <w:bookmarkStart w:id="20" w:name="_Toc371093816"/>
      <w:bookmarkStart w:id="21" w:name="_Toc371008378"/>
      <w:bookmarkStart w:id="22" w:name="_Toc14270"/>
      <w:bookmarkStart w:id="23" w:name="_Toc351562916"/>
      <w:bookmarkStart w:id="24" w:name="_Toc420318732"/>
      <w:bookmarkStart w:id="25" w:name="_Toc500868220"/>
      <w:bookmarkStart w:id="26" w:name="_Toc424801315"/>
      <w:r>
        <w:rPr>
          <w:rFonts w:hint="eastAsia" w:ascii="宋体" w:hAnsi="宋体" w:eastAsia="宋体" w:cs="宋体"/>
          <w:b/>
          <w:sz w:val="28"/>
          <w:szCs w:val="28"/>
          <w:lang w:val="en-US" w:eastAsia="zh-CN"/>
        </w:rPr>
        <w:t>郑州市郑东新区社会事业局郑州市郑东新区2024年政府购买社会工作服务项目</w:t>
      </w:r>
      <w:r>
        <w:rPr>
          <w:rFonts w:hint="eastAsia" w:ascii="宋体" w:hAnsi="宋体" w:eastAsia="宋体" w:cs="宋体"/>
          <w:b/>
          <w:sz w:val="28"/>
          <w:szCs w:val="28"/>
          <w:lang w:eastAsia="zh-CN"/>
        </w:rPr>
        <w:t>公开招标公告</w:t>
      </w:r>
    </w:p>
    <w:p w14:paraId="2B3B21DB">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szCs w:val="21"/>
        </w:rPr>
        <w:t>一、项目基本情况</w:t>
      </w:r>
    </w:p>
    <w:p w14:paraId="79816765">
      <w:pPr>
        <w:autoSpaceDE w:val="0"/>
        <w:autoSpaceDN w:val="0"/>
        <w:adjustRightInd w:val="0"/>
        <w:snapToGrid w:val="0"/>
        <w:spacing w:line="360" w:lineRule="auto"/>
        <w:ind w:firstLine="210" w:firstLineChars="100"/>
        <w:jc w:val="left"/>
        <w:rPr>
          <w:rFonts w:ascii="宋体" w:hAnsi="宋体" w:cs="宋体"/>
          <w:snapToGrid w:val="0"/>
          <w:color w:val="auto"/>
          <w:szCs w:val="21"/>
          <w:highlight w:val="yellow"/>
        </w:rPr>
      </w:pPr>
      <w:r>
        <w:rPr>
          <w:rFonts w:hint="eastAsia" w:ascii="宋体" w:hAnsi="宋体" w:cs="宋体"/>
          <w:snapToGrid w:val="0"/>
          <w:color w:val="auto"/>
          <w:szCs w:val="21"/>
        </w:rPr>
        <w:t>1、项目编号：</w:t>
      </w:r>
      <w:r>
        <w:rPr>
          <w:rFonts w:hint="eastAsia" w:ascii="宋体" w:hAnsi="宋体" w:cs="宋体"/>
          <w:snapToGrid w:val="0"/>
          <w:szCs w:val="21"/>
          <w:lang w:val="en-US" w:eastAsia="zh-CN"/>
        </w:rPr>
        <w:t>郑东公开备[2024]17号；</w:t>
      </w:r>
    </w:p>
    <w:p w14:paraId="4348069C">
      <w:pPr>
        <w:autoSpaceDE w:val="0"/>
        <w:autoSpaceDN w:val="0"/>
        <w:adjustRightInd w:val="0"/>
        <w:snapToGrid w:val="0"/>
        <w:spacing w:line="360" w:lineRule="auto"/>
        <w:ind w:left="210" w:leftChars="100"/>
        <w:jc w:val="left"/>
        <w:rPr>
          <w:rFonts w:hint="eastAsia" w:ascii="宋体" w:hAnsi="宋体" w:eastAsia="宋体" w:cs="宋体"/>
          <w:snapToGrid w:val="0"/>
          <w:szCs w:val="21"/>
          <w:lang w:eastAsia="zh-CN"/>
        </w:rPr>
      </w:pPr>
      <w:r>
        <w:rPr>
          <w:rFonts w:hint="eastAsia" w:ascii="宋体" w:hAnsi="宋体" w:cs="宋体"/>
          <w:snapToGrid w:val="0"/>
          <w:szCs w:val="21"/>
        </w:rPr>
        <w:t>2、项目名称：</w:t>
      </w:r>
      <w:r>
        <w:rPr>
          <w:rFonts w:hint="eastAsia" w:ascii="宋体" w:hAnsi="宋体" w:cs="宋体"/>
          <w:snapToGrid w:val="0"/>
          <w:szCs w:val="21"/>
          <w:lang w:val="en-US" w:eastAsia="zh-CN"/>
        </w:rPr>
        <w:t>郑州市郑东新区社会事业局郑州市郑东新区2024年政府购买社会工作服务项目</w:t>
      </w:r>
      <w:r>
        <w:rPr>
          <w:rFonts w:hint="eastAsia" w:ascii="宋体" w:hAnsi="宋体" w:cs="宋体"/>
          <w:snapToGrid w:val="0"/>
          <w:szCs w:val="21"/>
          <w:lang w:eastAsia="zh-CN"/>
        </w:rPr>
        <w:t>；</w:t>
      </w:r>
    </w:p>
    <w:p w14:paraId="2974F23D">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3、采购方式：公开招标</w:t>
      </w:r>
      <w:r>
        <w:rPr>
          <w:rFonts w:hint="eastAsia" w:ascii="宋体" w:hAnsi="宋体" w:cs="宋体"/>
          <w:snapToGrid w:val="0"/>
          <w:szCs w:val="21"/>
          <w:lang w:eastAsia="zh-CN"/>
        </w:rPr>
        <w:t>；</w:t>
      </w:r>
    </w:p>
    <w:p w14:paraId="12AE71DE">
      <w:pPr>
        <w:autoSpaceDE w:val="0"/>
        <w:autoSpaceDN w:val="0"/>
        <w:adjustRightInd w:val="0"/>
        <w:snapToGrid w:val="0"/>
        <w:spacing w:line="360" w:lineRule="auto"/>
        <w:ind w:firstLine="210" w:firstLineChars="100"/>
        <w:jc w:val="left"/>
        <w:rPr>
          <w:rFonts w:hint="eastAsia" w:ascii="宋体" w:hAnsi="宋体" w:cs="宋体"/>
          <w:snapToGrid w:val="0"/>
          <w:szCs w:val="21"/>
          <w:highlight w:val="none"/>
          <w:lang w:eastAsia="zh-CN"/>
        </w:rPr>
      </w:pPr>
      <w:r>
        <w:rPr>
          <w:rFonts w:hint="eastAsia" w:ascii="宋体" w:hAnsi="宋体" w:cs="宋体"/>
          <w:snapToGrid w:val="0"/>
          <w:szCs w:val="21"/>
          <w:highlight w:val="none"/>
        </w:rPr>
        <w:t>4、</w:t>
      </w:r>
      <w:r>
        <w:rPr>
          <w:rFonts w:hint="eastAsia" w:ascii="宋体" w:hAnsi="宋体" w:cs="宋体"/>
          <w:snapToGrid w:val="0"/>
          <w:szCs w:val="21"/>
          <w:highlight w:val="none"/>
          <w:lang w:eastAsia="zh-CN"/>
        </w:rPr>
        <w:t>总</w:t>
      </w:r>
      <w:r>
        <w:rPr>
          <w:rFonts w:hint="eastAsia" w:ascii="宋体" w:hAnsi="宋体" w:cs="宋体"/>
          <w:snapToGrid w:val="0"/>
          <w:szCs w:val="21"/>
          <w:highlight w:val="none"/>
        </w:rPr>
        <w:t>预算金额：</w:t>
      </w:r>
      <w:bookmarkStart w:id="27" w:name="OLE_LINK19"/>
      <w:r>
        <w:rPr>
          <w:rFonts w:hint="eastAsia" w:ascii="宋体" w:hAnsi="宋体" w:cs="宋体"/>
          <w:snapToGrid w:val="0"/>
          <w:szCs w:val="21"/>
          <w:highlight w:val="none"/>
          <w:lang w:val="en-US" w:eastAsia="zh-CN"/>
        </w:rPr>
        <w:t xml:space="preserve"> 5182500</w:t>
      </w:r>
      <w:bookmarkEnd w:id="27"/>
      <w:r>
        <w:rPr>
          <w:rFonts w:hint="eastAsia" w:ascii="宋体" w:hAnsi="宋体" w:cs="宋体"/>
          <w:snapToGrid w:val="0"/>
          <w:szCs w:val="21"/>
          <w:highlight w:val="none"/>
          <w:lang w:val="en-US" w:eastAsia="zh-CN"/>
        </w:rPr>
        <w:t xml:space="preserve"> </w:t>
      </w:r>
      <w:r>
        <w:rPr>
          <w:rFonts w:hint="eastAsia" w:ascii="宋体" w:hAnsi="宋体" w:cs="宋体"/>
          <w:snapToGrid w:val="0"/>
          <w:szCs w:val="21"/>
          <w:highlight w:val="none"/>
        </w:rPr>
        <w:t>元；最高限价：</w:t>
      </w:r>
      <w:r>
        <w:rPr>
          <w:rFonts w:hint="eastAsia" w:ascii="宋体" w:hAnsi="宋体" w:cs="宋体"/>
          <w:snapToGrid w:val="0"/>
          <w:szCs w:val="21"/>
          <w:highlight w:val="none"/>
          <w:lang w:val="en-US" w:eastAsia="zh-CN"/>
        </w:rPr>
        <w:t xml:space="preserve"> 5182500 元</w:t>
      </w:r>
      <w:r>
        <w:rPr>
          <w:rFonts w:hint="eastAsia" w:ascii="宋体" w:hAnsi="宋体" w:cs="宋体"/>
          <w:snapToGrid w:val="0"/>
          <w:szCs w:val="21"/>
          <w:highlight w:val="none"/>
          <w:lang w:eastAsia="zh-CN"/>
        </w:rPr>
        <w:t>；</w:t>
      </w:r>
    </w:p>
    <w:tbl>
      <w:tblPr>
        <w:tblStyle w:val="2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155"/>
        <w:gridCol w:w="4155"/>
        <w:gridCol w:w="1283"/>
        <w:gridCol w:w="1481"/>
      </w:tblGrid>
      <w:tr w14:paraId="492BB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901" w:type="dxa"/>
            <w:vAlign w:val="center"/>
          </w:tcPr>
          <w:p w14:paraId="304D7AE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序号</w:t>
            </w:r>
          </w:p>
        </w:tc>
        <w:tc>
          <w:tcPr>
            <w:tcW w:w="1155" w:type="dxa"/>
            <w:vAlign w:val="center"/>
          </w:tcPr>
          <w:p w14:paraId="3A0309DA">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包号</w:t>
            </w:r>
          </w:p>
        </w:tc>
        <w:tc>
          <w:tcPr>
            <w:tcW w:w="4155" w:type="dxa"/>
            <w:vAlign w:val="center"/>
          </w:tcPr>
          <w:p w14:paraId="3A4F971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包名称</w:t>
            </w:r>
          </w:p>
        </w:tc>
        <w:tc>
          <w:tcPr>
            <w:tcW w:w="1283" w:type="dxa"/>
            <w:vAlign w:val="center"/>
          </w:tcPr>
          <w:p w14:paraId="2627B458">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包预算（元）</w:t>
            </w:r>
          </w:p>
        </w:tc>
        <w:tc>
          <w:tcPr>
            <w:tcW w:w="1481" w:type="dxa"/>
            <w:vAlign w:val="center"/>
          </w:tcPr>
          <w:p w14:paraId="7D1F33A4">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包最高限价（元）</w:t>
            </w:r>
          </w:p>
        </w:tc>
      </w:tr>
      <w:tr w14:paraId="0B2F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96BB097">
            <w:pPr>
              <w:pStyle w:val="10"/>
              <w:spacing w:line="360" w:lineRule="auto"/>
              <w:jc w:val="center"/>
              <w:rPr>
                <w:rFonts w:hint="eastAsia" w:ascii="宋体" w:hAnsi="Times New Roman" w:eastAsia="宋体" w:cs="宋体"/>
                <w:sz w:val="21"/>
                <w:szCs w:val="21"/>
                <w:lang w:val="en-US" w:eastAsia="zh-CN"/>
              </w:rPr>
            </w:pPr>
            <w:bookmarkStart w:id="28" w:name="OLE_LINK1" w:colFirst="3" w:colLast="3"/>
            <w:r>
              <w:rPr>
                <w:rFonts w:hint="eastAsia" w:ascii="宋体" w:hAnsi="Times New Roman" w:eastAsia="宋体" w:cs="宋体"/>
                <w:sz w:val="21"/>
                <w:szCs w:val="21"/>
                <w:lang w:val="en-US" w:eastAsia="zh-CN"/>
              </w:rPr>
              <w:t>1</w:t>
            </w:r>
          </w:p>
        </w:tc>
        <w:tc>
          <w:tcPr>
            <w:tcW w:w="1155" w:type="dxa"/>
            <w:vAlign w:val="center"/>
          </w:tcPr>
          <w:p w14:paraId="3EA4EED4">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A包</w:t>
            </w:r>
          </w:p>
        </w:tc>
        <w:tc>
          <w:tcPr>
            <w:tcW w:w="4155" w:type="dxa"/>
            <w:vAlign w:val="center"/>
          </w:tcPr>
          <w:p w14:paraId="36F5D975">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bookmarkStart w:id="29" w:name="OLE_LINK2"/>
            <w:r>
              <w:rPr>
                <w:rFonts w:hint="eastAsia" w:ascii="宋体" w:hAnsi="Times New Roman" w:eastAsia="宋体" w:cs="宋体"/>
                <w:color w:val="000000"/>
                <w:kern w:val="0"/>
                <w:sz w:val="21"/>
                <w:szCs w:val="21"/>
                <w:lang w:val="en-US" w:eastAsia="zh-CN" w:bidi="ar-SA"/>
              </w:rPr>
              <w:t>“第三方评估”服务项目</w:t>
            </w:r>
            <w:bookmarkEnd w:id="29"/>
          </w:p>
        </w:tc>
        <w:tc>
          <w:tcPr>
            <w:tcW w:w="1283" w:type="dxa"/>
            <w:vAlign w:val="center"/>
          </w:tcPr>
          <w:p w14:paraId="597A0941">
            <w:pPr>
              <w:pStyle w:val="10"/>
              <w:spacing w:line="360" w:lineRule="auto"/>
              <w:jc w:val="center"/>
              <w:rPr>
                <w:rFonts w:hint="default" w:ascii="宋体" w:hAnsi="宋体" w:eastAsia="宋体" w:cs="宋体"/>
                <w:snapToGrid w:val="0"/>
                <w:color w:val="auto"/>
                <w:kern w:val="2"/>
                <w:sz w:val="21"/>
                <w:szCs w:val="21"/>
                <w:lang w:val="en-US" w:eastAsia="zh-CN" w:bidi="ar-SA"/>
              </w:rPr>
            </w:pPr>
            <w:bookmarkStart w:id="30" w:name="OLE_LINK20"/>
            <w:r>
              <w:rPr>
                <w:rFonts w:hint="default" w:ascii="宋体" w:hAnsi="宋体" w:eastAsia="宋体" w:cs="宋体"/>
                <w:snapToGrid w:val="0"/>
                <w:color w:val="auto"/>
                <w:kern w:val="2"/>
                <w:sz w:val="21"/>
                <w:szCs w:val="21"/>
                <w:lang w:val="en-US" w:eastAsia="zh-CN" w:bidi="ar-SA"/>
              </w:rPr>
              <w:t>120000</w:t>
            </w:r>
            <w:bookmarkEnd w:id="30"/>
          </w:p>
        </w:tc>
        <w:tc>
          <w:tcPr>
            <w:tcW w:w="1481" w:type="dxa"/>
            <w:vAlign w:val="center"/>
          </w:tcPr>
          <w:p w14:paraId="2A856EC1">
            <w:pPr>
              <w:pStyle w:val="10"/>
              <w:spacing w:line="360" w:lineRule="auto"/>
              <w:jc w:val="center"/>
              <w:rPr>
                <w:rFonts w:hint="eastAsia" w:ascii="宋体" w:hAnsi="Times New Roman" w:eastAsia="宋体" w:cs="宋体"/>
                <w:color w:val="000000"/>
                <w:sz w:val="21"/>
                <w:szCs w:val="21"/>
                <w:lang w:val="en-US" w:eastAsia="zh-CN" w:bidi="ar-SA"/>
              </w:rPr>
            </w:pPr>
            <w:r>
              <w:rPr>
                <w:rFonts w:hint="default" w:ascii="宋体" w:hAnsi="宋体" w:eastAsia="宋体" w:cs="宋体"/>
                <w:snapToGrid w:val="0"/>
                <w:color w:val="auto"/>
                <w:kern w:val="2"/>
                <w:sz w:val="21"/>
                <w:szCs w:val="21"/>
                <w:lang w:val="en-US" w:eastAsia="zh-CN" w:bidi="ar-SA"/>
              </w:rPr>
              <w:t>120000</w:t>
            </w:r>
          </w:p>
        </w:tc>
      </w:tr>
      <w:tr w14:paraId="0ED6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9AA1807">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2</w:t>
            </w:r>
          </w:p>
        </w:tc>
        <w:tc>
          <w:tcPr>
            <w:tcW w:w="1155" w:type="dxa"/>
            <w:vAlign w:val="center"/>
          </w:tcPr>
          <w:p w14:paraId="7684EDEB">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B包</w:t>
            </w:r>
          </w:p>
        </w:tc>
        <w:tc>
          <w:tcPr>
            <w:tcW w:w="4155" w:type="dxa"/>
            <w:vAlign w:val="center"/>
          </w:tcPr>
          <w:p w14:paraId="21C76D9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1" w:name="OLE_LINK3"/>
            <w:r>
              <w:rPr>
                <w:rFonts w:hint="eastAsia" w:ascii="宋体" w:hAnsi="Times New Roman" w:eastAsia="宋体" w:cs="宋体"/>
                <w:color w:val="000000"/>
                <w:kern w:val="0"/>
                <w:sz w:val="21"/>
                <w:szCs w:val="21"/>
                <w:lang w:val="en-US" w:eastAsia="zh-CN" w:bidi="ar-SA"/>
              </w:rPr>
              <w:t>万安街社区社工站、黄河南路社区社工站、鑫苑花园社区社工站</w:t>
            </w:r>
            <w:bookmarkEnd w:id="31"/>
          </w:p>
        </w:tc>
        <w:tc>
          <w:tcPr>
            <w:tcW w:w="1283" w:type="dxa"/>
            <w:vAlign w:val="center"/>
          </w:tcPr>
          <w:p w14:paraId="6DFA0ED0">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0DEEBB3E">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0194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FBABFF4">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3</w:t>
            </w:r>
          </w:p>
        </w:tc>
        <w:tc>
          <w:tcPr>
            <w:tcW w:w="1155" w:type="dxa"/>
            <w:vAlign w:val="center"/>
          </w:tcPr>
          <w:p w14:paraId="57B7093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C包</w:t>
            </w:r>
          </w:p>
        </w:tc>
        <w:tc>
          <w:tcPr>
            <w:tcW w:w="4155" w:type="dxa"/>
            <w:vAlign w:val="center"/>
          </w:tcPr>
          <w:p w14:paraId="188B2686">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2" w:name="OLE_LINK4"/>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bookmarkEnd w:id="32"/>
          </w:p>
        </w:tc>
        <w:tc>
          <w:tcPr>
            <w:tcW w:w="1283" w:type="dxa"/>
            <w:vAlign w:val="center"/>
          </w:tcPr>
          <w:p w14:paraId="27243813">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19CEFD5C">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6DA6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095BEF1">
            <w:pPr>
              <w:pStyle w:val="10"/>
              <w:spacing w:line="360" w:lineRule="auto"/>
              <w:jc w:val="center"/>
              <w:rPr>
                <w:rFonts w:hint="default" w:cs="宋体"/>
                <w:sz w:val="21"/>
                <w:szCs w:val="21"/>
                <w:lang w:val="en-US" w:eastAsia="zh-CN"/>
              </w:rPr>
            </w:pPr>
            <w:r>
              <w:rPr>
                <w:rFonts w:hint="eastAsia" w:cs="宋体"/>
                <w:sz w:val="21"/>
                <w:szCs w:val="21"/>
                <w:lang w:val="en-US" w:eastAsia="zh-CN"/>
              </w:rPr>
              <w:t>4</w:t>
            </w:r>
          </w:p>
        </w:tc>
        <w:tc>
          <w:tcPr>
            <w:tcW w:w="1155" w:type="dxa"/>
            <w:vAlign w:val="center"/>
          </w:tcPr>
          <w:p w14:paraId="373BFB1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D包</w:t>
            </w:r>
          </w:p>
        </w:tc>
        <w:tc>
          <w:tcPr>
            <w:tcW w:w="4155" w:type="dxa"/>
            <w:vAlign w:val="center"/>
          </w:tcPr>
          <w:p w14:paraId="1575BA0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3" w:name="OLE_LINK6"/>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bookmarkEnd w:id="33"/>
          </w:p>
        </w:tc>
        <w:tc>
          <w:tcPr>
            <w:tcW w:w="1283" w:type="dxa"/>
            <w:vAlign w:val="center"/>
          </w:tcPr>
          <w:p w14:paraId="01776D62">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B5C730D">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2486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46EB084">
            <w:pPr>
              <w:pStyle w:val="10"/>
              <w:spacing w:line="360" w:lineRule="auto"/>
              <w:jc w:val="center"/>
              <w:rPr>
                <w:rFonts w:hint="default" w:cs="宋体"/>
                <w:sz w:val="21"/>
                <w:szCs w:val="21"/>
                <w:lang w:val="en-US" w:eastAsia="zh-CN"/>
              </w:rPr>
            </w:pPr>
            <w:r>
              <w:rPr>
                <w:rFonts w:hint="eastAsia" w:cs="宋体"/>
                <w:sz w:val="21"/>
                <w:szCs w:val="21"/>
                <w:lang w:val="en-US" w:eastAsia="zh-CN"/>
              </w:rPr>
              <w:t>5</w:t>
            </w:r>
          </w:p>
        </w:tc>
        <w:tc>
          <w:tcPr>
            <w:tcW w:w="1155" w:type="dxa"/>
            <w:vAlign w:val="center"/>
          </w:tcPr>
          <w:p w14:paraId="5B171FE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E包</w:t>
            </w:r>
          </w:p>
        </w:tc>
        <w:tc>
          <w:tcPr>
            <w:tcW w:w="4155" w:type="dxa"/>
            <w:vAlign w:val="center"/>
          </w:tcPr>
          <w:p w14:paraId="0888B52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4" w:name="OLE_LINK7"/>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bookmarkEnd w:id="34"/>
          </w:p>
        </w:tc>
        <w:tc>
          <w:tcPr>
            <w:tcW w:w="1283" w:type="dxa"/>
            <w:vAlign w:val="center"/>
          </w:tcPr>
          <w:p w14:paraId="7D985A00">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2C9FD39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EB6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28BCE72">
            <w:pPr>
              <w:pStyle w:val="10"/>
              <w:spacing w:line="360" w:lineRule="auto"/>
              <w:jc w:val="center"/>
              <w:rPr>
                <w:rFonts w:hint="default" w:cs="宋体"/>
                <w:sz w:val="21"/>
                <w:szCs w:val="21"/>
                <w:lang w:val="en-US" w:eastAsia="zh-CN"/>
              </w:rPr>
            </w:pPr>
            <w:r>
              <w:rPr>
                <w:rFonts w:hint="eastAsia" w:cs="宋体"/>
                <w:sz w:val="21"/>
                <w:szCs w:val="21"/>
                <w:lang w:val="en-US" w:eastAsia="zh-CN"/>
              </w:rPr>
              <w:t>6</w:t>
            </w:r>
          </w:p>
        </w:tc>
        <w:tc>
          <w:tcPr>
            <w:tcW w:w="1155" w:type="dxa"/>
            <w:vAlign w:val="center"/>
          </w:tcPr>
          <w:p w14:paraId="29E726A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F包</w:t>
            </w:r>
          </w:p>
        </w:tc>
        <w:tc>
          <w:tcPr>
            <w:tcW w:w="4155" w:type="dxa"/>
            <w:vAlign w:val="center"/>
          </w:tcPr>
          <w:p w14:paraId="179186C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5" w:name="OLE_LINK8"/>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bookmarkEnd w:id="35"/>
          </w:p>
        </w:tc>
        <w:tc>
          <w:tcPr>
            <w:tcW w:w="1283" w:type="dxa"/>
            <w:vAlign w:val="center"/>
          </w:tcPr>
          <w:p w14:paraId="7D615FC1">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507CCDBC">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77B7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FB616FB">
            <w:pPr>
              <w:pStyle w:val="10"/>
              <w:spacing w:line="360" w:lineRule="auto"/>
              <w:jc w:val="center"/>
              <w:rPr>
                <w:rFonts w:hint="default" w:cs="宋体"/>
                <w:sz w:val="21"/>
                <w:szCs w:val="21"/>
                <w:lang w:val="en-US" w:eastAsia="zh-CN"/>
              </w:rPr>
            </w:pPr>
            <w:r>
              <w:rPr>
                <w:rFonts w:hint="eastAsia" w:cs="宋体"/>
                <w:sz w:val="21"/>
                <w:szCs w:val="21"/>
                <w:lang w:val="en-US" w:eastAsia="zh-CN"/>
              </w:rPr>
              <w:t>7</w:t>
            </w:r>
          </w:p>
        </w:tc>
        <w:tc>
          <w:tcPr>
            <w:tcW w:w="1155" w:type="dxa"/>
            <w:vAlign w:val="center"/>
          </w:tcPr>
          <w:p w14:paraId="06E7BDD3">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G包</w:t>
            </w:r>
          </w:p>
        </w:tc>
        <w:tc>
          <w:tcPr>
            <w:tcW w:w="4155" w:type="dxa"/>
            <w:vAlign w:val="center"/>
          </w:tcPr>
          <w:p w14:paraId="6212422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6" w:name="OLE_LINK10"/>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bookmarkEnd w:id="36"/>
          </w:p>
        </w:tc>
        <w:tc>
          <w:tcPr>
            <w:tcW w:w="1283" w:type="dxa"/>
            <w:vAlign w:val="center"/>
          </w:tcPr>
          <w:p w14:paraId="36F875A8">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4FA6068F">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6F19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38BBFE9B">
            <w:pPr>
              <w:pStyle w:val="10"/>
              <w:spacing w:line="360" w:lineRule="auto"/>
              <w:jc w:val="center"/>
              <w:rPr>
                <w:rFonts w:hint="default" w:cs="宋体"/>
                <w:sz w:val="21"/>
                <w:szCs w:val="21"/>
                <w:lang w:val="en-US" w:eastAsia="zh-CN"/>
              </w:rPr>
            </w:pPr>
            <w:r>
              <w:rPr>
                <w:rFonts w:hint="eastAsia" w:cs="宋体"/>
                <w:sz w:val="21"/>
                <w:szCs w:val="21"/>
                <w:lang w:val="en-US" w:eastAsia="zh-CN"/>
              </w:rPr>
              <w:t>8</w:t>
            </w:r>
          </w:p>
        </w:tc>
        <w:tc>
          <w:tcPr>
            <w:tcW w:w="1155" w:type="dxa"/>
            <w:vAlign w:val="center"/>
          </w:tcPr>
          <w:p w14:paraId="141EF6A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H包</w:t>
            </w:r>
          </w:p>
        </w:tc>
        <w:tc>
          <w:tcPr>
            <w:tcW w:w="4155" w:type="dxa"/>
            <w:vAlign w:val="center"/>
          </w:tcPr>
          <w:p w14:paraId="10BBD7B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7" w:name="OLE_LINK11"/>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bookmarkEnd w:id="37"/>
          </w:p>
        </w:tc>
        <w:tc>
          <w:tcPr>
            <w:tcW w:w="1283" w:type="dxa"/>
            <w:vAlign w:val="center"/>
          </w:tcPr>
          <w:p w14:paraId="50E51296">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4F90485">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647A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8221911">
            <w:pPr>
              <w:pStyle w:val="10"/>
              <w:spacing w:line="360" w:lineRule="auto"/>
              <w:jc w:val="center"/>
              <w:rPr>
                <w:rFonts w:hint="default" w:cs="宋体"/>
                <w:sz w:val="21"/>
                <w:szCs w:val="21"/>
                <w:lang w:val="en-US" w:eastAsia="zh-CN"/>
              </w:rPr>
            </w:pPr>
            <w:r>
              <w:rPr>
                <w:rFonts w:hint="eastAsia" w:cs="宋体"/>
                <w:sz w:val="21"/>
                <w:szCs w:val="21"/>
                <w:lang w:val="en-US" w:eastAsia="zh-CN"/>
              </w:rPr>
              <w:t>9</w:t>
            </w:r>
          </w:p>
        </w:tc>
        <w:tc>
          <w:tcPr>
            <w:tcW w:w="1155" w:type="dxa"/>
            <w:vAlign w:val="center"/>
          </w:tcPr>
          <w:p w14:paraId="6C9B615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I包</w:t>
            </w:r>
          </w:p>
        </w:tc>
        <w:tc>
          <w:tcPr>
            <w:tcW w:w="4155" w:type="dxa"/>
            <w:vAlign w:val="center"/>
          </w:tcPr>
          <w:p w14:paraId="3362E3E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8" w:name="OLE_LINK12"/>
            <w:bookmarkStart w:id="39" w:name="OLE_LINK22"/>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bookmarkEnd w:id="38"/>
            <w:r>
              <w:rPr>
                <w:rFonts w:hint="eastAsia" w:ascii="宋体" w:hAnsi="Times New Roman" w:eastAsia="宋体" w:cs="宋体"/>
                <w:color w:val="000000"/>
                <w:kern w:val="0"/>
                <w:sz w:val="21"/>
                <w:szCs w:val="21"/>
                <w:lang w:val="en-US" w:eastAsia="zh-CN" w:bidi="ar-SA"/>
              </w:rPr>
              <w:t xml:space="preserve"> </w:t>
            </w:r>
            <w:bookmarkEnd w:id="39"/>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2BB62AFB">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7D86DB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B57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E3416B5">
            <w:pPr>
              <w:pStyle w:val="10"/>
              <w:spacing w:line="360" w:lineRule="auto"/>
              <w:jc w:val="center"/>
              <w:rPr>
                <w:rFonts w:hint="default" w:cs="宋体"/>
                <w:sz w:val="21"/>
                <w:szCs w:val="21"/>
                <w:lang w:val="en-US" w:eastAsia="zh-CN"/>
              </w:rPr>
            </w:pPr>
            <w:r>
              <w:rPr>
                <w:rFonts w:hint="eastAsia" w:cs="宋体"/>
                <w:sz w:val="21"/>
                <w:szCs w:val="21"/>
                <w:lang w:val="en-US" w:eastAsia="zh-CN"/>
              </w:rPr>
              <w:t>10</w:t>
            </w:r>
          </w:p>
        </w:tc>
        <w:tc>
          <w:tcPr>
            <w:tcW w:w="1155" w:type="dxa"/>
            <w:vAlign w:val="center"/>
          </w:tcPr>
          <w:p w14:paraId="1F6B5442">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J包</w:t>
            </w:r>
          </w:p>
        </w:tc>
        <w:tc>
          <w:tcPr>
            <w:tcW w:w="4155" w:type="dxa"/>
            <w:vAlign w:val="center"/>
          </w:tcPr>
          <w:p w14:paraId="722E42A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0" w:name="OLE_LINK15"/>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bookmarkEnd w:id="40"/>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5AFF8A97">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37CA5502">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747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4667E3C">
            <w:pPr>
              <w:pStyle w:val="10"/>
              <w:spacing w:line="360" w:lineRule="auto"/>
              <w:jc w:val="center"/>
              <w:rPr>
                <w:rFonts w:hint="default" w:cs="宋体"/>
                <w:sz w:val="21"/>
                <w:szCs w:val="21"/>
                <w:lang w:val="en-US" w:eastAsia="zh-CN"/>
              </w:rPr>
            </w:pPr>
            <w:r>
              <w:rPr>
                <w:rFonts w:hint="eastAsia" w:cs="宋体"/>
                <w:sz w:val="21"/>
                <w:szCs w:val="21"/>
                <w:lang w:val="en-US" w:eastAsia="zh-CN"/>
              </w:rPr>
              <w:t>11</w:t>
            </w:r>
          </w:p>
        </w:tc>
        <w:tc>
          <w:tcPr>
            <w:tcW w:w="1155" w:type="dxa"/>
            <w:vAlign w:val="center"/>
          </w:tcPr>
          <w:p w14:paraId="2215E9C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K包</w:t>
            </w:r>
          </w:p>
        </w:tc>
        <w:tc>
          <w:tcPr>
            <w:tcW w:w="4155" w:type="dxa"/>
            <w:vAlign w:val="center"/>
          </w:tcPr>
          <w:p w14:paraId="35B1258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1" w:name="OLE_LINK16"/>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bookmarkEnd w:id="41"/>
          </w:p>
        </w:tc>
        <w:tc>
          <w:tcPr>
            <w:tcW w:w="1283" w:type="dxa"/>
            <w:vAlign w:val="center"/>
          </w:tcPr>
          <w:p w14:paraId="08BD8E45">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5D5458A">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bookmarkEnd w:id="28"/>
    </w:tbl>
    <w:p w14:paraId="79C88ED7">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firstLine="210" w:firstLineChars="100"/>
        <w:jc w:val="left"/>
        <w:textAlignment w:val="auto"/>
        <w:rPr>
          <w:rFonts w:hint="eastAsia"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eastAsia="zh-CN"/>
        </w:rPr>
        <w:t>采购需求</w:t>
      </w:r>
      <w:r>
        <w:rPr>
          <w:rFonts w:hint="default"/>
          <w:sz w:val="21"/>
          <w:szCs w:val="21"/>
          <w:highlight w:val="none"/>
          <w:lang w:val="en-US"/>
        </w:rPr>
        <w:t>（包括但不限于标的的名称、数量、简要技术需求或服务要求等）</w:t>
      </w:r>
      <w:r>
        <w:rPr>
          <w:rFonts w:hint="eastAsia" w:ascii="宋体" w:hAnsi="宋体" w:cs="宋体"/>
          <w:snapToGrid w:val="0"/>
          <w:szCs w:val="21"/>
        </w:rPr>
        <w:t>：</w:t>
      </w:r>
    </w:p>
    <w:p w14:paraId="0AC591FE">
      <w:pPr>
        <w:autoSpaceDE w:val="0"/>
        <w:autoSpaceDN w:val="0"/>
        <w:adjustRightInd w:val="0"/>
        <w:snapToGrid w:val="0"/>
        <w:spacing w:line="360" w:lineRule="auto"/>
        <w:ind w:firstLine="420" w:firstLineChars="200"/>
        <w:jc w:val="both"/>
        <w:rPr>
          <w:rFonts w:hint="eastAsia" w:ascii="宋体" w:hAnsi="宋体" w:cs="宋体"/>
          <w:snapToGrid w:val="0"/>
          <w:sz w:val="21"/>
          <w:szCs w:val="21"/>
          <w:lang w:eastAsia="zh-CN"/>
        </w:rPr>
      </w:pPr>
      <w:bookmarkStart w:id="42" w:name="OLE_LINK34"/>
      <w:r>
        <w:rPr>
          <w:rFonts w:hint="eastAsia" w:ascii="宋体" w:hAnsi="宋体" w:cs="宋体"/>
          <w:snapToGrid w:val="0"/>
          <w:sz w:val="21"/>
          <w:szCs w:val="21"/>
        </w:rPr>
        <w:t>5.1</w:t>
      </w:r>
      <w:r>
        <w:rPr>
          <w:rFonts w:hint="eastAsia" w:ascii="宋体" w:hAnsi="宋体" w:cs="宋体"/>
          <w:snapToGrid w:val="0"/>
          <w:sz w:val="21"/>
          <w:szCs w:val="21"/>
          <w:lang w:val="en-US" w:eastAsia="zh-CN"/>
        </w:rPr>
        <w:t xml:space="preserve"> </w:t>
      </w:r>
      <w:r>
        <w:rPr>
          <w:rFonts w:hint="eastAsia" w:ascii="宋体" w:hAnsi="宋体" w:cs="宋体"/>
          <w:snapToGrid w:val="0"/>
          <w:sz w:val="21"/>
          <w:szCs w:val="21"/>
          <w:lang w:eastAsia="zh-CN"/>
        </w:rPr>
        <w:t>项目概况：本次招标项目为“郑州市郑东新区</w:t>
      </w:r>
      <w:r>
        <w:rPr>
          <w:rFonts w:hint="eastAsia" w:ascii="宋体" w:hAnsi="宋体" w:cs="宋体"/>
          <w:snapToGrid w:val="0"/>
          <w:sz w:val="21"/>
          <w:szCs w:val="21"/>
          <w:lang w:val="en-US" w:eastAsia="zh-CN"/>
        </w:rPr>
        <w:t>社会事业局2024</w:t>
      </w:r>
      <w:r>
        <w:rPr>
          <w:rFonts w:hint="eastAsia" w:ascii="宋体" w:hAnsi="宋体" w:cs="宋体"/>
          <w:snapToGrid w:val="0"/>
          <w:sz w:val="21"/>
          <w:szCs w:val="21"/>
          <w:lang w:eastAsia="zh-CN"/>
        </w:rPr>
        <w:t>年政府购买社会工作服务项目”，拟向社会购买包括社会工作服务站类、社会工作发展监管类共</w:t>
      </w:r>
      <w:r>
        <w:rPr>
          <w:rFonts w:hint="eastAsia" w:ascii="宋体" w:hAnsi="宋体" w:cs="宋体"/>
          <w:snapToGrid w:val="0"/>
          <w:sz w:val="21"/>
          <w:szCs w:val="21"/>
          <w:lang w:val="en-US" w:eastAsia="zh-CN"/>
        </w:rPr>
        <w:t>两</w:t>
      </w:r>
      <w:r>
        <w:rPr>
          <w:rFonts w:hint="eastAsia" w:ascii="宋体" w:hAnsi="宋体" w:cs="宋体"/>
          <w:snapToGrid w:val="0"/>
          <w:sz w:val="21"/>
          <w:szCs w:val="21"/>
          <w:lang w:eastAsia="zh-CN"/>
        </w:rPr>
        <w:t>大类社工服务，涵盖民政服务、社区综合服务、婚姻家庭服务、老龄服务、社会组织培育和发展等领域，共</w:t>
      </w:r>
      <w:r>
        <w:rPr>
          <w:rFonts w:hint="eastAsia" w:ascii="宋体" w:hAnsi="宋体" w:cs="宋体"/>
          <w:snapToGrid w:val="0"/>
          <w:sz w:val="21"/>
          <w:szCs w:val="21"/>
          <w:lang w:val="en-US" w:eastAsia="zh-CN"/>
        </w:rPr>
        <w:t>26</w:t>
      </w:r>
      <w:r>
        <w:rPr>
          <w:rFonts w:hint="eastAsia" w:ascii="宋体" w:hAnsi="宋体" w:cs="宋体"/>
          <w:snapToGrid w:val="0"/>
          <w:sz w:val="21"/>
          <w:szCs w:val="21"/>
          <w:lang w:eastAsia="zh-CN"/>
        </w:rPr>
        <w:t>个子项目；</w:t>
      </w:r>
    </w:p>
    <w:p w14:paraId="6B04554D">
      <w:pPr>
        <w:autoSpaceDE w:val="0"/>
        <w:autoSpaceDN w:val="0"/>
        <w:adjustRightInd w:val="0"/>
        <w:snapToGrid w:val="0"/>
        <w:spacing w:line="360" w:lineRule="auto"/>
        <w:ind w:firstLine="420" w:firstLineChars="200"/>
        <w:jc w:val="left"/>
        <w:rPr>
          <w:rFonts w:hint="default" w:ascii="宋体" w:hAnsi="宋体" w:eastAsia="宋体" w:cs="宋体"/>
          <w:snapToGrid w:val="0"/>
          <w:szCs w:val="21"/>
          <w:lang w:val="en-US" w:eastAsia="zh-CN"/>
        </w:rPr>
      </w:pPr>
      <w:r>
        <w:rPr>
          <w:rFonts w:hint="eastAsia" w:ascii="宋体" w:hAnsi="宋体" w:cs="宋体"/>
          <w:snapToGrid w:val="0"/>
          <w:szCs w:val="21"/>
          <w:lang w:val="en-US" w:eastAsia="zh-CN"/>
        </w:rPr>
        <w:t>5.2 试用期：对承接机构实行1个月试用期；</w:t>
      </w:r>
    </w:p>
    <w:p w14:paraId="7B9088F1">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lang w:val="en-US" w:eastAsia="zh-CN"/>
        </w:rPr>
        <w:t xml:space="preserve">5.3 </w:t>
      </w:r>
      <w:r>
        <w:rPr>
          <w:rFonts w:hint="eastAsia" w:ascii="宋体" w:hAnsi="宋体" w:cs="宋体"/>
          <w:snapToGrid w:val="0"/>
          <w:szCs w:val="21"/>
        </w:rPr>
        <w:t>进驻项目工期要求：合同签订后</w:t>
      </w:r>
      <w:r>
        <w:rPr>
          <w:rFonts w:hint="eastAsia" w:ascii="宋体" w:hAnsi="宋体" w:cs="宋体"/>
          <w:snapToGrid w:val="0"/>
          <w:szCs w:val="21"/>
          <w:lang w:val="en-US" w:eastAsia="zh-CN"/>
        </w:rPr>
        <w:t>1</w:t>
      </w:r>
      <w:r>
        <w:rPr>
          <w:rFonts w:hint="eastAsia" w:ascii="宋体" w:hAnsi="宋体" w:cs="宋体"/>
          <w:snapToGrid w:val="0"/>
          <w:szCs w:val="21"/>
        </w:rPr>
        <w:t>天内进驻项目</w:t>
      </w:r>
      <w:r>
        <w:rPr>
          <w:rFonts w:hint="eastAsia" w:ascii="宋体" w:hAnsi="宋体" w:cs="宋体"/>
          <w:snapToGrid w:val="0"/>
          <w:szCs w:val="21"/>
          <w:lang w:eastAsia="zh-CN"/>
        </w:rPr>
        <w:t>；</w:t>
      </w:r>
    </w:p>
    <w:p w14:paraId="27BC562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val="en-US" w:eastAsia="zh-CN"/>
        </w:rPr>
        <w:t>4</w:t>
      </w:r>
      <w:r>
        <w:rPr>
          <w:rFonts w:hint="eastAsia" w:ascii="宋体" w:hAnsi="宋体" w:cs="宋体"/>
          <w:snapToGrid w:val="0"/>
          <w:szCs w:val="21"/>
        </w:rPr>
        <w:t xml:space="preserve"> 标包划分：</w:t>
      </w:r>
      <w:r>
        <w:rPr>
          <w:rFonts w:hint="eastAsia" w:ascii="宋体" w:hAnsi="宋体" w:cs="宋体"/>
          <w:snapToGrid w:val="0"/>
          <w:szCs w:val="21"/>
          <w:lang w:val="en-US"/>
        </w:rPr>
        <w:t>本项目共</w:t>
      </w:r>
      <w:r>
        <w:rPr>
          <w:rFonts w:hint="eastAsia" w:ascii="宋体" w:hAnsi="宋体" w:cs="宋体"/>
          <w:snapToGrid w:val="0"/>
          <w:szCs w:val="21"/>
          <w:lang w:val="en-US" w:eastAsia="zh-CN"/>
        </w:rPr>
        <w:t>分为11个标包</w:t>
      </w:r>
      <w:r>
        <w:rPr>
          <w:rFonts w:hint="eastAsia" w:ascii="宋体" w:hAnsi="宋体" w:cs="宋体"/>
          <w:snapToGrid w:val="0"/>
          <w:szCs w:val="21"/>
        </w:rPr>
        <w:t>；</w:t>
      </w:r>
    </w:p>
    <w:p w14:paraId="1D9552B7">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rPr>
        <w:t>5.</w:t>
      </w:r>
      <w:r>
        <w:rPr>
          <w:rFonts w:hint="eastAsia" w:ascii="宋体" w:hAnsi="宋体" w:cs="宋体"/>
          <w:snapToGrid w:val="0"/>
          <w:szCs w:val="21"/>
          <w:lang w:val="en-US" w:eastAsia="zh-CN"/>
        </w:rPr>
        <w:t>5</w:t>
      </w:r>
      <w:r>
        <w:rPr>
          <w:rFonts w:hint="eastAsia" w:ascii="宋体" w:hAnsi="宋体" w:cs="宋体"/>
          <w:snapToGrid w:val="0"/>
          <w:szCs w:val="21"/>
        </w:rPr>
        <w:t xml:space="preserve"> 服务质量：</w:t>
      </w:r>
      <w:bookmarkStart w:id="43" w:name="OLE_LINK17"/>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bookmarkEnd w:id="43"/>
      <w:r>
        <w:rPr>
          <w:rFonts w:hint="eastAsia" w:ascii="宋体" w:hAnsi="宋体" w:cs="宋体"/>
          <w:snapToGrid w:val="0"/>
          <w:szCs w:val="21"/>
          <w:lang w:eastAsia="zh-CN"/>
        </w:rPr>
        <w:t>；</w:t>
      </w:r>
    </w:p>
    <w:bookmarkEnd w:id="42"/>
    <w:p w14:paraId="0F7EDAD1">
      <w:pPr>
        <w:numPr>
          <w:ilvl w:val="0"/>
          <w:numId w:val="1"/>
        </w:num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val="en-US" w:eastAsia="zh-CN"/>
        </w:rPr>
      </w:pPr>
      <w:r>
        <w:rPr>
          <w:rFonts w:hint="eastAsia" w:ascii="宋体" w:hAnsi="宋体" w:cs="宋体"/>
          <w:snapToGrid w:val="0"/>
          <w:szCs w:val="21"/>
        </w:rPr>
        <w:t>合同履行期限：</w:t>
      </w:r>
      <w:bookmarkStart w:id="44" w:name="OLE_LINK18"/>
      <w:r>
        <w:rPr>
          <w:rFonts w:hint="eastAsia" w:ascii="宋体" w:hAnsi="宋体" w:cs="宋体"/>
          <w:snapToGrid w:val="0"/>
          <w:szCs w:val="21"/>
        </w:rPr>
        <w:t>自合同签订之日起1年</w:t>
      </w:r>
      <w:bookmarkEnd w:id="44"/>
      <w:r>
        <w:rPr>
          <w:rFonts w:hint="eastAsia" w:ascii="宋体" w:hAnsi="宋体" w:eastAsia="宋体" w:cs="宋体"/>
          <w:snapToGrid w:val="0"/>
          <w:szCs w:val="21"/>
          <w:lang w:val="en-US" w:eastAsia="zh-CN"/>
        </w:rPr>
        <w:t>；</w:t>
      </w:r>
    </w:p>
    <w:p w14:paraId="35753B2A">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7、本项目是否接受联合体投标：否</w:t>
      </w:r>
      <w:r>
        <w:rPr>
          <w:rFonts w:hint="eastAsia" w:ascii="宋体" w:hAnsi="宋体" w:cs="宋体"/>
          <w:snapToGrid w:val="0"/>
          <w:szCs w:val="21"/>
          <w:lang w:eastAsia="zh-CN"/>
        </w:rPr>
        <w:t>；</w:t>
      </w:r>
    </w:p>
    <w:p w14:paraId="29F8341E">
      <w:pPr>
        <w:autoSpaceDE w:val="0"/>
        <w:autoSpaceDN w:val="0"/>
        <w:adjustRightInd w:val="0"/>
        <w:snapToGrid w:val="0"/>
        <w:spacing w:line="360" w:lineRule="auto"/>
        <w:ind w:firstLine="210" w:firstLineChars="100"/>
        <w:jc w:val="left"/>
        <w:rPr>
          <w:rFonts w:hint="eastAsia" w:ascii="宋体" w:hAnsi="宋体" w:cs="宋体"/>
          <w:snapToGrid w:val="0"/>
          <w:szCs w:val="21"/>
          <w:lang w:eastAsia="zh-CN"/>
        </w:rPr>
      </w:pPr>
      <w:r>
        <w:rPr>
          <w:rFonts w:hint="eastAsia" w:ascii="宋体" w:hAnsi="宋体" w:cs="宋体"/>
          <w:snapToGrid w:val="0"/>
          <w:szCs w:val="21"/>
        </w:rPr>
        <w:t>8、是否接受进口产品：否</w:t>
      </w:r>
      <w:r>
        <w:rPr>
          <w:rFonts w:hint="eastAsia" w:ascii="宋体" w:hAnsi="宋体" w:cs="宋体"/>
          <w:snapToGrid w:val="0"/>
          <w:szCs w:val="21"/>
          <w:lang w:eastAsia="zh-CN"/>
        </w:rPr>
        <w:t>。</w:t>
      </w:r>
    </w:p>
    <w:p w14:paraId="6AB6110F">
      <w:pPr>
        <w:pStyle w:val="10"/>
        <w:spacing w:line="360" w:lineRule="auto"/>
        <w:ind w:firstLine="210" w:firstLineChars="100"/>
        <w:rPr>
          <w:rFonts w:hint="default"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9、是否专门面向中小企业：</w:t>
      </w:r>
      <w:r>
        <w:rPr>
          <w:rFonts w:hint="eastAsia" w:hAnsi="宋体" w:cs="宋体"/>
          <w:snapToGrid w:val="0"/>
          <w:color w:val="auto"/>
          <w:kern w:val="2"/>
          <w:sz w:val="21"/>
          <w:szCs w:val="21"/>
          <w:highlight w:val="none"/>
          <w:lang w:val="en-US" w:eastAsia="zh-CN" w:bidi="ar-SA"/>
        </w:rPr>
        <w:t>否。</w:t>
      </w:r>
    </w:p>
    <w:p w14:paraId="3AC94F5D">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二、</w:t>
      </w:r>
      <w:r>
        <w:rPr>
          <w:rFonts w:hint="eastAsia" w:ascii="宋体" w:hAnsi="宋体" w:cs="宋体"/>
          <w:b/>
          <w:bCs/>
          <w:snapToGrid w:val="0"/>
          <w:color w:val="auto"/>
          <w:szCs w:val="21"/>
          <w:lang w:eastAsia="zh-CN"/>
        </w:rPr>
        <w:t>（</w:t>
      </w:r>
      <w:r>
        <w:rPr>
          <w:rFonts w:hint="eastAsia" w:ascii="宋体" w:hAnsi="宋体" w:cs="宋体"/>
          <w:b/>
          <w:bCs/>
          <w:snapToGrid w:val="0"/>
          <w:color w:val="auto"/>
          <w:szCs w:val="21"/>
          <w:lang w:val="en-US" w:eastAsia="zh-CN"/>
        </w:rPr>
        <w:t>A包-K包</w:t>
      </w:r>
      <w:r>
        <w:rPr>
          <w:rFonts w:hint="eastAsia" w:ascii="宋体" w:hAnsi="宋体" w:cs="宋体"/>
          <w:b/>
          <w:bCs/>
          <w:snapToGrid w:val="0"/>
          <w:color w:val="auto"/>
          <w:szCs w:val="21"/>
          <w:lang w:eastAsia="zh-CN"/>
        </w:rPr>
        <w:t>）申请人</w:t>
      </w:r>
      <w:r>
        <w:rPr>
          <w:rFonts w:hint="eastAsia" w:ascii="宋体" w:hAnsi="宋体" w:cs="宋体"/>
          <w:b/>
          <w:bCs/>
          <w:snapToGrid w:val="0"/>
          <w:color w:val="auto"/>
          <w:szCs w:val="21"/>
        </w:rPr>
        <w:t>资格要求：</w:t>
      </w:r>
    </w:p>
    <w:p w14:paraId="63A3B651">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bookmarkStart w:id="45" w:name="OLE_LINK26"/>
      <w:r>
        <w:rPr>
          <w:rFonts w:hint="eastAsia" w:ascii="宋体" w:hAnsi="宋体" w:cs="宋体"/>
          <w:snapToGrid w:val="0"/>
          <w:color w:val="auto"/>
          <w:szCs w:val="21"/>
          <w:lang w:val="en-US" w:eastAsia="zh-CN"/>
        </w:rPr>
        <w:t>1.满足《中华人民共和国政府采购法》第二十二条规定；</w:t>
      </w:r>
    </w:p>
    <w:p w14:paraId="6F86748C">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lang w:val="en-US" w:eastAsia="zh-CN"/>
        </w:rPr>
        <w:t>2</w:t>
      </w:r>
      <w:r>
        <w:rPr>
          <w:rFonts w:hint="eastAsia" w:ascii="宋体" w:hAnsi="宋体" w:eastAsia="宋体" w:cs="宋体"/>
          <w:snapToGrid w:val="0"/>
          <w:color w:val="auto"/>
          <w:szCs w:val="21"/>
          <w:highlight w:val="none"/>
        </w:rPr>
        <w:t>.落实政府采购政策满足的资格要求：</w:t>
      </w:r>
      <w:bookmarkStart w:id="46" w:name="OLE_LINK35"/>
      <w:r>
        <w:rPr>
          <w:rFonts w:hint="eastAsia"/>
          <w:sz w:val="21"/>
          <w:szCs w:val="21"/>
          <w:highlight w:val="none"/>
          <w:lang w:val="en-US" w:eastAsia="zh-CN"/>
        </w:rPr>
        <w:t>/</w:t>
      </w:r>
      <w:r>
        <w:rPr>
          <w:rFonts w:hint="eastAsia" w:ascii="宋体" w:hAnsi="宋体" w:eastAsia="宋体" w:cs="宋体"/>
          <w:snapToGrid w:val="0"/>
          <w:color w:val="auto"/>
          <w:szCs w:val="21"/>
          <w:highlight w:val="none"/>
        </w:rPr>
        <w:t>。</w:t>
      </w:r>
      <w:bookmarkEnd w:id="46"/>
    </w:p>
    <w:p w14:paraId="42C62E3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szCs w:val="21"/>
        </w:rPr>
      </w:pPr>
      <w:r>
        <w:rPr>
          <w:rFonts w:hint="eastAsia" w:ascii="宋体" w:hAnsi="宋体" w:cs="宋体"/>
          <w:snapToGrid w:val="0"/>
          <w:color w:val="auto"/>
          <w:szCs w:val="21"/>
          <w:lang w:val="en-US" w:eastAsia="zh-CN"/>
        </w:rPr>
        <w:t>3.</w:t>
      </w:r>
      <w:r>
        <w:rPr>
          <w:rFonts w:hint="eastAsia" w:ascii="宋体" w:hAnsi="宋体" w:eastAsia="宋体" w:cs="宋体"/>
          <w:snapToGrid w:val="0"/>
          <w:color w:val="auto"/>
          <w:szCs w:val="21"/>
        </w:rPr>
        <w:t>本项目的特定资格要求</w:t>
      </w:r>
    </w:p>
    <w:p w14:paraId="6C555FE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3.1信誉要求</w:t>
      </w:r>
    </w:p>
    <w:p w14:paraId="7A23E7A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1D5EAED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3A7A1FA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bookmarkStart w:id="47" w:name="OLE_LINK29"/>
      <w:r>
        <w:rPr>
          <w:rFonts w:hint="eastAsia" w:ascii="宋体" w:hAnsi="宋体" w:eastAsia="宋体" w:cs="宋体"/>
          <w:snapToGrid w:val="0"/>
          <w:color w:val="auto"/>
          <w:szCs w:val="21"/>
          <w:highlight w:val="none"/>
          <w:lang w:val="en-US" w:eastAsia="zh-CN"/>
        </w:rPr>
        <w:t>3.</w:t>
      </w:r>
      <w:r>
        <w:rPr>
          <w:rFonts w:hint="eastAsia" w:ascii="宋体" w:hAnsi="宋体" w:cs="宋体"/>
          <w:snapToGrid w:val="0"/>
          <w:color w:val="auto"/>
          <w:szCs w:val="21"/>
          <w:highlight w:val="none"/>
          <w:lang w:val="en-US" w:eastAsia="zh-CN"/>
        </w:rPr>
        <w:t>3</w:t>
      </w:r>
      <w:bookmarkEnd w:id="47"/>
      <w:r>
        <w:rPr>
          <w:rFonts w:hint="eastAsia" w:ascii="宋体" w:hAnsi="宋体" w:eastAsia="宋体" w:cs="宋体"/>
          <w:snapToGrid w:val="0"/>
          <w:color w:val="auto"/>
          <w:szCs w:val="21"/>
          <w:highlight w:val="none"/>
          <w:lang w:val="en-US" w:eastAsia="zh-CN"/>
        </w:rPr>
        <w:t>本次招标不接受联合体投标。</w:t>
      </w:r>
    </w:p>
    <w:bookmarkEnd w:id="45"/>
    <w:p w14:paraId="27BBB104">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三、获取招标文件</w:t>
      </w:r>
    </w:p>
    <w:p w14:paraId="336DA95A">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23 </w:t>
      </w:r>
      <w:r>
        <w:rPr>
          <w:rFonts w:hint="eastAsia" w:ascii="宋体" w:hAnsi="宋体" w:cs="宋体"/>
          <w:snapToGrid w:val="0"/>
          <w:color w:val="auto"/>
          <w:szCs w:val="21"/>
          <w:highlight w:val="none"/>
        </w:rPr>
        <w:t>日至</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30 </w:t>
      </w:r>
      <w:r>
        <w:rPr>
          <w:rFonts w:hint="eastAsia" w:ascii="宋体" w:hAnsi="宋体" w:cs="宋体"/>
          <w:snapToGrid w:val="0"/>
          <w:color w:val="auto"/>
          <w:szCs w:val="21"/>
          <w:highlight w:val="none"/>
        </w:rPr>
        <w:t>日，每</w:t>
      </w:r>
      <w:r>
        <w:rPr>
          <w:rFonts w:hint="eastAsia" w:ascii="宋体" w:hAnsi="宋体" w:cs="宋体"/>
          <w:snapToGrid w:val="0"/>
          <w:color w:val="auto"/>
          <w:szCs w:val="21"/>
        </w:rPr>
        <w:t>天上午00:00至12:00，下午12:00至23:59（北京时间，法定节假日除外）；</w:t>
      </w:r>
    </w:p>
    <w:p w14:paraId="0E1AA45A">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20" w:firstLineChars="200"/>
        <w:jc w:val="both"/>
        <w:textAlignment w:val="auto"/>
        <w:rPr>
          <w:rFonts w:ascii="宋体" w:hAnsi="宋体" w:cs="宋体"/>
          <w:snapToGrid w:val="0"/>
          <w:color w:val="auto"/>
          <w:szCs w:val="21"/>
        </w:rPr>
      </w:pPr>
      <w:r>
        <w:rPr>
          <w:rFonts w:hint="eastAsia" w:ascii="宋体" w:hAnsi="宋体" w:cs="宋体"/>
          <w:snapToGrid w:val="0"/>
          <w:color w:val="auto"/>
          <w:szCs w:val="21"/>
        </w:rPr>
        <w:t>2.地点：凭企业CA锁登录郑州市公共资源交易中心网站（</w:t>
      </w:r>
      <w:r>
        <w:rPr>
          <w:rFonts w:hint="eastAsia" w:ascii="宋体" w:hAnsi="宋体" w:cs="宋体"/>
          <w:snapToGrid w:val="0"/>
          <w:color w:val="auto"/>
          <w:szCs w:val="21"/>
          <w:lang w:val="en-US" w:eastAsia="zh-CN"/>
        </w:rPr>
        <w:t>https://zzggzy.zhengzhou.gov.cn</w:t>
      </w:r>
      <w:r>
        <w:rPr>
          <w:rFonts w:hint="eastAsia" w:ascii="宋体" w:hAnsi="宋体" w:cs="宋体"/>
          <w:snapToGrid w:val="0"/>
          <w:color w:val="auto"/>
          <w:szCs w:val="21"/>
        </w:rPr>
        <w:t>），点击“交易主体登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”进入电子招投标交易平台下载所含格式（*.ZZZF）的招标文件及资料；</w:t>
      </w:r>
    </w:p>
    <w:p w14:paraId="40BCA3C9">
      <w:pPr>
        <w:autoSpaceDE w:val="0"/>
        <w:autoSpaceDN w:val="0"/>
        <w:adjustRightInd w:val="0"/>
        <w:snapToGrid w:val="0"/>
        <w:spacing w:line="360" w:lineRule="auto"/>
        <w:ind w:firstLine="420" w:firstLineChars="200"/>
        <w:jc w:val="both"/>
        <w:rPr>
          <w:rFonts w:hint="eastAsia" w:ascii="宋体" w:hAnsi="宋体" w:cs="宋体"/>
          <w:snapToGrid w:val="0"/>
          <w:color w:val="auto"/>
          <w:szCs w:val="21"/>
        </w:rPr>
      </w:pPr>
      <w:r>
        <w:rPr>
          <w:rFonts w:hint="eastAsia" w:ascii="宋体" w:hAnsi="宋体" w:cs="宋体"/>
          <w:snapToGrid w:val="0"/>
          <w:color w:val="auto"/>
          <w:szCs w:val="21"/>
        </w:rPr>
        <w:t>3.方式：投标人凭企业CA密钥登录郑州市公共资源交易中心网站（https://zzggzy.zhengzhou.gov.cn），点击“交易主体登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下载所含格式（*.ZZZF格式）的采购文件及资料。投标人未按规定在网上下载招标文件的，其投标将被拒绝，尚未办理企业CA数字证书的,方式详见(https://zzggzy.zhengzhou.gov.cn/通知公告//关于数字证书(CA)互认功能上线试运行的通知）。</w:t>
      </w:r>
    </w:p>
    <w:p w14:paraId="06C48088">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4.售价：0元。</w:t>
      </w:r>
    </w:p>
    <w:p w14:paraId="61A68250">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四、投标截止时间及地点</w:t>
      </w:r>
    </w:p>
    <w:p w14:paraId="5ED19EDF">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 10 </w:t>
      </w:r>
      <w:r>
        <w:rPr>
          <w:rFonts w:hint="eastAsia" w:ascii="宋体" w:hAnsi="宋体" w:cs="宋体"/>
          <w:snapToGrid w:val="0"/>
          <w:color w:val="auto"/>
          <w:szCs w:val="21"/>
          <w:highlight w:val="none"/>
        </w:rPr>
        <w:t>时00分</w:t>
      </w:r>
      <w:r>
        <w:rPr>
          <w:rFonts w:hint="eastAsia" w:ascii="宋体" w:hAnsi="宋体" w:cs="宋体"/>
          <w:snapToGrid w:val="0"/>
          <w:color w:val="auto"/>
          <w:szCs w:val="21"/>
        </w:rPr>
        <w:t>（北京时间）</w:t>
      </w:r>
    </w:p>
    <w:p w14:paraId="728B86FD">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2.地点：郑州市公共资源交易中心（https://zzggzy.zhengzhou.gov.cn）电子交易平台</w:t>
      </w:r>
    </w:p>
    <w:p w14:paraId="4A87FDD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五、开标时间及地点</w:t>
      </w:r>
    </w:p>
    <w:p w14:paraId="621F24FB">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1.开标时间：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w:t>
      </w:r>
      <w:r>
        <w:rPr>
          <w:rFonts w:hint="eastAsia" w:ascii="宋体" w:hAnsi="宋体" w:cs="宋体"/>
          <w:snapToGrid w:val="0"/>
          <w:color w:val="auto"/>
          <w:szCs w:val="21"/>
          <w:highlight w:val="none"/>
        </w:rPr>
        <w:t>10时00分</w:t>
      </w:r>
      <w:r>
        <w:rPr>
          <w:rFonts w:hint="eastAsia" w:ascii="宋体" w:hAnsi="宋体" w:cs="宋体"/>
          <w:snapToGrid w:val="0"/>
          <w:color w:val="auto"/>
          <w:szCs w:val="21"/>
          <w:highlight w:val="none"/>
          <w:lang w:eastAsia="zh-CN"/>
        </w:rPr>
        <w:t>（</w:t>
      </w:r>
      <w:r>
        <w:rPr>
          <w:rFonts w:hint="eastAsia" w:ascii="宋体" w:hAnsi="宋体" w:cs="宋体"/>
          <w:snapToGrid w:val="0"/>
          <w:color w:val="auto"/>
          <w:szCs w:val="21"/>
        </w:rPr>
        <w:t>北京时间）</w:t>
      </w:r>
    </w:p>
    <w:p w14:paraId="5D6AD6BD">
      <w:pPr>
        <w:autoSpaceDE w:val="0"/>
        <w:autoSpaceDN w:val="0"/>
        <w:adjustRightInd w:val="0"/>
        <w:snapToGrid w:val="0"/>
        <w:spacing w:line="360" w:lineRule="auto"/>
        <w:ind w:firstLine="420" w:firstLineChars="200"/>
        <w:jc w:val="both"/>
        <w:rPr>
          <w:rFonts w:ascii="宋体" w:hAnsi="宋体" w:cs="宋体"/>
          <w:snapToGrid w:val="0"/>
          <w:color w:val="auto"/>
          <w:szCs w:val="21"/>
        </w:rPr>
      </w:pPr>
      <w:r>
        <w:rPr>
          <w:rFonts w:hint="eastAsia" w:ascii="宋体" w:hAnsi="宋体" w:cs="宋体"/>
          <w:snapToGrid w:val="0"/>
          <w:color w:val="auto"/>
          <w:szCs w:val="21"/>
        </w:rPr>
        <w:t>2.开标地点：郑州市公共资源交易中心门户网站远程开标大厅（</w:t>
      </w:r>
      <w:r>
        <w:rPr>
          <w:rFonts w:hint="eastAsia" w:ascii="宋体" w:hAnsi="宋体" w:cs="宋体"/>
          <w:snapToGrid w:val="0"/>
          <w:color w:val="auto"/>
          <w:szCs w:val="21"/>
          <w:lang w:val="en-US" w:eastAsia="zh-CN"/>
        </w:rPr>
        <w:t>https://zzggzy.zhengzhou.gov.cn/BidOpening/</w:t>
      </w:r>
      <w:r>
        <w:rPr>
          <w:rFonts w:hint="eastAsia" w:ascii="宋体" w:hAnsi="宋体" w:cs="宋体"/>
          <w:snapToGrid w:val="0"/>
          <w:color w:val="auto"/>
          <w:szCs w:val="21"/>
        </w:rPr>
        <w:t>）</w:t>
      </w:r>
    </w:p>
    <w:p w14:paraId="01182DFC">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六、发布公告的媒介及招标公告期限</w:t>
      </w:r>
    </w:p>
    <w:p w14:paraId="0F2FC028">
      <w:pPr>
        <w:autoSpaceDE w:val="0"/>
        <w:autoSpaceDN w:val="0"/>
        <w:adjustRightInd w:val="0"/>
        <w:snapToGrid w:val="0"/>
        <w:spacing w:line="360" w:lineRule="auto"/>
        <w:ind w:firstLine="420" w:firstLineChars="200"/>
        <w:jc w:val="left"/>
        <w:rPr>
          <w:rFonts w:ascii="宋体" w:hAnsi="宋体" w:cs="宋体"/>
          <w:snapToGrid w:val="0"/>
          <w:color w:val="auto"/>
          <w:szCs w:val="21"/>
          <w:highlight w:val="yellow"/>
        </w:rPr>
      </w:pPr>
      <w:r>
        <w:rPr>
          <w:rFonts w:hint="eastAsia" w:ascii="宋体" w:hAnsi="宋体" w:cs="宋体"/>
          <w:snapToGrid w:val="0"/>
          <w:color w:val="auto"/>
          <w:szCs w:val="21"/>
        </w:rPr>
        <w:t>本次招</w:t>
      </w:r>
      <w:r>
        <w:rPr>
          <w:rFonts w:hint="eastAsia" w:ascii="宋体" w:hAnsi="宋体" w:cs="宋体"/>
          <w:snapToGrid w:val="0"/>
          <w:color w:val="auto"/>
          <w:szCs w:val="21"/>
          <w:highlight w:val="none"/>
        </w:rPr>
        <w:t>标公告在</w:t>
      </w:r>
      <w:r>
        <w:rPr>
          <w:rFonts w:hint="eastAsia" w:ascii="宋体" w:hAnsi="宋体" w:cs="宋体"/>
          <w:snapToGrid w:val="0"/>
          <w:color w:val="auto"/>
          <w:szCs w:val="21"/>
          <w:highlight w:val="none"/>
          <w:lang w:eastAsia="zh-CN"/>
        </w:rPr>
        <w:t>《河南省政府采购网》、《郑东新区政府采购网》、《郑州市公共资源交易中心》</w:t>
      </w:r>
      <w:r>
        <w:rPr>
          <w:rFonts w:hint="eastAsia" w:ascii="宋体" w:hAnsi="宋体" w:cs="宋体"/>
          <w:snapToGrid w:val="0"/>
          <w:color w:val="auto"/>
          <w:szCs w:val="21"/>
          <w:highlight w:val="none"/>
        </w:rPr>
        <w:t>上发布</w:t>
      </w:r>
      <w:r>
        <w:rPr>
          <w:rFonts w:hint="eastAsia" w:ascii="宋体" w:hAnsi="宋体" w:cs="宋体"/>
          <w:snapToGrid w:val="0"/>
          <w:color w:val="auto"/>
          <w:szCs w:val="21"/>
          <w:highlight w:val="none"/>
          <w:lang w:eastAsia="zh-CN"/>
        </w:rPr>
        <w:t>，招标公告期限为五个工作日。</w:t>
      </w:r>
    </w:p>
    <w:p w14:paraId="12303B5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七、其他补充事宜</w:t>
      </w:r>
    </w:p>
    <w:p w14:paraId="5EC37767">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1.投标文件包括电子投标文件：</w:t>
      </w:r>
    </w:p>
    <w:p w14:paraId="6D52E4E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（1）加密电子投标文件（.ZZTF格式）须在投标截止时间前通过“郑州市公共资源交易中心（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）”电子交易平台加密上传；</w:t>
      </w:r>
    </w:p>
    <w:p w14:paraId="7EC101F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（2）加密电子投标文件为“郑州市公共资源交易中心（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）”网站提供的“投标文件制作工具”软件制作生成的加密版投标文件。</w:t>
      </w:r>
    </w:p>
    <w:p w14:paraId="67AA7F7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（3）各投标人需使用本单位CA锁（制作投标文件时所使用的CA锁）对本单位的加密电子投标文件进行远程不见面方式解密。</w:t>
      </w:r>
    </w:p>
    <w:p w14:paraId="79D86B5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2.本项目采用不见面开标方式开标，</w:t>
      </w:r>
      <w:bookmarkStart w:id="48" w:name="OLE_LINK36"/>
      <w:r>
        <w:rPr>
          <w:rFonts w:hint="eastAsia" w:ascii="宋体" w:hAnsi="宋体" w:cs="宋体"/>
          <w:color w:val="auto"/>
          <w:szCs w:val="21"/>
          <w:highlight w:val="none"/>
          <w:lang w:eastAsia="zh-CN"/>
        </w:rPr>
        <w:t>供应商</w:t>
      </w:r>
      <w:bookmarkEnd w:id="48"/>
      <w:r>
        <w:rPr>
          <w:rFonts w:hint="eastAsia" w:ascii="宋体" w:hAnsi="宋体" w:cs="宋体"/>
          <w:color w:val="auto"/>
          <w:szCs w:val="21"/>
          <w:highlight w:val="none"/>
        </w:rPr>
        <w:t>在投标截止时间前登陆郑州市公共资源交易中心门户网站远程开标大厅（</w:t>
      </w:r>
      <w:r>
        <w:rPr>
          <w:rFonts w:hint="eastAsia" w:ascii="宋体" w:hAnsi="宋体" w:cs="宋体"/>
          <w:color w:val="auto"/>
          <w:szCs w:val="21"/>
          <w:highlight w:val="none"/>
          <w:lang w:val="en-US" w:eastAsia="zh-CN"/>
        </w:rPr>
        <w:t>https://zzggzy.zhengzhou.gov.cn/BidOpening/</w:t>
      </w:r>
      <w:r>
        <w:rPr>
          <w:rFonts w:hint="eastAsia" w:ascii="宋体" w:hAnsi="宋体" w:cs="宋体"/>
          <w:color w:val="auto"/>
          <w:szCs w:val="21"/>
          <w:highlight w:val="none"/>
        </w:rPr>
        <w:t>）。</w:t>
      </w:r>
    </w:p>
    <w:p w14:paraId="440B542A">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1</w:t>
      </w:r>
      <w:r>
        <w:rPr>
          <w:rFonts w:hint="eastAsia" w:ascii="宋体" w:hAnsi="宋体" w:cs="宋体"/>
          <w:snapToGrid w:val="0"/>
          <w:color w:val="auto"/>
          <w:szCs w:val="21"/>
          <w:highlight w:val="none"/>
        </w:rPr>
        <w:t>）所有投标人应提前30分钟，登录“郑州市公共资源交易中心门户网站远程开标大厅</w:t>
      </w:r>
      <w:r>
        <w:rPr>
          <w:rFonts w:hint="eastAsia" w:ascii="宋体" w:hAnsi="宋体" w:cs="宋体"/>
          <w:color w:val="auto"/>
          <w:szCs w:val="21"/>
          <w:highlight w:val="none"/>
          <w:lang w:val="en-US" w:eastAsia="zh-CN"/>
        </w:rPr>
        <w:t>hhttps://zzggzy.zhengzhou.gov.cn/BidOpening/</w:t>
      </w:r>
      <w:r>
        <w:rPr>
          <w:rFonts w:hint="eastAsia" w:ascii="宋体" w:hAnsi="宋体" w:cs="宋体"/>
          <w:snapToGrid w:val="0"/>
          <w:color w:val="auto"/>
          <w:szCs w:val="21"/>
          <w:highlight w:val="none"/>
        </w:rPr>
        <w:t xml:space="preserve"> ”进行远程开标准备工作。</w:t>
      </w:r>
    </w:p>
    <w:p w14:paraId="11FD04A4">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2</w:t>
      </w:r>
      <w:r>
        <w:rPr>
          <w:rFonts w:hint="eastAsia" w:ascii="宋体" w:hAnsi="宋体" w:cs="宋体"/>
          <w:snapToGrid w:val="0"/>
          <w:color w:val="auto"/>
          <w:szCs w:val="21"/>
          <w:highlight w:val="none"/>
        </w:rPr>
        <w:t>）所有</w:t>
      </w:r>
      <w:r>
        <w:rPr>
          <w:rFonts w:hint="eastAsia" w:ascii="宋体" w:hAnsi="宋体" w:cs="宋体"/>
          <w:color w:val="auto"/>
          <w:szCs w:val="21"/>
          <w:highlight w:val="none"/>
          <w:lang w:eastAsia="zh-CN"/>
        </w:rPr>
        <w:t>供应商</w:t>
      </w:r>
      <w:r>
        <w:rPr>
          <w:rFonts w:hint="eastAsia" w:ascii="宋体" w:hAnsi="宋体" w:cs="宋体"/>
          <w:snapToGrid w:val="0"/>
          <w:color w:val="auto"/>
          <w:szCs w:val="21"/>
          <w:highlight w:val="none"/>
        </w:rPr>
        <w:t>登录“郑州市公共资源交易中心门户网站远程开标大厅”后，须先进行签到，其后应一直保持在线状态，保证能准时参加开标大会、投标文件的解密、现场答疑澄清等活动。</w:t>
      </w:r>
    </w:p>
    <w:p w14:paraId="6FAE5EA9">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3</w:t>
      </w:r>
      <w:r>
        <w:rPr>
          <w:rFonts w:hint="eastAsia" w:ascii="宋体" w:hAnsi="宋体" w:cs="宋体"/>
          <w:snapToGrid w:val="0"/>
          <w:color w:val="auto"/>
          <w:szCs w:val="21"/>
          <w:highlight w:val="none"/>
        </w:rPr>
        <w:t>）不见面开标操作说明详见郑州市公共资源交易中心网站办事指南栏目下政府采购专区中的《郑州市公共资源交易中心不见面开标大厅操作手册（</w:t>
      </w:r>
      <w:r>
        <w:rPr>
          <w:rFonts w:hint="eastAsia" w:ascii="宋体" w:hAnsi="宋体" w:cs="宋体"/>
          <w:snapToGrid w:val="0"/>
          <w:color w:val="auto"/>
          <w:szCs w:val="21"/>
          <w:highlight w:val="none"/>
          <w:lang w:eastAsia="zh-CN"/>
        </w:rPr>
        <w:t>供应商</w:t>
      </w:r>
      <w:r>
        <w:rPr>
          <w:rFonts w:hint="eastAsia" w:ascii="宋体" w:hAnsi="宋体" w:cs="宋体"/>
          <w:snapToGrid w:val="0"/>
          <w:color w:val="auto"/>
          <w:szCs w:val="21"/>
          <w:highlight w:val="none"/>
        </w:rPr>
        <w:t>）V1.0》（</w:t>
      </w:r>
      <w:r>
        <w:rPr>
          <w:rFonts w:hint="default" w:ascii="宋体" w:hAnsi="宋体" w:cs="宋体"/>
          <w:snapToGrid w:val="0"/>
          <w:color w:val="auto"/>
          <w:szCs w:val="21"/>
        </w:rPr>
        <w:t>http://zzggzy.zhengzhou.gov.cn/bszn/009003/subpage.html</w:t>
      </w:r>
      <w:r>
        <w:rPr>
          <w:rFonts w:hint="eastAsia" w:ascii="宋体" w:hAnsi="宋体" w:cs="宋体"/>
          <w:snapToGrid w:val="0"/>
          <w:color w:val="auto"/>
          <w:szCs w:val="21"/>
          <w:highlight w:val="none"/>
        </w:rPr>
        <w:t>）。</w:t>
      </w:r>
    </w:p>
    <w:p w14:paraId="3859C2BA">
      <w:pPr>
        <w:pStyle w:val="9"/>
        <w:spacing w:line="360" w:lineRule="auto"/>
        <w:ind w:firstLine="420" w:firstLineChars="200"/>
        <w:rPr>
          <w:rFonts w:hint="eastAsia" w:ascii="宋体" w:hAnsi="宋体" w:eastAsia="宋体" w:cs="宋体"/>
          <w:snapToGrid w:val="0"/>
          <w:color w:val="auto"/>
          <w:kern w:val="2"/>
          <w:sz w:val="21"/>
          <w:szCs w:val="21"/>
          <w:lang w:val="en-US"/>
        </w:rPr>
      </w:pPr>
      <w:r>
        <w:rPr>
          <w:rFonts w:hint="eastAsia" w:ascii="宋体" w:hAnsi="宋体" w:eastAsia="宋体" w:cs="宋体"/>
          <w:snapToGrid w:val="0"/>
          <w:color w:val="auto"/>
          <w:kern w:val="2"/>
          <w:sz w:val="21"/>
          <w:szCs w:val="21"/>
          <w:lang w:val="en-US" w:eastAsia="zh-CN"/>
        </w:rPr>
        <w:t>3</w:t>
      </w:r>
      <w:r>
        <w:rPr>
          <w:rFonts w:hint="eastAsia" w:ascii="宋体" w:hAnsi="宋体" w:eastAsia="宋体" w:cs="宋体"/>
          <w:snapToGrid w:val="0"/>
          <w:color w:val="auto"/>
          <w:kern w:val="2"/>
          <w:sz w:val="21"/>
          <w:szCs w:val="21"/>
        </w:rPr>
        <w:t>.</w:t>
      </w:r>
      <w:r>
        <w:rPr>
          <w:rFonts w:hint="eastAsia" w:ascii="宋体" w:hAnsi="宋体" w:eastAsia="宋体" w:cs="宋体"/>
          <w:snapToGrid w:val="0"/>
          <w:kern w:val="2"/>
          <w:sz w:val="21"/>
          <w:szCs w:val="21"/>
          <w:lang w:val="en-US" w:eastAsia="zh-CN"/>
        </w:rPr>
        <w:t>本项目执行促进中小型企业发展政策（监狱企业、残疾人福利性企业视同小微企业）、强制采购节能产品、优先采购节能环保产品等政府采购政策。落实《河南省民政厅河南省财政厅关于印发河南省政府购买社会工作服务实施办法的通知》豫民〔2013〕3号、《郑州市民政局郑州市财政局关于印发郑州市政府购买社会工作服务实施办法的通知》郑民文〔2016〕67号、《郑东新区政府购买社会工作服务实施办法》郑东办〔2020〕32号等政府采购政策。</w:t>
      </w:r>
    </w:p>
    <w:p w14:paraId="1EFFF189">
      <w:pPr>
        <w:pStyle w:val="9"/>
        <w:spacing w:line="360" w:lineRule="auto"/>
        <w:ind w:firstLine="420" w:firstLineChars="200"/>
        <w:rPr>
          <w:rFonts w:hint="default"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4.</w:t>
      </w:r>
      <w:r>
        <w:rPr>
          <w:rFonts w:hint="eastAsia" w:ascii="宋体" w:hAnsi="宋体" w:eastAsia="宋体" w:cs="宋体"/>
          <w:snapToGrid w:val="0"/>
          <w:color w:val="auto"/>
          <w:kern w:val="2"/>
          <w:sz w:val="21"/>
          <w:szCs w:val="21"/>
        </w:rPr>
        <w:t>其他要求</w:t>
      </w:r>
    </w:p>
    <w:p w14:paraId="07C8EC7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rPr>
        <w:t>供应商可对多个标包进行投报</w:t>
      </w:r>
      <w:r>
        <w:rPr>
          <w:rFonts w:hint="eastAsia" w:ascii="宋体" w:hAnsi="宋体" w:eastAsia="宋体" w:cs="宋体"/>
          <w:snapToGrid w:val="0"/>
          <w:color w:val="auto"/>
          <w:kern w:val="2"/>
          <w:sz w:val="21"/>
          <w:szCs w:val="21"/>
          <w:lang w:val="en-US" w:eastAsia="zh-CN"/>
        </w:rPr>
        <w:t>。</w:t>
      </w:r>
      <w:r>
        <w:rPr>
          <w:rFonts w:hint="eastAsia" w:ascii="宋体" w:hAnsi="宋体" w:eastAsia="宋体" w:cs="宋体"/>
          <w:snapToGrid w:val="0"/>
          <w:color w:val="auto"/>
          <w:kern w:val="2"/>
          <w:sz w:val="21"/>
          <w:szCs w:val="21"/>
          <w:lang w:val="en-US"/>
        </w:rPr>
        <w:t>评审时按照</w:t>
      </w:r>
      <w:r>
        <w:rPr>
          <w:rFonts w:hint="eastAsia" w:ascii="宋体" w:hAnsi="宋体" w:eastAsia="宋体" w:cs="宋体"/>
          <w:snapToGrid w:val="0"/>
          <w:color w:val="auto"/>
          <w:kern w:val="2"/>
          <w:sz w:val="21"/>
          <w:szCs w:val="21"/>
          <w:lang w:val="en-US" w:eastAsia="zh-CN"/>
        </w:rPr>
        <w:t>标包顺序</w:t>
      </w:r>
      <w:r>
        <w:rPr>
          <w:rFonts w:hint="eastAsia" w:ascii="宋体" w:hAnsi="宋体" w:eastAsia="宋体" w:cs="宋体"/>
          <w:snapToGrid w:val="0"/>
          <w:color w:val="auto"/>
          <w:kern w:val="2"/>
          <w:sz w:val="21"/>
          <w:szCs w:val="21"/>
          <w:lang w:val="en-US"/>
        </w:rPr>
        <w:t>进行</w:t>
      </w:r>
      <w:r>
        <w:rPr>
          <w:rFonts w:hint="eastAsia" w:ascii="宋体" w:hAnsi="宋体" w:eastAsia="宋体" w:cs="宋体"/>
          <w:snapToGrid w:val="0"/>
          <w:color w:val="auto"/>
          <w:kern w:val="2"/>
          <w:sz w:val="21"/>
          <w:szCs w:val="21"/>
          <w:lang w:val="en-US" w:eastAsia="zh-CN"/>
        </w:rPr>
        <w:t>评审并推荐中标候选人。</w:t>
      </w:r>
    </w:p>
    <w:p w14:paraId="7F0A92C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①如果某供应商被推荐为A包的第一中标候选人，则其它标包不再推荐其为中标候选人。</w:t>
      </w:r>
    </w:p>
    <w:p w14:paraId="48DCCD4D">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kern w:val="2"/>
          <w:sz w:val="21"/>
          <w:szCs w:val="21"/>
          <w:lang w:val="en-US" w:eastAsia="zh-CN"/>
        </w:rPr>
        <w:t>②</w:t>
      </w:r>
      <w:r>
        <w:rPr>
          <w:rFonts w:hint="eastAsia" w:ascii="宋体" w:hAnsi="宋体" w:eastAsia="宋体" w:cs="宋体"/>
          <w:snapToGrid w:val="0"/>
          <w:color w:val="auto"/>
          <w:kern w:val="2"/>
          <w:sz w:val="21"/>
          <w:szCs w:val="21"/>
          <w:lang w:val="en-US" w:eastAsia="zh-CN"/>
        </w:rPr>
        <w:t>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中标候选人推荐原则详见第三章评标办法。）</w:t>
      </w:r>
    </w:p>
    <w:p w14:paraId="5B898658">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color w:val="auto"/>
          <w:szCs w:val="21"/>
        </w:rPr>
        <w:t>八、凡对本次招标提出询问，请按照以下方式联系</w:t>
      </w:r>
    </w:p>
    <w:p w14:paraId="75FC598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采购人</w:t>
      </w:r>
      <w:r>
        <w:rPr>
          <w:rFonts w:hint="eastAsia" w:ascii="宋体" w:hAnsi="宋体" w:cs="宋体"/>
          <w:snapToGrid w:val="0"/>
          <w:szCs w:val="21"/>
        </w:rPr>
        <w:t>信息</w:t>
      </w:r>
    </w:p>
    <w:p w14:paraId="1663CFE0">
      <w:pPr>
        <w:autoSpaceDE w:val="0"/>
        <w:autoSpaceDN w:val="0"/>
        <w:adjustRightInd w:val="0"/>
        <w:snapToGrid w:val="0"/>
        <w:spacing w:line="360" w:lineRule="auto"/>
        <w:ind w:firstLine="630" w:firstLineChars="300"/>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Times New Roman" w:eastAsia="宋体"/>
          <w:color w:val="000000" w:themeColor="text1"/>
          <w:sz w:val="21"/>
          <w:szCs w:val="21"/>
          <w:highlight w:val="none"/>
          <w:lang w:val="en-US" w:eastAsia="zh-CN"/>
          <w14:textFill>
            <w14:solidFill>
              <w14:schemeClr w14:val="tx1"/>
            </w14:solidFill>
          </w14:textFill>
        </w:rPr>
        <w:t>郑州市郑东新区社会事业局</w:t>
      </w:r>
    </w:p>
    <w:p w14:paraId="086D10FF">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eastAsia" w:ascii="宋体" w:hAnsi="宋体" w:cs="宋体"/>
          <w:snapToGrid w:val="0"/>
          <w:color w:val="000000" w:themeColor="text1"/>
          <w:szCs w:val="21"/>
          <w:highlight w:val="none"/>
          <w:lang w:val="en-US"/>
          <w14:textFill>
            <w14:solidFill>
              <w14:schemeClr w14:val="tx1"/>
            </w14:solidFill>
          </w14:textFill>
        </w:rPr>
        <w:t>金融智谷2号楼15楼</w:t>
      </w:r>
    </w:p>
    <w:p w14:paraId="0BD34FEE">
      <w:pPr>
        <w:autoSpaceDE w:val="0"/>
        <w:autoSpaceDN w:val="0"/>
        <w:adjustRightInd w:val="0"/>
        <w:snapToGrid w:val="0"/>
        <w:spacing w:line="360" w:lineRule="auto"/>
        <w:ind w:firstLine="630" w:firstLineChars="300"/>
        <w:jc w:val="left"/>
        <w:rPr>
          <w:rFonts w:ascii="宋体" w:hAnsi="宋体" w:cs="宋体"/>
          <w:snapToGrid w:val="0"/>
          <w:color w:val="000000" w:themeColor="text1"/>
          <w:szCs w:val="21"/>
          <w:highlight w:val="none"/>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743B4D34">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p w14:paraId="36EF6BA4">
      <w:pPr>
        <w:autoSpaceDE w:val="0"/>
        <w:autoSpaceDN w:val="0"/>
        <w:adjustRightInd w:val="0"/>
        <w:snapToGrid w:val="0"/>
        <w:spacing w:line="360" w:lineRule="auto"/>
        <w:ind w:firstLine="420" w:firstLineChars="200"/>
        <w:jc w:val="left"/>
        <w:rPr>
          <w:rFonts w:ascii="宋体" w:hAnsi="宋体" w:cs="宋体"/>
          <w:snapToGrid w:val="0"/>
          <w:szCs w:val="21"/>
          <w:highlight w:val="none"/>
        </w:rPr>
      </w:pPr>
      <w:r>
        <w:rPr>
          <w:rFonts w:hint="eastAsia" w:ascii="宋体" w:hAnsi="宋体" w:cs="宋体"/>
          <w:snapToGrid w:val="0"/>
          <w:szCs w:val="21"/>
          <w:highlight w:val="none"/>
        </w:rPr>
        <w:t>2.采购代理机构信息</w:t>
      </w:r>
    </w:p>
    <w:p w14:paraId="383DCEE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名  称：河南怀德敏行工程管理有限公司</w:t>
      </w:r>
    </w:p>
    <w:p w14:paraId="2B1B1C78">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地  址：郑州市二七路新时代广场7楼南户</w:t>
      </w:r>
    </w:p>
    <w:p w14:paraId="683B486B">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联系人：乔</w:t>
      </w:r>
      <w:r>
        <w:rPr>
          <w:rFonts w:hint="eastAsia" w:ascii="宋体" w:hAnsi="宋体" w:cs="宋体"/>
          <w:snapToGrid w:val="0"/>
          <w:szCs w:val="21"/>
          <w:lang w:eastAsia="zh-CN"/>
        </w:rPr>
        <w:t>甲正</w:t>
      </w:r>
      <w:r>
        <w:rPr>
          <w:rFonts w:hint="eastAsia" w:ascii="宋体" w:hAnsi="宋体" w:cs="宋体"/>
          <w:snapToGrid w:val="0"/>
          <w:szCs w:val="21"/>
        </w:rPr>
        <w:t xml:space="preserve"> </w:t>
      </w:r>
    </w:p>
    <w:p w14:paraId="69B91BAE">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 xml:space="preserve">联系方式：17739207048  </w:t>
      </w:r>
    </w:p>
    <w:p w14:paraId="5F1C75B9">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3.项目联系方式</w:t>
      </w:r>
    </w:p>
    <w:p w14:paraId="12DA52FD">
      <w:pPr>
        <w:autoSpaceDE w:val="0"/>
        <w:autoSpaceDN w:val="0"/>
        <w:adjustRightInd w:val="0"/>
        <w:snapToGrid w:val="0"/>
        <w:spacing w:line="360" w:lineRule="auto"/>
        <w:ind w:firstLine="630" w:firstLineChars="300"/>
        <w:jc w:val="left"/>
        <w:rPr>
          <w:rFonts w:hint="eastAsia" w:ascii="宋体" w:hAnsi="宋体" w:eastAsia="宋体" w:cs="宋体"/>
          <w:snapToGrid w:val="0"/>
          <w:szCs w:val="21"/>
          <w:lang w:eastAsia="zh-CN"/>
        </w:rPr>
      </w:pPr>
      <w:r>
        <w:rPr>
          <w:rFonts w:hint="eastAsia" w:ascii="宋体" w:hAnsi="宋体" w:cs="宋体"/>
          <w:snapToGrid w:val="0"/>
          <w:szCs w:val="21"/>
        </w:rPr>
        <w:t>项目联系人：乔</w:t>
      </w:r>
      <w:r>
        <w:rPr>
          <w:rFonts w:hint="eastAsia" w:ascii="宋体" w:hAnsi="宋体" w:cs="宋体"/>
          <w:snapToGrid w:val="0"/>
          <w:szCs w:val="21"/>
          <w:lang w:eastAsia="zh-CN"/>
        </w:rPr>
        <w:t>甲正</w:t>
      </w:r>
    </w:p>
    <w:p w14:paraId="622F5C2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电  话：17739207048</w:t>
      </w:r>
    </w:p>
    <w:p w14:paraId="1E9AC73D">
      <w:pPr>
        <w:autoSpaceDE w:val="0"/>
        <w:autoSpaceDN w:val="0"/>
        <w:adjustRightInd w:val="0"/>
        <w:snapToGrid w:val="0"/>
        <w:spacing w:line="360" w:lineRule="auto"/>
        <w:jc w:val="left"/>
        <w:rPr>
          <w:rFonts w:ascii="宋体" w:hAnsi="宋体" w:cs="宋体"/>
          <w:b/>
          <w:bCs/>
          <w:snapToGrid w:val="0"/>
          <w:szCs w:val="21"/>
        </w:rPr>
      </w:pPr>
    </w:p>
    <w:p w14:paraId="4967F273">
      <w:pPr>
        <w:autoSpaceDE w:val="0"/>
        <w:autoSpaceDN w:val="0"/>
        <w:adjustRightInd w:val="0"/>
        <w:snapToGrid w:val="0"/>
        <w:spacing w:line="360" w:lineRule="auto"/>
        <w:jc w:val="left"/>
        <w:rPr>
          <w:rFonts w:ascii="宋体" w:hAnsi="宋体" w:cs="宋体"/>
          <w:b/>
          <w:bCs/>
          <w:snapToGrid w:val="0"/>
          <w:szCs w:val="21"/>
        </w:rPr>
      </w:pPr>
    </w:p>
    <w:p w14:paraId="483AB910">
      <w:pPr>
        <w:autoSpaceDE w:val="0"/>
        <w:autoSpaceDN w:val="0"/>
        <w:adjustRightInd w:val="0"/>
        <w:snapToGrid w:val="0"/>
        <w:spacing w:line="360" w:lineRule="auto"/>
        <w:jc w:val="right"/>
        <w:rPr>
          <w:rFonts w:ascii="宋体" w:hAnsi="宋体" w:cs="宋体"/>
          <w:szCs w:val="21"/>
          <w:highlight w:val="none"/>
        </w:rPr>
      </w:pPr>
      <w:r>
        <w:rPr>
          <w:rFonts w:hint="eastAsia" w:ascii="宋体" w:hAnsi="宋体" w:cs="宋体"/>
          <w:szCs w:val="21"/>
        </w:rPr>
        <w:t>发布人：河南怀</w:t>
      </w:r>
      <w:r>
        <w:rPr>
          <w:rFonts w:hint="eastAsia" w:ascii="宋体" w:hAnsi="宋体" w:cs="宋体"/>
          <w:szCs w:val="21"/>
          <w:highlight w:val="none"/>
        </w:rPr>
        <w:t>德敏行工程管理有限公司</w:t>
      </w:r>
    </w:p>
    <w:p w14:paraId="3FFC5D0D">
      <w:pPr>
        <w:autoSpaceDE w:val="0"/>
        <w:autoSpaceDN w:val="0"/>
        <w:adjustRightInd w:val="0"/>
        <w:snapToGrid w:val="0"/>
        <w:spacing w:line="360" w:lineRule="auto"/>
        <w:jc w:val="right"/>
        <w:rPr>
          <w:rFonts w:ascii="宋体" w:hAnsi="宋体" w:cs="宋体"/>
          <w:b/>
          <w:bCs/>
          <w:snapToGrid w:val="0"/>
          <w:szCs w:val="21"/>
          <w:highlight w:val="none"/>
        </w:rPr>
      </w:pPr>
      <w:r>
        <w:rPr>
          <w:rFonts w:hint="eastAsia" w:ascii="宋体" w:hAnsi="宋体" w:cs="宋体"/>
          <w:szCs w:val="21"/>
          <w:highlight w:val="none"/>
        </w:rPr>
        <w:t>发布时间：</w:t>
      </w:r>
      <w:r>
        <w:rPr>
          <w:rFonts w:hint="eastAsia" w:ascii="宋体" w:hAnsi="宋体" w:cs="宋体"/>
          <w:szCs w:val="21"/>
          <w:highlight w:val="none"/>
          <w:lang w:val="en-US" w:eastAsia="zh-CN"/>
        </w:rPr>
        <w:t xml:space="preserve">2024 </w:t>
      </w:r>
      <w:r>
        <w:rPr>
          <w:rFonts w:hint="eastAsia" w:ascii="宋体" w:hAnsi="宋体" w:cs="宋体"/>
          <w:szCs w:val="21"/>
          <w:highlight w:val="none"/>
        </w:rPr>
        <w:t>年</w:t>
      </w:r>
      <w:r>
        <w:rPr>
          <w:rFonts w:hint="eastAsia" w:ascii="宋体" w:hAnsi="宋体" w:cs="宋体"/>
          <w:szCs w:val="21"/>
          <w:highlight w:val="none"/>
          <w:lang w:val="en-US" w:eastAsia="zh-CN"/>
        </w:rPr>
        <w:t xml:space="preserve"> 08 </w:t>
      </w:r>
      <w:r>
        <w:rPr>
          <w:rFonts w:hint="eastAsia" w:ascii="宋体" w:hAnsi="宋体" w:cs="宋体"/>
          <w:szCs w:val="21"/>
          <w:highlight w:val="none"/>
        </w:rPr>
        <w:t>月</w:t>
      </w:r>
      <w:r>
        <w:rPr>
          <w:rFonts w:hint="eastAsia" w:ascii="宋体" w:hAnsi="宋体" w:cs="宋体"/>
          <w:szCs w:val="21"/>
          <w:highlight w:val="none"/>
          <w:lang w:val="en-US" w:eastAsia="zh-CN"/>
        </w:rPr>
        <w:t xml:space="preserve"> 22 </w:t>
      </w:r>
      <w:r>
        <w:rPr>
          <w:rFonts w:hint="eastAsia" w:ascii="宋体" w:hAnsi="宋体" w:cs="宋体"/>
          <w:szCs w:val="21"/>
          <w:highlight w:val="none"/>
        </w:rPr>
        <w:t>日</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465B5C2">
      <w:pPr>
        <w:rPr>
          <w:rFonts w:ascii="宋体" w:hAnsi="宋体" w:cs="宋体"/>
        </w:rPr>
      </w:pPr>
      <w:bookmarkStart w:id="49" w:name="_Toc3376"/>
      <w:bookmarkStart w:id="50" w:name="_Toc13902"/>
      <w:bookmarkStart w:id="51" w:name="_Toc2164"/>
      <w:r>
        <w:rPr>
          <w:rFonts w:hint="eastAsia" w:ascii="宋体" w:hAnsi="宋体" w:cs="宋体"/>
        </w:rPr>
        <w:br w:type="page"/>
      </w:r>
    </w:p>
    <w:p w14:paraId="603674FC">
      <w:pPr>
        <w:pStyle w:val="3"/>
        <w:spacing w:before="156" w:beforeLines="50"/>
        <w:jc w:val="center"/>
        <w:rPr>
          <w:rFonts w:hint="eastAsia" w:ascii="宋体" w:hAnsi="宋体" w:eastAsia="宋体" w:cs="宋体"/>
          <w:lang w:eastAsia="zh-CN"/>
        </w:rPr>
      </w:pPr>
      <w:bookmarkStart w:id="52" w:name="_Toc9458"/>
      <w:bookmarkStart w:id="53" w:name="OLE_LINK30"/>
      <w:r>
        <w:rPr>
          <w:rFonts w:hint="eastAsia" w:ascii="宋体" w:hAnsi="宋体" w:cs="宋体"/>
        </w:rPr>
        <w:t xml:space="preserve">第二章 </w:t>
      </w:r>
      <w:bookmarkEnd w:id="26"/>
      <w:bookmarkEnd w:id="49"/>
      <w:bookmarkEnd w:id="50"/>
      <w:bookmarkEnd w:id="51"/>
      <w:bookmarkEnd w:id="52"/>
      <w:r>
        <w:rPr>
          <w:rFonts w:hint="eastAsia" w:ascii="宋体" w:hAnsi="宋体" w:cs="宋体"/>
          <w:lang w:eastAsia="zh-CN"/>
        </w:rPr>
        <w:t>供应商须知</w:t>
      </w:r>
      <w:bookmarkEnd w:id="53"/>
    </w:p>
    <w:p w14:paraId="7B1AAD14">
      <w:pPr>
        <w:spacing w:line="360" w:lineRule="auto"/>
        <w:jc w:val="center"/>
        <w:rPr>
          <w:rFonts w:ascii="宋体" w:hAnsi="宋体" w:cs="宋体"/>
          <w:b/>
          <w:sz w:val="24"/>
        </w:rPr>
      </w:pPr>
      <w:bookmarkStart w:id="54" w:name="_Toc184635070"/>
      <w:bookmarkStart w:id="55" w:name="OLE_LINK45"/>
      <w:r>
        <w:rPr>
          <w:rFonts w:hint="eastAsia" w:ascii="宋体" w:hAnsi="宋体" w:cs="宋体"/>
          <w:b/>
          <w:sz w:val="24"/>
          <w:lang w:eastAsia="zh-CN"/>
        </w:rPr>
        <w:t>供应商须知</w:t>
      </w:r>
      <w:r>
        <w:rPr>
          <w:rFonts w:hint="eastAsia" w:ascii="宋体" w:hAnsi="宋体" w:cs="宋体"/>
          <w:b/>
          <w:sz w:val="24"/>
        </w:rPr>
        <w:t>前附表</w:t>
      </w:r>
      <w:bookmarkEnd w:id="54"/>
    </w:p>
    <w:bookmarkEnd w:id="55"/>
    <w:tbl>
      <w:tblPr>
        <w:tblStyle w:val="26"/>
        <w:tblW w:w="9354"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2186"/>
        <w:gridCol w:w="6271"/>
      </w:tblGrid>
      <w:tr w14:paraId="63E8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7" w:type="dxa"/>
            <w:vAlign w:val="center"/>
          </w:tcPr>
          <w:p w14:paraId="67FC29E1">
            <w:pPr>
              <w:spacing w:line="360" w:lineRule="auto"/>
              <w:jc w:val="center"/>
              <w:rPr>
                <w:rFonts w:ascii="宋体" w:hAnsi="宋体" w:cs="宋体"/>
                <w:b/>
                <w:szCs w:val="21"/>
              </w:rPr>
            </w:pPr>
            <w:r>
              <w:rPr>
                <w:rFonts w:hint="eastAsia" w:ascii="宋体" w:hAnsi="宋体" w:cs="宋体"/>
                <w:b/>
                <w:szCs w:val="21"/>
              </w:rPr>
              <w:t>条款号</w:t>
            </w:r>
          </w:p>
        </w:tc>
        <w:tc>
          <w:tcPr>
            <w:tcW w:w="2186" w:type="dxa"/>
            <w:vAlign w:val="center"/>
          </w:tcPr>
          <w:p w14:paraId="77C14BAF">
            <w:pPr>
              <w:spacing w:line="360" w:lineRule="auto"/>
              <w:jc w:val="center"/>
              <w:rPr>
                <w:rFonts w:ascii="宋体" w:hAnsi="宋体" w:cs="宋体"/>
                <w:b/>
                <w:szCs w:val="21"/>
              </w:rPr>
            </w:pPr>
            <w:r>
              <w:rPr>
                <w:rFonts w:hint="eastAsia" w:ascii="宋体" w:hAnsi="宋体" w:cs="宋体"/>
                <w:b/>
                <w:szCs w:val="21"/>
              </w:rPr>
              <w:t>条 款 名 称</w:t>
            </w:r>
          </w:p>
        </w:tc>
        <w:tc>
          <w:tcPr>
            <w:tcW w:w="6271" w:type="dxa"/>
            <w:vAlign w:val="center"/>
          </w:tcPr>
          <w:p w14:paraId="45CA3D30">
            <w:pPr>
              <w:spacing w:line="360" w:lineRule="auto"/>
              <w:jc w:val="center"/>
              <w:rPr>
                <w:rFonts w:ascii="宋体" w:hAnsi="宋体" w:cs="宋体"/>
                <w:b/>
                <w:szCs w:val="21"/>
              </w:rPr>
            </w:pPr>
            <w:r>
              <w:rPr>
                <w:rFonts w:hint="eastAsia" w:ascii="宋体" w:hAnsi="宋体" w:cs="宋体"/>
                <w:b/>
                <w:szCs w:val="21"/>
              </w:rPr>
              <w:t>编 列 内 容</w:t>
            </w:r>
          </w:p>
        </w:tc>
      </w:tr>
      <w:tr w14:paraId="194F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897" w:type="dxa"/>
            <w:vAlign w:val="center"/>
          </w:tcPr>
          <w:p w14:paraId="4667A682">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D115B6C">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采购人</w:t>
            </w:r>
          </w:p>
        </w:tc>
        <w:tc>
          <w:tcPr>
            <w:tcW w:w="6271" w:type="dxa"/>
            <w:vAlign w:val="center"/>
          </w:tcPr>
          <w:p w14:paraId="63CBE0B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宋体" w:hAnsi="宋体" w:cs="宋体"/>
                <w:snapToGrid w:val="0"/>
                <w:color w:val="000000" w:themeColor="text1"/>
                <w:szCs w:val="21"/>
                <w:highlight w:val="none"/>
                <w:lang w:eastAsia="zh-CN"/>
                <w14:textFill>
                  <w14:solidFill>
                    <w14:schemeClr w14:val="tx1"/>
                  </w14:solidFill>
                </w14:textFill>
              </w:rPr>
              <w:t>郑州市郑东新区社会事业局</w:t>
            </w:r>
          </w:p>
          <w:p w14:paraId="7BAAF96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default"/>
                <w:color w:val="000000" w:themeColor="text1"/>
                <w:sz w:val="21"/>
                <w:szCs w:val="21"/>
                <w:highlight w:val="none"/>
                <w:lang w:val="en-US"/>
                <w14:textFill>
                  <w14:solidFill>
                    <w14:schemeClr w14:val="tx1"/>
                  </w14:solidFill>
                </w14:textFill>
              </w:rPr>
              <w:t>金融智谷2号楼15楼</w:t>
            </w:r>
          </w:p>
          <w:p w14:paraId="6B6E2C47">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40F014F7">
            <w:pPr>
              <w:autoSpaceDE w:val="0"/>
              <w:autoSpaceDN w:val="0"/>
              <w:adjustRightInd w:val="0"/>
              <w:snapToGrid w:val="0"/>
              <w:spacing w:line="360" w:lineRule="auto"/>
              <w:jc w:val="left"/>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tc>
      </w:tr>
      <w:tr w14:paraId="0F28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897" w:type="dxa"/>
            <w:vAlign w:val="center"/>
          </w:tcPr>
          <w:p w14:paraId="1E10A877">
            <w:pPr>
              <w:spacing w:line="360" w:lineRule="auto"/>
              <w:jc w:val="center"/>
              <w:rPr>
                <w:rFonts w:ascii="宋体" w:hAnsi="宋体" w:cs="宋体"/>
                <w:szCs w:val="21"/>
              </w:rPr>
            </w:pPr>
            <w:r>
              <w:rPr>
                <w:rFonts w:hint="eastAsia" w:ascii="宋体" w:hAnsi="宋体" w:cs="宋体"/>
                <w:szCs w:val="21"/>
              </w:rPr>
              <w:t>1.1.3</w:t>
            </w:r>
          </w:p>
        </w:tc>
        <w:tc>
          <w:tcPr>
            <w:tcW w:w="2186" w:type="dxa"/>
            <w:vAlign w:val="center"/>
          </w:tcPr>
          <w:p w14:paraId="68FE04F5">
            <w:pPr>
              <w:spacing w:line="360" w:lineRule="auto"/>
              <w:jc w:val="center"/>
              <w:rPr>
                <w:rFonts w:ascii="宋体" w:hAnsi="宋体" w:cs="宋体"/>
              </w:rPr>
            </w:pPr>
            <w:r>
              <w:rPr>
                <w:rFonts w:hint="eastAsia" w:ascii="宋体" w:hAnsi="宋体" w:cs="宋体"/>
              </w:rPr>
              <w:t>采购代理机构</w:t>
            </w:r>
          </w:p>
        </w:tc>
        <w:tc>
          <w:tcPr>
            <w:tcW w:w="6271" w:type="dxa"/>
            <w:vAlign w:val="center"/>
          </w:tcPr>
          <w:p w14:paraId="667236C2">
            <w:pPr>
              <w:spacing w:line="360" w:lineRule="auto"/>
              <w:rPr>
                <w:rFonts w:ascii="宋体" w:hAnsi="宋体" w:cs="宋体"/>
              </w:rPr>
            </w:pPr>
            <w:r>
              <w:rPr>
                <w:rFonts w:hint="eastAsia" w:ascii="宋体" w:hAnsi="宋体" w:cs="宋体"/>
              </w:rPr>
              <w:t>名  称：河南怀德敏行工程管理有限公司</w:t>
            </w:r>
          </w:p>
          <w:p w14:paraId="2A814D3E">
            <w:pPr>
              <w:spacing w:line="360" w:lineRule="auto"/>
              <w:rPr>
                <w:rFonts w:ascii="宋体" w:hAnsi="宋体" w:cs="宋体"/>
              </w:rPr>
            </w:pPr>
            <w:r>
              <w:rPr>
                <w:rFonts w:hint="eastAsia" w:ascii="宋体" w:hAnsi="宋体" w:cs="宋体"/>
              </w:rPr>
              <w:t>地  址：郑州市二七路新时代广场7楼南户</w:t>
            </w:r>
          </w:p>
          <w:p w14:paraId="2218E7F6">
            <w:pPr>
              <w:spacing w:line="360" w:lineRule="auto"/>
              <w:rPr>
                <w:rFonts w:hint="eastAsia" w:ascii="宋体" w:hAnsi="宋体" w:eastAsia="宋体" w:cs="宋体"/>
                <w:lang w:eastAsia="zh-CN"/>
              </w:rPr>
            </w:pPr>
            <w:r>
              <w:rPr>
                <w:rFonts w:hint="eastAsia" w:ascii="宋体" w:hAnsi="宋体" w:cs="宋体"/>
              </w:rPr>
              <w:t>联系人：乔</w:t>
            </w:r>
            <w:r>
              <w:rPr>
                <w:rFonts w:hint="eastAsia" w:ascii="宋体" w:hAnsi="宋体" w:cs="宋体"/>
                <w:lang w:eastAsia="zh-CN"/>
              </w:rPr>
              <w:t>甲正</w:t>
            </w:r>
          </w:p>
          <w:p w14:paraId="6C47720E">
            <w:pPr>
              <w:spacing w:line="360" w:lineRule="auto"/>
              <w:rPr>
                <w:rFonts w:ascii="宋体" w:hAnsi="宋体" w:cs="宋体"/>
              </w:rPr>
            </w:pPr>
            <w:r>
              <w:rPr>
                <w:rFonts w:hint="eastAsia" w:ascii="宋体" w:hAnsi="宋体" w:cs="宋体"/>
              </w:rPr>
              <w:t xml:space="preserve">联系方式：17739207048 </w:t>
            </w:r>
          </w:p>
        </w:tc>
      </w:tr>
      <w:tr w14:paraId="566B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97" w:type="dxa"/>
            <w:vAlign w:val="center"/>
          </w:tcPr>
          <w:p w14:paraId="4E6E4F42">
            <w:pPr>
              <w:spacing w:line="360" w:lineRule="auto"/>
              <w:jc w:val="center"/>
              <w:rPr>
                <w:rFonts w:ascii="宋体" w:hAnsi="宋体" w:cs="宋体"/>
                <w:szCs w:val="21"/>
              </w:rPr>
            </w:pPr>
            <w:r>
              <w:rPr>
                <w:rFonts w:hint="eastAsia" w:ascii="宋体" w:hAnsi="宋体" w:cs="宋体"/>
                <w:szCs w:val="21"/>
              </w:rPr>
              <w:t>1.1.4</w:t>
            </w:r>
          </w:p>
        </w:tc>
        <w:tc>
          <w:tcPr>
            <w:tcW w:w="2186" w:type="dxa"/>
            <w:vAlign w:val="center"/>
          </w:tcPr>
          <w:p w14:paraId="20BC81C4">
            <w:pPr>
              <w:spacing w:line="360" w:lineRule="auto"/>
              <w:jc w:val="center"/>
              <w:rPr>
                <w:rFonts w:ascii="宋体" w:hAnsi="宋体" w:cs="宋体"/>
                <w:szCs w:val="21"/>
              </w:rPr>
            </w:pPr>
            <w:r>
              <w:rPr>
                <w:rFonts w:hint="eastAsia" w:ascii="宋体" w:hAnsi="宋体" w:cs="宋体"/>
                <w:szCs w:val="21"/>
              </w:rPr>
              <w:t>项目名称</w:t>
            </w:r>
          </w:p>
        </w:tc>
        <w:tc>
          <w:tcPr>
            <w:tcW w:w="6271" w:type="dxa"/>
            <w:vAlign w:val="center"/>
          </w:tcPr>
          <w:p w14:paraId="59BC6039">
            <w:pPr>
              <w:spacing w:line="360" w:lineRule="auto"/>
              <w:jc w:val="left"/>
              <w:rPr>
                <w:rFonts w:hint="eastAsia" w:ascii="宋体" w:hAnsi="宋体" w:cs="宋体"/>
                <w:szCs w:val="21"/>
                <w:lang w:eastAsia="zh-CN"/>
              </w:rPr>
            </w:pPr>
            <w:r>
              <w:rPr>
                <w:rFonts w:hint="eastAsia" w:ascii="宋体" w:hAnsi="宋体" w:cs="宋体"/>
                <w:szCs w:val="21"/>
                <w:lang w:val="en-US" w:eastAsia="zh-CN"/>
              </w:rPr>
              <w:t>郑州市郑东新区社会事业局郑州市郑东新区2024年政府购买社会工作服务项目</w:t>
            </w:r>
          </w:p>
        </w:tc>
      </w:tr>
      <w:tr w14:paraId="1B61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2C54E775">
            <w:pPr>
              <w:spacing w:line="360" w:lineRule="auto"/>
              <w:jc w:val="center"/>
              <w:rPr>
                <w:rFonts w:ascii="宋体" w:hAnsi="宋体" w:cs="宋体"/>
                <w:szCs w:val="21"/>
              </w:rPr>
            </w:pPr>
            <w:r>
              <w:rPr>
                <w:rFonts w:hint="eastAsia" w:ascii="宋体" w:hAnsi="宋体" w:cs="宋体"/>
                <w:szCs w:val="21"/>
              </w:rPr>
              <w:t>1.1.5</w:t>
            </w:r>
          </w:p>
        </w:tc>
        <w:tc>
          <w:tcPr>
            <w:tcW w:w="2186" w:type="dxa"/>
            <w:vAlign w:val="center"/>
          </w:tcPr>
          <w:p w14:paraId="605A2CD7">
            <w:pPr>
              <w:spacing w:line="360" w:lineRule="auto"/>
              <w:jc w:val="center"/>
              <w:rPr>
                <w:rFonts w:ascii="宋体" w:hAnsi="宋体" w:cs="宋体"/>
                <w:szCs w:val="21"/>
              </w:rPr>
            </w:pPr>
            <w:r>
              <w:rPr>
                <w:rFonts w:hint="eastAsia" w:ascii="宋体" w:hAnsi="宋体" w:cs="宋体"/>
                <w:szCs w:val="21"/>
              </w:rPr>
              <w:t>项目地点</w:t>
            </w:r>
          </w:p>
        </w:tc>
        <w:tc>
          <w:tcPr>
            <w:tcW w:w="6271" w:type="dxa"/>
            <w:vAlign w:val="center"/>
          </w:tcPr>
          <w:p w14:paraId="303E6F1C">
            <w:pPr>
              <w:spacing w:line="360" w:lineRule="auto"/>
              <w:rPr>
                <w:rFonts w:ascii="宋体" w:hAnsi="宋体" w:cs="宋体"/>
                <w:szCs w:val="21"/>
              </w:rPr>
            </w:pPr>
            <w:r>
              <w:rPr>
                <w:rFonts w:hint="eastAsia"/>
                <w:lang w:eastAsia="zh-CN"/>
              </w:rPr>
              <w:t>采购人</w:t>
            </w:r>
            <w:r>
              <w:rPr>
                <w:rFonts w:hint="eastAsia"/>
              </w:rPr>
              <w:t>指定地点</w:t>
            </w:r>
          </w:p>
        </w:tc>
      </w:tr>
      <w:tr w14:paraId="3C31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06FF79DD">
            <w:pPr>
              <w:spacing w:line="360" w:lineRule="auto"/>
              <w:jc w:val="center"/>
              <w:rPr>
                <w:rFonts w:ascii="宋体" w:hAnsi="宋体" w:cs="宋体"/>
                <w:szCs w:val="21"/>
              </w:rPr>
            </w:pPr>
            <w:r>
              <w:rPr>
                <w:rFonts w:hint="eastAsia" w:ascii="宋体" w:hAnsi="宋体" w:cs="宋体"/>
                <w:szCs w:val="21"/>
              </w:rPr>
              <w:t>1.2.1</w:t>
            </w:r>
          </w:p>
        </w:tc>
        <w:tc>
          <w:tcPr>
            <w:tcW w:w="2186" w:type="dxa"/>
            <w:vAlign w:val="center"/>
          </w:tcPr>
          <w:p w14:paraId="556C1955">
            <w:pPr>
              <w:spacing w:line="360" w:lineRule="auto"/>
              <w:jc w:val="center"/>
              <w:rPr>
                <w:rFonts w:ascii="宋体" w:hAnsi="宋体" w:cs="宋体"/>
                <w:szCs w:val="21"/>
              </w:rPr>
            </w:pPr>
            <w:r>
              <w:rPr>
                <w:rFonts w:hint="eastAsia" w:ascii="宋体" w:hAnsi="宋体" w:cs="宋体"/>
                <w:szCs w:val="21"/>
              </w:rPr>
              <w:t>资金来源</w:t>
            </w:r>
          </w:p>
        </w:tc>
        <w:tc>
          <w:tcPr>
            <w:tcW w:w="6271" w:type="dxa"/>
            <w:vAlign w:val="center"/>
          </w:tcPr>
          <w:p w14:paraId="3CD66D20">
            <w:pPr>
              <w:spacing w:line="360" w:lineRule="auto"/>
              <w:rPr>
                <w:rFonts w:ascii="宋体" w:hAnsi="宋体" w:cs="宋体"/>
                <w:szCs w:val="21"/>
              </w:rPr>
            </w:pPr>
            <w:r>
              <w:rPr>
                <w:rFonts w:hint="eastAsia" w:ascii="宋体" w:hAnsi="宋体" w:cs="宋体"/>
                <w:szCs w:val="21"/>
              </w:rPr>
              <w:t>财政资金</w:t>
            </w:r>
          </w:p>
        </w:tc>
      </w:tr>
      <w:tr w14:paraId="766A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97" w:type="dxa"/>
            <w:vAlign w:val="center"/>
          </w:tcPr>
          <w:p w14:paraId="32E89A93">
            <w:pPr>
              <w:spacing w:line="360" w:lineRule="auto"/>
              <w:jc w:val="center"/>
              <w:rPr>
                <w:rFonts w:ascii="宋体" w:hAnsi="宋体" w:cs="宋体"/>
                <w:szCs w:val="21"/>
              </w:rPr>
            </w:pPr>
            <w:r>
              <w:rPr>
                <w:rFonts w:hint="eastAsia" w:ascii="宋体" w:hAnsi="宋体" w:cs="宋体"/>
                <w:szCs w:val="21"/>
              </w:rPr>
              <w:t>1.2.2</w:t>
            </w:r>
          </w:p>
        </w:tc>
        <w:tc>
          <w:tcPr>
            <w:tcW w:w="2186" w:type="dxa"/>
            <w:vAlign w:val="center"/>
          </w:tcPr>
          <w:p w14:paraId="126DA308">
            <w:pPr>
              <w:spacing w:line="360" w:lineRule="auto"/>
              <w:jc w:val="center"/>
              <w:rPr>
                <w:rFonts w:ascii="宋体" w:hAnsi="宋体" w:cs="宋体"/>
                <w:szCs w:val="21"/>
              </w:rPr>
            </w:pPr>
            <w:r>
              <w:rPr>
                <w:rFonts w:hint="eastAsia" w:ascii="宋体" w:hAnsi="宋体" w:cs="宋体"/>
                <w:szCs w:val="21"/>
              </w:rPr>
              <w:t>出资比例</w:t>
            </w:r>
          </w:p>
        </w:tc>
        <w:tc>
          <w:tcPr>
            <w:tcW w:w="6271" w:type="dxa"/>
            <w:vAlign w:val="center"/>
          </w:tcPr>
          <w:p w14:paraId="0F557425">
            <w:pPr>
              <w:spacing w:line="360" w:lineRule="auto"/>
              <w:rPr>
                <w:rFonts w:ascii="宋体" w:hAnsi="宋体" w:cs="宋体"/>
                <w:szCs w:val="21"/>
              </w:rPr>
            </w:pPr>
            <w:r>
              <w:rPr>
                <w:rFonts w:hint="eastAsia" w:ascii="宋体" w:hAnsi="宋体" w:cs="宋体"/>
                <w:szCs w:val="21"/>
              </w:rPr>
              <w:t>100%</w:t>
            </w:r>
          </w:p>
        </w:tc>
      </w:tr>
      <w:tr w14:paraId="096C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97" w:type="dxa"/>
            <w:vAlign w:val="center"/>
          </w:tcPr>
          <w:p w14:paraId="00833DC1">
            <w:pPr>
              <w:spacing w:line="360" w:lineRule="auto"/>
              <w:jc w:val="center"/>
              <w:rPr>
                <w:rFonts w:ascii="宋体" w:hAnsi="宋体" w:cs="宋体"/>
                <w:szCs w:val="21"/>
              </w:rPr>
            </w:pPr>
            <w:r>
              <w:rPr>
                <w:rFonts w:hint="eastAsia" w:ascii="宋体" w:hAnsi="宋体" w:cs="宋体"/>
                <w:szCs w:val="21"/>
              </w:rPr>
              <w:t>1.2.3</w:t>
            </w:r>
          </w:p>
        </w:tc>
        <w:tc>
          <w:tcPr>
            <w:tcW w:w="2186" w:type="dxa"/>
            <w:vAlign w:val="center"/>
          </w:tcPr>
          <w:p w14:paraId="7C1FD78A">
            <w:pPr>
              <w:spacing w:line="360" w:lineRule="auto"/>
              <w:jc w:val="center"/>
              <w:rPr>
                <w:rFonts w:ascii="宋体" w:hAnsi="宋体" w:cs="宋体"/>
                <w:szCs w:val="21"/>
              </w:rPr>
            </w:pPr>
            <w:r>
              <w:rPr>
                <w:rFonts w:hint="eastAsia" w:ascii="宋体" w:hAnsi="宋体" w:cs="宋体"/>
                <w:szCs w:val="21"/>
              </w:rPr>
              <w:t>资金落实情况</w:t>
            </w:r>
          </w:p>
        </w:tc>
        <w:tc>
          <w:tcPr>
            <w:tcW w:w="6271" w:type="dxa"/>
            <w:vAlign w:val="center"/>
          </w:tcPr>
          <w:p w14:paraId="030973AD">
            <w:pPr>
              <w:spacing w:line="360" w:lineRule="auto"/>
              <w:jc w:val="left"/>
              <w:rPr>
                <w:rFonts w:ascii="宋体" w:hAnsi="宋体" w:cs="宋体"/>
                <w:sz w:val="24"/>
              </w:rPr>
            </w:pPr>
            <w:r>
              <w:rPr>
                <w:rFonts w:hint="eastAsia" w:ascii="宋体" w:hAnsi="宋体" w:cs="宋体"/>
                <w:szCs w:val="21"/>
              </w:rPr>
              <w:t>已落实</w:t>
            </w:r>
          </w:p>
        </w:tc>
      </w:tr>
      <w:tr w14:paraId="42BD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97" w:type="dxa"/>
            <w:vAlign w:val="center"/>
          </w:tcPr>
          <w:p w14:paraId="4F5B619F">
            <w:pPr>
              <w:spacing w:line="360" w:lineRule="auto"/>
              <w:jc w:val="center"/>
              <w:rPr>
                <w:rFonts w:ascii="宋体" w:hAnsi="宋体" w:cs="宋体"/>
                <w:szCs w:val="21"/>
              </w:rPr>
            </w:pPr>
            <w:r>
              <w:rPr>
                <w:rFonts w:hint="eastAsia" w:ascii="宋体" w:hAnsi="宋体" w:cs="宋体"/>
                <w:szCs w:val="21"/>
              </w:rPr>
              <w:t>1.3.1</w:t>
            </w:r>
          </w:p>
        </w:tc>
        <w:tc>
          <w:tcPr>
            <w:tcW w:w="2186" w:type="dxa"/>
            <w:vAlign w:val="center"/>
          </w:tcPr>
          <w:p w14:paraId="612B3FF9">
            <w:pPr>
              <w:spacing w:line="360" w:lineRule="auto"/>
              <w:jc w:val="center"/>
              <w:rPr>
                <w:rFonts w:hint="eastAsia" w:ascii="宋体" w:hAnsi="宋体" w:eastAsia="宋体" w:cs="宋体"/>
                <w:kern w:val="0"/>
                <w:szCs w:val="21"/>
                <w:lang w:eastAsia="zh-CN"/>
              </w:rPr>
            </w:pPr>
            <w:r>
              <w:rPr>
                <w:rFonts w:hint="eastAsia" w:ascii="宋体" w:hAnsi="宋体" w:cs="宋体"/>
                <w:snapToGrid w:val="0"/>
                <w:szCs w:val="21"/>
                <w:lang w:eastAsia="zh-CN"/>
              </w:rPr>
              <w:t>服务内容</w:t>
            </w:r>
          </w:p>
        </w:tc>
        <w:tc>
          <w:tcPr>
            <w:tcW w:w="6271" w:type="dxa"/>
            <w:vAlign w:val="center"/>
          </w:tcPr>
          <w:p w14:paraId="12D92D2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A包：</w:t>
            </w:r>
            <w:r>
              <w:rPr>
                <w:rFonts w:hint="eastAsia" w:ascii="宋体" w:hAnsi="宋体" w:eastAsia="宋体" w:cs="宋体"/>
                <w:szCs w:val="21"/>
              </w:rPr>
              <w:t>“第三方评估”服务项目</w:t>
            </w:r>
          </w:p>
          <w:p w14:paraId="5DE4CBF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p>
          <w:p w14:paraId="352C18BE">
            <w:pPr>
              <w:spacing w:line="360" w:lineRule="auto"/>
              <w:rPr>
                <w:rFonts w:hint="eastAsia" w:ascii="宋体" w:hAnsi="宋体" w:eastAsia="宋体" w:cs="宋体"/>
                <w:szCs w:val="21"/>
              </w:rPr>
            </w:pPr>
            <w:r>
              <w:rPr>
                <w:rFonts w:hint="eastAsia" w:ascii="宋体" w:hAnsi="宋体" w:eastAsia="宋体" w:cs="宋体"/>
                <w:szCs w:val="21"/>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p>
          <w:p w14:paraId="622EF22C">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p>
          <w:p w14:paraId="135929A9">
            <w:pPr>
              <w:spacing w:line="360" w:lineRule="auto"/>
              <w:rPr>
                <w:rFonts w:hint="eastAsia" w:ascii="宋体" w:hAnsi="宋体" w:eastAsia="宋体" w:cs="宋体"/>
                <w:szCs w:val="21"/>
              </w:rPr>
            </w:pPr>
            <w:r>
              <w:rPr>
                <w:rFonts w:hint="eastAsia" w:ascii="宋体" w:hAnsi="宋体" w:eastAsia="宋体" w:cs="宋体"/>
                <w:szCs w:val="21"/>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p>
          <w:p w14:paraId="751D34C4">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p>
          <w:p w14:paraId="2F54F520">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p>
          <w:p w14:paraId="304DDEB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p>
          <w:p w14:paraId="146CC59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p>
          <w:p w14:paraId="5C8D1E68">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p>
          <w:p w14:paraId="3EB8BBBC">
            <w:pPr>
              <w:spacing w:line="360" w:lineRule="auto"/>
              <w:rPr>
                <w:rFonts w:hint="default"/>
                <w:lang w:val="en-US" w:eastAsia="zh-CN"/>
              </w:rPr>
            </w:pPr>
            <w:r>
              <w:rPr>
                <w:rFonts w:hint="eastAsia" w:ascii="宋体" w:hAnsi="宋体" w:eastAsia="宋体" w:cs="宋体"/>
                <w:szCs w:val="21"/>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p>
        </w:tc>
      </w:tr>
      <w:tr w14:paraId="4717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tcBorders>
              <w:bottom w:val="single" w:color="auto" w:sz="4" w:space="0"/>
            </w:tcBorders>
            <w:vAlign w:val="center"/>
          </w:tcPr>
          <w:p w14:paraId="1E071E95">
            <w:pPr>
              <w:spacing w:line="360" w:lineRule="auto"/>
              <w:jc w:val="center"/>
              <w:rPr>
                <w:rFonts w:ascii="宋体" w:hAnsi="宋体" w:cs="宋体"/>
                <w:szCs w:val="21"/>
              </w:rPr>
            </w:pPr>
            <w:r>
              <w:rPr>
                <w:rFonts w:hint="eastAsia" w:ascii="宋体" w:hAnsi="宋体" w:cs="宋体"/>
                <w:szCs w:val="21"/>
              </w:rPr>
              <w:t>1.3.2</w:t>
            </w:r>
          </w:p>
        </w:tc>
        <w:tc>
          <w:tcPr>
            <w:tcW w:w="2186" w:type="dxa"/>
            <w:tcBorders>
              <w:bottom w:val="single" w:color="auto" w:sz="4" w:space="0"/>
            </w:tcBorders>
            <w:vAlign w:val="center"/>
          </w:tcPr>
          <w:p w14:paraId="39ADECCC">
            <w:pPr>
              <w:spacing w:line="360" w:lineRule="auto"/>
              <w:jc w:val="center"/>
              <w:rPr>
                <w:rFonts w:ascii="宋体" w:hAnsi="宋体" w:cs="宋体"/>
                <w:szCs w:val="21"/>
              </w:rPr>
            </w:pPr>
            <w:r>
              <w:rPr>
                <w:rFonts w:hint="eastAsia" w:ascii="宋体" w:hAnsi="宋体" w:cs="宋体"/>
                <w:snapToGrid w:val="0"/>
                <w:szCs w:val="21"/>
              </w:rPr>
              <w:t>服务质量</w:t>
            </w:r>
          </w:p>
        </w:tc>
        <w:tc>
          <w:tcPr>
            <w:tcW w:w="6271" w:type="dxa"/>
            <w:tcBorders>
              <w:bottom w:val="single" w:color="auto" w:sz="4" w:space="0"/>
            </w:tcBorders>
            <w:vAlign w:val="center"/>
          </w:tcPr>
          <w:p w14:paraId="56BCB034">
            <w:pPr>
              <w:spacing w:line="360" w:lineRule="auto"/>
              <w:rPr>
                <w:rFonts w:hint="default"/>
                <w:lang w:val="en-US"/>
              </w:rPr>
            </w:pPr>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p>
        </w:tc>
      </w:tr>
      <w:tr w14:paraId="0658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97" w:type="dxa"/>
            <w:tcBorders>
              <w:bottom w:val="single" w:color="auto" w:sz="4" w:space="0"/>
            </w:tcBorders>
            <w:vAlign w:val="center"/>
          </w:tcPr>
          <w:p w14:paraId="74B30E88">
            <w:pPr>
              <w:spacing w:line="360" w:lineRule="auto"/>
              <w:jc w:val="center"/>
              <w:rPr>
                <w:rFonts w:ascii="宋体" w:hAnsi="宋体" w:cs="宋体"/>
                <w:szCs w:val="21"/>
              </w:rPr>
            </w:pPr>
            <w:r>
              <w:rPr>
                <w:rFonts w:hint="eastAsia" w:ascii="宋体" w:hAnsi="宋体" w:cs="宋体"/>
                <w:szCs w:val="21"/>
              </w:rPr>
              <w:t>1.3.3</w:t>
            </w:r>
          </w:p>
        </w:tc>
        <w:tc>
          <w:tcPr>
            <w:tcW w:w="2186" w:type="dxa"/>
            <w:tcBorders>
              <w:bottom w:val="single" w:color="auto" w:sz="4" w:space="0"/>
            </w:tcBorders>
            <w:vAlign w:val="center"/>
          </w:tcPr>
          <w:p w14:paraId="0426A228">
            <w:pPr>
              <w:spacing w:line="360" w:lineRule="auto"/>
              <w:jc w:val="center"/>
              <w:rPr>
                <w:rFonts w:ascii="宋体" w:hAnsi="宋体" w:cs="宋体"/>
                <w:szCs w:val="21"/>
              </w:rPr>
            </w:pPr>
            <w:r>
              <w:rPr>
                <w:rFonts w:hint="eastAsia" w:ascii="宋体" w:hAnsi="宋体" w:cs="宋体"/>
                <w:szCs w:val="21"/>
              </w:rPr>
              <w:t>标段划分</w:t>
            </w:r>
          </w:p>
        </w:tc>
        <w:tc>
          <w:tcPr>
            <w:tcW w:w="6271" w:type="dxa"/>
            <w:tcBorders>
              <w:bottom w:val="single" w:color="auto" w:sz="4" w:space="0"/>
            </w:tcBorders>
            <w:vAlign w:val="center"/>
          </w:tcPr>
          <w:p w14:paraId="22C2CFC9">
            <w:pPr>
              <w:spacing w:line="360" w:lineRule="auto"/>
              <w:rPr>
                <w:rFonts w:ascii="宋体" w:hAnsi="宋体" w:cs="宋体"/>
                <w:szCs w:val="21"/>
              </w:rPr>
            </w:pPr>
            <w:r>
              <w:rPr>
                <w:rFonts w:hint="eastAsia" w:ascii="宋体" w:hAnsi="宋体" w:cs="宋体"/>
                <w:snapToGrid w:val="0"/>
                <w:szCs w:val="21"/>
                <w:lang w:val="en-US" w:eastAsia="zh-CN"/>
              </w:rPr>
              <w:t>11</w:t>
            </w:r>
            <w:r>
              <w:rPr>
                <w:rFonts w:hint="eastAsia" w:ascii="宋体" w:hAnsi="宋体" w:cs="宋体"/>
                <w:snapToGrid w:val="0"/>
                <w:szCs w:val="21"/>
              </w:rPr>
              <w:t>个</w:t>
            </w:r>
          </w:p>
        </w:tc>
      </w:tr>
      <w:tr w14:paraId="2D030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3D02FDA6">
            <w:pPr>
              <w:spacing w:line="360" w:lineRule="auto"/>
              <w:jc w:val="center"/>
              <w:rPr>
                <w:rFonts w:ascii="宋体" w:hAnsi="宋体" w:cs="宋体"/>
                <w:szCs w:val="21"/>
              </w:rPr>
            </w:pPr>
            <w:r>
              <w:rPr>
                <w:rFonts w:hint="eastAsia" w:ascii="宋体" w:hAnsi="宋体" w:cs="宋体"/>
                <w:szCs w:val="21"/>
              </w:rPr>
              <w:t>1.3.4</w:t>
            </w:r>
          </w:p>
        </w:tc>
        <w:tc>
          <w:tcPr>
            <w:tcW w:w="2186" w:type="dxa"/>
            <w:tcBorders>
              <w:top w:val="single" w:color="auto" w:sz="4" w:space="0"/>
              <w:bottom w:val="single" w:color="auto" w:sz="4" w:space="0"/>
            </w:tcBorders>
            <w:shd w:val="clear" w:color="auto" w:fill="auto"/>
            <w:vAlign w:val="center"/>
          </w:tcPr>
          <w:p w14:paraId="4D3F96F9">
            <w:pPr>
              <w:spacing w:line="360" w:lineRule="auto"/>
              <w:jc w:val="center"/>
              <w:rPr>
                <w:rFonts w:ascii="宋体" w:hAnsi="宋体" w:cs="宋体"/>
                <w:szCs w:val="21"/>
              </w:rPr>
            </w:pPr>
            <w:r>
              <w:rPr>
                <w:rFonts w:hint="eastAsia" w:ascii="宋体" w:hAnsi="宋体" w:cs="宋体"/>
                <w:szCs w:val="21"/>
              </w:rPr>
              <w:t>合同履行期限</w:t>
            </w:r>
          </w:p>
        </w:tc>
        <w:tc>
          <w:tcPr>
            <w:tcW w:w="6271" w:type="dxa"/>
            <w:tcBorders>
              <w:top w:val="single" w:color="auto" w:sz="4" w:space="0"/>
              <w:bottom w:val="single" w:color="auto" w:sz="4" w:space="0"/>
              <w:right w:val="single" w:color="auto" w:sz="4" w:space="0"/>
            </w:tcBorders>
            <w:shd w:val="clear" w:color="auto" w:fill="auto"/>
            <w:vAlign w:val="center"/>
          </w:tcPr>
          <w:p w14:paraId="4053CE26">
            <w:pPr>
              <w:spacing w:line="360" w:lineRule="auto"/>
            </w:pPr>
            <w:r>
              <w:rPr>
                <w:rFonts w:hint="eastAsia" w:ascii="宋体" w:hAnsi="宋体" w:cs="宋体"/>
                <w:snapToGrid w:val="0"/>
                <w:szCs w:val="21"/>
              </w:rPr>
              <w:t>自合同签订之日起1年</w:t>
            </w:r>
          </w:p>
        </w:tc>
      </w:tr>
      <w:tr w14:paraId="29BB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6DA25EB1">
            <w:pPr>
              <w:spacing w:line="360" w:lineRule="auto"/>
              <w:jc w:val="center"/>
              <w:rPr>
                <w:rFonts w:ascii="宋体" w:hAnsi="宋体" w:cs="宋体"/>
                <w:szCs w:val="21"/>
              </w:rPr>
            </w:pPr>
            <w:r>
              <w:rPr>
                <w:rFonts w:hint="eastAsia" w:ascii="宋体" w:hAnsi="宋体" w:cs="宋体"/>
                <w:szCs w:val="21"/>
              </w:rPr>
              <w:t>1.4.1</w:t>
            </w:r>
          </w:p>
        </w:tc>
        <w:tc>
          <w:tcPr>
            <w:tcW w:w="2186" w:type="dxa"/>
            <w:tcBorders>
              <w:top w:val="single" w:color="auto" w:sz="4" w:space="0"/>
              <w:bottom w:val="single" w:color="auto" w:sz="4" w:space="0"/>
            </w:tcBorders>
            <w:vAlign w:val="center"/>
          </w:tcPr>
          <w:p w14:paraId="7131A7EB">
            <w:pPr>
              <w:spacing w:line="360" w:lineRule="auto"/>
              <w:jc w:val="center"/>
              <w:rPr>
                <w:rFonts w:hint="eastAsia" w:ascii="宋体" w:hAnsi="宋体" w:eastAsia="宋体" w:cs="宋体"/>
                <w:szCs w:val="21"/>
                <w:highlight w:val="green"/>
                <w:lang w:eastAsia="zh-CN"/>
              </w:rPr>
            </w:pPr>
            <w:r>
              <w:rPr>
                <w:rFonts w:hint="eastAsia" w:ascii="宋体" w:hAnsi="宋体" w:cs="宋体"/>
                <w:szCs w:val="21"/>
                <w:lang w:eastAsia="zh-CN"/>
              </w:rPr>
              <w:t>供应商资格要求</w:t>
            </w:r>
          </w:p>
        </w:tc>
        <w:tc>
          <w:tcPr>
            <w:tcW w:w="6271" w:type="dxa"/>
            <w:tcBorders>
              <w:top w:val="single" w:color="auto" w:sz="4" w:space="0"/>
              <w:bottom w:val="single" w:color="auto" w:sz="4" w:space="0"/>
              <w:right w:val="single" w:color="auto" w:sz="4" w:space="0"/>
            </w:tcBorders>
            <w:vAlign w:val="center"/>
          </w:tcPr>
          <w:p w14:paraId="7A85D61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1.满足《中华人民共和国政府采购法》第二十二条规定(投标人参加投标时，1.1-1.6 项内容按照规定提供《资格承诺声明函》，详见投标文件格式：</w:t>
            </w:r>
          </w:p>
          <w:p w14:paraId="7A7D314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1.1 具有独立承担民事责任的能力。</w:t>
            </w:r>
          </w:p>
          <w:p w14:paraId="63998DD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1.2 具有良好的商业信誉和健全的财务会计制度。</w:t>
            </w:r>
          </w:p>
          <w:p w14:paraId="6C2A42D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1.3 具有履行合同所必需的设备和专业技术能力。</w:t>
            </w:r>
          </w:p>
          <w:p w14:paraId="71DB6FD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1.4 有依法缴纳税收和社会保障资金的良好记录。</w:t>
            </w:r>
          </w:p>
          <w:p w14:paraId="437E858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1.5 参加政府采购活动前三年内，在经营活动中没有重大违法记录。</w:t>
            </w:r>
          </w:p>
          <w:p w14:paraId="2CF2B26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1.6</w:t>
            </w:r>
            <w:bookmarkStart w:id="56" w:name="OLE_LINK25"/>
            <w:r>
              <w:rPr>
                <w:rFonts w:hint="eastAsia"/>
                <w:lang w:val="en-US" w:eastAsia="zh-CN"/>
              </w:rPr>
              <w:t>法律、行政法规规定的其他条件</w:t>
            </w:r>
            <w:bookmarkEnd w:id="56"/>
            <w:r>
              <w:rPr>
                <w:rFonts w:hint="eastAsia"/>
                <w:lang w:val="en-US" w:eastAsia="zh-CN"/>
              </w:rPr>
              <w:t>。</w:t>
            </w:r>
          </w:p>
          <w:p w14:paraId="58363CB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2.落实政府采购政策满足的资格要求：</w:t>
            </w:r>
            <w:r>
              <w:rPr>
                <w:rFonts w:hint="eastAsia"/>
                <w:sz w:val="21"/>
                <w:szCs w:val="21"/>
                <w:highlight w:val="none"/>
                <w:lang w:val="en-US" w:eastAsia="zh-CN"/>
              </w:rPr>
              <w:t>/</w:t>
            </w:r>
            <w:r>
              <w:rPr>
                <w:rFonts w:hint="eastAsia"/>
                <w:lang w:val="en-US" w:eastAsia="zh-CN"/>
              </w:rPr>
              <w:t>。</w:t>
            </w:r>
          </w:p>
          <w:p w14:paraId="291BB23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3.本项目的特定资格要求</w:t>
            </w:r>
          </w:p>
          <w:p w14:paraId="5D32115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3.1信誉要求</w:t>
            </w:r>
          </w:p>
          <w:p w14:paraId="676793B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6931E86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4878EA7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3.3本次招标不接受联合体投标。</w:t>
            </w:r>
          </w:p>
        </w:tc>
      </w:tr>
      <w:tr w14:paraId="6953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tcBorders>
              <w:top w:val="single" w:color="auto" w:sz="4" w:space="0"/>
            </w:tcBorders>
            <w:vAlign w:val="center"/>
          </w:tcPr>
          <w:p w14:paraId="0C38E4CB">
            <w:pPr>
              <w:spacing w:line="360" w:lineRule="auto"/>
              <w:jc w:val="center"/>
              <w:rPr>
                <w:rFonts w:ascii="宋体" w:hAnsi="宋体" w:cs="宋体"/>
                <w:szCs w:val="21"/>
              </w:rPr>
            </w:pPr>
            <w:r>
              <w:rPr>
                <w:rFonts w:hint="eastAsia" w:ascii="宋体" w:hAnsi="宋体" w:cs="宋体"/>
                <w:szCs w:val="21"/>
              </w:rPr>
              <w:t>1.4.2</w:t>
            </w:r>
          </w:p>
        </w:tc>
        <w:tc>
          <w:tcPr>
            <w:tcW w:w="2186" w:type="dxa"/>
            <w:tcBorders>
              <w:top w:val="single" w:color="auto" w:sz="4" w:space="0"/>
            </w:tcBorders>
            <w:vAlign w:val="center"/>
          </w:tcPr>
          <w:p w14:paraId="0BF9834C">
            <w:pPr>
              <w:spacing w:line="360" w:lineRule="auto"/>
              <w:jc w:val="center"/>
              <w:rPr>
                <w:rFonts w:ascii="宋体" w:hAnsi="宋体" w:cs="宋体"/>
                <w:szCs w:val="21"/>
              </w:rPr>
            </w:pPr>
            <w:r>
              <w:rPr>
                <w:rFonts w:hint="eastAsia" w:ascii="宋体" w:hAnsi="宋体" w:cs="宋体"/>
                <w:szCs w:val="21"/>
              </w:rPr>
              <w:t>是否接受联合体投标</w:t>
            </w:r>
          </w:p>
        </w:tc>
        <w:tc>
          <w:tcPr>
            <w:tcW w:w="6271" w:type="dxa"/>
            <w:tcBorders>
              <w:top w:val="single" w:color="auto" w:sz="4" w:space="0"/>
            </w:tcBorders>
            <w:vAlign w:val="center"/>
          </w:tcPr>
          <w:p w14:paraId="4BD0D9EF">
            <w:pPr>
              <w:spacing w:line="360" w:lineRule="auto"/>
              <w:rPr>
                <w:rFonts w:ascii="宋体" w:hAnsi="宋体" w:cs="宋体"/>
                <w:szCs w:val="21"/>
              </w:rPr>
            </w:pPr>
            <w:r>
              <w:rPr>
                <w:rFonts w:hint="eastAsia" w:ascii="宋体" w:hAnsi="宋体" w:cs="宋体"/>
                <w:szCs w:val="21"/>
              </w:rPr>
              <w:t>不接受</w:t>
            </w:r>
          </w:p>
        </w:tc>
      </w:tr>
      <w:tr w14:paraId="20214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97" w:type="dxa"/>
            <w:vAlign w:val="center"/>
          </w:tcPr>
          <w:p w14:paraId="32C46D34">
            <w:pPr>
              <w:spacing w:line="360" w:lineRule="auto"/>
              <w:jc w:val="center"/>
              <w:rPr>
                <w:rFonts w:ascii="宋体" w:hAnsi="宋体" w:cs="宋体"/>
                <w:szCs w:val="21"/>
              </w:rPr>
            </w:pPr>
            <w:r>
              <w:rPr>
                <w:rFonts w:hint="eastAsia" w:ascii="宋体" w:hAnsi="宋体" w:cs="宋体"/>
                <w:szCs w:val="21"/>
              </w:rPr>
              <w:t>1.9.1</w:t>
            </w:r>
          </w:p>
        </w:tc>
        <w:tc>
          <w:tcPr>
            <w:tcW w:w="2186" w:type="dxa"/>
            <w:vAlign w:val="center"/>
          </w:tcPr>
          <w:p w14:paraId="25407394">
            <w:pPr>
              <w:spacing w:line="360" w:lineRule="auto"/>
              <w:jc w:val="center"/>
              <w:rPr>
                <w:rFonts w:ascii="宋体" w:hAnsi="宋体" w:cs="宋体"/>
                <w:szCs w:val="21"/>
              </w:rPr>
            </w:pPr>
            <w:r>
              <w:rPr>
                <w:rFonts w:hint="eastAsia" w:ascii="宋体" w:hAnsi="宋体" w:cs="宋体"/>
                <w:szCs w:val="21"/>
              </w:rPr>
              <w:t>踏勘现场</w:t>
            </w:r>
          </w:p>
        </w:tc>
        <w:tc>
          <w:tcPr>
            <w:tcW w:w="6271" w:type="dxa"/>
            <w:vAlign w:val="center"/>
          </w:tcPr>
          <w:p w14:paraId="65170B27">
            <w:pPr>
              <w:spacing w:line="360" w:lineRule="auto"/>
              <w:rPr>
                <w:rFonts w:ascii="宋体" w:hAnsi="宋体" w:cs="宋体"/>
                <w:szCs w:val="21"/>
              </w:rPr>
            </w:pPr>
            <w:r>
              <w:rPr>
                <w:rFonts w:hint="eastAsia" w:ascii="宋体" w:hAnsi="宋体" w:cs="宋体"/>
                <w:kern w:val="0"/>
                <w:szCs w:val="21"/>
              </w:rPr>
              <w:t>不组织</w:t>
            </w:r>
          </w:p>
        </w:tc>
      </w:tr>
      <w:tr w14:paraId="248A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7D5B9F50">
            <w:pPr>
              <w:spacing w:line="360" w:lineRule="auto"/>
              <w:jc w:val="center"/>
              <w:rPr>
                <w:rFonts w:ascii="宋体" w:hAnsi="宋体" w:cs="宋体"/>
                <w:szCs w:val="21"/>
              </w:rPr>
            </w:pPr>
            <w:r>
              <w:rPr>
                <w:rFonts w:hint="eastAsia" w:ascii="宋体" w:hAnsi="宋体" w:cs="宋体"/>
                <w:szCs w:val="21"/>
              </w:rPr>
              <w:t>1.10.1</w:t>
            </w:r>
          </w:p>
        </w:tc>
        <w:tc>
          <w:tcPr>
            <w:tcW w:w="2186" w:type="dxa"/>
            <w:vAlign w:val="center"/>
          </w:tcPr>
          <w:p w14:paraId="192DEA13">
            <w:pPr>
              <w:spacing w:line="360" w:lineRule="auto"/>
              <w:jc w:val="center"/>
              <w:rPr>
                <w:rFonts w:ascii="宋体" w:hAnsi="宋体" w:cs="宋体"/>
                <w:szCs w:val="21"/>
              </w:rPr>
            </w:pPr>
            <w:r>
              <w:rPr>
                <w:rFonts w:hint="eastAsia" w:ascii="宋体" w:hAnsi="宋体" w:cs="宋体"/>
                <w:szCs w:val="21"/>
              </w:rPr>
              <w:t>投标预备会</w:t>
            </w:r>
          </w:p>
        </w:tc>
        <w:tc>
          <w:tcPr>
            <w:tcW w:w="6271" w:type="dxa"/>
            <w:vAlign w:val="center"/>
          </w:tcPr>
          <w:p w14:paraId="0C0B3028">
            <w:pPr>
              <w:spacing w:line="360" w:lineRule="auto"/>
              <w:rPr>
                <w:rFonts w:ascii="宋体" w:hAnsi="宋体" w:cs="宋体"/>
                <w:szCs w:val="21"/>
              </w:rPr>
            </w:pPr>
            <w:r>
              <w:rPr>
                <w:rFonts w:hint="eastAsia" w:ascii="宋体" w:hAnsi="宋体" w:cs="宋体"/>
                <w:szCs w:val="21"/>
              </w:rPr>
              <w:t>不召开</w:t>
            </w:r>
          </w:p>
        </w:tc>
      </w:tr>
      <w:tr w14:paraId="1739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97" w:type="dxa"/>
            <w:vAlign w:val="center"/>
          </w:tcPr>
          <w:p w14:paraId="64F9C9B5">
            <w:pPr>
              <w:spacing w:line="360" w:lineRule="auto"/>
              <w:jc w:val="center"/>
              <w:rPr>
                <w:rFonts w:ascii="宋体" w:hAnsi="宋体" w:cs="宋体"/>
                <w:szCs w:val="21"/>
              </w:rPr>
            </w:pPr>
            <w:r>
              <w:rPr>
                <w:rFonts w:hint="eastAsia" w:ascii="宋体" w:hAnsi="宋体" w:cs="宋体"/>
                <w:szCs w:val="21"/>
              </w:rPr>
              <w:t>1.10.2</w:t>
            </w:r>
          </w:p>
        </w:tc>
        <w:tc>
          <w:tcPr>
            <w:tcW w:w="2186" w:type="dxa"/>
            <w:vAlign w:val="center"/>
          </w:tcPr>
          <w:p w14:paraId="1712FB2B">
            <w:pPr>
              <w:spacing w:line="360" w:lineRule="auto"/>
              <w:jc w:val="center"/>
              <w:rPr>
                <w:rFonts w:ascii="宋体" w:hAnsi="宋体" w:cs="宋体"/>
                <w:szCs w:val="21"/>
              </w:rPr>
            </w:pPr>
            <w:r>
              <w:rPr>
                <w:rFonts w:hint="eastAsia" w:ascii="宋体" w:hAnsi="宋体" w:cs="宋体"/>
                <w:szCs w:val="21"/>
              </w:rPr>
              <w:t>投标人提出异议的截止时间</w:t>
            </w:r>
          </w:p>
        </w:tc>
        <w:tc>
          <w:tcPr>
            <w:tcW w:w="6271" w:type="dxa"/>
            <w:vAlign w:val="center"/>
          </w:tcPr>
          <w:p w14:paraId="40C9B8C7">
            <w:pPr>
              <w:spacing w:line="360" w:lineRule="auto"/>
              <w:rPr>
                <w:rFonts w:ascii="宋体" w:hAnsi="宋体" w:cs="宋体"/>
                <w:szCs w:val="21"/>
              </w:rPr>
            </w:pPr>
            <w:r>
              <w:rPr>
                <w:rFonts w:hint="eastAsia" w:ascii="宋体" w:hAnsi="宋体" w:cs="宋体"/>
                <w:szCs w:val="21"/>
              </w:rPr>
              <w:t>投标人对招标文件有异议的，应当在投标文件递交截止时间10日前在交易平台上提出</w:t>
            </w:r>
          </w:p>
        </w:tc>
      </w:tr>
      <w:tr w14:paraId="682D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61C15FB8">
            <w:pPr>
              <w:spacing w:line="360" w:lineRule="auto"/>
              <w:jc w:val="center"/>
              <w:rPr>
                <w:rFonts w:ascii="宋体" w:hAnsi="宋体" w:cs="宋体"/>
                <w:szCs w:val="21"/>
              </w:rPr>
            </w:pPr>
            <w:r>
              <w:rPr>
                <w:rFonts w:hint="eastAsia" w:ascii="宋体" w:hAnsi="宋体" w:cs="宋体"/>
                <w:szCs w:val="21"/>
              </w:rPr>
              <w:t>1.10.3</w:t>
            </w:r>
          </w:p>
        </w:tc>
        <w:tc>
          <w:tcPr>
            <w:tcW w:w="2186" w:type="dxa"/>
            <w:vAlign w:val="center"/>
          </w:tcPr>
          <w:p w14:paraId="5F9E1DD5">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书面澄清的时间</w:t>
            </w:r>
          </w:p>
        </w:tc>
        <w:tc>
          <w:tcPr>
            <w:tcW w:w="6271" w:type="dxa"/>
            <w:vAlign w:val="center"/>
          </w:tcPr>
          <w:p w14:paraId="0AC3BE4E">
            <w:pPr>
              <w:spacing w:line="360" w:lineRule="auto"/>
              <w:rPr>
                <w:rFonts w:ascii="宋体" w:hAnsi="宋体" w:cs="宋体"/>
                <w:szCs w:val="21"/>
              </w:rPr>
            </w:pPr>
            <w:r>
              <w:rPr>
                <w:rFonts w:hint="eastAsia" w:ascii="宋体" w:hAnsi="宋体" w:cs="宋体"/>
                <w:szCs w:val="21"/>
              </w:rPr>
              <w:t>投标文件递交截止时间15日前回复，但不指明问题来源</w:t>
            </w:r>
          </w:p>
        </w:tc>
      </w:tr>
      <w:tr w14:paraId="6C12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7D3329F">
            <w:pPr>
              <w:spacing w:line="360" w:lineRule="auto"/>
              <w:jc w:val="center"/>
              <w:rPr>
                <w:rFonts w:ascii="宋体" w:hAnsi="宋体" w:cs="宋体"/>
                <w:szCs w:val="21"/>
              </w:rPr>
            </w:pPr>
            <w:r>
              <w:rPr>
                <w:rFonts w:hint="eastAsia" w:ascii="宋体" w:hAnsi="宋体" w:cs="宋体"/>
                <w:szCs w:val="21"/>
              </w:rPr>
              <w:t>1.11</w:t>
            </w:r>
          </w:p>
        </w:tc>
        <w:tc>
          <w:tcPr>
            <w:tcW w:w="2186" w:type="dxa"/>
            <w:vAlign w:val="center"/>
          </w:tcPr>
          <w:p w14:paraId="038817C3">
            <w:pPr>
              <w:spacing w:line="360" w:lineRule="auto"/>
              <w:jc w:val="center"/>
              <w:rPr>
                <w:rFonts w:ascii="宋体" w:hAnsi="宋体" w:cs="宋体"/>
                <w:szCs w:val="21"/>
              </w:rPr>
            </w:pPr>
            <w:r>
              <w:rPr>
                <w:rFonts w:hint="eastAsia" w:ascii="宋体" w:hAnsi="宋体" w:cs="宋体"/>
                <w:szCs w:val="21"/>
              </w:rPr>
              <w:t>分包</w:t>
            </w:r>
          </w:p>
        </w:tc>
        <w:tc>
          <w:tcPr>
            <w:tcW w:w="6271" w:type="dxa"/>
            <w:vAlign w:val="center"/>
          </w:tcPr>
          <w:p w14:paraId="12928295">
            <w:pPr>
              <w:spacing w:line="360" w:lineRule="auto"/>
              <w:rPr>
                <w:rFonts w:hint="eastAsia" w:ascii="宋体" w:hAnsi="宋体" w:eastAsia="宋体" w:cs="宋体"/>
                <w:szCs w:val="21"/>
                <w:lang w:eastAsia="zh-CN"/>
              </w:rPr>
            </w:pPr>
            <w:r>
              <w:rPr>
                <w:rFonts w:hint="eastAsia" w:ascii="宋体" w:hAnsi="宋体" w:cs="宋体"/>
                <w:szCs w:val="21"/>
                <w:lang w:val="en-US" w:eastAsia="zh-CN"/>
              </w:rPr>
              <w:t>不允许</w:t>
            </w:r>
          </w:p>
        </w:tc>
      </w:tr>
      <w:tr w14:paraId="2AB6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4D3D351E">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23EC6FD">
            <w:pPr>
              <w:spacing w:line="360" w:lineRule="auto"/>
              <w:jc w:val="center"/>
              <w:rPr>
                <w:rFonts w:ascii="宋体" w:hAnsi="宋体" w:cs="宋体"/>
                <w:szCs w:val="21"/>
              </w:rPr>
            </w:pPr>
            <w:r>
              <w:rPr>
                <w:rFonts w:hint="eastAsia" w:ascii="宋体" w:hAnsi="宋体" w:cs="宋体"/>
                <w:szCs w:val="21"/>
              </w:rPr>
              <w:t>偏离</w:t>
            </w:r>
          </w:p>
        </w:tc>
        <w:tc>
          <w:tcPr>
            <w:tcW w:w="6271" w:type="dxa"/>
            <w:vAlign w:val="center"/>
          </w:tcPr>
          <w:p w14:paraId="2F2A1204">
            <w:pPr>
              <w:spacing w:line="360" w:lineRule="auto"/>
              <w:rPr>
                <w:rFonts w:ascii="宋体" w:hAnsi="宋体" w:cs="宋体"/>
                <w:szCs w:val="21"/>
              </w:rPr>
            </w:pPr>
            <w:r>
              <w:rPr>
                <w:rFonts w:hint="eastAsia" w:ascii="宋体" w:hAnsi="宋体" w:cs="宋体"/>
                <w:szCs w:val="21"/>
              </w:rPr>
              <w:t>不允许偏离</w:t>
            </w:r>
          </w:p>
        </w:tc>
      </w:tr>
      <w:tr w14:paraId="17A4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55D8BC77">
            <w:pPr>
              <w:spacing w:line="360" w:lineRule="auto"/>
              <w:jc w:val="center"/>
              <w:rPr>
                <w:rFonts w:ascii="宋体" w:hAnsi="宋体" w:cs="宋体"/>
                <w:szCs w:val="21"/>
              </w:rPr>
            </w:pPr>
            <w:r>
              <w:rPr>
                <w:rFonts w:hint="eastAsia" w:ascii="宋体" w:hAnsi="宋体" w:cs="宋体"/>
                <w:szCs w:val="21"/>
              </w:rPr>
              <w:t>2.1</w:t>
            </w:r>
          </w:p>
        </w:tc>
        <w:tc>
          <w:tcPr>
            <w:tcW w:w="2186" w:type="dxa"/>
            <w:vAlign w:val="center"/>
          </w:tcPr>
          <w:p w14:paraId="169E9F67">
            <w:pPr>
              <w:spacing w:line="360" w:lineRule="auto"/>
              <w:jc w:val="center"/>
              <w:rPr>
                <w:rFonts w:ascii="宋体" w:hAnsi="宋体" w:cs="宋体"/>
                <w:szCs w:val="21"/>
              </w:rPr>
            </w:pPr>
            <w:r>
              <w:rPr>
                <w:rFonts w:hint="eastAsia" w:ascii="宋体" w:hAnsi="宋体" w:cs="宋体"/>
                <w:szCs w:val="21"/>
              </w:rPr>
              <w:t>构成招标文件的其他材料</w:t>
            </w:r>
          </w:p>
        </w:tc>
        <w:tc>
          <w:tcPr>
            <w:tcW w:w="6271" w:type="dxa"/>
            <w:vAlign w:val="center"/>
          </w:tcPr>
          <w:p w14:paraId="23E1EFFA">
            <w:pPr>
              <w:spacing w:line="360" w:lineRule="auto"/>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发出的答疑或补充文件</w:t>
            </w:r>
          </w:p>
        </w:tc>
      </w:tr>
      <w:tr w14:paraId="7C5D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300E4894">
            <w:pPr>
              <w:spacing w:line="360" w:lineRule="auto"/>
              <w:jc w:val="center"/>
              <w:rPr>
                <w:rFonts w:ascii="宋体" w:hAnsi="宋体" w:cs="宋体"/>
                <w:szCs w:val="21"/>
              </w:rPr>
            </w:pPr>
            <w:r>
              <w:rPr>
                <w:rFonts w:hint="eastAsia" w:ascii="宋体" w:hAnsi="宋体" w:cs="宋体"/>
                <w:szCs w:val="21"/>
              </w:rPr>
              <w:t>2.2.1</w:t>
            </w:r>
          </w:p>
        </w:tc>
        <w:tc>
          <w:tcPr>
            <w:tcW w:w="2186" w:type="dxa"/>
            <w:vAlign w:val="center"/>
          </w:tcPr>
          <w:p w14:paraId="74847496">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答复投标人提出异议的截止时间</w:t>
            </w:r>
          </w:p>
        </w:tc>
        <w:tc>
          <w:tcPr>
            <w:tcW w:w="6271" w:type="dxa"/>
            <w:vAlign w:val="center"/>
          </w:tcPr>
          <w:p w14:paraId="69034C22">
            <w:pPr>
              <w:spacing w:line="360" w:lineRule="auto"/>
              <w:rPr>
                <w:rFonts w:ascii="宋体" w:hAnsi="宋体" w:cs="宋体"/>
                <w:szCs w:val="21"/>
              </w:rPr>
            </w:pPr>
            <w:r>
              <w:rPr>
                <w:rFonts w:hint="eastAsia" w:ascii="宋体" w:hAnsi="宋体" w:cs="宋体"/>
                <w:szCs w:val="21"/>
              </w:rPr>
              <w:t>自收到异议之日起3日内</w:t>
            </w:r>
          </w:p>
        </w:tc>
      </w:tr>
      <w:tr w14:paraId="473C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97" w:type="dxa"/>
            <w:vAlign w:val="center"/>
          </w:tcPr>
          <w:p w14:paraId="4EB82AEC">
            <w:pPr>
              <w:spacing w:line="360" w:lineRule="auto"/>
              <w:jc w:val="center"/>
              <w:rPr>
                <w:rFonts w:ascii="宋体" w:hAnsi="宋体" w:cs="宋体"/>
                <w:szCs w:val="21"/>
                <w:highlight w:val="none"/>
              </w:rPr>
            </w:pPr>
            <w:r>
              <w:rPr>
                <w:rFonts w:hint="eastAsia" w:ascii="宋体" w:hAnsi="宋体" w:cs="宋体"/>
                <w:szCs w:val="21"/>
                <w:highlight w:val="none"/>
              </w:rPr>
              <w:t>2.2.2</w:t>
            </w:r>
          </w:p>
        </w:tc>
        <w:tc>
          <w:tcPr>
            <w:tcW w:w="2186" w:type="dxa"/>
            <w:vAlign w:val="center"/>
          </w:tcPr>
          <w:p w14:paraId="66C190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投标文件递交截止时间</w:t>
            </w:r>
          </w:p>
        </w:tc>
        <w:tc>
          <w:tcPr>
            <w:tcW w:w="6271" w:type="dxa"/>
            <w:vAlign w:val="center"/>
          </w:tcPr>
          <w:p w14:paraId="6FC1B26E">
            <w:pPr>
              <w:spacing w:line="360" w:lineRule="auto"/>
              <w:rPr>
                <w:rFonts w:ascii="宋体" w:hAnsi="宋体" w:cs="宋体"/>
                <w:color w:val="auto"/>
                <w:szCs w:val="21"/>
                <w:highlight w:val="none"/>
              </w:r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09 月 19 日</w:t>
            </w:r>
            <w:r>
              <w:rPr>
                <w:rFonts w:hint="eastAsia" w:ascii="宋体" w:hAnsi="宋体" w:cs="宋体"/>
                <w:color w:val="auto"/>
                <w:szCs w:val="21"/>
                <w:highlight w:val="none"/>
              </w:rPr>
              <w:t>10时00分（北京时间）</w:t>
            </w:r>
          </w:p>
        </w:tc>
      </w:tr>
      <w:tr w14:paraId="3799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97" w:type="dxa"/>
            <w:vAlign w:val="center"/>
          </w:tcPr>
          <w:p w14:paraId="72F6FE2F">
            <w:pPr>
              <w:spacing w:line="360" w:lineRule="auto"/>
              <w:jc w:val="center"/>
              <w:rPr>
                <w:rFonts w:ascii="宋体" w:hAnsi="宋体" w:cs="宋体"/>
                <w:szCs w:val="21"/>
              </w:rPr>
            </w:pPr>
            <w:r>
              <w:rPr>
                <w:rFonts w:hint="eastAsia" w:ascii="宋体" w:hAnsi="宋体" w:cs="宋体"/>
                <w:szCs w:val="21"/>
              </w:rPr>
              <w:t>3.3.1</w:t>
            </w:r>
          </w:p>
        </w:tc>
        <w:tc>
          <w:tcPr>
            <w:tcW w:w="2186" w:type="dxa"/>
            <w:vAlign w:val="center"/>
          </w:tcPr>
          <w:p w14:paraId="175E5854">
            <w:pPr>
              <w:spacing w:line="360" w:lineRule="auto"/>
              <w:jc w:val="center"/>
              <w:rPr>
                <w:rFonts w:ascii="宋体" w:hAnsi="宋体" w:cs="宋体"/>
                <w:szCs w:val="21"/>
              </w:rPr>
            </w:pPr>
            <w:r>
              <w:rPr>
                <w:rFonts w:hint="eastAsia" w:ascii="宋体" w:hAnsi="宋体" w:cs="宋体"/>
                <w:szCs w:val="21"/>
              </w:rPr>
              <w:t>投标有效期</w:t>
            </w:r>
          </w:p>
        </w:tc>
        <w:tc>
          <w:tcPr>
            <w:tcW w:w="6271" w:type="dxa"/>
            <w:vAlign w:val="center"/>
          </w:tcPr>
          <w:p w14:paraId="6AFC7B39">
            <w:pPr>
              <w:spacing w:line="360" w:lineRule="auto"/>
              <w:rPr>
                <w:rFonts w:ascii="宋体" w:hAnsi="宋体" w:cs="宋体"/>
                <w:szCs w:val="21"/>
              </w:rPr>
            </w:pPr>
            <w:r>
              <w:rPr>
                <w:rFonts w:ascii="宋体" w:hAnsi="宋体"/>
                <w:bCs/>
                <w:color w:val="000000"/>
                <w:sz w:val="21"/>
                <w:szCs w:val="21"/>
                <w:highlight w:val="none"/>
              </w:rPr>
              <w:t>自投标截止之日起</w:t>
            </w:r>
            <w:r>
              <w:rPr>
                <w:rFonts w:hint="eastAsia" w:ascii="宋体" w:hAnsi="宋体"/>
                <w:bCs/>
                <w:color w:val="000000"/>
                <w:sz w:val="21"/>
                <w:szCs w:val="21"/>
                <w:highlight w:val="none"/>
                <w:u w:val="none"/>
                <w:lang w:val="en-US" w:eastAsia="zh-CN"/>
              </w:rPr>
              <w:t>60</w:t>
            </w:r>
            <w:r>
              <w:rPr>
                <w:rFonts w:hint="eastAsia" w:ascii="宋体" w:hAnsi="宋体" w:cs="宋体"/>
                <w:szCs w:val="21"/>
              </w:rPr>
              <w:t>日历天</w:t>
            </w:r>
          </w:p>
        </w:tc>
      </w:tr>
      <w:tr w14:paraId="47A3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97" w:type="dxa"/>
            <w:vAlign w:val="center"/>
          </w:tcPr>
          <w:p w14:paraId="61ED3340">
            <w:pPr>
              <w:spacing w:line="360" w:lineRule="auto"/>
              <w:jc w:val="center"/>
              <w:rPr>
                <w:rFonts w:ascii="宋体" w:hAnsi="宋体" w:cs="宋体"/>
                <w:szCs w:val="21"/>
              </w:rPr>
            </w:pPr>
            <w:r>
              <w:rPr>
                <w:rFonts w:hint="eastAsia" w:ascii="宋体" w:hAnsi="宋体" w:cs="宋体"/>
                <w:szCs w:val="21"/>
              </w:rPr>
              <w:t>3.4.1</w:t>
            </w:r>
          </w:p>
        </w:tc>
        <w:tc>
          <w:tcPr>
            <w:tcW w:w="2186" w:type="dxa"/>
            <w:vAlign w:val="center"/>
          </w:tcPr>
          <w:p w14:paraId="3D42624B">
            <w:pPr>
              <w:spacing w:line="360" w:lineRule="auto"/>
              <w:jc w:val="center"/>
              <w:rPr>
                <w:rFonts w:ascii="宋体" w:hAnsi="宋体" w:cs="宋体"/>
                <w:szCs w:val="21"/>
              </w:rPr>
            </w:pPr>
            <w:r>
              <w:rPr>
                <w:rFonts w:hint="eastAsia" w:ascii="宋体" w:hAnsi="宋体" w:cs="宋体"/>
                <w:szCs w:val="21"/>
              </w:rPr>
              <w:t>投标保证金</w:t>
            </w:r>
          </w:p>
        </w:tc>
        <w:tc>
          <w:tcPr>
            <w:tcW w:w="6271" w:type="dxa"/>
            <w:vAlign w:val="center"/>
          </w:tcPr>
          <w:p w14:paraId="1C454423">
            <w:pPr>
              <w:spacing w:line="360" w:lineRule="auto"/>
              <w:rPr>
                <w:rFonts w:ascii="宋体" w:hAnsi="宋体" w:cs="宋体"/>
                <w:b/>
                <w:szCs w:val="21"/>
              </w:rPr>
            </w:pPr>
            <w:r>
              <w:rPr>
                <w:rFonts w:hint="eastAsia" w:ascii="宋体" w:hAnsi="宋体" w:cs="宋体"/>
                <w:bCs/>
                <w:szCs w:val="21"/>
              </w:rPr>
              <w:t>无</w:t>
            </w:r>
          </w:p>
        </w:tc>
      </w:tr>
      <w:tr w14:paraId="71EB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897" w:type="dxa"/>
            <w:vAlign w:val="center"/>
          </w:tcPr>
          <w:p w14:paraId="5B2CD8F9">
            <w:pPr>
              <w:spacing w:line="360" w:lineRule="auto"/>
              <w:jc w:val="center"/>
              <w:rPr>
                <w:rFonts w:ascii="宋体" w:hAnsi="宋体" w:cs="宋体"/>
                <w:szCs w:val="21"/>
              </w:rPr>
            </w:pPr>
            <w:r>
              <w:rPr>
                <w:rFonts w:hint="eastAsia" w:ascii="宋体" w:hAnsi="宋体" w:cs="宋体"/>
                <w:szCs w:val="21"/>
              </w:rPr>
              <w:t>3.5.2</w:t>
            </w:r>
          </w:p>
        </w:tc>
        <w:tc>
          <w:tcPr>
            <w:tcW w:w="2186" w:type="dxa"/>
            <w:vAlign w:val="center"/>
          </w:tcPr>
          <w:p w14:paraId="47837232">
            <w:pPr>
              <w:spacing w:line="360" w:lineRule="auto"/>
              <w:jc w:val="center"/>
              <w:rPr>
                <w:rFonts w:ascii="宋体" w:hAnsi="宋体" w:cs="宋体"/>
                <w:szCs w:val="21"/>
              </w:rPr>
            </w:pPr>
            <w:r>
              <w:rPr>
                <w:rFonts w:hint="eastAsia" w:ascii="宋体" w:hAnsi="宋体" w:cs="宋体"/>
                <w:szCs w:val="21"/>
              </w:rPr>
              <w:t>近年财务状况的年份要求</w:t>
            </w:r>
          </w:p>
        </w:tc>
        <w:tc>
          <w:tcPr>
            <w:tcW w:w="6271" w:type="dxa"/>
            <w:vAlign w:val="center"/>
          </w:tcPr>
          <w:p w14:paraId="2178C7A3">
            <w:pPr>
              <w:spacing w:line="360" w:lineRule="auto"/>
              <w:rPr>
                <w:rFonts w:hint="eastAsia" w:ascii="宋体" w:hAnsi="宋体" w:eastAsia="宋体" w:cs="宋体"/>
                <w:szCs w:val="21"/>
                <w:lang w:val="en-US" w:eastAsia="zh-CN"/>
              </w:rPr>
            </w:pPr>
            <w:r>
              <w:rPr>
                <w:rFonts w:hint="eastAsia" w:ascii="宋体" w:hAnsi="宋体" w:cs="宋体"/>
                <w:szCs w:val="21"/>
                <w:lang w:val="en-US" w:eastAsia="zh-CN"/>
              </w:rPr>
              <w:t>/</w:t>
            </w:r>
          </w:p>
        </w:tc>
      </w:tr>
      <w:tr w14:paraId="78871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3A0C85ED">
            <w:pPr>
              <w:spacing w:line="360" w:lineRule="auto"/>
              <w:jc w:val="center"/>
              <w:rPr>
                <w:rFonts w:ascii="宋体" w:hAnsi="宋体" w:cs="宋体"/>
                <w:szCs w:val="21"/>
              </w:rPr>
            </w:pPr>
            <w:r>
              <w:rPr>
                <w:rFonts w:hint="eastAsia" w:ascii="宋体" w:hAnsi="宋体" w:cs="宋体"/>
                <w:szCs w:val="21"/>
              </w:rPr>
              <w:t>3.5.3</w:t>
            </w:r>
          </w:p>
        </w:tc>
        <w:tc>
          <w:tcPr>
            <w:tcW w:w="2186" w:type="dxa"/>
            <w:vAlign w:val="center"/>
          </w:tcPr>
          <w:p w14:paraId="6BB9001C">
            <w:pPr>
              <w:spacing w:line="360" w:lineRule="auto"/>
              <w:jc w:val="center"/>
              <w:rPr>
                <w:rFonts w:ascii="宋体" w:hAnsi="宋体" w:cs="宋体"/>
                <w:szCs w:val="21"/>
              </w:rPr>
            </w:pPr>
            <w:r>
              <w:rPr>
                <w:rFonts w:hint="eastAsia" w:ascii="宋体" w:hAnsi="宋体" w:cs="宋体"/>
                <w:szCs w:val="21"/>
              </w:rPr>
              <w:t>近年完成的类似项目的年份要求</w:t>
            </w:r>
          </w:p>
        </w:tc>
        <w:tc>
          <w:tcPr>
            <w:tcW w:w="6271" w:type="dxa"/>
            <w:vAlign w:val="center"/>
          </w:tcPr>
          <w:p w14:paraId="636F5270">
            <w:pPr>
              <w:spacing w:line="360" w:lineRule="auto"/>
              <w:rPr>
                <w:rFonts w:hint="default" w:ascii="宋体" w:hAnsi="宋体" w:eastAsia="宋体" w:cs="宋体"/>
                <w:szCs w:val="21"/>
                <w:u w:val="single"/>
                <w:lang w:val="en-US" w:eastAsia="zh-CN"/>
              </w:rPr>
            </w:pPr>
            <w:r>
              <w:rPr>
                <w:rFonts w:hint="eastAsia" w:ascii="宋体" w:hAnsi="宋体" w:cs="宋体"/>
                <w:szCs w:val="21"/>
                <w:lang w:val="en-US" w:eastAsia="zh-CN"/>
              </w:rPr>
              <w:t>2020年</w:t>
            </w:r>
          </w:p>
        </w:tc>
      </w:tr>
      <w:tr w14:paraId="5ACA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6F2FE63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3.5.4</w:t>
            </w:r>
          </w:p>
        </w:tc>
        <w:tc>
          <w:tcPr>
            <w:tcW w:w="2186" w:type="dxa"/>
            <w:vAlign w:val="center"/>
          </w:tcPr>
          <w:p w14:paraId="357014D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授权委托书</w:t>
            </w:r>
          </w:p>
        </w:tc>
        <w:tc>
          <w:tcPr>
            <w:tcW w:w="6271" w:type="dxa"/>
            <w:vAlign w:val="center"/>
          </w:tcPr>
          <w:p w14:paraId="77FBD77D">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471E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7A965B93">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3.5.5</w:t>
            </w:r>
          </w:p>
        </w:tc>
        <w:tc>
          <w:tcPr>
            <w:tcW w:w="2186" w:type="dxa"/>
            <w:vAlign w:val="center"/>
          </w:tcPr>
          <w:p w14:paraId="136A2461">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反商业贿赂承诺书及书面声明</w:t>
            </w:r>
          </w:p>
        </w:tc>
        <w:tc>
          <w:tcPr>
            <w:tcW w:w="6271" w:type="dxa"/>
            <w:vAlign w:val="center"/>
          </w:tcPr>
          <w:p w14:paraId="567A6113">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1F12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97" w:type="dxa"/>
            <w:vAlign w:val="center"/>
          </w:tcPr>
          <w:p w14:paraId="08920855">
            <w:pPr>
              <w:spacing w:line="360" w:lineRule="auto"/>
              <w:jc w:val="center"/>
              <w:rPr>
                <w:rFonts w:ascii="宋体" w:hAnsi="宋体" w:cs="宋体"/>
                <w:szCs w:val="21"/>
              </w:rPr>
            </w:pPr>
            <w:r>
              <w:rPr>
                <w:rFonts w:hint="eastAsia" w:ascii="宋体" w:hAnsi="宋体" w:cs="宋体"/>
                <w:szCs w:val="21"/>
              </w:rPr>
              <w:t>3.6</w:t>
            </w:r>
          </w:p>
        </w:tc>
        <w:tc>
          <w:tcPr>
            <w:tcW w:w="2186" w:type="dxa"/>
            <w:vAlign w:val="center"/>
          </w:tcPr>
          <w:p w14:paraId="3D2833DD">
            <w:pPr>
              <w:spacing w:line="360" w:lineRule="auto"/>
              <w:jc w:val="center"/>
              <w:rPr>
                <w:rFonts w:ascii="宋体" w:hAnsi="宋体" w:cs="宋体"/>
                <w:szCs w:val="21"/>
              </w:rPr>
            </w:pPr>
            <w:r>
              <w:rPr>
                <w:rFonts w:hint="eastAsia" w:ascii="宋体" w:hAnsi="宋体" w:cs="宋体"/>
                <w:szCs w:val="21"/>
              </w:rPr>
              <w:t>是否允许递交备选投标方案</w:t>
            </w:r>
          </w:p>
        </w:tc>
        <w:tc>
          <w:tcPr>
            <w:tcW w:w="6271" w:type="dxa"/>
            <w:vAlign w:val="center"/>
          </w:tcPr>
          <w:p w14:paraId="73E78BC7">
            <w:pPr>
              <w:spacing w:line="360" w:lineRule="auto"/>
              <w:rPr>
                <w:rFonts w:ascii="宋体" w:hAnsi="宋体" w:cs="宋体"/>
                <w:szCs w:val="21"/>
              </w:rPr>
            </w:pPr>
            <w:r>
              <w:rPr>
                <w:rFonts w:hint="eastAsia" w:ascii="宋体" w:hAnsi="宋体" w:cs="宋体"/>
                <w:szCs w:val="21"/>
              </w:rPr>
              <w:t>不允许</w:t>
            </w:r>
          </w:p>
        </w:tc>
      </w:tr>
      <w:tr w14:paraId="6302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97" w:type="dxa"/>
            <w:vAlign w:val="center"/>
          </w:tcPr>
          <w:p w14:paraId="59C3326F">
            <w:pPr>
              <w:spacing w:line="360" w:lineRule="auto"/>
              <w:jc w:val="center"/>
              <w:rPr>
                <w:rFonts w:ascii="宋体" w:hAnsi="宋体" w:cs="宋体"/>
                <w:szCs w:val="21"/>
              </w:rPr>
            </w:pPr>
            <w:r>
              <w:rPr>
                <w:rFonts w:hint="eastAsia" w:ascii="宋体" w:hAnsi="宋体" w:cs="宋体"/>
                <w:szCs w:val="21"/>
              </w:rPr>
              <w:t>3.7.3</w:t>
            </w:r>
          </w:p>
        </w:tc>
        <w:tc>
          <w:tcPr>
            <w:tcW w:w="2186" w:type="dxa"/>
            <w:vAlign w:val="center"/>
          </w:tcPr>
          <w:p w14:paraId="18619EC7">
            <w:pPr>
              <w:spacing w:line="360" w:lineRule="auto"/>
              <w:jc w:val="center"/>
              <w:rPr>
                <w:rFonts w:ascii="宋体" w:hAnsi="宋体" w:cs="宋体"/>
                <w:szCs w:val="21"/>
              </w:rPr>
            </w:pPr>
            <w:r>
              <w:rPr>
                <w:rFonts w:hint="eastAsia" w:ascii="宋体" w:hAnsi="宋体" w:cs="宋体"/>
                <w:szCs w:val="21"/>
              </w:rPr>
              <w:t>签字或盖章要求</w:t>
            </w:r>
          </w:p>
        </w:tc>
        <w:tc>
          <w:tcPr>
            <w:tcW w:w="6271" w:type="dxa"/>
            <w:vAlign w:val="center"/>
          </w:tcPr>
          <w:p w14:paraId="6CB33F74">
            <w:pPr>
              <w:spacing w:line="360" w:lineRule="auto"/>
              <w:rPr>
                <w:rFonts w:ascii="宋体" w:hAnsi="宋体" w:cs="宋体"/>
                <w:szCs w:val="21"/>
              </w:rPr>
            </w:pPr>
            <w:r>
              <w:rPr>
                <w:rFonts w:hint="eastAsia" w:ascii="宋体" w:hAnsi="宋体" w:cs="宋体"/>
                <w:szCs w:val="21"/>
              </w:rPr>
              <w:t>投标文件应按招标文件要求加盖单位公章和法定代表人或授权委托人签字</w:t>
            </w:r>
          </w:p>
        </w:tc>
      </w:tr>
      <w:tr w14:paraId="107A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97" w:type="dxa"/>
            <w:vAlign w:val="center"/>
          </w:tcPr>
          <w:p w14:paraId="56201E57">
            <w:pPr>
              <w:spacing w:line="360" w:lineRule="auto"/>
              <w:jc w:val="center"/>
              <w:rPr>
                <w:rFonts w:ascii="宋体" w:hAnsi="宋体" w:cs="宋体"/>
                <w:szCs w:val="21"/>
              </w:rPr>
            </w:pPr>
            <w:r>
              <w:rPr>
                <w:rFonts w:hint="eastAsia" w:ascii="宋体" w:hAnsi="宋体" w:cs="宋体"/>
                <w:szCs w:val="21"/>
              </w:rPr>
              <w:t>3.7.4</w:t>
            </w:r>
          </w:p>
        </w:tc>
        <w:tc>
          <w:tcPr>
            <w:tcW w:w="2186" w:type="dxa"/>
            <w:vAlign w:val="center"/>
          </w:tcPr>
          <w:p w14:paraId="388F6AE1">
            <w:pPr>
              <w:spacing w:line="360" w:lineRule="auto"/>
              <w:jc w:val="center"/>
              <w:rPr>
                <w:rFonts w:ascii="宋体" w:hAnsi="宋体" w:cs="宋体"/>
                <w:szCs w:val="21"/>
                <w:highlight w:val="none"/>
              </w:rPr>
            </w:pPr>
            <w:r>
              <w:rPr>
                <w:rFonts w:hint="eastAsia" w:ascii="宋体" w:hAnsi="宋体" w:cs="宋体"/>
                <w:szCs w:val="21"/>
                <w:highlight w:val="none"/>
              </w:rPr>
              <w:t>投标文件份数</w:t>
            </w:r>
          </w:p>
        </w:tc>
        <w:tc>
          <w:tcPr>
            <w:tcW w:w="6271" w:type="dxa"/>
            <w:vAlign w:val="center"/>
          </w:tcPr>
          <w:p w14:paraId="2F1465B0">
            <w:pPr>
              <w:spacing w:line="360" w:lineRule="auto"/>
              <w:rPr>
                <w:rFonts w:hint="eastAsia" w:ascii="宋体" w:hAnsi="宋体" w:cs="宋体"/>
                <w:szCs w:val="21"/>
                <w:highlight w:val="none"/>
              </w:rPr>
            </w:pPr>
            <w:r>
              <w:rPr>
                <w:rFonts w:hint="eastAsia" w:ascii="宋体" w:hAnsi="宋体" w:cs="宋体"/>
                <w:szCs w:val="21"/>
                <w:highlight w:val="none"/>
                <w:lang w:val="en-US" w:eastAsia="zh-CN"/>
              </w:rPr>
              <w:t>1.</w:t>
            </w:r>
            <w:r>
              <w:rPr>
                <w:rFonts w:hint="eastAsia" w:ascii="宋体" w:hAnsi="宋体" w:cs="宋体"/>
                <w:szCs w:val="21"/>
                <w:highlight w:val="none"/>
              </w:rPr>
              <w:t>加密电子投标文件一份（加密的电子投标文件（.ZZTF格式）须在截止时间前通过“郑州市公共资源交易中心（</w:t>
            </w:r>
            <w:r>
              <w:rPr>
                <w:rFonts w:hint="eastAsia" w:ascii="宋体" w:hAnsi="宋体" w:cs="宋体"/>
                <w:snapToGrid w:val="0"/>
                <w:szCs w:val="21"/>
                <w:highlight w:val="none"/>
              </w:rPr>
              <w:t>https://zzggzy.zhengzhou.gov.cn</w:t>
            </w:r>
            <w:r>
              <w:rPr>
                <w:rFonts w:hint="eastAsia" w:ascii="宋体" w:hAnsi="宋体" w:cs="宋体"/>
                <w:szCs w:val="21"/>
                <w:highlight w:val="none"/>
              </w:rPr>
              <w:t>）”电子交易平台加密上传）</w:t>
            </w:r>
          </w:p>
          <w:p w14:paraId="603C9504">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2.纸质文件要求:</w:t>
            </w:r>
          </w:p>
          <w:p w14:paraId="39D90145">
            <w:pPr>
              <w:pStyle w:val="2"/>
              <w:spacing w:line="360" w:lineRule="auto"/>
              <w:rPr>
                <w:rFonts w:hint="default"/>
                <w:highlight w:val="none"/>
                <w:lang w:val="en-US" w:eastAsia="zh-CN"/>
              </w:rPr>
            </w:pPr>
            <w:r>
              <w:rPr>
                <w:rFonts w:hint="eastAsia" w:ascii="宋体" w:hAnsi="宋体" w:eastAsia="宋体" w:cs="宋体"/>
                <w:b/>
                <w:bCs/>
                <w:kern w:val="2"/>
                <w:sz w:val="21"/>
                <w:szCs w:val="21"/>
                <w:highlight w:val="none"/>
                <w:lang w:val="en-US" w:eastAsia="zh-CN" w:bidi="ar-SA"/>
              </w:rPr>
              <w:t>中标后，领取中标通知书时，中标单位需再提交纸质投标文件2套，投标文件为开标时上传的电子投标文件的完整打印件。</w:t>
            </w:r>
          </w:p>
        </w:tc>
      </w:tr>
      <w:tr w14:paraId="0F01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97" w:type="dxa"/>
            <w:vAlign w:val="center"/>
          </w:tcPr>
          <w:p w14:paraId="5E2DBBB7">
            <w:pPr>
              <w:spacing w:line="360" w:lineRule="auto"/>
              <w:jc w:val="center"/>
              <w:rPr>
                <w:rFonts w:ascii="宋体" w:hAnsi="宋体" w:cs="宋体"/>
                <w:szCs w:val="21"/>
                <w:highlight w:val="none"/>
              </w:rPr>
            </w:pPr>
            <w:r>
              <w:rPr>
                <w:rFonts w:hint="eastAsia" w:ascii="宋体" w:hAnsi="宋体" w:cs="宋体"/>
                <w:szCs w:val="21"/>
                <w:highlight w:val="none"/>
              </w:rPr>
              <w:t>3.7.5</w:t>
            </w:r>
          </w:p>
        </w:tc>
        <w:tc>
          <w:tcPr>
            <w:tcW w:w="2186" w:type="dxa"/>
            <w:vAlign w:val="center"/>
          </w:tcPr>
          <w:p w14:paraId="15D4CC06">
            <w:pPr>
              <w:spacing w:line="360" w:lineRule="auto"/>
              <w:jc w:val="center"/>
              <w:rPr>
                <w:rFonts w:ascii="宋体" w:hAnsi="宋体" w:cs="宋体"/>
                <w:szCs w:val="21"/>
                <w:highlight w:val="none"/>
              </w:rPr>
            </w:pPr>
            <w:r>
              <w:rPr>
                <w:rFonts w:hint="eastAsia" w:ascii="宋体" w:hAnsi="宋体" w:cs="宋体"/>
                <w:szCs w:val="21"/>
                <w:highlight w:val="none"/>
              </w:rPr>
              <w:t>投标文件装订要求</w:t>
            </w:r>
          </w:p>
        </w:tc>
        <w:tc>
          <w:tcPr>
            <w:tcW w:w="6271" w:type="dxa"/>
            <w:vAlign w:val="center"/>
          </w:tcPr>
          <w:p w14:paraId="50D3EA2E">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中标单位需提交的投标文件要求：</w:t>
            </w:r>
          </w:p>
          <w:p w14:paraId="4FE8FD61">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（1）投标文件应采用左侧胶粘方式装订，不得采用活页夹等可随时拆换的方式装订。</w:t>
            </w:r>
          </w:p>
          <w:p w14:paraId="1C849EE0">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（2）在书脊上注明：项目名称、供应商名称、第</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册，共</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w:t>
            </w:r>
          </w:p>
          <w:p w14:paraId="0C5535D2">
            <w:pPr>
              <w:spacing w:line="360" w:lineRule="auto"/>
              <w:jc w:val="left"/>
              <w:rPr>
                <w:rFonts w:ascii="宋体" w:hAnsi="宋体" w:cs="宋体"/>
                <w:szCs w:val="21"/>
                <w:highlight w:val="none"/>
              </w:rPr>
            </w:pPr>
            <w:r>
              <w:rPr>
                <w:rFonts w:hint="eastAsia" w:ascii="宋体" w:hAnsi="宋体" w:eastAsia="宋体" w:cs="宋体"/>
                <w:b w:val="0"/>
                <w:kern w:val="2"/>
                <w:sz w:val="21"/>
                <w:szCs w:val="21"/>
                <w:highlight w:val="none"/>
                <w:lang w:val="en-US" w:eastAsia="zh-CN" w:bidi="ar-SA"/>
              </w:rPr>
              <w:t>（3）投标文件应编制目录，文件中插入连续页码。</w:t>
            </w:r>
          </w:p>
        </w:tc>
      </w:tr>
      <w:tr w14:paraId="5467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97" w:type="dxa"/>
            <w:vAlign w:val="center"/>
          </w:tcPr>
          <w:p w14:paraId="5A3FA3BD">
            <w:pPr>
              <w:spacing w:line="360" w:lineRule="auto"/>
              <w:jc w:val="center"/>
              <w:rPr>
                <w:rFonts w:ascii="宋体" w:hAnsi="宋体" w:cs="宋体"/>
                <w:szCs w:val="21"/>
              </w:rPr>
            </w:pPr>
            <w:r>
              <w:rPr>
                <w:rFonts w:hint="eastAsia" w:ascii="宋体" w:hAnsi="宋体" w:cs="宋体"/>
                <w:szCs w:val="21"/>
              </w:rPr>
              <w:t>4.1.2</w:t>
            </w:r>
          </w:p>
        </w:tc>
        <w:tc>
          <w:tcPr>
            <w:tcW w:w="2186" w:type="dxa"/>
            <w:vAlign w:val="center"/>
          </w:tcPr>
          <w:p w14:paraId="5F42C44F">
            <w:pPr>
              <w:spacing w:line="360" w:lineRule="auto"/>
              <w:jc w:val="center"/>
              <w:rPr>
                <w:rFonts w:ascii="宋体" w:hAnsi="宋体" w:cs="宋体"/>
                <w:szCs w:val="21"/>
              </w:rPr>
            </w:pPr>
            <w:r>
              <w:rPr>
                <w:rFonts w:hint="eastAsia" w:ascii="宋体" w:hAnsi="宋体" w:cs="宋体"/>
                <w:szCs w:val="21"/>
              </w:rPr>
              <w:t>封套上写明</w:t>
            </w:r>
          </w:p>
        </w:tc>
        <w:tc>
          <w:tcPr>
            <w:tcW w:w="6271" w:type="dxa"/>
          </w:tcPr>
          <w:p w14:paraId="3F107A8E">
            <w:pPr>
              <w:spacing w:line="360" w:lineRule="auto"/>
              <w:ind w:left="4" w:hanging="4" w:hangingChars="2"/>
              <w:rPr>
                <w:rFonts w:ascii="宋体" w:hAnsi="宋体" w:cs="宋体"/>
                <w:szCs w:val="21"/>
              </w:rPr>
            </w:pPr>
            <w:r>
              <w:rPr>
                <w:rFonts w:hint="eastAsia" w:ascii="宋体" w:hAnsi="宋体" w:cs="宋体"/>
                <w:szCs w:val="21"/>
              </w:rPr>
              <w:t>/</w:t>
            </w:r>
          </w:p>
        </w:tc>
      </w:tr>
      <w:tr w14:paraId="6E58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97" w:type="dxa"/>
            <w:vAlign w:val="center"/>
          </w:tcPr>
          <w:p w14:paraId="7454A85A">
            <w:pPr>
              <w:spacing w:line="360" w:lineRule="auto"/>
              <w:jc w:val="center"/>
              <w:rPr>
                <w:rFonts w:ascii="宋体" w:hAnsi="宋体" w:cs="宋体"/>
                <w:szCs w:val="21"/>
              </w:rPr>
            </w:pPr>
            <w:r>
              <w:rPr>
                <w:rFonts w:hint="eastAsia" w:ascii="宋体" w:hAnsi="宋体" w:cs="宋体"/>
                <w:szCs w:val="21"/>
              </w:rPr>
              <w:t>4.2.2</w:t>
            </w:r>
          </w:p>
        </w:tc>
        <w:tc>
          <w:tcPr>
            <w:tcW w:w="2186" w:type="dxa"/>
            <w:vAlign w:val="center"/>
          </w:tcPr>
          <w:p w14:paraId="2666E297">
            <w:pPr>
              <w:spacing w:line="360" w:lineRule="auto"/>
              <w:jc w:val="center"/>
              <w:rPr>
                <w:rFonts w:ascii="宋体" w:hAnsi="宋体" w:cs="宋体"/>
                <w:szCs w:val="21"/>
              </w:rPr>
            </w:pPr>
            <w:r>
              <w:rPr>
                <w:rFonts w:hint="eastAsia" w:ascii="宋体" w:hAnsi="宋体" w:cs="宋体"/>
                <w:szCs w:val="21"/>
              </w:rPr>
              <w:t>递交投标文件地点</w:t>
            </w:r>
          </w:p>
        </w:tc>
        <w:tc>
          <w:tcPr>
            <w:tcW w:w="6271" w:type="dxa"/>
            <w:vAlign w:val="center"/>
          </w:tcPr>
          <w:p w14:paraId="3FC6E202">
            <w:pPr>
              <w:spacing w:line="360" w:lineRule="auto"/>
              <w:rPr>
                <w:rFonts w:ascii="宋体" w:hAnsi="宋体" w:cs="宋体"/>
                <w:szCs w:val="21"/>
                <w:highlight w:val="none"/>
              </w:rPr>
            </w:pPr>
            <w:r>
              <w:rPr>
                <w:rFonts w:hint="eastAsia" w:ascii="宋体" w:hAnsi="宋体" w:cs="宋体"/>
                <w:szCs w:val="21"/>
                <w:highlight w:val="none"/>
              </w:rPr>
              <w:t>郑州市公共资源交易中心（</w:t>
            </w:r>
            <w:r>
              <w:rPr>
                <w:rFonts w:hint="eastAsia" w:ascii="宋体" w:hAnsi="宋体" w:cs="宋体"/>
                <w:snapToGrid w:val="0"/>
                <w:szCs w:val="21"/>
              </w:rPr>
              <w:t>https://zzggzy.zhengzhou.gov.cn</w:t>
            </w:r>
            <w:r>
              <w:rPr>
                <w:rFonts w:hint="eastAsia" w:ascii="宋体" w:hAnsi="宋体" w:cs="宋体"/>
                <w:szCs w:val="21"/>
                <w:highlight w:val="none"/>
              </w:rPr>
              <w:t>）电子交易平台</w:t>
            </w:r>
          </w:p>
        </w:tc>
      </w:tr>
      <w:tr w14:paraId="7BEE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97" w:type="dxa"/>
            <w:vAlign w:val="center"/>
          </w:tcPr>
          <w:p w14:paraId="3B8F1DC2">
            <w:pPr>
              <w:spacing w:line="360" w:lineRule="auto"/>
              <w:jc w:val="center"/>
              <w:rPr>
                <w:rFonts w:ascii="宋体" w:hAnsi="宋体" w:cs="宋体"/>
                <w:szCs w:val="21"/>
              </w:rPr>
            </w:pPr>
            <w:r>
              <w:rPr>
                <w:rFonts w:hint="eastAsia" w:ascii="宋体" w:hAnsi="宋体" w:cs="宋体"/>
                <w:szCs w:val="21"/>
              </w:rPr>
              <w:t>4.2.3</w:t>
            </w:r>
          </w:p>
        </w:tc>
        <w:tc>
          <w:tcPr>
            <w:tcW w:w="2186" w:type="dxa"/>
            <w:vAlign w:val="center"/>
          </w:tcPr>
          <w:p w14:paraId="21B3337D">
            <w:pPr>
              <w:spacing w:line="360" w:lineRule="auto"/>
              <w:jc w:val="center"/>
              <w:rPr>
                <w:rFonts w:ascii="宋体" w:hAnsi="宋体" w:cs="宋体"/>
                <w:szCs w:val="21"/>
              </w:rPr>
            </w:pPr>
            <w:r>
              <w:rPr>
                <w:rFonts w:hint="eastAsia" w:ascii="宋体" w:hAnsi="宋体" w:cs="宋体"/>
                <w:szCs w:val="21"/>
              </w:rPr>
              <w:t>是否退还投标文件</w:t>
            </w:r>
          </w:p>
        </w:tc>
        <w:tc>
          <w:tcPr>
            <w:tcW w:w="6271" w:type="dxa"/>
            <w:vAlign w:val="center"/>
          </w:tcPr>
          <w:p w14:paraId="1428E1E4">
            <w:pPr>
              <w:spacing w:line="360" w:lineRule="auto"/>
              <w:rPr>
                <w:rFonts w:ascii="宋体" w:hAnsi="宋体" w:cs="宋体"/>
                <w:szCs w:val="21"/>
              </w:rPr>
            </w:pPr>
            <w:r>
              <w:rPr>
                <w:rFonts w:hint="eastAsia" w:ascii="宋体" w:hAnsi="宋体" w:cs="宋体"/>
                <w:szCs w:val="21"/>
              </w:rPr>
              <w:t>否</w:t>
            </w:r>
          </w:p>
        </w:tc>
      </w:tr>
      <w:tr w14:paraId="5320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D696D11">
            <w:pPr>
              <w:spacing w:line="360" w:lineRule="auto"/>
              <w:jc w:val="center"/>
              <w:rPr>
                <w:rFonts w:ascii="宋体" w:hAnsi="宋体" w:cs="宋体"/>
                <w:szCs w:val="21"/>
              </w:rPr>
            </w:pPr>
            <w:r>
              <w:rPr>
                <w:rFonts w:hint="eastAsia" w:ascii="宋体" w:hAnsi="宋体" w:cs="宋体"/>
                <w:szCs w:val="21"/>
              </w:rPr>
              <w:t>5.1</w:t>
            </w:r>
          </w:p>
        </w:tc>
        <w:tc>
          <w:tcPr>
            <w:tcW w:w="2186" w:type="dxa"/>
            <w:vAlign w:val="center"/>
          </w:tcPr>
          <w:p w14:paraId="529E425B">
            <w:pPr>
              <w:spacing w:line="360" w:lineRule="auto"/>
              <w:jc w:val="center"/>
              <w:rPr>
                <w:rFonts w:ascii="宋体" w:hAnsi="宋体" w:cs="宋体"/>
                <w:szCs w:val="21"/>
                <w:highlight w:val="none"/>
              </w:rPr>
            </w:pPr>
            <w:r>
              <w:rPr>
                <w:rFonts w:hint="eastAsia" w:ascii="宋体" w:hAnsi="宋体" w:cs="宋体"/>
                <w:szCs w:val="21"/>
                <w:highlight w:val="none"/>
              </w:rPr>
              <w:t>开标时间和地点</w:t>
            </w:r>
          </w:p>
        </w:tc>
        <w:tc>
          <w:tcPr>
            <w:tcW w:w="6271" w:type="dxa"/>
            <w:vAlign w:val="center"/>
          </w:tcPr>
          <w:p w14:paraId="01CB2DD5">
            <w:pPr>
              <w:spacing w:line="360" w:lineRule="auto"/>
              <w:rPr>
                <w:rFonts w:ascii="宋体" w:hAnsi="宋体" w:cs="宋体"/>
                <w:szCs w:val="21"/>
                <w:highlight w:val="none"/>
              </w:rPr>
            </w:pPr>
            <w:r>
              <w:rPr>
                <w:rFonts w:hint="eastAsia" w:ascii="宋体" w:hAnsi="宋体" w:cs="宋体"/>
                <w:szCs w:val="21"/>
                <w:highlight w:val="none"/>
              </w:rPr>
              <w:t>开标时间：</w:t>
            </w:r>
            <w:r>
              <w:rPr>
                <w:rFonts w:hint="eastAsia" w:ascii="宋体" w:hAnsi="宋体" w:cs="宋体"/>
                <w:snapToGrid w:val="0"/>
                <w:szCs w:val="21"/>
                <w:highlight w:val="none"/>
                <w:lang w:val="en-US" w:eastAsia="zh-CN"/>
              </w:rPr>
              <w:t>2024</w:t>
            </w:r>
            <w:r>
              <w:rPr>
                <w:rFonts w:hint="eastAsia" w:ascii="宋体" w:hAnsi="宋体" w:cs="宋体"/>
                <w:snapToGrid w:val="0"/>
                <w:szCs w:val="21"/>
                <w:highlight w:val="none"/>
              </w:rPr>
              <w:t>年</w:t>
            </w:r>
            <w:r>
              <w:rPr>
                <w:rFonts w:hint="eastAsia" w:ascii="宋体" w:hAnsi="宋体" w:cs="宋体"/>
                <w:snapToGrid w:val="0"/>
                <w:szCs w:val="21"/>
                <w:highlight w:val="none"/>
                <w:lang w:val="en-US" w:eastAsia="zh-CN"/>
              </w:rPr>
              <w:t xml:space="preserve"> 09 </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 xml:space="preserve"> 19 </w:t>
            </w:r>
            <w:r>
              <w:rPr>
                <w:rFonts w:hint="eastAsia" w:ascii="宋体" w:hAnsi="宋体" w:cs="宋体"/>
                <w:snapToGrid w:val="0"/>
                <w:szCs w:val="21"/>
                <w:highlight w:val="none"/>
              </w:rPr>
              <w:t>日10时00分（北京时间）</w:t>
            </w:r>
          </w:p>
          <w:p w14:paraId="2B34B9B8">
            <w:pPr>
              <w:spacing w:line="360" w:lineRule="auto"/>
              <w:rPr>
                <w:rFonts w:ascii="宋体" w:hAnsi="宋体" w:cs="宋体"/>
                <w:szCs w:val="21"/>
                <w:highlight w:val="none"/>
              </w:rPr>
            </w:pPr>
            <w:r>
              <w:rPr>
                <w:rFonts w:hint="eastAsia" w:ascii="宋体" w:hAnsi="宋体" w:cs="宋体"/>
                <w:szCs w:val="21"/>
                <w:highlight w:val="none"/>
              </w:rPr>
              <w:t>地点：郑州市公共资源交易中心门户网站远程开标大厅</w:t>
            </w:r>
          </w:p>
          <w:p w14:paraId="3F49E59F">
            <w:pPr>
              <w:spacing w:line="360" w:lineRule="auto"/>
              <w:ind w:left="210" w:hanging="210" w:hangingChars="100"/>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r>
              <w:rPr>
                <w:rFonts w:hint="eastAsia" w:ascii="宋体" w:hAnsi="宋体" w:cs="宋体"/>
                <w:szCs w:val="21"/>
                <w:highlight w:val="none"/>
                <w:lang w:val="en-US" w:eastAsia="zh-CN"/>
              </w:rPr>
              <w:t xml:space="preserve"> A </w:t>
            </w:r>
            <w:r>
              <w:rPr>
                <w:rFonts w:hint="eastAsia" w:ascii="宋体" w:hAnsi="宋体" w:cs="宋体"/>
                <w:szCs w:val="21"/>
                <w:highlight w:val="none"/>
              </w:rPr>
              <w:t>区第</w:t>
            </w:r>
            <w:r>
              <w:rPr>
                <w:rFonts w:hint="eastAsia" w:ascii="宋体" w:hAnsi="宋体" w:cs="宋体"/>
                <w:szCs w:val="21"/>
                <w:highlight w:val="none"/>
                <w:lang w:val="en-US" w:eastAsia="zh-CN"/>
              </w:rPr>
              <w:t xml:space="preserve">      六</w:t>
            </w:r>
            <w:r>
              <w:rPr>
                <w:rFonts w:hint="eastAsia" w:ascii="宋体" w:hAnsi="宋体" w:cs="宋体"/>
                <w:szCs w:val="21"/>
                <w:highlight w:val="none"/>
              </w:rPr>
              <w:t>开标室</w:t>
            </w:r>
          </w:p>
          <w:p w14:paraId="00519947">
            <w:pPr>
              <w:spacing w:line="360" w:lineRule="auto"/>
              <w:rPr>
                <w:rFonts w:ascii="宋体" w:hAnsi="宋体" w:cs="宋体"/>
                <w:szCs w:val="21"/>
                <w:highlight w:val="none"/>
              </w:rPr>
            </w:pPr>
            <w:r>
              <w:rPr>
                <w:rFonts w:hint="eastAsia" w:ascii="宋体" w:hAnsi="宋体" w:cs="宋体"/>
                <w:szCs w:val="21"/>
                <w:highlight w:val="none"/>
              </w:rPr>
              <w:t>本项目采用“远程不见面”开标方式，投标人无需到市交易中心现场参加开标会议</w:t>
            </w:r>
          </w:p>
        </w:tc>
      </w:tr>
      <w:tr w14:paraId="7D8D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A1C1BAA">
            <w:pPr>
              <w:spacing w:line="360" w:lineRule="auto"/>
              <w:jc w:val="center"/>
              <w:rPr>
                <w:rFonts w:ascii="宋体" w:hAnsi="宋体" w:cs="宋体"/>
                <w:szCs w:val="21"/>
              </w:rPr>
            </w:pPr>
            <w:r>
              <w:rPr>
                <w:rFonts w:hint="eastAsia" w:ascii="宋体" w:hAnsi="宋体" w:cs="宋体"/>
                <w:szCs w:val="21"/>
              </w:rPr>
              <w:t>5.2</w:t>
            </w:r>
          </w:p>
        </w:tc>
        <w:tc>
          <w:tcPr>
            <w:tcW w:w="2186" w:type="dxa"/>
            <w:vAlign w:val="center"/>
          </w:tcPr>
          <w:p w14:paraId="587C2124">
            <w:pPr>
              <w:spacing w:line="360" w:lineRule="auto"/>
              <w:jc w:val="center"/>
              <w:rPr>
                <w:rFonts w:ascii="宋体" w:hAnsi="宋体" w:cs="宋体"/>
                <w:szCs w:val="21"/>
              </w:rPr>
            </w:pPr>
            <w:r>
              <w:rPr>
                <w:rFonts w:hint="eastAsia" w:ascii="宋体" w:hAnsi="宋体" w:cs="宋体"/>
                <w:szCs w:val="21"/>
              </w:rPr>
              <w:t>开标程序</w:t>
            </w:r>
          </w:p>
        </w:tc>
        <w:tc>
          <w:tcPr>
            <w:tcW w:w="6271" w:type="dxa"/>
            <w:vAlign w:val="center"/>
          </w:tcPr>
          <w:p w14:paraId="2B625D07">
            <w:pPr>
              <w:spacing w:line="360" w:lineRule="auto"/>
              <w:rPr>
                <w:rFonts w:ascii="宋体" w:hAnsi="宋体" w:cs="宋体"/>
                <w:szCs w:val="21"/>
                <w:highlight w:val="none"/>
              </w:rPr>
            </w:pPr>
            <w:r>
              <w:rPr>
                <w:rFonts w:hint="eastAsia" w:ascii="宋体" w:hAnsi="宋体" w:cs="宋体"/>
                <w:szCs w:val="21"/>
                <w:highlight w:val="none"/>
              </w:rPr>
              <w:t>1.所有投标人应提前30分钟，登录“郑州市公共资源交易中心门户网站远程开标大厅进行远程开标准备工作。</w:t>
            </w:r>
          </w:p>
          <w:p w14:paraId="5774076E">
            <w:pPr>
              <w:spacing w:line="360" w:lineRule="auto"/>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p>
          <w:p w14:paraId="7BD17983">
            <w:pPr>
              <w:spacing w:line="360" w:lineRule="auto"/>
              <w:rPr>
                <w:rFonts w:ascii="宋体" w:hAnsi="宋体" w:cs="宋体"/>
                <w:szCs w:val="21"/>
                <w:highlight w:val="none"/>
              </w:rPr>
            </w:pPr>
            <w:r>
              <w:rPr>
                <w:rFonts w:hint="eastAsia" w:ascii="宋体" w:hAnsi="宋体" w:cs="宋体"/>
                <w:szCs w:val="21"/>
                <w:highlight w:val="none"/>
              </w:rPr>
              <w:t>2.登录“郑州市公共资源交易中心门户网站远程开标大厅”后，须先进行签到，其后应一直保持在线状态，保证能准时参加开标大会、投标文件的解密、现场答疑澄清等活动。</w:t>
            </w:r>
          </w:p>
          <w:p w14:paraId="20ED2F25">
            <w:pPr>
              <w:spacing w:line="360" w:lineRule="auto"/>
              <w:rPr>
                <w:rFonts w:ascii="宋体" w:hAnsi="宋体" w:cs="宋体"/>
                <w:szCs w:val="21"/>
                <w:highlight w:val="none"/>
              </w:rPr>
            </w:pPr>
            <w:r>
              <w:rPr>
                <w:rFonts w:hint="eastAsia" w:ascii="宋体" w:hAnsi="宋体" w:cs="宋体"/>
                <w:szCs w:val="21"/>
                <w:highlight w:val="none"/>
              </w:rPr>
              <w:t>3.投标截止时间到，公布投标人名单</w:t>
            </w:r>
          </w:p>
          <w:p w14:paraId="1BB64850">
            <w:pPr>
              <w:spacing w:line="360" w:lineRule="auto"/>
              <w:rPr>
                <w:rFonts w:ascii="宋体" w:hAnsi="宋体" w:cs="宋体"/>
                <w:szCs w:val="21"/>
                <w:highlight w:val="none"/>
              </w:rPr>
            </w:pPr>
            <w:r>
              <w:rPr>
                <w:rFonts w:hint="eastAsia" w:ascii="宋体" w:hAnsi="宋体" w:cs="宋体"/>
                <w:szCs w:val="21"/>
                <w:highlight w:val="none"/>
              </w:rPr>
              <w:t>4.按照电子交易平台解密的顺序开标并唱标。</w:t>
            </w:r>
          </w:p>
        </w:tc>
      </w:tr>
      <w:tr w14:paraId="0B49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97" w:type="dxa"/>
            <w:vAlign w:val="center"/>
          </w:tcPr>
          <w:p w14:paraId="39C7E8CF">
            <w:pPr>
              <w:spacing w:line="360" w:lineRule="auto"/>
              <w:jc w:val="center"/>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p>
        </w:tc>
        <w:tc>
          <w:tcPr>
            <w:tcW w:w="2186" w:type="dxa"/>
            <w:vAlign w:val="center"/>
          </w:tcPr>
          <w:p w14:paraId="008A7CB2">
            <w:pPr>
              <w:spacing w:line="360" w:lineRule="auto"/>
              <w:jc w:val="center"/>
              <w:rPr>
                <w:rFonts w:ascii="宋体" w:hAnsi="宋体" w:cs="宋体"/>
                <w:szCs w:val="21"/>
              </w:rPr>
            </w:pPr>
            <w:r>
              <w:rPr>
                <w:rFonts w:hint="eastAsia" w:ascii="宋体" w:hAnsi="宋体" w:cs="宋体"/>
                <w:szCs w:val="21"/>
              </w:rPr>
              <w:t>评标委员会的组建</w:t>
            </w:r>
          </w:p>
        </w:tc>
        <w:tc>
          <w:tcPr>
            <w:tcW w:w="6271" w:type="dxa"/>
            <w:vAlign w:val="center"/>
          </w:tcPr>
          <w:p w14:paraId="2821C237">
            <w:pPr>
              <w:autoSpaceDE w:val="0"/>
              <w:autoSpaceDN w:val="0"/>
              <w:adjustRightInd w:val="0"/>
              <w:spacing w:line="360" w:lineRule="auto"/>
              <w:ind w:left="210" w:hanging="210" w:hangingChars="1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评标委员会构成：</w:t>
            </w:r>
            <w:r>
              <w:rPr>
                <w:rFonts w:hint="eastAsia" w:ascii="宋体" w:hAnsi="宋体" w:cs="宋体"/>
                <w:color w:val="000000" w:themeColor="text1"/>
                <w:kern w:val="0"/>
                <w:szCs w:val="21"/>
                <w:lang w:val="en-US" w:eastAsia="zh-CN"/>
                <w14:textFill>
                  <w14:solidFill>
                    <w14:schemeClr w14:val="tx1"/>
                  </w14:solidFill>
                </w14:textFill>
              </w:rPr>
              <w:t>7</w:t>
            </w:r>
            <w:r>
              <w:rPr>
                <w:rFonts w:hint="eastAsia" w:ascii="宋体" w:hAnsi="宋体" w:cs="宋体"/>
                <w:color w:val="000000" w:themeColor="text1"/>
                <w:kern w:val="0"/>
                <w:szCs w:val="21"/>
                <w14:textFill>
                  <w14:solidFill>
                    <w14:schemeClr w14:val="tx1"/>
                  </w14:solidFill>
                </w14:textFill>
              </w:rPr>
              <w:t>人（由业主代表</w:t>
            </w:r>
            <w:r>
              <w:rPr>
                <w:rFonts w:hint="eastAsia" w:ascii="宋体" w:hAnsi="宋体" w:cs="宋体"/>
                <w:color w:val="000000" w:themeColor="text1"/>
                <w:kern w:val="0"/>
                <w:szCs w:val="21"/>
                <w:lang w:val="en-US" w:eastAsia="zh-CN"/>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人，技术、经济等方面的专家</w:t>
            </w:r>
            <w:r>
              <w:rPr>
                <w:rFonts w:hint="eastAsia" w:ascii="宋体" w:hAnsi="宋体" w:cs="宋体"/>
                <w:color w:val="000000" w:themeColor="text1"/>
                <w:kern w:val="0"/>
                <w:szCs w:val="21"/>
                <w:lang w:val="en-US" w:eastAsia="zh-CN"/>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人组成）</w:t>
            </w:r>
          </w:p>
          <w:p w14:paraId="09D06BD8">
            <w:pPr>
              <w:spacing w:line="360" w:lineRule="auto"/>
              <w:jc w:val="left"/>
              <w:rPr>
                <w:rFonts w:ascii="宋体" w:hAnsi="宋体" w:cs="宋体"/>
                <w:szCs w:val="21"/>
                <w:highlight w:val="yellow"/>
              </w:rPr>
            </w:pPr>
            <w:r>
              <w:rPr>
                <w:rFonts w:hint="eastAsia" w:ascii="宋体" w:hAnsi="宋体" w:cs="宋体"/>
                <w:kern w:val="0"/>
                <w:szCs w:val="21"/>
              </w:rPr>
              <w:t>评标专家确定方式：从河南省政府采购专家库中随机抽取。</w:t>
            </w:r>
          </w:p>
        </w:tc>
      </w:tr>
      <w:tr w14:paraId="33D0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E559EBA">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7.1</w:t>
            </w:r>
          </w:p>
        </w:tc>
        <w:tc>
          <w:tcPr>
            <w:tcW w:w="2186" w:type="dxa"/>
            <w:vAlign w:val="center"/>
          </w:tcPr>
          <w:p w14:paraId="47630542">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是否授权评标委员会确定中标人</w:t>
            </w:r>
          </w:p>
        </w:tc>
        <w:tc>
          <w:tcPr>
            <w:tcW w:w="6271" w:type="dxa"/>
            <w:vAlign w:val="center"/>
          </w:tcPr>
          <w:p w14:paraId="4E33E836">
            <w:pPr>
              <w:spacing w:line="360" w:lineRule="auto"/>
              <w:jc w:val="left"/>
              <w:rPr>
                <w:rFonts w:ascii="宋体" w:hAnsi="宋体" w:cs="宋体"/>
              </w:rPr>
            </w:pPr>
            <w:r>
              <w:rPr>
                <w:rFonts w:hint="eastAsia" w:ascii="宋体" w:hAnsi="宋体" w:cs="宋体"/>
              </w:rPr>
              <w:t>否，推荐的中标候选人数：3名。</w:t>
            </w:r>
          </w:p>
        </w:tc>
      </w:tr>
      <w:tr w14:paraId="5BA1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065E083">
            <w:pPr>
              <w:autoSpaceDE w:val="0"/>
              <w:autoSpaceDN w:val="0"/>
              <w:adjustRightInd w:val="0"/>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7.2</w:t>
            </w:r>
          </w:p>
        </w:tc>
        <w:tc>
          <w:tcPr>
            <w:tcW w:w="2186" w:type="dxa"/>
            <w:vAlign w:val="center"/>
          </w:tcPr>
          <w:p w14:paraId="52CB5B40">
            <w:pPr>
              <w:autoSpaceDE w:val="0"/>
              <w:autoSpaceDN w:val="0"/>
              <w:adjustRightInd w:val="0"/>
              <w:spacing w:line="360" w:lineRule="auto"/>
              <w:jc w:val="center"/>
              <w:rPr>
                <w:rFonts w:hint="eastAsia" w:ascii="宋体" w:hAnsi="宋体" w:cs="宋体"/>
                <w:kern w:val="0"/>
                <w:szCs w:val="21"/>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c>
          <w:tcPr>
            <w:tcW w:w="6271" w:type="dxa"/>
            <w:vAlign w:val="center"/>
          </w:tcPr>
          <w:p w14:paraId="0BCC58D6">
            <w:pPr>
              <w:spacing w:line="360" w:lineRule="auto"/>
              <w:jc w:val="left"/>
              <w:rPr>
                <w:rFonts w:hint="eastAsia" w:ascii="宋体" w:hAnsi="宋体" w:cs="宋体"/>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r>
      <w:tr w14:paraId="32C7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97" w:type="dxa"/>
            <w:vAlign w:val="center"/>
          </w:tcPr>
          <w:p w14:paraId="011EA8A9">
            <w:pPr>
              <w:spacing w:line="360" w:lineRule="auto"/>
              <w:jc w:val="center"/>
              <w:rPr>
                <w:rFonts w:ascii="宋体" w:hAnsi="宋体" w:cs="宋体"/>
                <w:szCs w:val="21"/>
                <w:highlight w:val="none"/>
              </w:rPr>
            </w:pPr>
            <w:bookmarkStart w:id="57" w:name="OLE_LINK31" w:colFirst="0" w:colLast="1"/>
            <w:r>
              <w:rPr>
                <w:rFonts w:hint="eastAsia" w:ascii="宋体" w:hAnsi="宋体" w:cs="宋体"/>
                <w:szCs w:val="21"/>
                <w:highlight w:val="none"/>
              </w:rPr>
              <w:t>7.</w:t>
            </w:r>
            <w:r>
              <w:rPr>
                <w:rFonts w:hint="eastAsia" w:ascii="宋体" w:hAnsi="宋体" w:cs="宋体"/>
                <w:szCs w:val="21"/>
                <w:highlight w:val="none"/>
                <w:lang w:val="en-US" w:eastAsia="zh-CN"/>
              </w:rPr>
              <w:t>4</w:t>
            </w:r>
            <w:r>
              <w:rPr>
                <w:rFonts w:hint="eastAsia" w:ascii="宋体" w:hAnsi="宋体" w:cs="宋体"/>
                <w:szCs w:val="21"/>
                <w:highlight w:val="none"/>
              </w:rPr>
              <w:t>.1</w:t>
            </w:r>
          </w:p>
        </w:tc>
        <w:tc>
          <w:tcPr>
            <w:tcW w:w="2186" w:type="dxa"/>
            <w:vAlign w:val="center"/>
          </w:tcPr>
          <w:p w14:paraId="286E153F">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履约</w:t>
            </w:r>
            <w:r>
              <w:rPr>
                <w:rFonts w:hint="eastAsia" w:ascii="宋体" w:hAnsi="宋体" w:cs="宋体"/>
                <w:color w:val="000000" w:themeColor="text1"/>
                <w:szCs w:val="21"/>
                <w:highlight w:val="none"/>
                <w:lang w:eastAsia="zh-CN"/>
                <w14:textFill>
                  <w14:solidFill>
                    <w14:schemeClr w14:val="tx1"/>
                  </w14:solidFill>
                </w14:textFill>
              </w:rPr>
              <w:t>保证金</w:t>
            </w:r>
          </w:p>
        </w:tc>
        <w:tc>
          <w:tcPr>
            <w:tcW w:w="6271" w:type="dxa"/>
            <w:vAlign w:val="center"/>
          </w:tcPr>
          <w:p w14:paraId="52E615ED">
            <w:pPr>
              <w:spacing w:line="360" w:lineRule="auto"/>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根据采购人要求</w:t>
            </w:r>
            <w:r>
              <w:rPr>
                <w:rFonts w:hint="eastAsia"/>
                <w:color w:val="000000" w:themeColor="text1"/>
                <w:highlight w:val="none"/>
                <w:lang w:val="en-US" w:eastAsia="zh-CN"/>
                <w14:textFill>
                  <w14:solidFill>
                    <w14:schemeClr w14:val="tx1"/>
                  </w14:solidFill>
                </w14:textFill>
              </w:rPr>
              <w:t>。</w:t>
            </w:r>
          </w:p>
        </w:tc>
      </w:tr>
      <w:tr w14:paraId="47B8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vAlign w:val="center"/>
          </w:tcPr>
          <w:p w14:paraId="6969D352">
            <w:pPr>
              <w:spacing w:line="360" w:lineRule="auto"/>
              <w:jc w:val="center"/>
              <w:rPr>
                <w:rFonts w:ascii="宋体" w:hAnsi="宋体" w:cs="宋体"/>
                <w:szCs w:val="21"/>
              </w:rPr>
            </w:pPr>
            <w:r>
              <w:rPr>
                <w:rFonts w:hint="eastAsia" w:ascii="宋体" w:hAnsi="宋体" w:cs="宋体"/>
                <w:szCs w:val="21"/>
              </w:rPr>
              <w:t>10</w:t>
            </w:r>
          </w:p>
        </w:tc>
        <w:tc>
          <w:tcPr>
            <w:tcW w:w="8457" w:type="dxa"/>
            <w:gridSpan w:val="2"/>
            <w:vAlign w:val="center"/>
          </w:tcPr>
          <w:p w14:paraId="6094F512">
            <w:pPr>
              <w:spacing w:line="360" w:lineRule="auto"/>
              <w:rPr>
                <w:rFonts w:ascii="宋体" w:hAnsi="宋体" w:cs="宋体"/>
                <w:szCs w:val="21"/>
              </w:rPr>
            </w:pPr>
            <w:r>
              <w:rPr>
                <w:rFonts w:hint="eastAsia" w:ascii="宋体" w:hAnsi="宋体" w:cs="宋体"/>
                <w:szCs w:val="21"/>
              </w:rPr>
              <w:t>需要补充的其他内容</w:t>
            </w:r>
          </w:p>
        </w:tc>
      </w:tr>
      <w:bookmarkEnd w:id="57"/>
      <w:tr w14:paraId="0494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897" w:type="dxa"/>
            <w:vAlign w:val="center"/>
          </w:tcPr>
          <w:p w14:paraId="1D41AC69">
            <w:pPr>
              <w:spacing w:line="360" w:lineRule="auto"/>
              <w:jc w:val="center"/>
              <w:rPr>
                <w:rFonts w:ascii="宋体" w:hAnsi="宋体" w:cs="宋体"/>
                <w:szCs w:val="21"/>
              </w:rPr>
            </w:pPr>
            <w:r>
              <w:rPr>
                <w:rFonts w:hint="eastAsia" w:ascii="宋体" w:hAnsi="宋体" w:cs="宋体"/>
                <w:szCs w:val="21"/>
              </w:rPr>
              <w:t>10.1</w:t>
            </w:r>
          </w:p>
        </w:tc>
        <w:tc>
          <w:tcPr>
            <w:tcW w:w="2186" w:type="dxa"/>
            <w:vAlign w:val="center"/>
          </w:tcPr>
          <w:p w14:paraId="6A0C90CE">
            <w:pPr>
              <w:spacing w:line="360" w:lineRule="auto"/>
              <w:jc w:val="center"/>
              <w:rPr>
                <w:rFonts w:ascii="宋体" w:hAnsi="宋体" w:cs="宋体"/>
                <w:szCs w:val="21"/>
              </w:rPr>
            </w:pPr>
            <w:r>
              <w:rPr>
                <w:rFonts w:hint="eastAsia" w:ascii="宋体" w:hAnsi="宋体" w:cs="宋体"/>
                <w:szCs w:val="21"/>
              </w:rPr>
              <w:t>类似项目</w:t>
            </w:r>
          </w:p>
        </w:tc>
        <w:tc>
          <w:tcPr>
            <w:tcW w:w="6271" w:type="dxa"/>
            <w:vAlign w:val="center"/>
          </w:tcPr>
          <w:p w14:paraId="21B74698">
            <w:pPr>
              <w:spacing w:line="360" w:lineRule="auto"/>
              <w:jc w:val="left"/>
              <w:rPr>
                <w:rFonts w:hint="eastAsia" w:ascii="宋体" w:hAnsi="宋体" w:eastAsia="宋体" w:cs="宋体"/>
                <w:szCs w:val="21"/>
                <w:lang w:val="en-US" w:eastAsia="zh-CN"/>
              </w:rPr>
            </w:pPr>
            <w:r>
              <w:rPr>
                <w:rFonts w:hint="eastAsia" w:ascii="宋体" w:hAnsi="宋体" w:cs="宋体"/>
                <w:szCs w:val="21"/>
                <w:lang w:val="en-US" w:eastAsia="zh-CN"/>
              </w:rPr>
              <w:t>/</w:t>
            </w:r>
          </w:p>
        </w:tc>
      </w:tr>
      <w:tr w14:paraId="17AF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97" w:type="dxa"/>
            <w:vAlign w:val="center"/>
          </w:tcPr>
          <w:p w14:paraId="600FAF36">
            <w:pPr>
              <w:spacing w:line="360" w:lineRule="auto"/>
              <w:jc w:val="center"/>
              <w:rPr>
                <w:rFonts w:ascii="宋体" w:hAnsi="宋体" w:cs="宋体"/>
                <w:szCs w:val="21"/>
              </w:rPr>
            </w:pPr>
            <w:r>
              <w:rPr>
                <w:rFonts w:hint="eastAsia" w:ascii="宋体" w:hAnsi="宋体" w:cs="宋体"/>
                <w:szCs w:val="21"/>
              </w:rPr>
              <w:t>10.2</w:t>
            </w:r>
          </w:p>
        </w:tc>
        <w:tc>
          <w:tcPr>
            <w:tcW w:w="2186" w:type="dxa"/>
            <w:vAlign w:val="center"/>
          </w:tcPr>
          <w:p w14:paraId="7E2D3FF2">
            <w:pPr>
              <w:spacing w:line="360" w:lineRule="auto"/>
              <w:jc w:val="center"/>
              <w:rPr>
                <w:rFonts w:ascii="宋体" w:hAnsi="宋体" w:cs="宋体"/>
                <w:szCs w:val="21"/>
              </w:rPr>
            </w:pPr>
            <w:r>
              <w:rPr>
                <w:rFonts w:hint="eastAsia" w:ascii="宋体" w:hAnsi="宋体" w:cs="宋体"/>
                <w:szCs w:val="21"/>
              </w:rPr>
              <w:t>招标文件售价</w:t>
            </w:r>
          </w:p>
        </w:tc>
        <w:tc>
          <w:tcPr>
            <w:tcW w:w="6271" w:type="dxa"/>
            <w:vAlign w:val="center"/>
          </w:tcPr>
          <w:p w14:paraId="1434D427">
            <w:pPr>
              <w:spacing w:line="360" w:lineRule="auto"/>
              <w:jc w:val="left"/>
              <w:rPr>
                <w:rFonts w:ascii="宋体" w:hAnsi="宋体" w:cs="宋体"/>
                <w:b/>
                <w:kern w:val="0"/>
                <w:szCs w:val="21"/>
              </w:rPr>
            </w:pPr>
            <w:r>
              <w:rPr>
                <w:rFonts w:hint="eastAsia" w:ascii="宋体" w:hAnsi="宋体" w:cs="宋体"/>
                <w:szCs w:val="21"/>
              </w:rPr>
              <w:t>0元</w:t>
            </w:r>
          </w:p>
        </w:tc>
      </w:tr>
      <w:tr w14:paraId="2A57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97" w:type="dxa"/>
            <w:vAlign w:val="center"/>
          </w:tcPr>
          <w:p w14:paraId="145BA64E">
            <w:pPr>
              <w:adjustRightInd w:val="0"/>
              <w:spacing w:line="360" w:lineRule="auto"/>
              <w:jc w:val="center"/>
              <w:textAlignment w:val="baseline"/>
              <w:rPr>
                <w:rFonts w:ascii="宋体" w:hAnsi="宋体" w:cs="宋体"/>
                <w:szCs w:val="21"/>
              </w:rPr>
            </w:pPr>
            <w:r>
              <w:rPr>
                <w:rFonts w:hint="eastAsia" w:ascii="宋体" w:hAnsi="宋体" w:cs="宋体"/>
                <w:szCs w:val="21"/>
              </w:rPr>
              <w:t>10.3</w:t>
            </w:r>
          </w:p>
        </w:tc>
        <w:tc>
          <w:tcPr>
            <w:tcW w:w="2186" w:type="dxa"/>
            <w:vAlign w:val="center"/>
          </w:tcPr>
          <w:p w14:paraId="3D166426">
            <w:pPr>
              <w:spacing w:line="360" w:lineRule="auto"/>
              <w:jc w:val="center"/>
              <w:rPr>
                <w:rFonts w:ascii="宋体" w:hAnsi="宋体" w:cs="宋体"/>
                <w:szCs w:val="21"/>
              </w:rPr>
            </w:pPr>
            <w:r>
              <w:rPr>
                <w:rFonts w:hint="eastAsia" w:ascii="宋体" w:hAnsi="宋体" w:cs="宋体"/>
                <w:b/>
                <w:bCs/>
                <w:szCs w:val="21"/>
              </w:rPr>
              <w:t>招标代理服务费</w:t>
            </w:r>
          </w:p>
        </w:tc>
        <w:tc>
          <w:tcPr>
            <w:tcW w:w="6271" w:type="dxa"/>
            <w:vAlign w:val="center"/>
          </w:tcPr>
          <w:p w14:paraId="671FF66A">
            <w:pPr>
              <w:spacing w:line="360" w:lineRule="auto"/>
              <w:rPr>
                <w:rFonts w:ascii="宋体" w:hAnsi="宋体" w:cs="宋体"/>
                <w:szCs w:val="21"/>
              </w:rPr>
            </w:pPr>
            <w:r>
              <w:rPr>
                <w:rFonts w:hint="eastAsia" w:ascii="宋体" w:hAnsi="宋体" w:cs="宋体"/>
                <w:szCs w:val="21"/>
                <w:lang w:val="en-US" w:eastAsia="zh-CN"/>
              </w:rPr>
              <w:t>招标代理服务费参照</w:t>
            </w:r>
            <w:r>
              <w:rPr>
                <w:rFonts w:hint="eastAsia" w:ascii="宋体" w:hAnsi="宋体" w:eastAsia="宋体" w:cs="宋体"/>
                <w:szCs w:val="21"/>
                <w:lang w:val="en-US" w:eastAsia="zh-CN"/>
              </w:rPr>
              <w:t>《河南省招标代理服务收费指导意见》的通知（豫招协[2023]002号）等相关规定的80%收取中标服务费。</w:t>
            </w:r>
          </w:p>
        </w:tc>
      </w:tr>
      <w:tr w14:paraId="225D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7" w:type="dxa"/>
            <w:vAlign w:val="center"/>
          </w:tcPr>
          <w:p w14:paraId="607718C6">
            <w:pPr>
              <w:adjustRightInd w:val="0"/>
              <w:spacing w:line="360" w:lineRule="auto"/>
              <w:jc w:val="center"/>
              <w:textAlignment w:val="baseline"/>
              <w:rPr>
                <w:rFonts w:ascii="宋体" w:hAnsi="宋体" w:cs="宋体"/>
                <w:szCs w:val="21"/>
              </w:rPr>
            </w:pPr>
            <w:r>
              <w:rPr>
                <w:rFonts w:hint="eastAsia" w:ascii="宋体" w:hAnsi="宋体" w:cs="宋体"/>
                <w:szCs w:val="21"/>
              </w:rPr>
              <w:t>10.4</w:t>
            </w:r>
          </w:p>
        </w:tc>
        <w:tc>
          <w:tcPr>
            <w:tcW w:w="2186" w:type="dxa"/>
            <w:vAlign w:val="center"/>
          </w:tcPr>
          <w:p w14:paraId="72E82E8E">
            <w:pPr>
              <w:spacing w:line="360" w:lineRule="auto"/>
              <w:jc w:val="center"/>
              <w:rPr>
                <w:rFonts w:ascii="宋体" w:hAnsi="宋体" w:cs="宋体"/>
                <w:b/>
                <w:bCs/>
                <w:szCs w:val="21"/>
              </w:rPr>
            </w:pPr>
            <w:r>
              <w:rPr>
                <w:rFonts w:hint="eastAsia" w:ascii="宋体" w:hAnsi="宋体" w:cs="宋体"/>
                <w:b/>
                <w:bCs/>
                <w:szCs w:val="21"/>
              </w:rPr>
              <w:t>招标最高限价</w:t>
            </w:r>
          </w:p>
        </w:tc>
        <w:tc>
          <w:tcPr>
            <w:tcW w:w="6271" w:type="dxa"/>
            <w:vAlign w:val="center"/>
          </w:tcPr>
          <w:p w14:paraId="01F84541">
            <w:pPr>
              <w:spacing w:line="360" w:lineRule="auto"/>
              <w:rPr>
                <w:rFonts w:hint="eastAsia" w:ascii="宋体" w:hAnsi="宋体" w:eastAsia="宋体" w:cs="宋体"/>
                <w:b w:val="0"/>
                <w:bCs/>
                <w:snapToGrid w:val="0"/>
                <w:color w:val="auto"/>
                <w:kern w:val="2"/>
                <w:sz w:val="21"/>
                <w:szCs w:val="21"/>
                <w:lang w:val="en-US" w:eastAsia="zh-CN" w:bidi="ar-SA"/>
              </w:rPr>
            </w:pPr>
            <w:bookmarkStart w:id="58" w:name="OLE_LINK21"/>
            <w:r>
              <w:rPr>
                <w:rFonts w:hint="eastAsia" w:ascii="宋体" w:hAnsi="宋体" w:cs="宋体"/>
                <w:b w:val="0"/>
                <w:bCs/>
                <w:szCs w:val="21"/>
                <w:highlight w:val="none"/>
                <w:lang w:val="en-US" w:eastAsia="zh-CN"/>
              </w:rPr>
              <w:t>A包</w:t>
            </w:r>
            <w:r>
              <w:rPr>
                <w:rFonts w:hint="eastAsia" w:ascii="宋体" w:hAnsi="Times New Roman" w:eastAsia="宋体" w:cs="宋体"/>
                <w:b w:val="0"/>
                <w:bCs/>
                <w:color w:val="000000"/>
                <w:kern w:val="0"/>
                <w:sz w:val="21"/>
                <w:szCs w:val="21"/>
                <w:lang w:val="en-US" w:eastAsia="zh-CN" w:bidi="ar-SA"/>
              </w:rPr>
              <w:t>“第三方评估”服务项目</w:t>
            </w:r>
            <w:r>
              <w:rPr>
                <w:rFonts w:hint="eastAsia" w:ascii="宋体" w:hAnsi="宋体" w:cs="宋体"/>
                <w:b w:val="0"/>
                <w:bCs/>
                <w:szCs w:val="21"/>
                <w:highlight w:val="none"/>
                <w:lang w:val="en-US" w:eastAsia="zh-CN"/>
              </w:rPr>
              <w:t>最高限价：</w:t>
            </w:r>
            <w:r>
              <w:rPr>
                <w:rFonts w:hint="default" w:ascii="宋体" w:hAnsi="宋体" w:eastAsia="宋体" w:cs="宋体"/>
                <w:b w:val="0"/>
                <w:bCs/>
                <w:snapToGrid w:val="0"/>
                <w:color w:val="auto"/>
                <w:kern w:val="2"/>
                <w:sz w:val="21"/>
                <w:szCs w:val="21"/>
                <w:lang w:val="en-US" w:eastAsia="zh-CN" w:bidi="ar-SA"/>
              </w:rPr>
              <w:t>120000</w:t>
            </w:r>
            <w:r>
              <w:rPr>
                <w:rFonts w:hint="eastAsia" w:ascii="宋体" w:hAnsi="宋体" w:eastAsia="宋体" w:cs="宋体"/>
                <w:b w:val="0"/>
                <w:bCs/>
                <w:snapToGrid w:val="0"/>
                <w:color w:val="auto"/>
                <w:kern w:val="2"/>
                <w:sz w:val="21"/>
                <w:szCs w:val="21"/>
                <w:lang w:val="en-US" w:eastAsia="zh-CN" w:bidi="ar-SA"/>
              </w:rPr>
              <w:t>元；</w:t>
            </w:r>
          </w:p>
          <w:bookmarkEnd w:id="58"/>
          <w:p w14:paraId="2244C773">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r>
              <w:rPr>
                <w:rFonts w:hint="eastAsia" w:ascii="宋体" w:hAnsi="宋体" w:cs="宋体"/>
                <w:b w:val="0"/>
                <w:bCs/>
                <w:szCs w:val="21"/>
                <w:highlight w:val="none"/>
                <w:lang w:val="en-US" w:eastAsia="zh-CN"/>
              </w:rPr>
              <w:t>最高限价：</w:t>
            </w:r>
            <w:bookmarkStart w:id="59" w:name="OLE_LINK23"/>
            <w:r>
              <w:rPr>
                <w:rFonts w:hint="eastAsia" w:ascii="宋体" w:hAnsi="宋体" w:eastAsia="宋体" w:cs="宋体"/>
                <w:b w:val="0"/>
                <w:bCs/>
                <w:snapToGrid w:val="0"/>
                <w:color w:val="auto"/>
                <w:kern w:val="2"/>
                <w:sz w:val="21"/>
                <w:szCs w:val="21"/>
                <w:lang w:val="en-US" w:eastAsia="zh-CN" w:bidi="ar-SA"/>
              </w:rPr>
              <w:t>607500</w:t>
            </w:r>
            <w:bookmarkEnd w:id="59"/>
            <w:r>
              <w:rPr>
                <w:rFonts w:hint="eastAsia" w:ascii="宋体" w:hAnsi="宋体" w:eastAsia="宋体" w:cs="宋体"/>
                <w:b w:val="0"/>
                <w:bCs/>
                <w:snapToGrid w:val="0"/>
                <w:color w:val="auto"/>
                <w:kern w:val="2"/>
                <w:sz w:val="21"/>
                <w:szCs w:val="21"/>
                <w:lang w:val="en-US" w:eastAsia="zh-CN" w:bidi="ar-SA"/>
              </w:rPr>
              <w:t>元；</w:t>
            </w:r>
          </w:p>
          <w:p w14:paraId="341BDBAD">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7549FEE8">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05ECF44">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3B8FF549">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725F3B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4443E8BA">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296DF7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0478824B">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14D7D25">
            <w:pPr>
              <w:spacing w:line="360" w:lineRule="auto"/>
              <w:rPr>
                <w:rFonts w:hint="eastAsia"/>
                <w:b w:val="0"/>
                <w:bCs/>
                <w:lang w:val="en-US" w:eastAsia="zh-CN"/>
              </w:rPr>
            </w:pPr>
            <w:r>
              <w:rPr>
                <w:rFonts w:hint="eastAsia" w:ascii="宋体" w:hAnsi="宋体" w:cs="宋体"/>
                <w:b w:val="0"/>
                <w:bCs/>
                <w:szCs w:val="21"/>
                <w:highlight w:val="none"/>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72F7DCF">
            <w:pPr>
              <w:spacing w:line="360" w:lineRule="auto"/>
              <w:rPr>
                <w:rFonts w:ascii="宋体" w:hAnsi="宋体" w:cs="宋体"/>
                <w:b/>
                <w:szCs w:val="21"/>
              </w:rPr>
            </w:pPr>
            <w:r>
              <w:rPr>
                <w:rFonts w:hint="eastAsia" w:ascii="宋体" w:hAnsi="宋体" w:cs="宋体"/>
                <w:b w:val="0"/>
                <w:bCs/>
                <w:szCs w:val="21"/>
                <w:highlight w:val="none"/>
              </w:rPr>
              <w:t>投标人的投标报价超出招标最高限价</w:t>
            </w:r>
            <w:r>
              <w:rPr>
                <w:rFonts w:hint="eastAsia" w:ascii="宋体" w:hAnsi="宋体" w:cs="宋体"/>
                <w:b w:val="0"/>
                <w:bCs/>
                <w:kern w:val="0"/>
                <w:szCs w:val="21"/>
                <w:highlight w:val="none"/>
              </w:rPr>
              <w:t>（不含等于招标最高限价）</w:t>
            </w:r>
            <w:r>
              <w:rPr>
                <w:rFonts w:hint="eastAsia" w:ascii="宋体" w:hAnsi="宋体" w:cs="宋体"/>
                <w:b w:val="0"/>
                <w:bCs/>
                <w:szCs w:val="21"/>
                <w:highlight w:val="none"/>
              </w:rPr>
              <w:t>的为无效投标，其投标将被否决。</w:t>
            </w:r>
          </w:p>
        </w:tc>
      </w:tr>
      <w:tr w14:paraId="39A2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7" w:type="dxa"/>
            <w:vAlign w:val="center"/>
          </w:tcPr>
          <w:p w14:paraId="2A4021F5">
            <w:pPr>
              <w:adjustRightInd w:val="0"/>
              <w:spacing w:line="360" w:lineRule="auto"/>
              <w:jc w:val="center"/>
              <w:textAlignment w:val="baseline"/>
              <w:rPr>
                <w:rFonts w:ascii="宋体" w:hAnsi="宋体" w:cs="宋体"/>
                <w:szCs w:val="21"/>
              </w:rPr>
            </w:pPr>
            <w:r>
              <w:rPr>
                <w:rFonts w:hint="eastAsia" w:ascii="宋体" w:hAnsi="宋体" w:cs="宋体"/>
                <w:szCs w:val="21"/>
              </w:rPr>
              <w:t>10.5</w:t>
            </w:r>
          </w:p>
        </w:tc>
        <w:tc>
          <w:tcPr>
            <w:tcW w:w="2186" w:type="dxa"/>
            <w:vAlign w:val="center"/>
          </w:tcPr>
          <w:p w14:paraId="6753D930">
            <w:pPr>
              <w:tabs>
                <w:tab w:val="center" w:pos="1045"/>
                <w:tab w:val="right" w:pos="1970"/>
              </w:tabs>
              <w:spacing w:line="360" w:lineRule="auto"/>
              <w:jc w:val="left"/>
              <w:rPr>
                <w:rFonts w:ascii="宋体" w:hAnsi="宋体" w:cs="宋体"/>
                <w:b/>
                <w:bCs/>
                <w:szCs w:val="21"/>
                <w:highlight w:val="none"/>
              </w:rPr>
            </w:pPr>
            <w:r>
              <w:rPr>
                <w:rFonts w:hint="eastAsia" w:ascii="宋体" w:hAnsi="宋体" w:cs="宋体"/>
                <w:highlight w:val="none"/>
              </w:rPr>
              <w:tab/>
            </w:r>
            <w:r>
              <w:rPr>
                <w:rFonts w:hint="eastAsia" w:ascii="宋体" w:hAnsi="宋体" w:cs="宋体"/>
                <w:highlight w:val="none"/>
              </w:rPr>
              <w:t>付款方式</w:t>
            </w:r>
            <w:r>
              <w:rPr>
                <w:rFonts w:hint="eastAsia" w:ascii="宋体" w:hAnsi="宋体" w:cs="宋体"/>
                <w:highlight w:val="none"/>
              </w:rPr>
              <w:tab/>
            </w:r>
          </w:p>
        </w:tc>
        <w:tc>
          <w:tcPr>
            <w:tcW w:w="6271" w:type="dxa"/>
            <w:vAlign w:val="center"/>
          </w:tcPr>
          <w:p w14:paraId="2C4DA9C6">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项目付款比例依据各阶段第三方评估结果档次而定，总分分为四个档次，依据评估分数分为“优秀、良好、合格、不合格”。</w:t>
            </w:r>
          </w:p>
          <w:p w14:paraId="4905BCD9">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所有项目通过转账形式付款，分三次拨付。第一次，甲方于项目合同签订之日起30天内拨付服务总经费的50%。第二次，项目通过中期评估等级为“合格”及以上的拨付30%，“不合格”不予拨付。第三次，项目末期评估为“合格”及以上的拨付20%，为“不合格”的拨付5%。</w:t>
            </w:r>
          </w:p>
        </w:tc>
      </w:tr>
      <w:tr w14:paraId="5F14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BD0A4A1">
            <w:pPr>
              <w:adjustRightInd w:val="0"/>
              <w:spacing w:line="360" w:lineRule="auto"/>
              <w:jc w:val="center"/>
              <w:textAlignment w:val="baseline"/>
              <w:rPr>
                <w:rFonts w:hint="eastAsia" w:ascii="宋体" w:hAnsi="宋体" w:eastAsia="宋体" w:cs="宋体"/>
                <w:szCs w:val="21"/>
                <w:lang w:eastAsia="zh-CN"/>
              </w:rPr>
            </w:pPr>
            <w:r>
              <w:rPr>
                <w:rFonts w:hint="eastAsia" w:ascii="宋体" w:hAnsi="宋体" w:cs="宋体"/>
                <w:szCs w:val="21"/>
              </w:rPr>
              <w:t>10.</w:t>
            </w:r>
            <w:r>
              <w:rPr>
                <w:rFonts w:hint="eastAsia" w:ascii="宋体" w:hAnsi="宋体" w:cs="宋体"/>
                <w:szCs w:val="21"/>
                <w:lang w:val="en-US" w:eastAsia="zh-CN"/>
              </w:rPr>
              <w:t>6</w:t>
            </w:r>
          </w:p>
        </w:tc>
        <w:tc>
          <w:tcPr>
            <w:tcW w:w="2186" w:type="dxa"/>
            <w:vAlign w:val="center"/>
          </w:tcPr>
          <w:p w14:paraId="2570A36E">
            <w:pPr>
              <w:spacing w:line="360" w:lineRule="auto"/>
              <w:jc w:val="center"/>
              <w:rPr>
                <w:rFonts w:ascii="宋体" w:hAnsi="宋体" w:cs="宋体"/>
              </w:rPr>
            </w:pPr>
            <w:r>
              <w:rPr>
                <w:rFonts w:hint="eastAsia" w:ascii="宋体" w:hAnsi="宋体" w:cs="宋体"/>
              </w:rPr>
              <w:t>电子招投标要求</w:t>
            </w:r>
          </w:p>
        </w:tc>
        <w:tc>
          <w:tcPr>
            <w:tcW w:w="6271" w:type="dxa"/>
            <w:vAlign w:val="center"/>
          </w:tcPr>
          <w:p w14:paraId="1BF0A084">
            <w:pPr>
              <w:spacing w:line="360" w:lineRule="auto"/>
              <w:ind w:firstLine="211" w:firstLineChars="100"/>
              <w:rPr>
                <w:rFonts w:hint="eastAsia" w:ascii="宋体" w:hAnsi="宋体" w:cs="宋体" w:eastAsiaTheme="minorEastAsia"/>
                <w:b/>
                <w:bCs w:val="0"/>
                <w:lang w:val="en-US" w:eastAsia="zh-CN"/>
              </w:rPr>
            </w:pPr>
            <w:r>
              <w:rPr>
                <w:rFonts w:hint="eastAsia" w:ascii="宋体" w:hAnsi="宋体" w:cs="宋体"/>
                <w:b/>
                <w:bCs w:val="0"/>
                <w:szCs w:val="21"/>
              </w:rPr>
              <w:t>1</w:t>
            </w:r>
            <w:r>
              <w:rPr>
                <w:rFonts w:hint="eastAsia" w:ascii="宋体" w:hAnsi="宋体" w:cs="宋体" w:eastAsiaTheme="minorEastAsia"/>
                <w:b/>
                <w:bCs w:val="0"/>
                <w:lang w:val="en-US" w:eastAsia="zh-CN"/>
              </w:rPr>
              <w:t>、投标人注册</w:t>
            </w:r>
          </w:p>
          <w:p w14:paraId="24D23DC6">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投标人须注册成为《郑州市公共资源交易中心网站》会员，并取得CA密钥，凭CA密钥登录系统。</w:t>
            </w:r>
          </w:p>
          <w:p w14:paraId="7232B55C">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2、投标文件制作</w:t>
            </w:r>
          </w:p>
          <w:p w14:paraId="73D60CE2">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2.1投标人通过郑州市公共资源交易中心网站-公共服务-下载专区栏目下载最新版本的投标文件制作工具安装包和签章软件，并使用安装后的最新版本投标文件制作工具制作电子投标文件。</w:t>
            </w:r>
          </w:p>
          <w:p w14:paraId="05EF34D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2.2投标人凭CA密钥登陆会员专区下载招标文件。</w:t>
            </w:r>
          </w:p>
          <w:p w14:paraId="0C5F51E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lang w:val="en-US" w:eastAsia="zh-CN"/>
              </w:rPr>
              <w:t>2.3加密的电子投标文件为“郑州市公共资源交易中心网站（h</w:t>
            </w:r>
            <w:r>
              <w:rPr>
                <w:rFonts w:hint="eastAsia" w:ascii="宋体" w:hAnsi="宋体" w:eastAsia="宋体" w:cs="宋体"/>
                <w:snapToGrid w:val="0"/>
                <w:szCs w:val="21"/>
                <w:lang w:val="en-US" w:eastAsia="zh-CN"/>
              </w:rPr>
              <w:t>http://z</w:t>
            </w:r>
            <w:r>
              <w:rPr>
                <w:rFonts w:hint="eastAsia" w:ascii="宋体" w:hAnsi="宋体" w:eastAsia="宋体" w:cs="宋体"/>
                <w:snapToGrid w:val="0"/>
                <w:szCs w:val="21"/>
                <w:highlight w:val="none"/>
                <w:lang w:val="en-US" w:eastAsia="zh-CN"/>
              </w:rPr>
              <w:t>zggzy.zhengzhou.gov.cn/</w:t>
            </w:r>
            <w:r>
              <w:rPr>
                <w:rFonts w:hint="eastAsia" w:ascii="宋体" w:hAnsi="宋体" w:cs="宋体" w:eastAsiaTheme="minorEastAsia"/>
                <w:highlight w:val="none"/>
                <w:lang w:val="en-US" w:eastAsia="zh-CN"/>
              </w:rPr>
              <w:t>）”网站提供的“投标文件制作工具”软件制作生成的加密版投标文件。</w:t>
            </w:r>
          </w:p>
          <w:p w14:paraId="206FCD8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2.4投标人在制作电子投标文件时，要求签字盖章的招标文件格式内容若无法用电子签章完成的，投标人可以将盖章签字后的扫描图片替换到相应格式中。</w:t>
            </w:r>
          </w:p>
          <w:p w14:paraId="73CE5FB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2.5招标文件格式所要求包含的全部资料应全部制作在投标文件内，严格按照本项目招标文件所有格式如实填写（不涉及的内容除外），不应存在漏项或缺项，否则将存在投标文件被拒绝的风险。</w:t>
            </w:r>
          </w:p>
          <w:p w14:paraId="4C8FF89D">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2.6由于本项目为不见面开标，投标人无需到开标现场参与投标签到，无需递交任何纸质资料或证明，无需交纳原件（投标文件中应附清晰的复印件或扫描件，由于模糊不清导致评标委员会无法辨别的，后果由投标人自行承担）；</w:t>
            </w:r>
          </w:p>
          <w:p w14:paraId="701515C4">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2.7投标人应严格按照相关操作规程及要求参加远程开标会议，否则后果自负，如遇问题，可按不见面开标大厅操作手册提供的联系方式或拨打技术服务单位（国泰新点）电话：4009980000，寻求技术支持。</w:t>
            </w:r>
          </w:p>
          <w:p w14:paraId="07DE6DEE">
            <w:pPr>
              <w:spacing w:line="360" w:lineRule="auto"/>
              <w:ind w:firstLine="211" w:firstLineChars="100"/>
              <w:rPr>
                <w:rFonts w:hint="eastAsia" w:ascii="宋体" w:hAnsi="宋体" w:cs="宋体" w:eastAsiaTheme="minorEastAsia"/>
                <w:b/>
                <w:bCs/>
                <w:highlight w:val="none"/>
                <w:lang w:val="en-US" w:eastAsia="zh-CN"/>
              </w:rPr>
            </w:pPr>
            <w:r>
              <w:rPr>
                <w:rFonts w:hint="eastAsia" w:ascii="宋体" w:hAnsi="宋体" w:cs="宋体" w:eastAsiaTheme="minorEastAsia"/>
                <w:b/>
                <w:bCs/>
                <w:highlight w:val="none"/>
                <w:lang w:val="en-US" w:eastAsia="zh-CN"/>
              </w:rPr>
              <w:t>3、投标文件的递交</w:t>
            </w:r>
          </w:p>
          <w:p w14:paraId="0CA129E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3.1加密的电子投标文件（.ZZTF格式）须在投标截止时间前通过“郑州市公共资源交易中心（</w:t>
            </w:r>
            <w:r>
              <w:rPr>
                <w:rFonts w:hint="eastAsia" w:ascii="宋体" w:hAnsi="宋体" w:cs="宋体"/>
                <w:snapToGrid w:val="0"/>
                <w:szCs w:val="21"/>
              </w:rPr>
              <w:t>https://zzggzy.zhengzhou.gov.cn</w:t>
            </w:r>
            <w:r>
              <w:rPr>
                <w:rFonts w:hint="eastAsia" w:ascii="宋体" w:hAnsi="宋体" w:cs="宋体" w:eastAsiaTheme="minorEastAsia"/>
                <w:highlight w:val="none"/>
                <w:lang w:val="en-US" w:eastAsia="zh-CN"/>
              </w:rPr>
              <w:t>）”电子交易平台加密上传；</w:t>
            </w:r>
          </w:p>
          <w:p w14:paraId="10CDF4D5">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3.2投标人无需到交易中心现场参加开标会议，评标委员会不再对投标文件中涉及的相关资料原件进行验证。所有投标单位不需提供证书原件。</w:t>
            </w:r>
          </w:p>
          <w:p w14:paraId="65CB45C2">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3.3所有投标人应提前30分钟，登录“郑州市公共资源交易中心门户网站远程开标大厅”进行远程开标准备工作。</w:t>
            </w:r>
          </w:p>
          <w:p w14:paraId="3C699EB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w:t>
            </w:r>
            <w:r>
              <w:rPr>
                <w:rFonts w:hint="eastAsia" w:ascii="宋体" w:hAnsi="宋体" w:cs="宋体"/>
                <w:snapToGrid w:val="0"/>
                <w:szCs w:val="21"/>
                <w:lang w:val="en-US" w:eastAsia="zh-CN"/>
              </w:rPr>
              <w:t>https://zzggzy.zhengzhou.gov.cn/BidOpening/</w:t>
            </w:r>
            <w:r>
              <w:rPr>
                <w:rFonts w:hint="eastAsia" w:ascii="宋体" w:hAnsi="宋体" w:cs="宋体" w:eastAsiaTheme="minorEastAsia"/>
                <w:highlight w:val="none"/>
                <w:lang w:val="en-US" w:eastAsia="zh-CN"/>
              </w:rPr>
              <w:t>）</w:t>
            </w:r>
          </w:p>
          <w:p w14:paraId="13746C13">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3.4登录“郑州市公共资源交易中心门户网站远程开标大厅”后，须先进行签到，其后应一直保持在线状态，保证能准时参加开标大会、投标文件的解密、现场答疑澄清等活动。</w:t>
            </w:r>
          </w:p>
          <w:p w14:paraId="7E6803F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3.5投标人应在解密时间内插入企业CA锁，输入密码，进行解密；如果在解密时间内解密失败，可再次解密；如解密时间已到不可解密；</w:t>
            </w:r>
          </w:p>
          <w:p w14:paraId="59EE4F3E">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highlight w:val="none"/>
                <w:lang w:val="en-US" w:eastAsia="zh-CN"/>
              </w:rPr>
              <w:t>3.6不见面开标操作说明详见郑州市公共资源交易中心网站办事指南栏目下政府采购专区中的《郑州市公共资源交易中心不见面开标大厅操作手册（投标人）V1.0》（</w:t>
            </w:r>
            <w:r>
              <w:rPr>
                <w:rFonts w:hint="eastAsia" w:ascii="宋体" w:hAnsi="宋体" w:eastAsia="宋体" w:cs="宋体"/>
                <w:snapToGrid w:val="0"/>
                <w:szCs w:val="21"/>
                <w:highlight w:val="none"/>
              </w:rPr>
              <w:t>http://zzggzy.zhengzhou.gov.cn/bszn/009003/subpage.html</w:t>
            </w:r>
            <w:r>
              <w:rPr>
                <w:rFonts w:hint="eastAsia" w:ascii="宋体" w:hAnsi="宋体" w:cs="宋体" w:eastAsiaTheme="minorEastAsia"/>
                <w:highlight w:val="none"/>
                <w:lang w:val="en-US" w:eastAsia="zh-CN"/>
              </w:rPr>
              <w:t>）。否则由此可能引起的签到失败、解密失败</w:t>
            </w:r>
            <w:r>
              <w:rPr>
                <w:rFonts w:hint="eastAsia" w:ascii="宋体" w:hAnsi="宋体" w:cs="宋体" w:eastAsiaTheme="minorEastAsia"/>
                <w:lang w:val="en-US" w:eastAsia="zh-CN"/>
              </w:rPr>
              <w:t>或无法解密等问题由投标人自行承担；</w:t>
            </w:r>
          </w:p>
          <w:p w14:paraId="0FC6475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3.7逾期上传的或者未上传的投标文件，采购人不予受理。</w:t>
            </w:r>
          </w:p>
          <w:p w14:paraId="573399C7">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3.8凡未按上述要求格式提交的投标文件，将被拒收或被认定为无效投标。</w:t>
            </w:r>
          </w:p>
          <w:p w14:paraId="1CAE08F9">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4、澄清与变更</w:t>
            </w:r>
          </w:p>
          <w:p w14:paraId="00F4B940">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因郑州市公共资源交易中心网站平台在开标前具有保密性，投标人在投标文件递交截止时间前须自行查看项目进展、变更通知、澄清及回复，因投标人未及时查看而造成的后果自负。投标人在招标采购过程中，对招标文件、招标采购过程有异议、质疑的，均需在郑州市公共资源交易中心网站平台上提出。</w:t>
            </w:r>
          </w:p>
          <w:p w14:paraId="01E8A7DB">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5、若投标人出现“制作机器码”一致，机器码一致的所有投标文件均做无效文件处理。</w:t>
            </w:r>
          </w:p>
          <w:p w14:paraId="6EBBDFA3">
            <w:pPr>
              <w:spacing w:line="360" w:lineRule="auto"/>
              <w:ind w:firstLine="211" w:firstLineChars="100"/>
              <w:rPr>
                <w:rFonts w:ascii="宋体" w:hAnsi="宋体" w:cs="宋体"/>
              </w:rPr>
            </w:pPr>
            <w:r>
              <w:rPr>
                <w:rFonts w:hint="eastAsia" w:ascii="宋体" w:hAnsi="宋体" w:cs="宋体" w:eastAsiaTheme="minorEastAsia"/>
                <w:b/>
                <w:bCs/>
                <w:lang w:val="en-US" w:eastAsia="zh-CN"/>
              </w:rPr>
              <w:t>注：投标人应持本单位CA锁及时更新、维护本企业的交易主体数据库信息，并确保其信息的真实性、准确性、完整性。否则由此导致的投标失败，由企业自行承担责任。</w:t>
            </w:r>
          </w:p>
        </w:tc>
      </w:tr>
      <w:tr w14:paraId="7FDF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1C997837">
            <w:pPr>
              <w:spacing w:before="156" w:beforeLines="50" w:line="360" w:lineRule="auto"/>
              <w:jc w:val="center"/>
              <w:rPr>
                <w:rFonts w:hint="eastAsia" w:ascii="宋体" w:hAnsi="宋体" w:eastAsia="宋体" w:cs="宋体"/>
                <w:b/>
                <w:bCs/>
                <w:szCs w:val="21"/>
                <w:lang w:eastAsia="zh-CN"/>
              </w:rPr>
            </w:pPr>
            <w:r>
              <w:rPr>
                <w:rFonts w:hint="eastAsia" w:ascii="宋体" w:hAnsi="宋体"/>
              </w:rPr>
              <w:t>10.</w:t>
            </w:r>
            <w:r>
              <w:rPr>
                <w:rFonts w:hint="eastAsia" w:ascii="宋体" w:hAnsi="宋体"/>
                <w:lang w:val="en-US" w:eastAsia="zh-CN"/>
              </w:rPr>
              <w:t>7</w:t>
            </w:r>
          </w:p>
        </w:tc>
        <w:tc>
          <w:tcPr>
            <w:tcW w:w="2186" w:type="dxa"/>
            <w:vAlign w:val="center"/>
          </w:tcPr>
          <w:p w14:paraId="2EEB568A">
            <w:pPr>
              <w:spacing w:before="156" w:beforeLines="50" w:line="360" w:lineRule="auto"/>
              <w:jc w:val="center"/>
              <w:rPr>
                <w:b/>
                <w:bCs/>
              </w:rPr>
            </w:pPr>
            <w:r>
              <w:rPr>
                <w:rFonts w:hint="eastAsia" w:ascii="宋体" w:hAnsi="宋体"/>
              </w:rPr>
              <w:t>河南省政府采购合同融资政策告知函</w:t>
            </w:r>
          </w:p>
        </w:tc>
        <w:tc>
          <w:tcPr>
            <w:tcW w:w="6271" w:type="dxa"/>
            <w:vAlign w:val="center"/>
          </w:tcPr>
          <w:p w14:paraId="5417D7D9">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各供应商：</w:t>
            </w:r>
          </w:p>
          <w:p w14:paraId="328B192C">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欢迎贵公司参与</w:t>
            </w:r>
            <w:bookmarkStart w:id="60" w:name="OLE_LINK27"/>
            <w:r>
              <w:rPr>
                <w:rFonts w:hint="eastAsia" w:ascii="宋体" w:hAnsi="宋体" w:eastAsia="宋体" w:cs="宋体"/>
                <w:color w:val="000000"/>
                <w:sz w:val="21"/>
                <w:szCs w:val="21"/>
                <w:lang w:val="en-US" w:eastAsia="zh-CN"/>
              </w:rPr>
              <w:t>郑东新区</w:t>
            </w:r>
            <w:bookmarkEnd w:id="60"/>
            <w:r>
              <w:rPr>
                <w:rFonts w:hint="eastAsia" w:ascii="宋体" w:hAnsi="宋体" w:eastAsia="宋体" w:cs="宋体"/>
                <w:color w:val="000000"/>
                <w:sz w:val="21"/>
                <w:szCs w:val="21"/>
                <w:lang w:val="en-US" w:eastAsia="zh-CN"/>
              </w:rPr>
              <w:t>政府采购活动！</w:t>
            </w:r>
          </w:p>
          <w:p w14:paraId="54A1873F">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政府采购合同融资是河南省财政厅支持中小微企业发展，针对参与政府采购活动的供应商融资难、融资贵问题推出的一项融资政策。贵公司若成为本次政府采购项目的中标（成交）成交供应商，可持政府采购合同向金融机构申请贷款，无需抵押、担保，融资机构将根据《河南省政府采购合同融资工作实施方案》（豫财购(2017〕10号），按照双方自愿的原则提供便捷、优惠的贷款服务。</w:t>
            </w:r>
          </w:p>
          <w:p w14:paraId="605902C3">
            <w:pPr>
              <w:spacing w:line="360" w:lineRule="auto"/>
              <w:ind w:firstLine="210" w:firstLineChars="100"/>
              <w:rPr>
                <w:b/>
                <w:bCs/>
              </w:rPr>
            </w:pPr>
            <w:r>
              <w:rPr>
                <w:rFonts w:hint="eastAsia" w:ascii="宋体" w:hAnsi="宋体" w:eastAsia="宋体" w:cs="宋体"/>
                <w:color w:val="000000"/>
                <w:sz w:val="21"/>
                <w:szCs w:val="21"/>
                <w:lang w:val="en-US" w:eastAsia="zh-CN"/>
              </w:rPr>
              <w:t>贷款渠道和提供贷款的金融机构，可在郑东新区政府采购网“河南省政府采购合同融资平台”“政府采购融资贷业务”查询联系。</w:t>
            </w:r>
          </w:p>
        </w:tc>
      </w:tr>
      <w:tr w14:paraId="0F14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CEDFB36">
            <w:pPr>
              <w:spacing w:before="156" w:beforeLines="50" w:line="360" w:lineRule="auto"/>
              <w:jc w:val="center"/>
              <w:rPr>
                <w:rFonts w:hint="default" w:ascii="宋体" w:hAnsi="宋体" w:eastAsia="宋体"/>
                <w:highlight w:val="none"/>
                <w:lang w:val="en-US" w:eastAsia="zh-CN"/>
              </w:rPr>
            </w:pPr>
            <w:r>
              <w:rPr>
                <w:rFonts w:hint="eastAsia" w:ascii="宋体" w:hAnsi="宋体"/>
                <w:highlight w:val="none"/>
                <w:lang w:val="en-US" w:eastAsia="zh-CN"/>
              </w:rPr>
              <w:t>10.8</w:t>
            </w:r>
          </w:p>
        </w:tc>
        <w:tc>
          <w:tcPr>
            <w:tcW w:w="8457" w:type="dxa"/>
            <w:gridSpan w:val="2"/>
            <w:vAlign w:val="center"/>
          </w:tcPr>
          <w:p w14:paraId="318DD99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highlight w:val="none"/>
              </w:rPr>
              <w:t>采购标的所属行业：根据《关于印发中小企业划型标准规定的通知》（工信部联企业〔2011〕300号）所列行业分类规定，本项目采购标的属于其他未列明行业。</w:t>
            </w:r>
          </w:p>
        </w:tc>
      </w:tr>
      <w:tr w14:paraId="4F4A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8" w:hRule="atLeast"/>
        </w:trPr>
        <w:tc>
          <w:tcPr>
            <w:tcW w:w="897" w:type="dxa"/>
            <w:vAlign w:val="center"/>
          </w:tcPr>
          <w:p w14:paraId="35D3CEE5">
            <w:pPr>
              <w:spacing w:before="156" w:beforeLines="50" w:line="360" w:lineRule="auto"/>
              <w:jc w:val="center"/>
              <w:rPr>
                <w:rFonts w:ascii="宋体" w:hAnsi="宋体"/>
              </w:rPr>
            </w:pPr>
            <w:r>
              <w:rPr>
                <w:rFonts w:hint="eastAsia" w:ascii="宋体" w:hAnsi="宋体"/>
              </w:rPr>
              <w:t>11</w:t>
            </w:r>
          </w:p>
        </w:tc>
        <w:tc>
          <w:tcPr>
            <w:tcW w:w="8457" w:type="dxa"/>
            <w:gridSpan w:val="2"/>
            <w:vAlign w:val="center"/>
          </w:tcPr>
          <w:p w14:paraId="087662C5">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政府采购强制采购产品（伴随服务的货物）：</w:t>
            </w:r>
          </w:p>
          <w:p w14:paraId="74A5D1AE">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为《关于印发节能产品政府采购品目清单的通知》财库〔2019〕19号“节能产品政府采购品目清单”中政府强制采购节能产品的，投标人应提供有效期内的节能认证证书（认证机构：应符合《市场监管总局关于发布参与实施政府采购节能产品、环境标志产品认证机构名录的公告》[2019年第16号]的“参与实施政府采购节能产品认证机构名录”），否则其投标将被认定为投标无效。</w:t>
            </w:r>
          </w:p>
          <w:p w14:paraId="50D6E359">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属于信息安全产品的，根据《关于信息安全产品实施政府采购的通知》财库[2010]48号和国家质量监督检验检疫总局、国家认证认可监督管理委员会《关于调整信息安全产品强制性认证实施要求的公告》2009年第33号的规定，投标人所投产品应为经国家认证的信息安全产品，并提供由中国信息安全认证中心按国家标准认证颁发的有效认证证书，否则其投标将被认定为投标无效。</w:t>
            </w:r>
          </w:p>
          <w:p w14:paraId="7873FE73">
            <w:pPr>
              <w:spacing w:line="360" w:lineRule="auto"/>
              <w:ind w:firstLine="420" w:firstLineChars="200"/>
              <w:rPr>
                <w:rFonts w:ascii="宋体" w:hAnsi="宋体"/>
              </w:rPr>
            </w:pPr>
            <w:r>
              <w:rPr>
                <w:rFonts w:hint="eastAsia" w:ascii="宋体" w:hAnsi="宋体" w:cs="宋体" w:eastAsiaTheme="minorEastAsia"/>
                <w:color w:val="auto"/>
                <w:kern w:val="2"/>
                <w:sz w:val="21"/>
                <w:szCs w:val="24"/>
                <w:lang w:val="en-US" w:eastAsia="zh-CN" w:bidi="ar-SA"/>
              </w:rPr>
              <w:t>投标产品已列入《市场监管总局关于优化强制性产品认证目录的公告【2020年第18号】的产品必须提供通过国家3C认证的有关证明材料。</w:t>
            </w:r>
          </w:p>
        </w:tc>
      </w:tr>
      <w:tr w14:paraId="34EC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897" w:type="dxa"/>
            <w:vAlign w:val="center"/>
          </w:tcPr>
          <w:p w14:paraId="630FE3A0">
            <w:pPr>
              <w:adjustRightInd w:val="0"/>
              <w:spacing w:line="360" w:lineRule="auto"/>
              <w:jc w:val="center"/>
              <w:textAlignment w:val="baseline"/>
              <w:rPr>
                <w:rFonts w:ascii="宋体" w:hAnsi="宋体" w:cs="宋体"/>
                <w:szCs w:val="21"/>
              </w:rPr>
            </w:pPr>
            <w:r>
              <w:rPr>
                <w:rFonts w:hint="eastAsia" w:ascii="宋体" w:hAnsi="宋体" w:cs="宋体"/>
                <w:szCs w:val="21"/>
              </w:rPr>
              <w:t>12</w:t>
            </w:r>
          </w:p>
        </w:tc>
        <w:tc>
          <w:tcPr>
            <w:tcW w:w="8457" w:type="dxa"/>
            <w:gridSpan w:val="2"/>
            <w:vAlign w:val="center"/>
          </w:tcPr>
          <w:p w14:paraId="2F13DBD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（1）构成本招标文件的各个组成文件应互为解释，互为说明；</w:t>
            </w:r>
          </w:p>
          <w:p w14:paraId="258A2BC3">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（2）如有不明确或不一致，构成合同文件组成内容的，以合同文件约定内容为准，且以专用合同条款约定的合同文件优先顺序解释；</w:t>
            </w:r>
          </w:p>
          <w:p w14:paraId="26CE310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（3）除招标文件中有特别规定外，仅适用于招标投标阶段的规定，按招标公告、供应商须知、评标办法、投标文件格式的先后顺序解释；</w:t>
            </w:r>
          </w:p>
          <w:p w14:paraId="75D5E748">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（4）同一组成文件中就同一事项的规定或约定不一致的，以编排顺序在后者为准；</w:t>
            </w:r>
          </w:p>
          <w:p w14:paraId="609FCFE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同一组成文件不同版本之间有不一致的，以形成时间在后者为准。</w:t>
            </w:r>
          </w:p>
          <w:p w14:paraId="6066383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按本款前述规定仍不能形成结论的，由采购人负责解释。</w:t>
            </w:r>
          </w:p>
          <w:p w14:paraId="76137554">
            <w:pPr>
              <w:pStyle w:val="48"/>
              <w:keepNext/>
              <w:widowControl/>
              <w:tabs>
                <w:tab w:val="left" w:pos="1190"/>
              </w:tabs>
              <w:overflowPunct w:val="0"/>
              <w:spacing w:line="360" w:lineRule="auto"/>
              <w:rPr>
                <w:rFonts w:ascii="宋体" w:hAnsi="宋体" w:cs="宋体"/>
                <w:szCs w:val="21"/>
              </w:rPr>
            </w:pPr>
            <w:r>
              <w:rPr>
                <w:rFonts w:hint="eastAsia" w:ascii="宋体" w:hAnsi="宋体" w:cs="宋体" w:eastAsiaTheme="minorEastAsia"/>
                <w:color w:val="auto"/>
                <w:kern w:val="2"/>
                <w:sz w:val="21"/>
                <w:szCs w:val="24"/>
                <w:lang w:val="en-US" w:eastAsia="zh-CN" w:bidi="ar-SA"/>
              </w:rPr>
              <w:t>其他未尽事宜按相关法律法规执行。</w:t>
            </w:r>
          </w:p>
        </w:tc>
      </w:tr>
    </w:tbl>
    <w:p w14:paraId="54DA0E5B">
      <w:bookmarkStart w:id="61" w:name="_Toc16296"/>
      <w:bookmarkStart w:id="62" w:name="_Toc24745"/>
      <w:bookmarkStart w:id="63" w:name="_Toc6"/>
      <w:r>
        <w:br w:type="page"/>
      </w:r>
    </w:p>
    <w:p w14:paraId="438F7F7F">
      <w:pPr>
        <w:pStyle w:val="2"/>
        <w:spacing w:line="360" w:lineRule="auto"/>
        <w:rPr>
          <w:rFonts w:cs="宋体"/>
          <w:sz w:val="24"/>
          <w:szCs w:val="24"/>
        </w:rPr>
      </w:pPr>
      <w:bookmarkStart w:id="64" w:name="_Toc31005"/>
      <w:bookmarkStart w:id="65" w:name="_Toc5918"/>
      <w:r>
        <w:rPr>
          <w:rFonts w:hint="eastAsia" w:cs="宋体"/>
          <w:sz w:val="24"/>
          <w:szCs w:val="24"/>
        </w:rPr>
        <w:t>1．总则</w:t>
      </w:r>
      <w:bookmarkEnd w:id="61"/>
      <w:bookmarkEnd w:id="62"/>
      <w:bookmarkEnd w:id="63"/>
      <w:bookmarkEnd w:id="64"/>
      <w:bookmarkEnd w:id="65"/>
    </w:p>
    <w:p w14:paraId="639B53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1.1项目概况</w:t>
      </w:r>
    </w:p>
    <w:p w14:paraId="47AB44DB">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1.1.1 </w:t>
      </w:r>
      <w:r>
        <w:rPr>
          <w:rFonts w:hint="eastAsia" w:ascii="宋体" w:hAnsi="宋体" w:cs="宋体"/>
          <w:szCs w:val="21"/>
        </w:rPr>
        <w:t>根据《中华人民共和国政府采购法》等有关法律、法规和规章的规定，本招标项目已具备招标条件，现对本项目进行招标。</w:t>
      </w:r>
    </w:p>
    <w:p w14:paraId="76C2175E">
      <w:pPr>
        <w:numPr>
          <w:ilvl w:val="0"/>
          <w:numId w:val="0"/>
        </w:numPr>
        <w:spacing w:line="360" w:lineRule="auto"/>
        <w:ind w:leftChars="200"/>
        <w:rPr>
          <w:rFonts w:hint="eastAsia" w:ascii="宋体" w:hAnsi="宋体" w:eastAsia="宋体" w:cs="宋体"/>
          <w:kern w:val="2"/>
          <w:sz w:val="21"/>
          <w:szCs w:val="24"/>
          <w:lang w:val="en-US" w:eastAsia="zh-CN" w:bidi="ar-SA"/>
        </w:rPr>
      </w:pPr>
      <w:r>
        <w:rPr>
          <w:rFonts w:hint="eastAsia" w:ascii="宋体" w:hAnsi="宋体" w:cs="宋体"/>
          <w:kern w:val="2"/>
          <w:sz w:val="21"/>
          <w:szCs w:val="24"/>
          <w:lang w:val="en-US" w:eastAsia="zh-CN" w:bidi="ar-SA"/>
        </w:rPr>
        <w:t>1.1.2 采购人</w:t>
      </w:r>
      <w:r>
        <w:rPr>
          <w:rFonts w:hint="eastAsia" w:ascii="宋体" w:hAnsi="宋体" w:eastAsia="宋体" w:cs="宋体"/>
          <w:kern w:val="2"/>
          <w:sz w:val="21"/>
          <w:szCs w:val="24"/>
          <w:lang w:val="en-US" w:eastAsia="zh-CN" w:bidi="ar-SA"/>
        </w:rPr>
        <w:t>：见</w:t>
      </w:r>
      <w:r>
        <w:rPr>
          <w:rFonts w:hint="eastAsia" w:ascii="宋体" w:hAnsi="宋体" w:cs="宋体"/>
          <w:kern w:val="2"/>
          <w:sz w:val="21"/>
          <w:szCs w:val="24"/>
          <w:lang w:val="en-US" w:eastAsia="zh-CN" w:bidi="ar-SA"/>
        </w:rPr>
        <w:t>供应商须知</w:t>
      </w:r>
      <w:r>
        <w:rPr>
          <w:rFonts w:hint="eastAsia" w:ascii="宋体" w:hAnsi="宋体" w:eastAsia="宋体" w:cs="宋体"/>
          <w:kern w:val="2"/>
          <w:sz w:val="21"/>
          <w:szCs w:val="24"/>
          <w:lang w:val="en-US" w:eastAsia="zh-CN" w:bidi="ar-SA"/>
        </w:rPr>
        <w:t>前附表。</w:t>
      </w:r>
    </w:p>
    <w:p w14:paraId="5EBCD718">
      <w:pPr>
        <w:spacing w:line="360" w:lineRule="auto"/>
        <w:ind w:firstLine="420" w:firstLineChars="200"/>
        <w:rPr>
          <w:rFonts w:ascii="宋体" w:hAnsi="宋体" w:cs="宋体"/>
        </w:rPr>
      </w:pPr>
      <w:r>
        <w:rPr>
          <w:rFonts w:hint="eastAsia" w:ascii="宋体" w:hAnsi="宋体" w:cs="宋体"/>
        </w:rPr>
        <w:t>1.1.3 本项目采购代理机构：见</w:t>
      </w:r>
      <w:r>
        <w:rPr>
          <w:rFonts w:hint="eastAsia" w:ascii="宋体" w:hAnsi="宋体" w:cs="宋体"/>
          <w:lang w:eastAsia="zh-CN"/>
        </w:rPr>
        <w:t>供应商须知</w:t>
      </w:r>
      <w:r>
        <w:rPr>
          <w:rFonts w:hint="eastAsia" w:ascii="宋体" w:hAnsi="宋体" w:cs="宋体"/>
        </w:rPr>
        <w:t>前附表。</w:t>
      </w:r>
    </w:p>
    <w:p w14:paraId="266A5B88">
      <w:pPr>
        <w:spacing w:line="360" w:lineRule="auto"/>
        <w:ind w:firstLine="420" w:firstLineChars="200"/>
        <w:rPr>
          <w:rFonts w:ascii="宋体" w:hAnsi="宋体" w:cs="宋体"/>
        </w:rPr>
      </w:pPr>
      <w:r>
        <w:rPr>
          <w:rFonts w:hint="eastAsia" w:ascii="宋体" w:hAnsi="宋体" w:cs="宋体"/>
        </w:rPr>
        <w:t>1.1.4 本招标项目名称：见</w:t>
      </w:r>
      <w:r>
        <w:rPr>
          <w:rFonts w:hint="eastAsia" w:ascii="宋体" w:hAnsi="宋体" w:cs="宋体"/>
          <w:lang w:eastAsia="zh-CN"/>
        </w:rPr>
        <w:t>供应商须知</w:t>
      </w:r>
      <w:r>
        <w:rPr>
          <w:rFonts w:hint="eastAsia" w:ascii="宋体" w:hAnsi="宋体" w:cs="宋体"/>
        </w:rPr>
        <w:t>前附表。</w:t>
      </w:r>
    </w:p>
    <w:p w14:paraId="10A323F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1.2本次项目资金来源、出资比例和资金落实情况</w:t>
      </w:r>
    </w:p>
    <w:p w14:paraId="0D11B019">
      <w:pPr>
        <w:spacing w:line="360" w:lineRule="auto"/>
        <w:ind w:firstLine="420" w:firstLineChars="200"/>
        <w:rPr>
          <w:rFonts w:ascii="宋体" w:hAnsi="宋体" w:cs="宋体"/>
          <w:szCs w:val="21"/>
        </w:rPr>
      </w:pPr>
      <w:r>
        <w:rPr>
          <w:rFonts w:hint="eastAsia" w:ascii="宋体" w:hAnsi="宋体" w:cs="宋体"/>
          <w:szCs w:val="21"/>
        </w:rPr>
        <w:t>1.2.1 本次项目资金来源：见</w:t>
      </w:r>
      <w:r>
        <w:rPr>
          <w:rFonts w:hint="eastAsia" w:ascii="宋体" w:hAnsi="宋体" w:cs="宋体"/>
          <w:szCs w:val="21"/>
          <w:lang w:eastAsia="zh-CN"/>
        </w:rPr>
        <w:t>供应商须知</w:t>
      </w:r>
      <w:r>
        <w:rPr>
          <w:rFonts w:hint="eastAsia" w:ascii="宋体" w:hAnsi="宋体" w:cs="宋体"/>
          <w:szCs w:val="21"/>
        </w:rPr>
        <w:t>前附表。</w:t>
      </w:r>
    </w:p>
    <w:p w14:paraId="384FCFD5">
      <w:pPr>
        <w:spacing w:line="360" w:lineRule="auto"/>
        <w:ind w:firstLine="420" w:firstLineChars="200"/>
        <w:rPr>
          <w:rFonts w:ascii="宋体" w:hAnsi="宋体" w:cs="宋体"/>
          <w:szCs w:val="21"/>
        </w:rPr>
      </w:pPr>
      <w:r>
        <w:rPr>
          <w:rFonts w:hint="eastAsia" w:ascii="宋体" w:hAnsi="宋体" w:cs="宋体"/>
          <w:szCs w:val="21"/>
        </w:rPr>
        <w:t>1.2.2 本项目的出资比例：见</w:t>
      </w:r>
      <w:r>
        <w:rPr>
          <w:rFonts w:hint="eastAsia" w:ascii="宋体" w:hAnsi="宋体" w:cs="宋体"/>
          <w:szCs w:val="21"/>
          <w:lang w:eastAsia="zh-CN"/>
        </w:rPr>
        <w:t>供应商须知</w:t>
      </w:r>
      <w:r>
        <w:rPr>
          <w:rFonts w:hint="eastAsia" w:ascii="宋体" w:hAnsi="宋体" w:cs="宋体"/>
          <w:szCs w:val="21"/>
        </w:rPr>
        <w:t>前附表。</w:t>
      </w:r>
    </w:p>
    <w:p w14:paraId="0B939DE5">
      <w:pPr>
        <w:spacing w:line="360" w:lineRule="auto"/>
        <w:ind w:firstLine="420" w:firstLineChars="200"/>
        <w:rPr>
          <w:rFonts w:ascii="宋体" w:hAnsi="宋体" w:cs="宋体"/>
          <w:szCs w:val="21"/>
        </w:rPr>
      </w:pPr>
      <w:r>
        <w:rPr>
          <w:rFonts w:hint="eastAsia" w:ascii="宋体" w:hAnsi="宋体" w:cs="宋体"/>
          <w:szCs w:val="21"/>
        </w:rPr>
        <w:t>1.2.3 本项目的资金落实情况：见</w:t>
      </w:r>
      <w:r>
        <w:rPr>
          <w:rFonts w:hint="eastAsia" w:ascii="宋体" w:hAnsi="宋体" w:cs="宋体"/>
          <w:szCs w:val="21"/>
          <w:lang w:eastAsia="zh-CN"/>
        </w:rPr>
        <w:t>供应商须知</w:t>
      </w:r>
      <w:r>
        <w:rPr>
          <w:rFonts w:hint="eastAsia" w:ascii="宋体" w:hAnsi="宋体" w:cs="宋体"/>
          <w:szCs w:val="21"/>
        </w:rPr>
        <w:t>前附表。</w:t>
      </w:r>
    </w:p>
    <w:p w14:paraId="36FB22EC">
      <w:pPr>
        <w:pStyle w:val="5"/>
        <w:spacing w:before="0" w:after="0" w:line="360" w:lineRule="auto"/>
      </w:pPr>
      <w:r>
        <w:rPr>
          <w:rFonts w:hint="eastAsia" w:ascii="宋体" w:hAnsi="宋体" w:eastAsia="宋体" w:cs="宋体"/>
          <w:sz w:val="21"/>
          <w:szCs w:val="21"/>
        </w:rPr>
        <w:t>1.3本次项目</w:t>
      </w:r>
      <w:r>
        <w:rPr>
          <w:rFonts w:hint="eastAsia" w:ascii="宋体" w:hAnsi="宋体" w:eastAsia="宋体" w:cs="宋体"/>
          <w:sz w:val="21"/>
          <w:szCs w:val="21"/>
          <w:lang w:eastAsia="zh-CN"/>
        </w:rPr>
        <w:t>服务内容</w:t>
      </w:r>
      <w:r>
        <w:rPr>
          <w:rFonts w:hint="eastAsia" w:ascii="宋体" w:hAnsi="宋体" w:eastAsia="宋体" w:cs="宋体"/>
          <w:sz w:val="21"/>
          <w:szCs w:val="21"/>
        </w:rPr>
        <w:t>、服务质量、标段划分和合同履行期限</w:t>
      </w:r>
    </w:p>
    <w:p w14:paraId="4EF3253B">
      <w:pPr>
        <w:spacing w:line="360" w:lineRule="auto"/>
        <w:ind w:firstLine="420" w:firstLineChars="200"/>
        <w:rPr>
          <w:rFonts w:ascii="宋体" w:hAnsi="宋体" w:cs="宋体"/>
          <w:color w:val="auto"/>
          <w:szCs w:val="21"/>
        </w:rPr>
      </w:pPr>
      <w:r>
        <w:rPr>
          <w:rFonts w:hint="eastAsia" w:ascii="宋体" w:hAnsi="宋体" w:cs="宋体"/>
          <w:szCs w:val="21"/>
        </w:rPr>
        <w:t>1.3.1 本</w:t>
      </w:r>
      <w:r>
        <w:rPr>
          <w:rFonts w:hint="eastAsia" w:ascii="宋体" w:hAnsi="宋体" w:cs="宋体"/>
          <w:color w:val="auto"/>
          <w:szCs w:val="21"/>
        </w:rPr>
        <w:t>次项目</w:t>
      </w:r>
      <w:r>
        <w:rPr>
          <w:rFonts w:hint="eastAsia" w:ascii="宋体" w:hAnsi="宋体" w:cs="宋体"/>
          <w:color w:val="auto"/>
          <w:szCs w:val="21"/>
          <w:lang w:eastAsia="zh-CN"/>
        </w:rPr>
        <w:t>服务内容</w:t>
      </w:r>
      <w:r>
        <w:rPr>
          <w:rFonts w:hint="eastAsia" w:ascii="宋体" w:hAnsi="宋体" w:cs="宋体"/>
          <w:color w:val="auto"/>
          <w:szCs w:val="21"/>
        </w:rPr>
        <w:t>：见</w:t>
      </w:r>
      <w:r>
        <w:rPr>
          <w:rFonts w:hint="eastAsia" w:ascii="宋体" w:hAnsi="宋体" w:cs="宋体"/>
          <w:color w:val="auto"/>
          <w:szCs w:val="21"/>
          <w:lang w:eastAsia="zh-CN"/>
        </w:rPr>
        <w:t>供应商须知</w:t>
      </w:r>
      <w:r>
        <w:rPr>
          <w:rFonts w:hint="eastAsia" w:ascii="宋体" w:hAnsi="宋体" w:cs="宋体"/>
          <w:color w:val="auto"/>
          <w:szCs w:val="21"/>
        </w:rPr>
        <w:t>前附表。</w:t>
      </w:r>
    </w:p>
    <w:p w14:paraId="26CA73C0">
      <w:pPr>
        <w:spacing w:line="360" w:lineRule="auto"/>
        <w:ind w:firstLine="420" w:firstLineChars="200"/>
        <w:rPr>
          <w:rFonts w:ascii="宋体" w:hAnsi="宋体" w:cs="宋体"/>
          <w:szCs w:val="21"/>
        </w:rPr>
      </w:pPr>
      <w:r>
        <w:rPr>
          <w:rFonts w:hint="eastAsia" w:ascii="宋体" w:hAnsi="宋体" w:cs="宋体"/>
          <w:szCs w:val="21"/>
        </w:rPr>
        <w:t>1.3.2本次项目服务质量：见</w:t>
      </w:r>
      <w:r>
        <w:rPr>
          <w:rFonts w:hint="eastAsia" w:ascii="宋体" w:hAnsi="宋体" w:cs="宋体"/>
          <w:szCs w:val="21"/>
          <w:lang w:eastAsia="zh-CN"/>
        </w:rPr>
        <w:t>供应商须知</w:t>
      </w:r>
      <w:r>
        <w:rPr>
          <w:rFonts w:hint="eastAsia" w:ascii="宋体" w:hAnsi="宋体" w:cs="宋体"/>
          <w:szCs w:val="21"/>
        </w:rPr>
        <w:t>前附表。</w:t>
      </w:r>
    </w:p>
    <w:p w14:paraId="3DB756C8">
      <w:pPr>
        <w:spacing w:line="360" w:lineRule="auto"/>
        <w:ind w:firstLine="420" w:firstLineChars="200"/>
        <w:rPr>
          <w:rFonts w:ascii="宋体" w:hAnsi="宋体" w:cs="宋体"/>
          <w:szCs w:val="21"/>
        </w:rPr>
      </w:pPr>
      <w:r>
        <w:rPr>
          <w:rFonts w:hint="eastAsia" w:ascii="宋体" w:hAnsi="宋体" w:cs="宋体"/>
          <w:szCs w:val="21"/>
        </w:rPr>
        <w:t>1.3.3本次项目标段划分：见</w:t>
      </w:r>
      <w:r>
        <w:rPr>
          <w:rFonts w:hint="eastAsia" w:ascii="宋体" w:hAnsi="宋体" w:cs="宋体"/>
          <w:szCs w:val="21"/>
          <w:lang w:eastAsia="zh-CN"/>
        </w:rPr>
        <w:t>供应商须知</w:t>
      </w:r>
      <w:r>
        <w:rPr>
          <w:rFonts w:hint="eastAsia" w:ascii="宋体" w:hAnsi="宋体" w:cs="宋体"/>
          <w:szCs w:val="21"/>
        </w:rPr>
        <w:t>前附表。</w:t>
      </w:r>
    </w:p>
    <w:p w14:paraId="6A4F81B5">
      <w:pPr>
        <w:spacing w:line="360" w:lineRule="auto"/>
        <w:ind w:firstLine="420" w:firstLineChars="200"/>
        <w:rPr>
          <w:rFonts w:ascii="宋体" w:hAnsi="宋体" w:cs="宋体"/>
          <w:szCs w:val="21"/>
        </w:rPr>
      </w:pPr>
      <w:r>
        <w:rPr>
          <w:rFonts w:hint="eastAsia" w:ascii="宋体" w:hAnsi="宋体" w:cs="宋体"/>
          <w:szCs w:val="21"/>
        </w:rPr>
        <w:t>1.3.4本次项目合同履行期限：见</w:t>
      </w:r>
      <w:r>
        <w:rPr>
          <w:rFonts w:hint="eastAsia" w:ascii="宋体" w:hAnsi="宋体" w:cs="宋体"/>
          <w:szCs w:val="21"/>
          <w:lang w:eastAsia="zh-CN"/>
        </w:rPr>
        <w:t>供应商须知</w:t>
      </w:r>
      <w:r>
        <w:rPr>
          <w:rFonts w:hint="eastAsia" w:ascii="宋体" w:hAnsi="宋体" w:cs="宋体"/>
          <w:szCs w:val="21"/>
        </w:rPr>
        <w:t>前附表。</w:t>
      </w:r>
    </w:p>
    <w:p w14:paraId="32E1D102">
      <w:pPr>
        <w:pStyle w:val="5"/>
        <w:spacing w:before="0" w:after="0" w:line="360" w:lineRule="auto"/>
        <w:rPr>
          <w:rFonts w:hint="eastAsia" w:ascii="宋体" w:hAnsi="宋体" w:eastAsia="宋体" w:cs="宋体"/>
          <w:sz w:val="21"/>
          <w:szCs w:val="21"/>
          <w:lang w:eastAsia="zh-CN"/>
        </w:rPr>
      </w:pPr>
      <w:r>
        <w:rPr>
          <w:rFonts w:hint="eastAsia" w:ascii="宋体" w:hAnsi="宋体" w:eastAsia="宋体" w:cs="宋体"/>
          <w:sz w:val="21"/>
          <w:szCs w:val="21"/>
        </w:rPr>
        <w:t>1.4</w:t>
      </w:r>
      <w:r>
        <w:rPr>
          <w:rFonts w:hint="eastAsia" w:ascii="宋体" w:hAnsi="宋体" w:eastAsia="宋体" w:cs="宋体"/>
          <w:sz w:val="21"/>
          <w:szCs w:val="21"/>
          <w:lang w:eastAsia="zh-CN"/>
        </w:rPr>
        <w:t>供应商资格要求</w:t>
      </w:r>
    </w:p>
    <w:p w14:paraId="0E0DE3DC">
      <w:pPr>
        <w:spacing w:line="360" w:lineRule="auto"/>
        <w:ind w:firstLine="525" w:firstLineChars="250"/>
        <w:rPr>
          <w:rFonts w:ascii="宋体" w:hAnsi="宋体" w:cs="宋体"/>
          <w:szCs w:val="21"/>
        </w:rPr>
      </w:pPr>
      <w:r>
        <w:rPr>
          <w:rFonts w:hint="eastAsia" w:ascii="宋体" w:hAnsi="宋体" w:cs="宋体"/>
          <w:szCs w:val="21"/>
        </w:rPr>
        <w:t>1.4.1 投标人应具备承担本项目的资质条件能力和信誉要求。</w:t>
      </w:r>
    </w:p>
    <w:p w14:paraId="353484B0">
      <w:pPr>
        <w:spacing w:line="360" w:lineRule="auto"/>
        <w:ind w:firstLine="525" w:firstLineChars="250"/>
        <w:rPr>
          <w:rFonts w:hint="eastAsia" w:ascii="宋体" w:hAnsi="宋体" w:eastAsia="宋体" w:cs="宋体"/>
          <w:szCs w:val="21"/>
          <w:lang w:eastAsia="zh-CN"/>
        </w:rPr>
      </w:pPr>
      <w:r>
        <w:rPr>
          <w:rFonts w:hint="eastAsia" w:ascii="宋体" w:hAnsi="宋体" w:cs="宋体"/>
          <w:szCs w:val="21"/>
        </w:rPr>
        <w:t>1.4.2 是否接受联合体投标</w:t>
      </w:r>
      <w:r>
        <w:rPr>
          <w:rFonts w:hint="eastAsia" w:ascii="宋体" w:hAnsi="宋体" w:cs="宋体"/>
          <w:szCs w:val="21"/>
          <w:lang w:eastAsia="zh-CN"/>
        </w:rPr>
        <w:t>：</w:t>
      </w:r>
      <w:r>
        <w:rPr>
          <w:rFonts w:hint="eastAsia" w:ascii="宋体" w:hAnsi="宋体" w:cs="宋体"/>
          <w:szCs w:val="21"/>
        </w:rPr>
        <w:t>见</w:t>
      </w:r>
      <w:r>
        <w:rPr>
          <w:rFonts w:hint="eastAsia" w:ascii="宋体" w:hAnsi="宋体" w:cs="宋体"/>
          <w:szCs w:val="21"/>
          <w:lang w:eastAsia="zh-CN"/>
        </w:rPr>
        <w:t>供应商须知</w:t>
      </w:r>
      <w:r>
        <w:rPr>
          <w:rFonts w:hint="eastAsia" w:ascii="宋体" w:hAnsi="宋体" w:cs="宋体"/>
          <w:szCs w:val="21"/>
        </w:rPr>
        <w:t>前附表。</w:t>
      </w:r>
    </w:p>
    <w:p w14:paraId="4D3E0A02">
      <w:pPr>
        <w:spacing w:line="360" w:lineRule="auto"/>
        <w:ind w:firstLine="525" w:firstLineChars="250"/>
        <w:rPr>
          <w:rFonts w:ascii="宋体" w:hAnsi="宋体" w:cs="宋体"/>
          <w:szCs w:val="21"/>
        </w:rPr>
      </w:pPr>
      <w:r>
        <w:rPr>
          <w:rFonts w:hint="eastAsia" w:ascii="宋体" w:hAnsi="宋体" w:cs="宋体"/>
          <w:szCs w:val="21"/>
          <w:lang w:val="en-US" w:eastAsia="zh-CN"/>
        </w:rPr>
        <w:t xml:space="preserve">1.4.3 </w:t>
      </w:r>
      <w:r>
        <w:rPr>
          <w:rFonts w:hint="eastAsia" w:ascii="宋体" w:hAnsi="宋体" w:cs="宋体"/>
          <w:szCs w:val="21"/>
        </w:rPr>
        <w:t>投标人不得存在下列情形之一：</w:t>
      </w:r>
    </w:p>
    <w:p w14:paraId="30A1AE16">
      <w:pPr>
        <w:spacing w:line="360" w:lineRule="auto"/>
        <w:ind w:firstLine="525" w:firstLineChars="250"/>
        <w:rPr>
          <w:rFonts w:ascii="宋体" w:hAnsi="宋体" w:cs="宋体"/>
          <w:szCs w:val="21"/>
        </w:rPr>
      </w:pPr>
      <w:r>
        <w:rPr>
          <w:rFonts w:hint="eastAsia" w:ascii="宋体" w:hAnsi="宋体" w:cs="宋体"/>
          <w:szCs w:val="21"/>
        </w:rPr>
        <w:t>(l）为</w:t>
      </w:r>
      <w:r>
        <w:rPr>
          <w:rFonts w:hint="eastAsia" w:ascii="宋体" w:hAnsi="宋体" w:cs="宋体"/>
          <w:szCs w:val="21"/>
          <w:lang w:eastAsia="zh-CN"/>
        </w:rPr>
        <w:t>采购人</w:t>
      </w:r>
      <w:r>
        <w:rPr>
          <w:rFonts w:hint="eastAsia" w:ascii="宋体" w:hAnsi="宋体" w:cs="宋体"/>
          <w:szCs w:val="21"/>
        </w:rPr>
        <w:t xml:space="preserve">不具有独立法人资格的附属机构（单位）； </w:t>
      </w:r>
    </w:p>
    <w:p w14:paraId="1E24F6E5">
      <w:pPr>
        <w:spacing w:line="360" w:lineRule="auto"/>
        <w:ind w:firstLine="525" w:firstLineChars="250"/>
        <w:rPr>
          <w:rFonts w:ascii="宋体" w:hAnsi="宋体" w:cs="宋体"/>
          <w:szCs w:val="21"/>
        </w:rPr>
      </w:pPr>
      <w:r>
        <w:rPr>
          <w:rFonts w:hint="eastAsia" w:ascii="宋体" w:hAnsi="宋体" w:cs="宋体"/>
          <w:szCs w:val="21"/>
        </w:rPr>
        <w:t>(2）被责令停业的；</w:t>
      </w:r>
    </w:p>
    <w:p w14:paraId="278376A3">
      <w:pPr>
        <w:spacing w:line="360" w:lineRule="auto"/>
        <w:ind w:firstLine="525" w:firstLineChars="250"/>
        <w:rPr>
          <w:rFonts w:ascii="宋体" w:hAnsi="宋体" w:cs="宋体"/>
          <w:szCs w:val="21"/>
        </w:rPr>
      </w:pPr>
      <w:r>
        <w:rPr>
          <w:rFonts w:hint="eastAsia" w:ascii="宋体" w:hAnsi="宋体" w:cs="宋体"/>
          <w:szCs w:val="21"/>
        </w:rPr>
        <w:t>(3）被暂停或取消投标资格的；</w:t>
      </w:r>
    </w:p>
    <w:p w14:paraId="21D626EF">
      <w:pPr>
        <w:spacing w:line="360" w:lineRule="auto"/>
        <w:ind w:firstLine="525" w:firstLineChars="250"/>
        <w:rPr>
          <w:rFonts w:ascii="宋体" w:hAnsi="宋体" w:cs="宋体"/>
          <w:szCs w:val="21"/>
        </w:rPr>
      </w:pPr>
      <w:r>
        <w:rPr>
          <w:rFonts w:hint="eastAsia" w:ascii="宋体" w:hAnsi="宋体" w:cs="宋体"/>
          <w:szCs w:val="21"/>
        </w:rPr>
        <w:t>(4）财产被接管或冻结的；</w:t>
      </w:r>
    </w:p>
    <w:p w14:paraId="59DDC35A">
      <w:pPr>
        <w:spacing w:line="360" w:lineRule="auto"/>
        <w:ind w:firstLine="525" w:firstLineChars="250"/>
        <w:rPr>
          <w:rFonts w:ascii="宋体" w:hAnsi="宋体" w:cs="宋体"/>
          <w:szCs w:val="21"/>
        </w:rPr>
      </w:pPr>
      <w:r>
        <w:rPr>
          <w:rFonts w:hint="eastAsia" w:ascii="宋体" w:hAnsi="宋体" w:cs="宋体"/>
          <w:szCs w:val="21"/>
        </w:rPr>
        <w:t>(5）参加政府采购活动前三年内在经营活动中有重大违法记录的；</w:t>
      </w:r>
    </w:p>
    <w:p w14:paraId="12152029">
      <w:pPr>
        <w:spacing w:line="360" w:lineRule="auto"/>
        <w:ind w:firstLine="420" w:firstLineChars="200"/>
        <w:rPr>
          <w:rFonts w:ascii="宋体" w:hAnsi="宋体" w:cs="宋体"/>
          <w:szCs w:val="21"/>
        </w:rPr>
      </w:pPr>
      <w:r>
        <w:rPr>
          <w:rFonts w:hint="eastAsia" w:ascii="宋体" w:hAnsi="宋体" w:cs="宋体"/>
          <w:szCs w:val="21"/>
        </w:rPr>
        <w:t>（6）与</w:t>
      </w:r>
      <w:r>
        <w:rPr>
          <w:rFonts w:hint="eastAsia" w:ascii="宋体" w:hAnsi="宋体" w:cs="宋体"/>
          <w:szCs w:val="21"/>
          <w:lang w:eastAsia="zh-CN"/>
        </w:rPr>
        <w:t>采购人</w:t>
      </w:r>
      <w:r>
        <w:rPr>
          <w:rFonts w:hint="eastAsia" w:ascii="宋体" w:hAnsi="宋体" w:cs="宋体"/>
          <w:szCs w:val="21"/>
        </w:rPr>
        <w:t>存在利害关系且可能影响招标公正性；</w:t>
      </w:r>
    </w:p>
    <w:p w14:paraId="0A52CF86">
      <w:pPr>
        <w:spacing w:line="360" w:lineRule="auto"/>
        <w:ind w:firstLine="420" w:firstLineChars="200"/>
        <w:rPr>
          <w:rFonts w:ascii="宋体" w:hAnsi="宋体" w:cs="宋体"/>
          <w:szCs w:val="21"/>
        </w:rPr>
      </w:pPr>
      <w:r>
        <w:rPr>
          <w:rFonts w:hint="eastAsia" w:ascii="宋体" w:hAnsi="宋体" w:cs="宋体"/>
          <w:szCs w:val="21"/>
        </w:rPr>
        <w:t>（7）与本招标项目的其他投标人为同一个单位负责人；</w:t>
      </w:r>
    </w:p>
    <w:p w14:paraId="43F553DA">
      <w:pPr>
        <w:spacing w:line="360" w:lineRule="auto"/>
        <w:ind w:firstLine="420" w:firstLineChars="200"/>
        <w:rPr>
          <w:rFonts w:ascii="宋体" w:hAnsi="宋体" w:cs="宋体"/>
          <w:szCs w:val="21"/>
        </w:rPr>
      </w:pPr>
      <w:r>
        <w:rPr>
          <w:rFonts w:hint="eastAsia" w:ascii="宋体" w:hAnsi="宋体" w:cs="宋体"/>
          <w:szCs w:val="21"/>
        </w:rPr>
        <w:t>（8）与本招标项目的其他投标人存在控股、管理关系；</w:t>
      </w:r>
    </w:p>
    <w:p w14:paraId="70F80895">
      <w:pPr>
        <w:spacing w:line="360" w:lineRule="auto"/>
        <w:ind w:firstLine="420" w:firstLineChars="200"/>
        <w:rPr>
          <w:rFonts w:ascii="宋体" w:hAnsi="宋体" w:cs="宋体"/>
          <w:szCs w:val="21"/>
        </w:rPr>
      </w:pPr>
      <w:r>
        <w:rPr>
          <w:rFonts w:hint="eastAsia" w:ascii="宋体" w:hAnsi="宋体" w:cs="宋体"/>
          <w:szCs w:val="21"/>
        </w:rPr>
        <w:t>（9）为本招标项目的招标代理机构；</w:t>
      </w:r>
    </w:p>
    <w:p w14:paraId="5D172DC1">
      <w:pPr>
        <w:spacing w:line="360" w:lineRule="auto"/>
        <w:ind w:firstLine="420" w:firstLineChars="200"/>
        <w:rPr>
          <w:rFonts w:ascii="宋体" w:hAnsi="宋体" w:cs="宋体"/>
          <w:szCs w:val="21"/>
        </w:rPr>
      </w:pPr>
      <w:r>
        <w:rPr>
          <w:rFonts w:hint="eastAsia" w:ascii="宋体" w:hAnsi="宋体" w:cs="宋体"/>
          <w:szCs w:val="21"/>
        </w:rPr>
        <w:t>（10）投标人以他人名义投标、串通投标、以行贿手段牟取中标，或在投标中弄虚作假的；</w:t>
      </w:r>
    </w:p>
    <w:p w14:paraId="7DEAAAC5">
      <w:pPr>
        <w:spacing w:line="360" w:lineRule="auto"/>
        <w:ind w:firstLine="420" w:firstLineChars="200"/>
        <w:rPr>
          <w:rFonts w:ascii="宋体" w:hAnsi="宋体" w:cs="宋体"/>
          <w:szCs w:val="21"/>
        </w:rPr>
      </w:pPr>
      <w:r>
        <w:rPr>
          <w:rFonts w:hint="eastAsia" w:ascii="宋体" w:hAnsi="宋体" w:cs="宋体"/>
          <w:szCs w:val="21"/>
        </w:rPr>
        <w:t>（11）法律法规规定的其他情形。</w:t>
      </w:r>
    </w:p>
    <w:p w14:paraId="3455B11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1.5费用承担</w:t>
      </w:r>
    </w:p>
    <w:p w14:paraId="5ECC647E">
      <w:pPr>
        <w:spacing w:line="360" w:lineRule="auto"/>
        <w:ind w:firstLine="420" w:firstLineChars="200"/>
        <w:rPr>
          <w:rFonts w:ascii="宋体" w:hAnsi="宋体" w:cs="宋体"/>
          <w:szCs w:val="21"/>
        </w:rPr>
      </w:pPr>
      <w:r>
        <w:rPr>
          <w:rFonts w:hint="eastAsia" w:ascii="宋体" w:hAnsi="宋体" w:cs="宋体"/>
          <w:szCs w:val="21"/>
        </w:rPr>
        <w:t>无论投标过程中的作法和结果如何,投标人应自行承担所有与参加投标有关的全部费用，采购代理机构在任何情况下均无义务和责任承担上述费用。</w:t>
      </w:r>
    </w:p>
    <w:p w14:paraId="56251DB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1.6保密</w:t>
      </w:r>
    </w:p>
    <w:p w14:paraId="5CFDE8DE">
      <w:pPr>
        <w:spacing w:line="360" w:lineRule="auto"/>
        <w:ind w:firstLine="420" w:firstLineChars="200"/>
        <w:rPr>
          <w:rFonts w:ascii="宋体" w:hAnsi="宋体" w:cs="宋体"/>
          <w:szCs w:val="21"/>
        </w:rPr>
      </w:pPr>
      <w:r>
        <w:rPr>
          <w:rFonts w:hint="eastAsia" w:ascii="宋体" w:hAnsi="宋体" w:cs="宋体"/>
          <w:szCs w:val="21"/>
        </w:rPr>
        <w:t>参与招标投标活动的各方应对招标文件和投标文件中的商业和技术等秘密保密，违者应对由此造成的后果承担法律责任。</w:t>
      </w:r>
    </w:p>
    <w:p w14:paraId="504267B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1.7语言文字</w:t>
      </w:r>
    </w:p>
    <w:p w14:paraId="5BD90C18">
      <w:pPr>
        <w:spacing w:line="360" w:lineRule="auto"/>
        <w:ind w:firstLine="420" w:firstLineChars="200"/>
        <w:rPr>
          <w:rFonts w:ascii="宋体" w:hAnsi="宋体" w:cs="宋体"/>
          <w:szCs w:val="21"/>
        </w:rPr>
      </w:pPr>
      <w:r>
        <w:rPr>
          <w:rFonts w:hint="eastAsia" w:ascii="宋体" w:hAnsi="宋体" w:cs="宋体"/>
          <w:szCs w:val="21"/>
        </w:rPr>
        <w:t>除专用术语外，与招标投标有关的语言均使用中文。必要时专用术语应附有中文注释。</w:t>
      </w:r>
    </w:p>
    <w:p w14:paraId="3E8552C3">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1.8计量单位</w:t>
      </w:r>
    </w:p>
    <w:p w14:paraId="6DD67E26">
      <w:pPr>
        <w:spacing w:line="360" w:lineRule="auto"/>
        <w:ind w:firstLine="420" w:firstLineChars="200"/>
        <w:rPr>
          <w:rFonts w:ascii="宋体" w:hAnsi="宋体" w:cs="宋体"/>
          <w:szCs w:val="21"/>
        </w:rPr>
      </w:pPr>
      <w:r>
        <w:rPr>
          <w:rFonts w:hint="eastAsia" w:ascii="宋体" w:hAnsi="宋体" w:cs="宋体"/>
          <w:szCs w:val="21"/>
        </w:rPr>
        <w:t>所有计量均采用中华人民共和国法定计量单位。</w:t>
      </w:r>
    </w:p>
    <w:p w14:paraId="7B9810F1">
      <w:pPr>
        <w:pStyle w:val="5"/>
        <w:spacing w:before="0" w:after="0" w:line="360" w:lineRule="auto"/>
        <w:rPr>
          <w:rFonts w:ascii="宋体" w:hAnsi="宋体" w:eastAsia="宋体" w:cs="宋体"/>
          <w:sz w:val="21"/>
        </w:rPr>
      </w:pPr>
      <w:r>
        <w:rPr>
          <w:rFonts w:hint="eastAsia" w:ascii="宋体" w:hAnsi="宋体" w:eastAsia="宋体" w:cs="宋体"/>
          <w:sz w:val="21"/>
        </w:rPr>
        <w:t>1.9踏勘现场</w:t>
      </w:r>
    </w:p>
    <w:p w14:paraId="486D2C43">
      <w:pPr>
        <w:spacing w:line="360" w:lineRule="auto"/>
        <w:ind w:firstLine="420" w:firstLineChars="200"/>
        <w:rPr>
          <w:rFonts w:ascii="宋体" w:hAnsi="宋体" w:cs="宋体"/>
          <w:szCs w:val="21"/>
        </w:rPr>
      </w:pPr>
      <w:r>
        <w:rPr>
          <w:rFonts w:hint="eastAsia" w:ascii="宋体" w:hAnsi="宋体" w:cs="宋体"/>
          <w:szCs w:val="21"/>
        </w:rPr>
        <w:t>不组织</w:t>
      </w:r>
    </w:p>
    <w:p w14:paraId="06D8A65E">
      <w:pPr>
        <w:pStyle w:val="5"/>
        <w:spacing w:before="0" w:after="0" w:line="360" w:lineRule="auto"/>
        <w:rPr>
          <w:rFonts w:ascii="宋体" w:hAnsi="宋体" w:eastAsia="宋体" w:cs="宋体"/>
          <w:sz w:val="21"/>
        </w:rPr>
      </w:pPr>
      <w:r>
        <w:rPr>
          <w:rFonts w:hint="eastAsia" w:ascii="宋体" w:hAnsi="宋体" w:eastAsia="宋体" w:cs="宋体"/>
          <w:sz w:val="21"/>
        </w:rPr>
        <w:t>1.10投标预备会、投标人提出异议的截止时间和</w:t>
      </w:r>
      <w:r>
        <w:rPr>
          <w:rFonts w:hint="eastAsia" w:ascii="宋体" w:hAnsi="宋体" w:eastAsia="宋体" w:cs="宋体"/>
          <w:sz w:val="21"/>
          <w:lang w:eastAsia="zh-CN"/>
        </w:rPr>
        <w:t>采购人</w:t>
      </w:r>
      <w:r>
        <w:rPr>
          <w:rFonts w:hint="eastAsia" w:ascii="宋体" w:hAnsi="宋体" w:eastAsia="宋体" w:cs="宋体"/>
          <w:sz w:val="21"/>
        </w:rPr>
        <w:t>书面澄清的时间</w:t>
      </w:r>
    </w:p>
    <w:p w14:paraId="46DF8242">
      <w:pPr>
        <w:spacing w:line="360" w:lineRule="auto"/>
        <w:ind w:firstLine="420" w:firstLineChars="200"/>
        <w:rPr>
          <w:rFonts w:ascii="宋体" w:hAnsi="宋体" w:cs="宋体"/>
          <w:szCs w:val="21"/>
        </w:rPr>
      </w:pPr>
      <w:r>
        <w:rPr>
          <w:rFonts w:hint="eastAsia" w:ascii="宋体" w:hAnsi="宋体" w:cs="宋体"/>
          <w:szCs w:val="21"/>
        </w:rPr>
        <w:t>1.10.1投标预备会：见</w:t>
      </w:r>
      <w:r>
        <w:rPr>
          <w:rFonts w:hint="eastAsia" w:ascii="宋体" w:hAnsi="宋体" w:cs="宋体"/>
          <w:szCs w:val="21"/>
          <w:lang w:eastAsia="zh-CN"/>
        </w:rPr>
        <w:t>供应商须知</w:t>
      </w:r>
      <w:r>
        <w:rPr>
          <w:rFonts w:hint="eastAsia" w:ascii="宋体" w:hAnsi="宋体" w:cs="宋体"/>
          <w:szCs w:val="21"/>
        </w:rPr>
        <w:t>前附表。</w:t>
      </w:r>
    </w:p>
    <w:p w14:paraId="233FB574">
      <w:pPr>
        <w:spacing w:line="360" w:lineRule="auto"/>
        <w:ind w:firstLine="420" w:firstLineChars="200"/>
        <w:rPr>
          <w:rFonts w:ascii="宋体" w:hAnsi="宋体" w:cs="宋体"/>
          <w:szCs w:val="21"/>
        </w:rPr>
      </w:pPr>
      <w:r>
        <w:rPr>
          <w:rFonts w:hint="eastAsia" w:ascii="宋体" w:hAnsi="宋体" w:cs="宋体"/>
          <w:szCs w:val="21"/>
        </w:rPr>
        <w:t>1.10.2投标人提出异议的截止时间：见</w:t>
      </w:r>
      <w:r>
        <w:rPr>
          <w:rFonts w:hint="eastAsia" w:ascii="宋体" w:hAnsi="宋体" w:cs="宋体"/>
          <w:szCs w:val="21"/>
          <w:lang w:eastAsia="zh-CN"/>
        </w:rPr>
        <w:t>供应商须知</w:t>
      </w:r>
      <w:r>
        <w:rPr>
          <w:rFonts w:hint="eastAsia" w:ascii="宋体" w:hAnsi="宋体" w:cs="宋体"/>
          <w:szCs w:val="21"/>
        </w:rPr>
        <w:t>前附表。</w:t>
      </w:r>
    </w:p>
    <w:p w14:paraId="437E585A">
      <w:pPr>
        <w:spacing w:line="360" w:lineRule="auto"/>
        <w:ind w:firstLine="420" w:firstLineChars="200"/>
      </w:pPr>
      <w:r>
        <w:rPr>
          <w:rFonts w:hint="eastAsia" w:ascii="宋体" w:hAnsi="宋体" w:cs="宋体"/>
          <w:szCs w:val="21"/>
        </w:rPr>
        <w:t>1.10.3</w:t>
      </w:r>
      <w:r>
        <w:rPr>
          <w:rFonts w:hint="eastAsia" w:ascii="宋体" w:hAnsi="宋体" w:cs="宋体"/>
          <w:szCs w:val="21"/>
          <w:lang w:eastAsia="zh-CN"/>
        </w:rPr>
        <w:t>采购人</w:t>
      </w:r>
      <w:r>
        <w:rPr>
          <w:rFonts w:hint="eastAsia" w:ascii="宋体" w:hAnsi="宋体" w:cs="宋体"/>
          <w:szCs w:val="21"/>
        </w:rPr>
        <w:t>书面澄清的时间：见</w:t>
      </w:r>
      <w:r>
        <w:rPr>
          <w:rFonts w:hint="eastAsia" w:ascii="宋体" w:hAnsi="宋体" w:cs="宋体"/>
          <w:szCs w:val="21"/>
          <w:lang w:eastAsia="zh-CN"/>
        </w:rPr>
        <w:t>供应商须知</w:t>
      </w:r>
      <w:r>
        <w:rPr>
          <w:rFonts w:hint="eastAsia" w:ascii="宋体" w:hAnsi="宋体" w:cs="宋体"/>
          <w:szCs w:val="21"/>
        </w:rPr>
        <w:t>前附表。</w:t>
      </w:r>
    </w:p>
    <w:p w14:paraId="78ED1BE5">
      <w:pPr>
        <w:pStyle w:val="5"/>
        <w:spacing w:before="0" w:after="0" w:line="360" w:lineRule="auto"/>
        <w:rPr>
          <w:rFonts w:ascii="宋体" w:hAnsi="宋体" w:eastAsia="宋体" w:cs="宋体"/>
          <w:sz w:val="21"/>
        </w:rPr>
      </w:pPr>
      <w:r>
        <w:rPr>
          <w:rFonts w:hint="eastAsia" w:ascii="宋体" w:hAnsi="宋体" w:eastAsia="宋体" w:cs="宋体"/>
          <w:sz w:val="21"/>
        </w:rPr>
        <w:t>1.11分包（</w:t>
      </w:r>
      <w:r>
        <w:rPr>
          <w:rFonts w:hint="eastAsia" w:ascii="宋体" w:hAnsi="宋体" w:eastAsia="宋体" w:cs="宋体"/>
          <w:sz w:val="21"/>
          <w:lang w:eastAsia="zh-CN"/>
        </w:rPr>
        <w:t>不允许分包</w:t>
      </w:r>
      <w:r>
        <w:rPr>
          <w:rFonts w:hint="eastAsia" w:ascii="宋体" w:hAnsi="宋体" w:eastAsia="宋体" w:cs="宋体"/>
          <w:sz w:val="21"/>
        </w:rPr>
        <w:t>）</w:t>
      </w:r>
    </w:p>
    <w:p w14:paraId="16D000B0">
      <w:pPr>
        <w:pStyle w:val="5"/>
        <w:spacing w:before="0" w:after="0" w:line="360" w:lineRule="auto"/>
        <w:rPr>
          <w:rFonts w:hint="eastAsia" w:eastAsia="宋体" w:cs="宋体"/>
          <w:sz w:val="24"/>
          <w:szCs w:val="24"/>
          <w:lang w:eastAsia="zh-CN"/>
        </w:rPr>
      </w:pPr>
      <w:r>
        <w:rPr>
          <w:rFonts w:hint="eastAsia" w:ascii="宋体" w:hAnsi="宋体" w:eastAsia="宋体" w:cs="宋体"/>
          <w:sz w:val="21"/>
        </w:rPr>
        <w:t>1.12偏离</w:t>
      </w:r>
      <w:bookmarkStart w:id="66" w:name="_Toc184635072"/>
      <w:bookmarkStart w:id="67" w:name="_Toc31537"/>
      <w:bookmarkStart w:id="68" w:name="_Toc8327"/>
      <w:bookmarkStart w:id="69" w:name="_Toc13145"/>
      <w:bookmarkStart w:id="70" w:name="_Toc7506"/>
      <w:bookmarkStart w:id="71" w:name="_Toc5420"/>
      <w:r>
        <w:rPr>
          <w:rFonts w:hint="eastAsia" w:ascii="宋体" w:hAnsi="宋体" w:eastAsia="宋体" w:cs="宋体"/>
          <w:sz w:val="21"/>
          <w:lang w:eastAsia="zh-CN"/>
        </w:rPr>
        <w:t>（不允许）</w:t>
      </w:r>
    </w:p>
    <w:p w14:paraId="51F5FD5E">
      <w:pPr>
        <w:pStyle w:val="2"/>
        <w:spacing w:line="360" w:lineRule="auto"/>
        <w:rPr>
          <w:rFonts w:cs="宋体"/>
          <w:sz w:val="24"/>
          <w:szCs w:val="24"/>
        </w:rPr>
      </w:pPr>
      <w:r>
        <w:rPr>
          <w:rFonts w:hint="eastAsia" w:cs="宋体"/>
          <w:sz w:val="24"/>
          <w:szCs w:val="24"/>
        </w:rPr>
        <w:t>2．</w:t>
      </w:r>
      <w:bookmarkEnd w:id="66"/>
      <w:r>
        <w:rPr>
          <w:rFonts w:hint="eastAsia" w:cs="宋体"/>
          <w:sz w:val="24"/>
          <w:szCs w:val="24"/>
        </w:rPr>
        <w:t>招标文件</w:t>
      </w:r>
      <w:bookmarkEnd w:id="67"/>
      <w:bookmarkEnd w:id="68"/>
      <w:bookmarkEnd w:id="69"/>
      <w:bookmarkEnd w:id="70"/>
      <w:bookmarkEnd w:id="71"/>
    </w:p>
    <w:p w14:paraId="662C96E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2.1招标文件的组成</w:t>
      </w:r>
    </w:p>
    <w:p w14:paraId="0921D32D">
      <w:pPr>
        <w:spacing w:line="360" w:lineRule="auto"/>
        <w:ind w:firstLine="420" w:firstLineChars="200"/>
        <w:rPr>
          <w:rFonts w:hint="eastAsia" w:ascii="宋体" w:hAnsi="宋体" w:cs="宋体"/>
        </w:rPr>
      </w:pPr>
      <w:r>
        <w:rPr>
          <w:rFonts w:hint="eastAsia" w:ascii="宋体" w:hAnsi="宋体" w:cs="宋体"/>
          <w:szCs w:val="21"/>
        </w:rPr>
        <w:t>本招标文件包括：</w:t>
      </w:r>
      <w:bookmarkStart w:id="72" w:name="_Toc428775431"/>
    </w:p>
    <w:p w14:paraId="6E0DB54A">
      <w:pPr>
        <w:spacing w:line="360" w:lineRule="auto"/>
        <w:ind w:firstLine="525" w:firstLineChars="250"/>
        <w:rPr>
          <w:rFonts w:ascii="宋体" w:hAnsi="宋体" w:cs="宋体"/>
        </w:rPr>
      </w:pPr>
      <w:r>
        <w:rPr>
          <w:rFonts w:hint="eastAsia" w:ascii="宋体" w:hAnsi="宋体" w:cs="宋体"/>
        </w:rPr>
        <w:t xml:space="preserve">第一章   </w:t>
      </w:r>
      <w:bookmarkEnd w:id="72"/>
      <w:r>
        <w:rPr>
          <w:rFonts w:hint="eastAsia" w:ascii="宋体" w:hAnsi="宋体" w:cs="宋体"/>
        </w:rPr>
        <w:t>招标公告</w:t>
      </w:r>
    </w:p>
    <w:p w14:paraId="032CD4DE">
      <w:pPr>
        <w:spacing w:line="360" w:lineRule="auto"/>
        <w:ind w:firstLine="525" w:firstLineChars="250"/>
        <w:rPr>
          <w:rFonts w:ascii="宋体" w:hAnsi="宋体" w:cs="宋体"/>
        </w:rPr>
      </w:pPr>
      <w:bookmarkStart w:id="73" w:name="_Toc428775432"/>
      <w:r>
        <w:rPr>
          <w:rFonts w:hint="eastAsia" w:ascii="宋体" w:hAnsi="宋体" w:cs="宋体"/>
        </w:rPr>
        <w:t xml:space="preserve">第二章   </w:t>
      </w:r>
      <w:bookmarkEnd w:id="73"/>
      <w:r>
        <w:rPr>
          <w:rFonts w:hint="eastAsia" w:ascii="宋体" w:hAnsi="宋体" w:cs="宋体"/>
          <w:lang w:eastAsia="zh-CN"/>
        </w:rPr>
        <w:t>供应商须知</w:t>
      </w:r>
      <w:r>
        <w:rPr>
          <w:rFonts w:hint="eastAsia" w:ascii="宋体" w:hAnsi="宋体" w:cs="宋体"/>
        </w:rPr>
        <w:t xml:space="preserve"> </w:t>
      </w:r>
    </w:p>
    <w:p w14:paraId="43143DED">
      <w:pPr>
        <w:spacing w:line="360" w:lineRule="auto"/>
        <w:ind w:firstLine="525" w:firstLineChars="250"/>
        <w:rPr>
          <w:rFonts w:ascii="宋体" w:hAnsi="宋体" w:cs="宋体"/>
        </w:rPr>
      </w:pPr>
      <w:bookmarkStart w:id="74" w:name="_Toc428775433"/>
      <w:r>
        <w:rPr>
          <w:rFonts w:hint="eastAsia" w:ascii="宋体" w:hAnsi="宋体" w:cs="宋体"/>
        </w:rPr>
        <w:t>第三章   评标办法</w:t>
      </w:r>
      <w:bookmarkEnd w:id="74"/>
      <w:r>
        <w:rPr>
          <w:rFonts w:hint="eastAsia" w:ascii="宋体" w:hAnsi="宋体" w:cs="宋体"/>
        </w:rPr>
        <w:t>（综合评分法）</w:t>
      </w:r>
    </w:p>
    <w:p w14:paraId="13C4A9E3">
      <w:pPr>
        <w:spacing w:line="360" w:lineRule="auto"/>
        <w:ind w:firstLine="525" w:firstLineChars="250"/>
        <w:rPr>
          <w:rFonts w:ascii="宋体" w:hAnsi="宋体" w:cs="宋体"/>
        </w:rPr>
      </w:pPr>
      <w:bookmarkStart w:id="75" w:name="_Toc428775434"/>
      <w:r>
        <w:rPr>
          <w:rFonts w:hint="eastAsia" w:ascii="宋体" w:hAnsi="宋体" w:cs="宋体"/>
        </w:rPr>
        <w:t>第四章   合同条款</w:t>
      </w:r>
      <w:bookmarkEnd w:id="75"/>
    </w:p>
    <w:p w14:paraId="0B350FAE">
      <w:pPr>
        <w:spacing w:line="360" w:lineRule="auto"/>
        <w:ind w:left="525" w:leftChars="250"/>
        <w:rPr>
          <w:rFonts w:hint="eastAsia" w:ascii="宋体" w:hAnsi="宋体" w:eastAsia="宋体" w:cs="宋体"/>
          <w:lang w:eastAsia="zh-CN"/>
        </w:rPr>
      </w:pPr>
      <w:bookmarkStart w:id="76" w:name="_Toc428775435"/>
      <w:r>
        <w:rPr>
          <w:rFonts w:hint="eastAsia" w:ascii="宋体" w:hAnsi="宋体" w:cs="宋体"/>
        </w:rPr>
        <w:t xml:space="preserve">第五章   </w:t>
      </w:r>
      <w:bookmarkEnd w:id="76"/>
      <w:r>
        <w:rPr>
          <w:rFonts w:hint="eastAsia" w:ascii="宋体" w:hAnsi="宋体" w:cs="宋体"/>
          <w:lang w:eastAsia="zh-CN"/>
        </w:rPr>
        <w:t>服务要求</w:t>
      </w:r>
    </w:p>
    <w:p w14:paraId="1FA3729A">
      <w:pPr>
        <w:spacing w:line="360" w:lineRule="auto"/>
        <w:ind w:left="525" w:leftChars="250"/>
        <w:rPr>
          <w:rFonts w:ascii="宋体" w:hAnsi="宋体" w:cs="宋体"/>
        </w:rPr>
      </w:pPr>
      <w:bookmarkStart w:id="77" w:name="_Toc428775436"/>
      <w:r>
        <w:rPr>
          <w:rFonts w:hint="eastAsia" w:ascii="宋体" w:hAnsi="宋体" w:cs="宋体"/>
        </w:rPr>
        <w:t>第六章   投标文件格式</w:t>
      </w:r>
      <w:bookmarkEnd w:id="77"/>
    </w:p>
    <w:p w14:paraId="732D65CE">
      <w:pPr>
        <w:spacing w:line="360" w:lineRule="auto"/>
        <w:ind w:firstLine="420" w:firstLineChars="200"/>
        <w:rPr>
          <w:rFonts w:ascii="宋体" w:hAnsi="宋体" w:cs="宋体"/>
          <w:szCs w:val="21"/>
        </w:rPr>
      </w:pPr>
      <w:r>
        <w:rPr>
          <w:rFonts w:hint="eastAsia" w:ascii="宋体" w:hAnsi="宋体" w:cs="宋体"/>
          <w:szCs w:val="21"/>
        </w:rPr>
        <w:t>根据本章第1.10款、第2.2款和第2.3款对招标文件所作的澄清、修改，构成招标文件的组成部分。</w:t>
      </w:r>
      <w:r>
        <w:rPr>
          <w:rFonts w:hint="eastAsia"/>
        </w:rPr>
        <w:t>如果因投标人未按上述要求提出而造成不良后果的，采购代理机构不承担任何责任。自领取招标文件之日起七（7）个工作日未提出疑问的，将被视为对招标文件完全认可。开标后，</w:t>
      </w:r>
      <w:r>
        <w:rPr>
          <w:rFonts w:hint="eastAsia"/>
          <w:lang w:eastAsia="zh-CN"/>
        </w:rPr>
        <w:t>采购人</w:t>
      </w:r>
      <w:r>
        <w:rPr>
          <w:rFonts w:hint="eastAsia"/>
        </w:rPr>
        <w:t>和采购代理机构不接受任何对招标文件内容的质疑。</w:t>
      </w:r>
    </w:p>
    <w:p w14:paraId="3EDFAC1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2.2招标文件的澄清</w:t>
      </w:r>
    </w:p>
    <w:p w14:paraId="0BA97B1C">
      <w:pPr>
        <w:spacing w:line="360" w:lineRule="auto"/>
        <w:ind w:firstLine="420" w:firstLineChars="200"/>
        <w:rPr>
          <w:rFonts w:ascii="宋体" w:hAnsi="宋体" w:cs="宋体"/>
          <w:szCs w:val="21"/>
        </w:rPr>
      </w:pPr>
      <w:r>
        <w:rPr>
          <w:rFonts w:hint="eastAsia" w:ascii="宋体" w:hAnsi="宋体" w:cs="宋体"/>
          <w:szCs w:val="21"/>
        </w:rPr>
        <w:t>2.2.1 投标人应仔细阅读和检查招标文件的全部内容，如发现缺页或附件不全，应及时向采购代理机构提出，以便补齐。如有疑问，应按</w:t>
      </w:r>
      <w:r>
        <w:rPr>
          <w:rFonts w:hint="eastAsia" w:ascii="宋体" w:hAnsi="宋体" w:cs="宋体"/>
          <w:szCs w:val="21"/>
          <w:lang w:eastAsia="zh-CN"/>
        </w:rPr>
        <w:t>供应商须知</w:t>
      </w:r>
      <w:r>
        <w:rPr>
          <w:rFonts w:hint="eastAsia" w:ascii="宋体" w:hAnsi="宋体" w:cs="宋体"/>
          <w:szCs w:val="21"/>
        </w:rPr>
        <w:t>前附表规定的时间和形式提出问题，要求</w:t>
      </w:r>
      <w:r>
        <w:rPr>
          <w:rFonts w:hint="eastAsia" w:ascii="宋体" w:hAnsi="宋体" w:cs="宋体"/>
          <w:szCs w:val="21"/>
          <w:lang w:eastAsia="zh-CN"/>
        </w:rPr>
        <w:t>采购人</w:t>
      </w:r>
      <w:r>
        <w:rPr>
          <w:rFonts w:hint="eastAsia" w:ascii="宋体" w:hAnsi="宋体" w:cs="宋体"/>
          <w:szCs w:val="21"/>
        </w:rPr>
        <w:t>对招标文件予以澄清。</w:t>
      </w:r>
    </w:p>
    <w:p w14:paraId="506D68E7">
      <w:pPr>
        <w:spacing w:line="360" w:lineRule="auto"/>
        <w:ind w:firstLine="420" w:firstLineChars="200"/>
        <w:rPr>
          <w:rFonts w:ascii="宋体" w:hAnsi="宋体" w:cs="宋体"/>
          <w:szCs w:val="21"/>
        </w:rPr>
      </w:pPr>
      <w:r>
        <w:rPr>
          <w:rFonts w:hint="eastAsia" w:ascii="宋体" w:hAnsi="宋体" w:cs="宋体"/>
          <w:szCs w:val="21"/>
        </w:rPr>
        <w:t>2.2.2 招标文件的澄清以网上公示或发布澄清文件、公告等形式发给各投标人，但不指明澄清问题的来源。如果澄清发出的时间距投标截止时间不足15天，则相应延长投标截止时间。</w:t>
      </w:r>
    </w:p>
    <w:p w14:paraId="4186FBF8">
      <w:pPr>
        <w:spacing w:line="360" w:lineRule="auto"/>
        <w:ind w:firstLine="420" w:firstLineChars="200"/>
        <w:rPr>
          <w:rFonts w:ascii="宋体" w:hAnsi="宋体" w:cs="宋体"/>
          <w:szCs w:val="21"/>
        </w:rPr>
      </w:pPr>
      <w:r>
        <w:rPr>
          <w:rFonts w:hint="eastAsia" w:ascii="宋体" w:hAnsi="宋体" w:cs="宋体"/>
          <w:szCs w:val="21"/>
        </w:rPr>
        <w:t>2.2.3 投标人自行登录“郑州市公共资源交易中心网站”查看是否刊登本项目招标文件澄清文件，并自行下载，如由于投标人未看到澄清文件而带来的风险，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5BB10DE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2.3招标文件的修改</w:t>
      </w:r>
    </w:p>
    <w:p w14:paraId="2E20CABB">
      <w:pPr>
        <w:spacing w:line="360" w:lineRule="auto"/>
        <w:ind w:firstLine="420" w:firstLineChars="200"/>
        <w:rPr>
          <w:rFonts w:ascii="宋体" w:hAnsi="宋体" w:cs="宋体"/>
          <w:szCs w:val="21"/>
        </w:rPr>
      </w:pPr>
      <w:r>
        <w:rPr>
          <w:rFonts w:hint="eastAsia" w:ascii="宋体" w:hAnsi="宋体" w:cs="宋体"/>
          <w:szCs w:val="21"/>
        </w:rPr>
        <w:t>2.3.1在投标截止时间15天前，</w:t>
      </w:r>
      <w:r>
        <w:rPr>
          <w:rFonts w:hint="eastAsia" w:ascii="宋体" w:hAnsi="宋体" w:cs="宋体"/>
          <w:szCs w:val="21"/>
          <w:lang w:eastAsia="zh-CN"/>
        </w:rPr>
        <w:t>采购人</w:t>
      </w:r>
      <w:r>
        <w:rPr>
          <w:rFonts w:hint="eastAsia" w:ascii="宋体" w:hAnsi="宋体" w:cs="宋体"/>
          <w:szCs w:val="21"/>
        </w:rPr>
        <w:t>可以修改招标文件，并通知所有已购买招标文件的投标人。如果修改招标文件的时间距投标截止时间不足15天，相应延长投标截止时间。</w:t>
      </w:r>
    </w:p>
    <w:p w14:paraId="79DCCA90">
      <w:pPr>
        <w:spacing w:line="360" w:lineRule="auto"/>
        <w:ind w:firstLine="420" w:firstLineChars="200"/>
        <w:rPr>
          <w:rFonts w:ascii="宋体" w:hAnsi="宋体" w:cs="宋体"/>
          <w:szCs w:val="21"/>
        </w:rPr>
      </w:pPr>
      <w:r>
        <w:rPr>
          <w:rFonts w:hint="eastAsia" w:ascii="宋体" w:hAnsi="宋体" w:cs="宋体"/>
          <w:szCs w:val="21"/>
        </w:rPr>
        <w:t>2.3.2投标人自行登录“郑州市公共资源交易中心网站”查看是否刊登本项目招标文件修改文件，并自行下载，如由于投标人未看到修改文件而带来的风险，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0A4D3FEE">
      <w:pPr>
        <w:pStyle w:val="2"/>
        <w:spacing w:line="360" w:lineRule="auto"/>
        <w:rPr>
          <w:rFonts w:cs="宋体"/>
          <w:sz w:val="24"/>
          <w:szCs w:val="24"/>
        </w:rPr>
      </w:pPr>
      <w:bookmarkStart w:id="78" w:name="_Toc7205"/>
      <w:bookmarkStart w:id="79" w:name="_Toc32730"/>
      <w:bookmarkStart w:id="80" w:name="_Toc298"/>
      <w:bookmarkStart w:id="81" w:name="_Toc184635073"/>
      <w:bookmarkStart w:id="82" w:name="_Toc29493"/>
      <w:bookmarkStart w:id="83" w:name="_Toc29275"/>
      <w:r>
        <w:rPr>
          <w:rFonts w:hint="eastAsia" w:cs="宋体"/>
          <w:sz w:val="24"/>
          <w:szCs w:val="24"/>
        </w:rPr>
        <w:t>3．投标文件</w:t>
      </w:r>
      <w:bookmarkEnd w:id="78"/>
      <w:bookmarkEnd w:id="79"/>
      <w:bookmarkEnd w:id="80"/>
      <w:bookmarkEnd w:id="81"/>
      <w:bookmarkEnd w:id="82"/>
      <w:bookmarkEnd w:id="83"/>
    </w:p>
    <w:p w14:paraId="72B86DE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3.1投标文件的组成</w:t>
      </w:r>
    </w:p>
    <w:p w14:paraId="7023702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3.1.1投标文件应包括下列内容：</w:t>
      </w:r>
    </w:p>
    <w:p w14:paraId="213A432E">
      <w:pPr>
        <w:spacing w:line="360" w:lineRule="auto"/>
        <w:ind w:firstLine="420" w:firstLineChars="200"/>
        <w:rPr>
          <w:rFonts w:ascii="宋体" w:hAnsi="宋体" w:cs="宋体"/>
          <w:kern w:val="0"/>
          <w:szCs w:val="21"/>
        </w:rPr>
      </w:pPr>
      <w:r>
        <w:rPr>
          <w:rFonts w:hint="eastAsia" w:ascii="宋体" w:hAnsi="宋体" w:cs="宋体"/>
          <w:kern w:val="0"/>
          <w:szCs w:val="21"/>
        </w:rPr>
        <w:t>（一）投标函</w:t>
      </w:r>
    </w:p>
    <w:p w14:paraId="0B3D7DB9">
      <w:pPr>
        <w:spacing w:line="360" w:lineRule="auto"/>
        <w:ind w:firstLine="420" w:firstLineChars="200"/>
        <w:rPr>
          <w:rFonts w:ascii="宋体" w:hAnsi="宋体" w:cs="宋体"/>
          <w:kern w:val="0"/>
          <w:szCs w:val="21"/>
        </w:rPr>
      </w:pPr>
      <w:r>
        <w:rPr>
          <w:rFonts w:hint="eastAsia" w:ascii="宋体" w:hAnsi="宋体" w:cs="宋体"/>
          <w:kern w:val="0"/>
          <w:szCs w:val="21"/>
        </w:rPr>
        <w:t>（二）开标一览表</w:t>
      </w:r>
    </w:p>
    <w:p w14:paraId="4A0A05C2">
      <w:pPr>
        <w:spacing w:line="360" w:lineRule="auto"/>
        <w:ind w:firstLine="420" w:firstLineChars="200"/>
        <w:rPr>
          <w:rFonts w:ascii="宋体" w:hAnsi="宋体" w:cs="宋体"/>
          <w:kern w:val="0"/>
          <w:szCs w:val="21"/>
        </w:rPr>
      </w:pPr>
      <w:r>
        <w:rPr>
          <w:rFonts w:hint="eastAsia" w:ascii="宋体" w:hAnsi="宋体" w:cs="宋体"/>
          <w:kern w:val="0"/>
          <w:szCs w:val="21"/>
        </w:rPr>
        <w:t>（三）资格证明文件</w:t>
      </w:r>
    </w:p>
    <w:p w14:paraId="5611F6CE">
      <w:pPr>
        <w:spacing w:line="360" w:lineRule="auto"/>
        <w:ind w:firstLine="420" w:firstLineChars="200"/>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四</w:t>
      </w:r>
      <w:r>
        <w:rPr>
          <w:rFonts w:hint="eastAsia" w:ascii="宋体" w:hAnsi="宋体" w:cs="宋体"/>
          <w:kern w:val="0"/>
          <w:szCs w:val="21"/>
        </w:rPr>
        <w:t>）</w:t>
      </w:r>
      <w:r>
        <w:rPr>
          <w:rFonts w:hint="eastAsia" w:ascii="宋体" w:hAnsi="宋体" w:cs="宋体"/>
          <w:kern w:val="0"/>
          <w:szCs w:val="21"/>
          <w:lang w:val="en-US" w:eastAsia="zh-CN"/>
        </w:rPr>
        <w:t>拟派驻本项目人员情况一览表</w:t>
      </w:r>
    </w:p>
    <w:p w14:paraId="6C244A8C">
      <w:pPr>
        <w:spacing w:line="360" w:lineRule="auto"/>
        <w:ind w:firstLine="420" w:firstLineChars="200"/>
        <w:rPr>
          <w:rFonts w:hint="eastAsia" w:ascii="宋体" w:hAnsi="宋体" w:cs="宋体"/>
          <w:kern w:val="0"/>
          <w:szCs w:val="21"/>
          <w:lang w:eastAsia="zh-CN"/>
        </w:rPr>
      </w:pPr>
      <w:r>
        <w:rPr>
          <w:rFonts w:hint="eastAsia" w:ascii="宋体" w:hAnsi="宋体" w:cs="宋体"/>
          <w:kern w:val="0"/>
          <w:szCs w:val="21"/>
        </w:rPr>
        <w:t>（</w:t>
      </w:r>
      <w:r>
        <w:rPr>
          <w:rFonts w:hint="eastAsia" w:ascii="宋体" w:hAnsi="宋体" w:cs="宋体"/>
          <w:kern w:val="0"/>
          <w:szCs w:val="21"/>
          <w:lang w:eastAsia="zh-CN"/>
        </w:rPr>
        <w:t>五</w:t>
      </w:r>
      <w:r>
        <w:rPr>
          <w:rFonts w:hint="eastAsia" w:ascii="宋体" w:hAnsi="宋体" w:cs="宋体"/>
          <w:kern w:val="0"/>
          <w:szCs w:val="21"/>
        </w:rPr>
        <w:t>）</w:t>
      </w:r>
      <w:r>
        <w:rPr>
          <w:rFonts w:hint="eastAsia" w:ascii="宋体" w:hAnsi="宋体" w:cs="宋体"/>
          <w:kern w:val="0"/>
          <w:szCs w:val="21"/>
          <w:lang w:eastAsia="zh-CN"/>
        </w:rPr>
        <w:t>技术部分</w:t>
      </w:r>
    </w:p>
    <w:p w14:paraId="221588B8">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六</w:t>
      </w:r>
      <w:r>
        <w:rPr>
          <w:rFonts w:hint="eastAsia" w:ascii="宋体" w:hAnsi="宋体" w:eastAsia="宋体" w:cs="宋体"/>
          <w:kern w:val="0"/>
          <w:szCs w:val="21"/>
          <w:lang w:eastAsia="zh-CN"/>
        </w:rPr>
        <w:t>）商务部分</w:t>
      </w:r>
    </w:p>
    <w:p w14:paraId="47BDD936">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lang w:eastAsia="zh-CN"/>
        </w:rPr>
        <w:t>（</w:t>
      </w:r>
      <w:r>
        <w:rPr>
          <w:rFonts w:hint="eastAsia" w:ascii="宋体" w:hAnsi="宋体" w:cs="宋体"/>
          <w:kern w:val="0"/>
          <w:szCs w:val="21"/>
          <w:lang w:eastAsia="zh-CN"/>
        </w:rPr>
        <w:t>七</w:t>
      </w:r>
      <w:r>
        <w:rPr>
          <w:rFonts w:hint="eastAsia" w:ascii="宋体" w:hAnsi="宋体" w:eastAsia="宋体" w:cs="宋体"/>
          <w:kern w:val="0"/>
          <w:szCs w:val="21"/>
          <w:lang w:eastAsia="zh-CN"/>
        </w:rPr>
        <w:t>）</w:t>
      </w:r>
      <w:r>
        <w:rPr>
          <w:rFonts w:hint="eastAsia" w:ascii="宋体" w:hAnsi="宋体" w:eastAsia="宋体" w:cs="宋体"/>
          <w:kern w:val="0"/>
          <w:szCs w:val="21"/>
        </w:rPr>
        <w:t>反商业贿赂承诺书</w:t>
      </w:r>
    </w:p>
    <w:p w14:paraId="097FED93">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八</w:t>
      </w:r>
      <w:r>
        <w:rPr>
          <w:rFonts w:hint="eastAsia" w:ascii="宋体" w:hAnsi="宋体" w:eastAsia="宋体" w:cs="宋体"/>
          <w:kern w:val="0"/>
          <w:szCs w:val="21"/>
          <w:lang w:eastAsia="zh-CN"/>
        </w:rPr>
        <w:t>）其他资料</w:t>
      </w:r>
    </w:p>
    <w:p w14:paraId="683B90B9">
      <w:pPr>
        <w:spacing w:line="360" w:lineRule="auto"/>
        <w:ind w:firstLine="420" w:firstLineChars="200"/>
        <w:rPr>
          <w:rFonts w:ascii="宋体" w:hAnsi="宋体" w:cs="宋体"/>
          <w:szCs w:val="21"/>
        </w:rPr>
      </w:pPr>
      <w:r>
        <w:rPr>
          <w:rFonts w:hint="eastAsia" w:ascii="宋体" w:hAnsi="宋体" w:cs="宋体"/>
          <w:kern w:val="0"/>
          <w:szCs w:val="21"/>
        </w:rPr>
        <w:t>（七）其他资料</w:t>
      </w:r>
    </w:p>
    <w:p w14:paraId="337640AD">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3.2投标报价</w:t>
      </w:r>
    </w:p>
    <w:p w14:paraId="46BEBAA1">
      <w:pPr>
        <w:spacing w:line="360" w:lineRule="auto"/>
        <w:ind w:firstLine="422" w:firstLineChars="200"/>
        <w:rPr>
          <w:rFonts w:ascii="宋体" w:hAnsi="宋体" w:cs="宋体"/>
          <w:b/>
          <w:bCs/>
          <w:szCs w:val="21"/>
        </w:rPr>
      </w:pPr>
      <w:r>
        <w:rPr>
          <w:rFonts w:hint="eastAsia" w:ascii="宋体" w:hAnsi="宋体" w:cs="宋体"/>
          <w:b/>
          <w:szCs w:val="21"/>
        </w:rPr>
        <w:t>3.2.1</w:t>
      </w:r>
      <w:r>
        <w:rPr>
          <w:rFonts w:hint="eastAsia" w:ascii="宋体" w:hAnsi="宋体" w:cs="宋体"/>
          <w:b/>
          <w:bCs/>
          <w:szCs w:val="21"/>
        </w:rPr>
        <w:t>根据招标文件</w:t>
      </w:r>
      <w:r>
        <w:rPr>
          <w:rFonts w:hint="eastAsia" w:ascii="宋体" w:hAnsi="宋体" w:cs="宋体"/>
          <w:b/>
          <w:bCs/>
          <w:color w:val="auto"/>
          <w:szCs w:val="21"/>
        </w:rPr>
        <w:t>“</w:t>
      </w:r>
      <w:bookmarkStart w:id="84" w:name="OLE_LINK123"/>
      <w:r>
        <w:rPr>
          <w:rFonts w:hint="eastAsia" w:ascii="宋体" w:hAnsi="宋体" w:cs="宋体"/>
          <w:b/>
          <w:bCs/>
          <w:color w:val="auto"/>
          <w:szCs w:val="21"/>
        </w:rPr>
        <w:t>第五章</w:t>
      </w:r>
      <w:bookmarkEnd w:id="84"/>
      <w:r>
        <w:rPr>
          <w:rFonts w:hint="eastAsia" w:ascii="宋体" w:hAnsi="宋体" w:cs="宋体"/>
          <w:b/>
          <w:bCs/>
          <w:color w:val="auto"/>
          <w:szCs w:val="21"/>
          <w:lang w:eastAsia="zh-CN"/>
        </w:rPr>
        <w:t>服务要求</w:t>
      </w:r>
      <w:r>
        <w:rPr>
          <w:rFonts w:hint="eastAsia" w:ascii="宋体" w:hAnsi="宋体" w:cs="宋体"/>
          <w:b/>
          <w:bCs/>
          <w:color w:val="auto"/>
          <w:szCs w:val="21"/>
        </w:rPr>
        <w:t>”的规定，投标人进行报价。</w:t>
      </w:r>
    </w:p>
    <w:p w14:paraId="4F965F3C">
      <w:pPr>
        <w:spacing w:line="360" w:lineRule="auto"/>
        <w:ind w:firstLine="420" w:firstLineChars="200"/>
        <w:rPr>
          <w:rFonts w:ascii="宋体" w:hAnsi="宋体" w:cs="宋体"/>
        </w:rPr>
      </w:pPr>
      <w:r>
        <w:rPr>
          <w:rFonts w:hint="eastAsia" w:ascii="宋体" w:hAnsi="宋体" w:cs="宋体"/>
        </w:rPr>
        <w:t>3.2.2最低报价不是授予合同的唯一保证。</w:t>
      </w:r>
    </w:p>
    <w:p w14:paraId="26DA029E">
      <w:pPr>
        <w:spacing w:line="360" w:lineRule="auto"/>
        <w:ind w:firstLine="420" w:firstLineChars="200"/>
        <w:rPr>
          <w:rFonts w:ascii="宋体" w:hAnsi="宋体" w:cs="宋体"/>
          <w:color w:val="auto"/>
        </w:rPr>
      </w:pPr>
      <w:r>
        <w:rPr>
          <w:rFonts w:hint="eastAsia" w:ascii="宋体" w:hAnsi="宋体" w:cs="宋体"/>
        </w:rPr>
        <w:t>3.2.3合同的地点为</w:t>
      </w:r>
      <w:r>
        <w:rPr>
          <w:rFonts w:hint="eastAsia" w:ascii="宋体" w:hAnsi="宋体" w:cs="宋体"/>
          <w:lang w:eastAsia="zh-CN"/>
        </w:rPr>
        <w:t>采购人</w:t>
      </w:r>
      <w:r>
        <w:rPr>
          <w:rFonts w:hint="eastAsia" w:ascii="宋体" w:hAnsi="宋体" w:cs="宋体"/>
        </w:rPr>
        <w:t>指定项目地点。</w:t>
      </w:r>
    </w:p>
    <w:p w14:paraId="1381B108">
      <w:pPr>
        <w:spacing w:line="360" w:lineRule="auto"/>
        <w:ind w:firstLine="420" w:firstLineChars="200"/>
        <w:rPr>
          <w:rFonts w:ascii="宋体" w:hAnsi="宋体" w:cs="宋体"/>
        </w:rPr>
      </w:pPr>
      <w:r>
        <w:rPr>
          <w:rFonts w:hint="eastAsia" w:ascii="宋体" w:hAnsi="宋体" w:cs="宋体"/>
          <w:color w:val="auto"/>
        </w:rPr>
        <w:t>3.2.4除非</w:t>
      </w:r>
      <w:r>
        <w:rPr>
          <w:rFonts w:hint="eastAsia" w:ascii="宋体" w:hAnsi="宋体" w:cs="宋体"/>
          <w:color w:val="auto"/>
          <w:lang w:eastAsia="zh-CN"/>
        </w:rPr>
        <w:t>采购人</w:t>
      </w:r>
      <w:r>
        <w:rPr>
          <w:rFonts w:hint="eastAsia" w:ascii="宋体" w:hAnsi="宋体" w:cs="宋体"/>
          <w:color w:val="auto"/>
        </w:rPr>
        <w:t>通过修改招标文件予以更正，否则，投标人应按“第五章</w:t>
      </w:r>
      <w:r>
        <w:rPr>
          <w:rFonts w:hint="eastAsia" w:ascii="宋体" w:hAnsi="宋体" w:cs="宋体"/>
          <w:color w:val="auto"/>
          <w:lang w:eastAsia="zh-CN"/>
        </w:rPr>
        <w:t>服务要求</w:t>
      </w:r>
      <w:r>
        <w:rPr>
          <w:rFonts w:hint="eastAsia" w:ascii="宋体" w:hAnsi="宋体" w:cs="宋体"/>
          <w:color w:val="auto"/>
        </w:rPr>
        <w:t>”</w:t>
      </w:r>
      <w:r>
        <w:rPr>
          <w:rFonts w:hint="eastAsia" w:ascii="宋体" w:hAnsi="宋体" w:cs="宋体"/>
        </w:rPr>
        <w:t>列出的项目进行报价。</w:t>
      </w:r>
    </w:p>
    <w:p w14:paraId="1AE30FA3">
      <w:pPr>
        <w:spacing w:line="360" w:lineRule="auto"/>
        <w:ind w:firstLine="420" w:firstLineChars="200"/>
        <w:rPr>
          <w:rFonts w:ascii="宋体" w:hAnsi="宋体" w:cs="宋体"/>
        </w:rPr>
      </w:pPr>
      <w:r>
        <w:rPr>
          <w:rFonts w:hint="eastAsia" w:ascii="宋体" w:hAnsi="宋体" w:cs="宋体"/>
        </w:rPr>
        <w:t>3.2.5本项目的投标应以人民币为准。</w:t>
      </w:r>
    </w:p>
    <w:p w14:paraId="6EBD1FFE">
      <w:pPr>
        <w:spacing w:line="360" w:lineRule="auto"/>
        <w:ind w:firstLine="420" w:firstLineChars="200"/>
        <w:rPr>
          <w:rFonts w:ascii="宋体" w:hAnsi="宋体" w:cs="宋体"/>
        </w:rPr>
      </w:pPr>
      <w:r>
        <w:rPr>
          <w:rFonts w:hint="eastAsia" w:ascii="宋体" w:hAnsi="宋体" w:cs="宋体"/>
        </w:rPr>
        <w:t>3.2.6投标文件报价出现前后不一致的，按照下列规定修正：</w:t>
      </w:r>
    </w:p>
    <w:p w14:paraId="07536B65">
      <w:pPr>
        <w:spacing w:line="360" w:lineRule="auto"/>
        <w:ind w:firstLine="420" w:firstLineChars="200"/>
        <w:rPr>
          <w:rFonts w:ascii="宋体" w:hAnsi="宋体" w:cs="宋体"/>
        </w:rPr>
      </w:pPr>
      <w:r>
        <w:rPr>
          <w:rFonts w:hint="eastAsia" w:ascii="宋体" w:hAnsi="宋体" w:cs="宋体"/>
        </w:rPr>
        <w:t>（1）投标文件中开标一览表内容与投标文件中相应内容不一致的，以开标一览表为准；</w:t>
      </w:r>
    </w:p>
    <w:p w14:paraId="3D06A893">
      <w:pPr>
        <w:spacing w:line="360" w:lineRule="auto"/>
        <w:ind w:firstLine="420" w:firstLineChars="200"/>
        <w:rPr>
          <w:rFonts w:ascii="宋体" w:hAnsi="宋体" w:cs="宋体"/>
        </w:rPr>
      </w:pPr>
      <w:r>
        <w:rPr>
          <w:rFonts w:hint="eastAsia" w:ascii="宋体" w:hAnsi="宋体" w:cs="宋体"/>
        </w:rPr>
        <w:t>（2）大写金额和小写金额不一致的，以大写金额为准；</w:t>
      </w:r>
    </w:p>
    <w:p w14:paraId="4E2424FA">
      <w:pPr>
        <w:spacing w:line="360" w:lineRule="auto"/>
        <w:ind w:firstLine="420" w:firstLineChars="200"/>
        <w:rPr>
          <w:rFonts w:ascii="宋体" w:hAnsi="宋体" w:cs="宋体"/>
        </w:rPr>
      </w:pPr>
      <w:r>
        <w:rPr>
          <w:rFonts w:hint="eastAsia" w:ascii="宋体" w:hAnsi="宋体" w:cs="宋体"/>
        </w:rPr>
        <w:t>（3）单价金额小数点或者百分比有明显错位的，以开标一览表的总价为准，并修改单价；</w:t>
      </w:r>
    </w:p>
    <w:p w14:paraId="7EDE7C8D">
      <w:pPr>
        <w:spacing w:line="360" w:lineRule="auto"/>
        <w:ind w:firstLine="420" w:firstLineChars="200"/>
        <w:rPr>
          <w:rFonts w:ascii="宋体" w:hAnsi="宋体" w:cs="宋体"/>
        </w:rPr>
      </w:pPr>
      <w:r>
        <w:rPr>
          <w:rFonts w:hint="eastAsia" w:ascii="宋体" w:hAnsi="宋体" w:cs="宋体"/>
        </w:rPr>
        <w:t>（4）总价金额与按单价汇总金额不一致的，以单价金额计算结果为准。</w:t>
      </w:r>
    </w:p>
    <w:p w14:paraId="5E1798BE">
      <w:pPr>
        <w:spacing w:line="360" w:lineRule="auto"/>
        <w:ind w:firstLine="420" w:firstLineChars="200"/>
        <w:rPr>
          <w:rFonts w:ascii="宋体" w:hAnsi="宋体" w:cs="宋体"/>
        </w:rPr>
      </w:pPr>
      <w:r>
        <w:rPr>
          <w:rFonts w:hint="eastAsia" w:ascii="宋体" w:hAnsi="宋体" w:cs="宋体"/>
        </w:rPr>
        <w:t>同时出现两种以上不一致的，按照前款规定的顺序修正。修正后的报价经投标人确认后产生约束力，投标人不确认的，其投标无效。</w:t>
      </w:r>
    </w:p>
    <w:p w14:paraId="4180A9FA">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3.3投标有效期</w:t>
      </w:r>
    </w:p>
    <w:p w14:paraId="7113ED8C">
      <w:pPr>
        <w:spacing w:line="360" w:lineRule="auto"/>
        <w:ind w:firstLine="420" w:firstLineChars="200"/>
        <w:rPr>
          <w:rFonts w:ascii="宋体" w:hAnsi="宋体" w:cs="宋体"/>
          <w:szCs w:val="21"/>
        </w:rPr>
      </w:pPr>
      <w:r>
        <w:rPr>
          <w:rFonts w:hint="eastAsia" w:ascii="宋体" w:hAnsi="宋体" w:cs="宋体"/>
          <w:szCs w:val="21"/>
        </w:rPr>
        <w:t>3.3.1在</w:t>
      </w:r>
      <w:r>
        <w:rPr>
          <w:rFonts w:hint="eastAsia" w:ascii="宋体" w:hAnsi="宋体" w:cs="宋体"/>
          <w:szCs w:val="21"/>
          <w:lang w:eastAsia="zh-CN"/>
        </w:rPr>
        <w:t>供应商须知</w:t>
      </w:r>
      <w:r>
        <w:rPr>
          <w:rFonts w:hint="eastAsia" w:ascii="宋体" w:hAnsi="宋体" w:cs="宋体"/>
          <w:szCs w:val="21"/>
        </w:rPr>
        <w:t>前附表规定的投标有效期内，投标人不得要求撤销或修改其投标文件。</w:t>
      </w:r>
    </w:p>
    <w:p w14:paraId="18404049">
      <w:pPr>
        <w:spacing w:line="360" w:lineRule="auto"/>
        <w:ind w:firstLine="420" w:firstLineChars="200"/>
        <w:rPr>
          <w:rFonts w:ascii="宋体" w:hAnsi="宋体" w:cs="宋体"/>
          <w:szCs w:val="21"/>
        </w:rPr>
      </w:pPr>
      <w:r>
        <w:rPr>
          <w:rFonts w:hint="eastAsia" w:ascii="宋体" w:hAnsi="宋体" w:cs="宋体"/>
          <w:szCs w:val="21"/>
        </w:rPr>
        <w:t>3.3.2出现特殊情况需要延长投标有效期的，招标代理以书面形式通知所有投标人延长投标有效期。投标人同意延长的，不得要求或被允许修改或撤销其投标文件；投标人拒绝延长的，其投标失效。</w:t>
      </w:r>
    </w:p>
    <w:p w14:paraId="73407A81">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3.4投标保证金</w:t>
      </w:r>
    </w:p>
    <w:p w14:paraId="2B28A5FE">
      <w:pPr>
        <w:spacing w:line="360" w:lineRule="auto"/>
        <w:ind w:firstLine="420" w:firstLineChars="200"/>
        <w:rPr>
          <w:rFonts w:ascii="宋体" w:hAnsi="宋体" w:cs="宋体"/>
          <w:szCs w:val="21"/>
        </w:rPr>
      </w:pPr>
      <w:r>
        <w:rPr>
          <w:rFonts w:hint="eastAsia" w:ascii="宋体" w:hAnsi="宋体" w:cs="宋体"/>
          <w:szCs w:val="21"/>
        </w:rPr>
        <w:t>本项目不收取投标保证金。</w:t>
      </w:r>
    </w:p>
    <w:p w14:paraId="227AE9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3.5资格审查资料</w:t>
      </w:r>
    </w:p>
    <w:p w14:paraId="4633962E">
      <w:pPr>
        <w:spacing w:line="360" w:lineRule="auto"/>
        <w:ind w:firstLine="420" w:firstLineChars="200"/>
        <w:rPr>
          <w:rFonts w:ascii="宋体" w:hAnsi="宋体" w:cs="宋体"/>
          <w:szCs w:val="21"/>
        </w:rPr>
      </w:pPr>
      <w:r>
        <w:rPr>
          <w:rFonts w:hint="eastAsia" w:ascii="宋体" w:hAnsi="宋体" w:cs="宋体"/>
          <w:szCs w:val="21"/>
        </w:rPr>
        <w:t>投标人在编制投标文件时，应按情况提供相关资料，以证实其各项资格条件满足招标文件的要求，具备承担本项目采购的资质条件、能力和信誉。</w:t>
      </w:r>
    </w:p>
    <w:p w14:paraId="318E451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3.6备选投标方案</w:t>
      </w:r>
    </w:p>
    <w:p w14:paraId="5A79FA60">
      <w:pPr>
        <w:spacing w:line="360" w:lineRule="auto"/>
        <w:ind w:firstLine="315" w:firstLineChars="150"/>
        <w:rPr>
          <w:rFonts w:ascii="宋体" w:hAnsi="宋体" w:cs="宋体"/>
          <w:szCs w:val="21"/>
        </w:rPr>
      </w:pPr>
      <w:r>
        <w:rPr>
          <w:rFonts w:hint="eastAsia" w:ascii="宋体" w:hAnsi="宋体" w:cs="宋体"/>
          <w:szCs w:val="21"/>
        </w:rPr>
        <w:t>本项目不接受任何投标人递交备选投标方案。</w:t>
      </w:r>
    </w:p>
    <w:p w14:paraId="0A1551A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3.7投标文件的编制</w:t>
      </w:r>
    </w:p>
    <w:p w14:paraId="7C30D004">
      <w:pPr>
        <w:spacing w:line="360" w:lineRule="auto"/>
        <w:ind w:firstLine="420" w:firstLineChars="200"/>
        <w:rPr>
          <w:rFonts w:ascii="宋体" w:hAnsi="宋体" w:cs="宋体"/>
          <w:szCs w:val="21"/>
        </w:rPr>
      </w:pPr>
      <w:r>
        <w:rPr>
          <w:rFonts w:hint="eastAsia" w:ascii="宋体" w:hAnsi="宋体" w:cs="宋体"/>
          <w:szCs w:val="21"/>
        </w:rPr>
        <w:t>3.7.1</w:t>
      </w:r>
      <w:bookmarkStart w:id="85" w:name="_Toc184635074"/>
      <w:r>
        <w:rPr>
          <w:rFonts w:hint="eastAsia" w:ascii="宋体" w:hAnsi="宋体" w:cs="宋体"/>
          <w:szCs w:val="21"/>
        </w:rPr>
        <w:t>投标文件应按</w:t>
      </w:r>
      <w:bookmarkStart w:id="86" w:name="OLE_LINK124"/>
      <w:r>
        <w:rPr>
          <w:rFonts w:hint="eastAsia" w:ascii="宋体" w:hAnsi="宋体" w:cs="宋体"/>
          <w:szCs w:val="21"/>
        </w:rPr>
        <w:t>第六章</w:t>
      </w:r>
      <w:bookmarkEnd w:id="86"/>
      <w:r>
        <w:rPr>
          <w:rFonts w:hint="eastAsia" w:ascii="宋体" w:hAnsi="宋体" w:cs="宋体"/>
          <w:szCs w:val="21"/>
        </w:rPr>
        <w:t>“投标文件格式”进行编写，如有必要，可以增加附页，作为投标文件的组成部分。其中，投标函附录在满足招标文件实质性要求的基础上，可以提出比招标文件要求更有利于</w:t>
      </w:r>
      <w:r>
        <w:rPr>
          <w:rFonts w:hint="eastAsia" w:ascii="宋体" w:hAnsi="宋体" w:cs="宋体"/>
          <w:szCs w:val="21"/>
          <w:lang w:eastAsia="zh-CN"/>
        </w:rPr>
        <w:t>采购人</w:t>
      </w:r>
      <w:r>
        <w:rPr>
          <w:rFonts w:hint="eastAsia" w:ascii="宋体" w:hAnsi="宋体" w:cs="宋体"/>
          <w:szCs w:val="21"/>
        </w:rPr>
        <w:t>的承诺。</w:t>
      </w:r>
    </w:p>
    <w:p w14:paraId="64065973">
      <w:pPr>
        <w:spacing w:line="360" w:lineRule="auto"/>
        <w:ind w:firstLine="420" w:firstLineChars="200"/>
        <w:rPr>
          <w:rFonts w:ascii="宋体" w:hAnsi="宋体" w:cs="宋体"/>
          <w:szCs w:val="21"/>
        </w:rPr>
      </w:pPr>
      <w:r>
        <w:rPr>
          <w:rFonts w:hint="eastAsia" w:ascii="宋体" w:hAnsi="宋体" w:cs="宋体"/>
          <w:szCs w:val="21"/>
        </w:rPr>
        <w:t>3.7.2 投标文件应当对招标文件有关合同履行期限、投标有效期、服务质量、</w:t>
      </w:r>
      <w:r>
        <w:rPr>
          <w:rFonts w:hint="eastAsia" w:ascii="宋体" w:hAnsi="宋体" w:cs="宋体"/>
          <w:szCs w:val="21"/>
          <w:lang w:eastAsia="zh-CN"/>
        </w:rPr>
        <w:t>服务内容</w:t>
      </w:r>
      <w:r>
        <w:rPr>
          <w:rFonts w:hint="eastAsia" w:ascii="宋体" w:hAnsi="宋体" w:cs="宋体"/>
          <w:szCs w:val="21"/>
        </w:rPr>
        <w:t>等实质性内容作出响应。</w:t>
      </w:r>
    </w:p>
    <w:p w14:paraId="40B88B2D">
      <w:pPr>
        <w:spacing w:line="360" w:lineRule="auto"/>
        <w:ind w:firstLine="420" w:firstLineChars="200"/>
        <w:rPr>
          <w:rFonts w:ascii="宋体" w:hAnsi="宋体" w:cs="宋体"/>
          <w:szCs w:val="21"/>
        </w:rPr>
      </w:pPr>
      <w:r>
        <w:rPr>
          <w:rFonts w:hint="eastAsia" w:ascii="宋体" w:hAnsi="宋体" w:cs="宋体"/>
          <w:szCs w:val="21"/>
        </w:rPr>
        <w:t>3.7.3 投标文件应编制目录，插入连续页码。</w:t>
      </w:r>
    </w:p>
    <w:p w14:paraId="356A670A">
      <w:pPr>
        <w:pStyle w:val="2"/>
        <w:spacing w:line="360" w:lineRule="auto"/>
        <w:rPr>
          <w:rFonts w:cs="宋体"/>
          <w:sz w:val="24"/>
          <w:szCs w:val="24"/>
        </w:rPr>
      </w:pPr>
      <w:bookmarkStart w:id="87" w:name="_Toc22438"/>
      <w:bookmarkStart w:id="88" w:name="_Toc29710"/>
      <w:bookmarkStart w:id="89" w:name="_Toc26100"/>
      <w:bookmarkStart w:id="90" w:name="_Toc28246"/>
      <w:bookmarkStart w:id="91" w:name="_Toc32089"/>
      <w:r>
        <w:rPr>
          <w:rFonts w:hint="eastAsia" w:cs="宋体"/>
          <w:sz w:val="24"/>
          <w:szCs w:val="24"/>
        </w:rPr>
        <w:t>4．投标</w:t>
      </w:r>
      <w:bookmarkEnd w:id="85"/>
      <w:bookmarkEnd w:id="87"/>
      <w:bookmarkEnd w:id="88"/>
      <w:bookmarkEnd w:id="89"/>
      <w:bookmarkEnd w:id="90"/>
      <w:bookmarkEnd w:id="91"/>
    </w:p>
    <w:p w14:paraId="2951C90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4.1投标文件的递交</w:t>
      </w:r>
    </w:p>
    <w:p w14:paraId="4966F7AA">
      <w:pPr>
        <w:spacing w:line="360" w:lineRule="auto"/>
        <w:ind w:firstLine="420" w:firstLineChars="200"/>
        <w:rPr>
          <w:rFonts w:ascii="宋体" w:hAnsi="宋体" w:cs="宋体"/>
          <w:szCs w:val="21"/>
        </w:rPr>
      </w:pPr>
      <w:r>
        <w:rPr>
          <w:rFonts w:hint="eastAsia" w:ascii="宋体" w:hAnsi="宋体" w:cs="宋体"/>
          <w:szCs w:val="21"/>
        </w:rPr>
        <w:t>4.1.1投标人应在前附表规定的投标截止时间前递交投标文件。</w:t>
      </w:r>
    </w:p>
    <w:p w14:paraId="432CDD90">
      <w:pPr>
        <w:spacing w:line="360" w:lineRule="auto"/>
        <w:ind w:firstLine="420" w:firstLineChars="200"/>
        <w:rPr>
          <w:rFonts w:ascii="宋体" w:hAnsi="宋体" w:cs="宋体"/>
          <w:szCs w:val="21"/>
        </w:rPr>
      </w:pPr>
      <w:r>
        <w:rPr>
          <w:rFonts w:hint="eastAsia" w:ascii="宋体" w:hAnsi="宋体" w:cs="宋体"/>
          <w:szCs w:val="21"/>
        </w:rPr>
        <w:t>4.1.2投标人递交投标文件的地点：见</w:t>
      </w:r>
      <w:r>
        <w:rPr>
          <w:rFonts w:hint="eastAsia" w:ascii="宋体" w:hAnsi="宋体" w:cs="宋体"/>
          <w:szCs w:val="21"/>
          <w:lang w:eastAsia="zh-CN"/>
        </w:rPr>
        <w:t>供应商须知</w:t>
      </w:r>
      <w:r>
        <w:rPr>
          <w:rFonts w:hint="eastAsia" w:ascii="宋体" w:hAnsi="宋体" w:cs="宋体"/>
          <w:szCs w:val="21"/>
        </w:rPr>
        <w:t>前附表。</w:t>
      </w:r>
    </w:p>
    <w:p w14:paraId="35B60BE8">
      <w:pPr>
        <w:spacing w:line="360" w:lineRule="auto"/>
        <w:ind w:firstLine="420" w:firstLineChars="200"/>
        <w:rPr>
          <w:rFonts w:ascii="宋体" w:hAnsi="宋体" w:cs="宋体"/>
          <w:szCs w:val="21"/>
        </w:rPr>
      </w:pPr>
      <w:r>
        <w:rPr>
          <w:rFonts w:hint="eastAsia" w:ascii="宋体" w:hAnsi="宋体" w:cs="宋体"/>
          <w:szCs w:val="21"/>
        </w:rPr>
        <w:t>4.1.3除</w:t>
      </w:r>
      <w:r>
        <w:rPr>
          <w:rFonts w:hint="eastAsia" w:ascii="宋体" w:hAnsi="宋体" w:cs="宋体"/>
          <w:szCs w:val="21"/>
          <w:lang w:eastAsia="zh-CN"/>
        </w:rPr>
        <w:t>供应商须知</w:t>
      </w:r>
      <w:r>
        <w:rPr>
          <w:rFonts w:hint="eastAsia" w:ascii="宋体" w:hAnsi="宋体" w:cs="宋体"/>
          <w:szCs w:val="21"/>
        </w:rPr>
        <w:t>前附表另有规定外，投标人所递交的投标文件不予退还。</w:t>
      </w:r>
    </w:p>
    <w:p w14:paraId="28F94570">
      <w:pPr>
        <w:spacing w:line="360" w:lineRule="auto"/>
        <w:ind w:firstLine="420" w:firstLineChars="200"/>
        <w:rPr>
          <w:rFonts w:ascii="宋体" w:hAnsi="宋体" w:cs="宋体"/>
          <w:szCs w:val="21"/>
        </w:rPr>
      </w:pPr>
      <w:r>
        <w:rPr>
          <w:rFonts w:hint="eastAsia" w:ascii="宋体" w:hAnsi="宋体" w:cs="宋体"/>
          <w:szCs w:val="21"/>
        </w:rPr>
        <w:t>4.1.4逾期上传的投标文件将不予受理。</w:t>
      </w:r>
    </w:p>
    <w:p w14:paraId="50CC110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4.2投标文件的修改与撤回</w:t>
      </w:r>
    </w:p>
    <w:p w14:paraId="3ABD1654">
      <w:pPr>
        <w:spacing w:line="360" w:lineRule="auto"/>
        <w:ind w:firstLine="420" w:firstLineChars="200"/>
        <w:rPr>
          <w:rFonts w:ascii="宋体" w:hAnsi="宋体" w:cs="宋体"/>
          <w:szCs w:val="21"/>
        </w:rPr>
      </w:pPr>
      <w:bookmarkStart w:id="92" w:name="_Toc184635075"/>
      <w:r>
        <w:rPr>
          <w:rFonts w:hint="eastAsia" w:ascii="宋体" w:hAnsi="宋体" w:cs="宋体"/>
          <w:szCs w:val="21"/>
        </w:rPr>
        <w:t>在投标须知前附表规定的投标截止时间后，投标人不可以修改或撤回已递交的投标文件，投标人在投标须知前附表规定的投标截止时间后修改投标文件的，投标人将被拒绝。</w:t>
      </w:r>
    </w:p>
    <w:p w14:paraId="59D8020C">
      <w:pPr>
        <w:pStyle w:val="2"/>
        <w:spacing w:line="360" w:lineRule="auto"/>
        <w:rPr>
          <w:rFonts w:cs="宋体"/>
          <w:sz w:val="24"/>
          <w:szCs w:val="24"/>
        </w:rPr>
      </w:pPr>
      <w:bookmarkStart w:id="93" w:name="_Toc13386"/>
      <w:bookmarkStart w:id="94" w:name="_Toc23478"/>
      <w:bookmarkStart w:id="95" w:name="_Toc10813"/>
      <w:bookmarkStart w:id="96" w:name="_Toc22822"/>
      <w:bookmarkStart w:id="97" w:name="_Toc12404"/>
      <w:r>
        <w:rPr>
          <w:rFonts w:hint="eastAsia" w:cs="宋体"/>
          <w:sz w:val="24"/>
          <w:szCs w:val="24"/>
        </w:rPr>
        <w:t>5．开标</w:t>
      </w:r>
      <w:bookmarkEnd w:id="92"/>
      <w:bookmarkEnd w:id="93"/>
      <w:bookmarkEnd w:id="94"/>
      <w:bookmarkEnd w:id="95"/>
      <w:bookmarkEnd w:id="96"/>
      <w:bookmarkEnd w:id="97"/>
    </w:p>
    <w:p w14:paraId="184E50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5.1开标时间和地点</w:t>
      </w:r>
    </w:p>
    <w:p w14:paraId="0C5714B1">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在</w:t>
      </w:r>
      <w:r>
        <w:rPr>
          <w:rFonts w:hint="eastAsia" w:ascii="宋体" w:hAnsi="宋体" w:cs="宋体"/>
          <w:szCs w:val="21"/>
          <w:lang w:eastAsia="zh-CN"/>
        </w:rPr>
        <w:t>供应商须知</w:t>
      </w:r>
      <w:r>
        <w:rPr>
          <w:rFonts w:hint="eastAsia" w:ascii="宋体" w:hAnsi="宋体" w:cs="宋体"/>
          <w:szCs w:val="21"/>
        </w:rPr>
        <w:t>前附表规定的时间，通过电子招标投标交易平台公开开标。所有投标人登录郑州市公共资源交易中心门户网站远程开标大厅（http://122.112.246.33/BidOpening/bidopeninghallaction/hall/login）在线参加开标活动，无需到开标现场。</w:t>
      </w:r>
    </w:p>
    <w:p w14:paraId="134CCC4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5.2开标程序</w:t>
      </w:r>
    </w:p>
    <w:p w14:paraId="46D1F4B2">
      <w:pPr>
        <w:spacing w:line="360" w:lineRule="auto"/>
        <w:ind w:firstLine="420" w:firstLineChars="200"/>
        <w:rPr>
          <w:rFonts w:ascii="宋体" w:hAnsi="宋体" w:cs="宋体"/>
          <w:szCs w:val="21"/>
        </w:rPr>
      </w:pPr>
      <w:bookmarkStart w:id="98" w:name="_Hlk34897989"/>
      <w:r>
        <w:rPr>
          <w:rFonts w:hint="eastAsia" w:ascii="宋体" w:hAnsi="宋体" w:cs="宋体"/>
          <w:szCs w:val="21"/>
        </w:rPr>
        <w:t>5.2.1主持人按下列程序进行开标：</w:t>
      </w:r>
    </w:p>
    <w:p w14:paraId="1F46D1A0">
      <w:pPr>
        <w:spacing w:line="360" w:lineRule="auto"/>
        <w:ind w:firstLine="420" w:firstLineChars="200"/>
        <w:rPr>
          <w:rFonts w:ascii="宋体" w:hAnsi="宋体" w:cs="宋体"/>
          <w:szCs w:val="21"/>
        </w:rPr>
      </w:pPr>
      <w:r>
        <w:rPr>
          <w:rFonts w:hint="eastAsia" w:ascii="宋体" w:hAnsi="宋体" w:cs="宋体"/>
          <w:szCs w:val="21"/>
        </w:rPr>
        <w:t>（1）公布在投标截止时间前递交投标文件的</w:t>
      </w:r>
      <w:r>
        <w:rPr>
          <w:rFonts w:hint="eastAsia" w:ascii="宋体" w:hAnsi="宋体" w:cs="宋体"/>
          <w:szCs w:val="21"/>
          <w:lang w:eastAsia="zh-CN"/>
        </w:rPr>
        <w:t>供应商名称</w:t>
      </w:r>
      <w:r>
        <w:rPr>
          <w:rFonts w:hint="eastAsia" w:ascii="宋体" w:hAnsi="宋体" w:cs="宋体"/>
          <w:szCs w:val="21"/>
        </w:rPr>
        <w:t>；</w:t>
      </w:r>
    </w:p>
    <w:p w14:paraId="64E3FF45">
      <w:pPr>
        <w:spacing w:line="360" w:lineRule="auto"/>
        <w:ind w:firstLine="420" w:firstLineChars="200"/>
        <w:rPr>
          <w:rFonts w:ascii="宋体" w:hAnsi="宋体" w:cs="宋体"/>
          <w:szCs w:val="21"/>
        </w:rPr>
      </w:pPr>
      <w:r>
        <w:rPr>
          <w:rFonts w:hint="eastAsia" w:ascii="宋体" w:hAnsi="宋体" w:cs="宋体"/>
          <w:szCs w:val="21"/>
        </w:rPr>
        <w:t>（2）投标人通过电子招标投标交易平台对已递交的电子投标文件进行解密，公布招标项目名称、</w:t>
      </w:r>
      <w:r>
        <w:rPr>
          <w:rFonts w:hint="eastAsia" w:ascii="宋体" w:hAnsi="宋体" w:cs="宋体"/>
          <w:szCs w:val="21"/>
          <w:lang w:eastAsia="zh-CN"/>
        </w:rPr>
        <w:t>供应商名称</w:t>
      </w:r>
      <w:r>
        <w:rPr>
          <w:rFonts w:hint="eastAsia" w:ascii="宋体" w:hAnsi="宋体" w:cs="宋体"/>
          <w:szCs w:val="21"/>
        </w:rPr>
        <w:t>、投标内容、投标报价、合同履行期限、服务质量及投标有效期，并记录在案；</w:t>
      </w:r>
    </w:p>
    <w:p w14:paraId="3D5C86E7">
      <w:pPr>
        <w:spacing w:line="360" w:lineRule="auto"/>
        <w:ind w:firstLine="420" w:firstLineChars="200"/>
        <w:rPr>
          <w:rFonts w:ascii="宋体" w:hAnsi="宋体" w:cs="宋体"/>
          <w:szCs w:val="21"/>
        </w:rPr>
      </w:pPr>
      <w:r>
        <w:rPr>
          <w:rFonts w:hint="eastAsia" w:ascii="宋体" w:hAnsi="宋体" w:cs="宋体"/>
          <w:szCs w:val="21"/>
        </w:rPr>
        <w:t>（3）在系统规定的提异议时间内，各投标人可以提问题；（如有）</w:t>
      </w:r>
    </w:p>
    <w:p w14:paraId="738BB3FB">
      <w:pPr>
        <w:spacing w:line="360" w:lineRule="auto"/>
        <w:ind w:firstLine="420" w:firstLineChars="200"/>
        <w:rPr>
          <w:rFonts w:ascii="宋体" w:hAnsi="宋体" w:cs="宋体"/>
          <w:szCs w:val="21"/>
        </w:rPr>
      </w:pPr>
      <w:r>
        <w:rPr>
          <w:rFonts w:hint="eastAsia" w:ascii="宋体" w:hAnsi="宋体" w:cs="宋体"/>
          <w:szCs w:val="21"/>
        </w:rPr>
        <w:t>（4）开标结束。</w:t>
      </w:r>
    </w:p>
    <w:p w14:paraId="5224F86B">
      <w:pPr>
        <w:spacing w:line="360" w:lineRule="auto"/>
        <w:ind w:firstLine="420" w:firstLineChars="200"/>
        <w:rPr>
          <w:rFonts w:ascii="宋体" w:hAnsi="宋体" w:cs="宋体"/>
          <w:szCs w:val="21"/>
        </w:rPr>
      </w:pPr>
      <w:r>
        <w:rPr>
          <w:rFonts w:hint="eastAsia" w:ascii="宋体" w:hAnsi="宋体" w:cs="宋体"/>
          <w:szCs w:val="21"/>
        </w:rPr>
        <w:t>5.2.2投标文件的有效性：</w:t>
      </w:r>
    </w:p>
    <w:p w14:paraId="35B817FE">
      <w:pPr>
        <w:spacing w:line="360" w:lineRule="auto"/>
        <w:ind w:firstLine="420" w:firstLineChars="200"/>
        <w:rPr>
          <w:rFonts w:ascii="宋体" w:hAnsi="宋体" w:cs="宋体"/>
          <w:szCs w:val="21"/>
        </w:rPr>
      </w:pPr>
      <w:r>
        <w:rPr>
          <w:rFonts w:hint="eastAsia" w:ascii="宋体" w:hAnsi="宋体" w:cs="宋体"/>
          <w:szCs w:val="21"/>
        </w:rPr>
        <w:t>开标时有下列情况之一的投标文件，应当作为无效投标文件，不再进行后续评标：</w:t>
      </w:r>
    </w:p>
    <w:p w14:paraId="23E46765">
      <w:pPr>
        <w:spacing w:line="360" w:lineRule="auto"/>
        <w:ind w:firstLine="420" w:firstLineChars="200"/>
        <w:rPr>
          <w:rFonts w:ascii="宋体" w:hAnsi="宋体" w:cs="宋体"/>
          <w:szCs w:val="21"/>
        </w:rPr>
      </w:pPr>
      <w:r>
        <w:rPr>
          <w:rFonts w:hint="eastAsia" w:ascii="宋体" w:hAnsi="宋体" w:cs="宋体"/>
          <w:szCs w:val="21"/>
        </w:rPr>
        <w:t>（1）投标文件逾期上传的；</w:t>
      </w:r>
    </w:p>
    <w:p w14:paraId="0831E743">
      <w:pPr>
        <w:spacing w:line="360" w:lineRule="auto"/>
        <w:ind w:firstLine="420" w:firstLineChars="200"/>
        <w:rPr>
          <w:rFonts w:ascii="宋体" w:hAnsi="宋体" w:cs="宋体"/>
          <w:szCs w:val="21"/>
        </w:rPr>
      </w:pPr>
      <w:r>
        <w:rPr>
          <w:rFonts w:hint="eastAsia" w:ascii="宋体" w:hAnsi="宋体" w:cs="宋体"/>
          <w:szCs w:val="21"/>
        </w:rPr>
        <w:t>（2）投标文件中的投标报价高于本次招标最高限价的。</w:t>
      </w:r>
    </w:p>
    <w:bookmarkEnd w:id="98"/>
    <w:p w14:paraId="1307536F">
      <w:pPr>
        <w:pStyle w:val="2"/>
        <w:spacing w:line="360" w:lineRule="auto"/>
        <w:rPr>
          <w:rFonts w:cs="宋体"/>
          <w:sz w:val="24"/>
          <w:szCs w:val="24"/>
        </w:rPr>
      </w:pPr>
      <w:bookmarkStart w:id="99" w:name="_Toc23130"/>
      <w:bookmarkStart w:id="100" w:name="_Toc14212"/>
      <w:bookmarkStart w:id="101" w:name="_Toc184635076"/>
      <w:bookmarkStart w:id="102" w:name="_Toc1854"/>
      <w:bookmarkStart w:id="103" w:name="_Toc17944"/>
      <w:bookmarkStart w:id="104" w:name="_Toc23554"/>
      <w:r>
        <w:rPr>
          <w:rFonts w:hint="eastAsia" w:cs="宋体"/>
          <w:sz w:val="24"/>
          <w:szCs w:val="24"/>
        </w:rPr>
        <w:t>6．评标</w:t>
      </w:r>
      <w:bookmarkEnd w:id="99"/>
      <w:bookmarkEnd w:id="100"/>
      <w:bookmarkEnd w:id="101"/>
      <w:bookmarkEnd w:id="102"/>
      <w:bookmarkEnd w:id="103"/>
      <w:bookmarkEnd w:id="104"/>
    </w:p>
    <w:p w14:paraId="112B6257">
      <w:pPr>
        <w:pStyle w:val="5"/>
        <w:spacing w:before="0" w:after="0" w:line="360" w:lineRule="auto"/>
        <w:rPr>
          <w:rFonts w:hint="eastAsia" w:ascii="宋体" w:hAnsi="宋体" w:eastAsia="宋体" w:cs="宋体"/>
          <w:sz w:val="21"/>
          <w:szCs w:val="21"/>
          <w:lang w:eastAsia="zh-CN"/>
        </w:rPr>
      </w:pPr>
      <w:bookmarkStart w:id="105" w:name="OLE_LINK24"/>
      <w:r>
        <w:rPr>
          <w:rFonts w:hint="eastAsia" w:ascii="宋体" w:hAnsi="宋体" w:eastAsia="宋体" w:cs="宋体"/>
          <w:sz w:val="21"/>
          <w:szCs w:val="21"/>
        </w:rPr>
        <w:t>6.1</w:t>
      </w:r>
      <w:bookmarkEnd w:id="105"/>
      <w:r>
        <w:rPr>
          <w:rFonts w:hint="eastAsia" w:ascii="宋体" w:hAnsi="宋体" w:eastAsia="宋体" w:cs="宋体"/>
          <w:sz w:val="21"/>
          <w:szCs w:val="21"/>
          <w:lang w:eastAsia="zh-CN"/>
        </w:rPr>
        <w:t>资格审查</w:t>
      </w:r>
    </w:p>
    <w:p w14:paraId="2ED1A75F">
      <w:pPr>
        <w:spacing w:line="360" w:lineRule="auto"/>
        <w:ind w:firstLine="420" w:firstLineChars="200"/>
        <w:rPr>
          <w:rFonts w:hint="eastAsia" w:ascii="宋体" w:hAnsi="宋体" w:eastAsia="宋体" w:cs="宋体"/>
        </w:rPr>
      </w:pPr>
      <w:r>
        <w:rPr>
          <w:rFonts w:hint="eastAsia" w:ascii="宋体" w:hAnsi="宋体" w:eastAsia="宋体" w:cs="宋体"/>
        </w:rPr>
        <w:t>6.1.1依照财政部令第87号第四十四条规定：公开招标采购项目开标结束后，采购人或者采购代理机构应当依法对</w:t>
      </w:r>
      <w:r>
        <w:rPr>
          <w:rFonts w:hint="eastAsia" w:ascii="宋体" w:hAnsi="宋体" w:eastAsia="宋体" w:cs="宋体"/>
          <w:lang w:eastAsia="zh-CN"/>
        </w:rPr>
        <w:t>供应商</w:t>
      </w:r>
      <w:r>
        <w:rPr>
          <w:rFonts w:hint="eastAsia" w:ascii="宋体" w:hAnsi="宋体" w:eastAsia="宋体" w:cs="宋体"/>
        </w:rPr>
        <w:t>的资格进行审查。</w:t>
      </w:r>
    </w:p>
    <w:p w14:paraId="7BE93476">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2</w:t>
      </w:r>
      <w:r>
        <w:rPr>
          <w:rFonts w:hint="eastAsia" w:ascii="宋体" w:hAnsi="宋体" w:eastAsia="宋体" w:cs="宋体"/>
        </w:rPr>
        <w:t>采购人或者采购代理机构根据</w:t>
      </w:r>
      <w:r>
        <w:rPr>
          <w:rFonts w:hint="eastAsia" w:ascii="宋体" w:hAnsi="宋体" w:eastAsia="宋体" w:cs="宋体"/>
          <w:lang w:eastAsia="zh-CN"/>
        </w:rPr>
        <w:t>供应商</w:t>
      </w:r>
      <w:r>
        <w:rPr>
          <w:rFonts w:hint="eastAsia" w:ascii="宋体" w:hAnsi="宋体" w:eastAsia="宋体" w:cs="宋体"/>
        </w:rPr>
        <w:t>提交的</w:t>
      </w:r>
      <w:r>
        <w:rPr>
          <w:rFonts w:hint="eastAsia" w:ascii="宋体" w:hAnsi="宋体" w:eastAsia="宋体" w:cs="宋体"/>
          <w:lang w:eastAsia="zh-CN"/>
        </w:rPr>
        <w:t>投标文件中的</w:t>
      </w:r>
      <w:r>
        <w:rPr>
          <w:rFonts w:hint="eastAsia" w:ascii="宋体" w:hAnsi="宋体" w:eastAsia="宋体" w:cs="宋体"/>
        </w:rPr>
        <w:t>“资格申请文件”，对</w:t>
      </w:r>
      <w:r>
        <w:rPr>
          <w:rFonts w:hint="eastAsia" w:ascii="宋体" w:hAnsi="宋体" w:eastAsia="宋体" w:cs="宋体"/>
          <w:lang w:eastAsia="zh-CN"/>
        </w:rPr>
        <w:t>供应商</w:t>
      </w:r>
      <w:r>
        <w:rPr>
          <w:rFonts w:hint="eastAsia" w:ascii="宋体" w:hAnsi="宋体" w:eastAsia="宋体" w:cs="宋体"/>
        </w:rPr>
        <w:t>进行资格审查。</w:t>
      </w:r>
    </w:p>
    <w:p w14:paraId="698671BA">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3</w:t>
      </w:r>
      <w:r>
        <w:rPr>
          <w:rFonts w:hint="eastAsia" w:ascii="宋体" w:hAnsi="宋体" w:eastAsia="宋体" w:cs="宋体"/>
        </w:rPr>
        <w:t>采购人或者采购代理机构依据规定的标准对</w:t>
      </w:r>
      <w:r>
        <w:rPr>
          <w:rFonts w:hint="eastAsia" w:ascii="宋体" w:hAnsi="宋体" w:eastAsia="宋体" w:cs="宋体"/>
          <w:lang w:eastAsia="zh-CN"/>
        </w:rPr>
        <w:t>供应商投标文件中的</w:t>
      </w:r>
      <w:r>
        <w:rPr>
          <w:rFonts w:hint="eastAsia" w:ascii="宋体" w:hAnsi="宋体" w:eastAsia="宋体" w:cs="宋体"/>
        </w:rPr>
        <w:t>“资格申请文件”进行</w:t>
      </w:r>
      <w:r>
        <w:rPr>
          <w:rFonts w:hint="eastAsia" w:ascii="宋体" w:hAnsi="宋体" w:eastAsia="宋体" w:cs="宋体"/>
          <w:lang w:val="en-US" w:eastAsia="zh-CN"/>
        </w:rPr>
        <w:t>资格审查</w:t>
      </w:r>
      <w:r>
        <w:rPr>
          <w:rFonts w:hint="eastAsia" w:ascii="宋体" w:hAnsi="宋体" w:eastAsia="宋体" w:cs="宋体"/>
        </w:rPr>
        <w:t>。有一项不符合评审标准的，应当否决其投标，作废标处理。</w:t>
      </w:r>
    </w:p>
    <w:p w14:paraId="508954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2</w:t>
      </w:r>
      <w:r>
        <w:rPr>
          <w:rFonts w:hint="eastAsia" w:ascii="宋体" w:hAnsi="宋体" w:eastAsia="宋体" w:cs="宋体"/>
          <w:sz w:val="21"/>
          <w:szCs w:val="21"/>
        </w:rPr>
        <w:t>评标委员会</w:t>
      </w:r>
    </w:p>
    <w:p w14:paraId="2F221E3E">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r>
        <w:rPr>
          <w:rFonts w:hint="eastAsia" w:ascii="宋体" w:hAnsi="宋体" w:cs="宋体"/>
        </w:rPr>
        <w:t>评标由</w:t>
      </w:r>
      <w:r>
        <w:rPr>
          <w:rFonts w:hint="eastAsia" w:ascii="宋体" w:hAnsi="宋体" w:cs="宋体"/>
          <w:lang w:eastAsia="zh-CN"/>
        </w:rPr>
        <w:t>采购人</w:t>
      </w:r>
      <w:r>
        <w:rPr>
          <w:rFonts w:hint="eastAsia" w:ascii="宋体" w:hAnsi="宋体" w:cs="宋体"/>
        </w:rPr>
        <w:t>依法组建的评标委员会负责。评标委员会由有关技术、经济等方面的专家组成。评标委员会成员人数以及技术、经济等方面专家的确定方式见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p>
    <w:p w14:paraId="22E20907">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.2评标委员会成员有下列情形之一的，应当回避：</w:t>
      </w:r>
    </w:p>
    <w:p w14:paraId="7DD08DA2">
      <w:pPr>
        <w:spacing w:line="360" w:lineRule="auto"/>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采购人</w:t>
      </w:r>
      <w:r>
        <w:rPr>
          <w:rFonts w:hint="eastAsia" w:ascii="宋体" w:hAnsi="宋体" w:cs="宋体"/>
          <w:szCs w:val="21"/>
        </w:rPr>
        <w:t>或投标人的主要负责人的近亲属；</w:t>
      </w:r>
    </w:p>
    <w:p w14:paraId="0BE30D1A">
      <w:pPr>
        <w:spacing w:line="360" w:lineRule="auto"/>
        <w:ind w:firstLine="420" w:firstLineChars="200"/>
        <w:rPr>
          <w:rFonts w:ascii="宋体" w:hAnsi="宋体" w:cs="宋体"/>
          <w:szCs w:val="21"/>
        </w:rPr>
      </w:pPr>
      <w:r>
        <w:rPr>
          <w:rFonts w:hint="eastAsia" w:ascii="宋体" w:hAnsi="宋体" w:cs="宋体"/>
          <w:szCs w:val="21"/>
        </w:rPr>
        <w:t>(2）项目主管部门或者行政监督部门的人员；</w:t>
      </w:r>
    </w:p>
    <w:p w14:paraId="14081C28">
      <w:pPr>
        <w:spacing w:line="360" w:lineRule="auto"/>
        <w:ind w:firstLine="420" w:firstLineChars="200"/>
        <w:rPr>
          <w:rFonts w:ascii="宋体" w:hAnsi="宋体" w:cs="宋体"/>
          <w:szCs w:val="21"/>
        </w:rPr>
      </w:pPr>
      <w:r>
        <w:rPr>
          <w:rFonts w:hint="eastAsia" w:ascii="宋体" w:hAnsi="宋体" w:cs="宋体"/>
          <w:szCs w:val="21"/>
        </w:rPr>
        <w:t>(3）与投标人有经济利益关系，可能影响对投标公正评审的；</w:t>
      </w:r>
    </w:p>
    <w:p w14:paraId="69E6D2F0">
      <w:pPr>
        <w:spacing w:line="360" w:lineRule="auto"/>
        <w:ind w:firstLine="420" w:firstLineChars="200"/>
        <w:rPr>
          <w:rFonts w:ascii="宋体" w:hAnsi="宋体" w:cs="宋体"/>
          <w:szCs w:val="21"/>
        </w:rPr>
      </w:pPr>
      <w:r>
        <w:rPr>
          <w:rFonts w:hint="eastAsia" w:ascii="宋体" w:hAnsi="宋体" w:cs="宋体"/>
          <w:szCs w:val="21"/>
        </w:rPr>
        <w:t>(4）曾因在招标、评标以及其他与招标投标有关活动中从事违法行为而受过行政处罚或刑事处罚的。</w:t>
      </w:r>
    </w:p>
    <w:p w14:paraId="0B63FA52">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.3评标过程中，评标委员会成员有回避事由、擅离职守或者因健康等原因不能继续评标的，</w:t>
      </w:r>
      <w:r>
        <w:rPr>
          <w:rFonts w:hint="eastAsia" w:ascii="宋体" w:hAnsi="宋体" w:cs="宋体"/>
          <w:szCs w:val="21"/>
          <w:lang w:eastAsia="zh-CN"/>
        </w:rPr>
        <w:t>采购人</w:t>
      </w:r>
      <w:r>
        <w:rPr>
          <w:rFonts w:hint="eastAsia" w:ascii="宋体" w:hAnsi="宋体" w:cs="宋体"/>
          <w:szCs w:val="21"/>
        </w:rPr>
        <w:t>有权更换。被更换的评标委员会成员作出的评审结论无效，由更换后的评标委员会成员重新进行评审。</w:t>
      </w:r>
    </w:p>
    <w:p w14:paraId="6D378B9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3</w:t>
      </w:r>
      <w:r>
        <w:rPr>
          <w:rFonts w:hint="eastAsia" w:ascii="宋体" w:hAnsi="宋体" w:eastAsia="宋体" w:cs="宋体"/>
          <w:sz w:val="21"/>
          <w:szCs w:val="21"/>
        </w:rPr>
        <w:t>评标原则</w:t>
      </w:r>
    </w:p>
    <w:p w14:paraId="427F9118">
      <w:pPr>
        <w:spacing w:line="360" w:lineRule="auto"/>
        <w:ind w:firstLine="420" w:firstLineChars="200"/>
        <w:rPr>
          <w:rFonts w:hint="eastAsia" w:ascii="宋体" w:hAnsi="宋体" w:cs="宋体"/>
          <w:szCs w:val="21"/>
        </w:rPr>
      </w:pPr>
      <w:r>
        <w:rPr>
          <w:rFonts w:hint="eastAsia" w:ascii="宋体" w:hAnsi="宋体" w:cs="宋体"/>
          <w:szCs w:val="21"/>
          <w:lang w:val="en-US" w:eastAsia="zh-CN"/>
        </w:rPr>
        <w:t>6.3.1</w:t>
      </w:r>
      <w:r>
        <w:rPr>
          <w:rFonts w:hint="eastAsia" w:ascii="宋体" w:hAnsi="宋体" w:cs="宋体"/>
          <w:szCs w:val="21"/>
        </w:rPr>
        <w:t>评标活动遵循公平、公正、科学和择优的原则。</w:t>
      </w:r>
    </w:p>
    <w:p w14:paraId="590F243F">
      <w:pPr>
        <w:spacing w:line="360" w:lineRule="auto"/>
        <w:ind w:firstLine="420" w:firstLineChars="20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6.3.2遵循《关于进一步加大政府采购支持中小企业力度的通知》（财库〔2023〕19号）文件和《政府采购促进中小企业发展管理办法》(财库[2020]46号)文件及《郑州市郑东新区财政局（审计局）关于政府采购支持稳经济促增长的通知》（郑东财审[2022]9号）文件的规定，本次采购项目价格扣除比例为20%。</w:t>
      </w:r>
    </w:p>
    <w:p w14:paraId="1609988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4</w:t>
      </w:r>
      <w:r>
        <w:rPr>
          <w:rFonts w:hint="eastAsia" w:ascii="宋体" w:hAnsi="宋体" w:eastAsia="宋体" w:cs="宋体"/>
          <w:sz w:val="21"/>
          <w:szCs w:val="21"/>
        </w:rPr>
        <w:t>评标</w:t>
      </w:r>
    </w:p>
    <w:p w14:paraId="27774C37">
      <w:pPr>
        <w:spacing w:line="360" w:lineRule="auto"/>
        <w:ind w:firstLine="420" w:firstLineChars="200"/>
        <w:rPr>
          <w:rFonts w:ascii="宋体" w:hAnsi="宋体" w:cs="宋体"/>
          <w:szCs w:val="21"/>
        </w:rPr>
      </w:pPr>
      <w:r>
        <w:rPr>
          <w:rFonts w:hint="eastAsia" w:ascii="宋体" w:hAnsi="宋体" w:cs="宋体"/>
          <w:szCs w:val="21"/>
        </w:rPr>
        <w:t>评标委员会按照第三章“评标办法</w:t>
      </w:r>
      <w:r>
        <w:rPr>
          <w:rFonts w:hint="eastAsia" w:ascii="宋体" w:hAnsi="宋体" w:cs="宋体"/>
        </w:rPr>
        <w:t>（综合评分法）</w:t>
      </w:r>
      <w:r>
        <w:rPr>
          <w:rFonts w:hint="eastAsia" w:ascii="宋体" w:hAnsi="宋体" w:cs="宋体"/>
          <w:szCs w:val="21"/>
        </w:rPr>
        <w:t>”规定的方法、评审因素、标准和程序对投标文件进行评审。第三章“评标办法</w:t>
      </w:r>
      <w:r>
        <w:rPr>
          <w:rFonts w:hint="eastAsia" w:ascii="宋体" w:hAnsi="宋体" w:cs="宋体"/>
        </w:rPr>
        <w:t>（综合评分法）</w:t>
      </w:r>
      <w:r>
        <w:rPr>
          <w:rFonts w:hint="eastAsia" w:ascii="宋体" w:hAnsi="宋体" w:cs="宋体"/>
          <w:szCs w:val="21"/>
        </w:rPr>
        <w:t>”没有规定的方法、评审因素和标准，不作为评标依据。</w:t>
      </w:r>
    </w:p>
    <w:p w14:paraId="5D69419E">
      <w:pPr>
        <w:pStyle w:val="2"/>
        <w:spacing w:line="360" w:lineRule="auto"/>
        <w:rPr>
          <w:rFonts w:cs="宋体"/>
          <w:sz w:val="24"/>
          <w:szCs w:val="24"/>
        </w:rPr>
      </w:pPr>
      <w:bookmarkStart w:id="106" w:name="_Toc2202"/>
      <w:bookmarkStart w:id="107" w:name="_Toc184635077"/>
      <w:bookmarkStart w:id="108" w:name="_Toc15706"/>
      <w:bookmarkStart w:id="109" w:name="_Toc2298"/>
      <w:bookmarkStart w:id="110" w:name="_Toc30534"/>
      <w:bookmarkStart w:id="111" w:name="_Toc9336"/>
      <w:r>
        <w:rPr>
          <w:rFonts w:hint="eastAsia" w:cs="宋体"/>
          <w:sz w:val="24"/>
          <w:szCs w:val="24"/>
        </w:rPr>
        <w:t>7．合同授予</w:t>
      </w:r>
      <w:bookmarkEnd w:id="106"/>
      <w:bookmarkEnd w:id="107"/>
      <w:bookmarkEnd w:id="108"/>
      <w:bookmarkEnd w:id="109"/>
      <w:bookmarkEnd w:id="110"/>
      <w:bookmarkEnd w:id="111"/>
    </w:p>
    <w:p w14:paraId="4A9FA76A">
      <w:pPr>
        <w:pStyle w:val="5"/>
        <w:spacing w:before="0" w:after="0" w:line="360" w:lineRule="auto"/>
        <w:rPr>
          <w:rFonts w:ascii="宋体" w:hAnsi="宋体" w:eastAsia="宋体" w:cs="宋体"/>
          <w:sz w:val="21"/>
          <w:szCs w:val="21"/>
        </w:rPr>
      </w:pPr>
      <w:bookmarkStart w:id="112" w:name="_Toc184635078"/>
      <w:r>
        <w:rPr>
          <w:rFonts w:hint="eastAsia" w:ascii="宋体" w:hAnsi="宋体" w:eastAsia="宋体" w:cs="宋体"/>
          <w:sz w:val="21"/>
          <w:szCs w:val="21"/>
        </w:rPr>
        <w:t>7.1定标方式</w:t>
      </w:r>
    </w:p>
    <w:p w14:paraId="3174B179">
      <w:pPr>
        <w:spacing w:line="360" w:lineRule="auto"/>
        <w:ind w:firstLine="420" w:firstLineChars="200"/>
        <w:rPr>
          <w:rFonts w:ascii="宋体" w:hAnsi="宋体" w:cs="宋体"/>
          <w:b/>
          <w:szCs w:val="21"/>
        </w:rPr>
      </w:pPr>
      <w:r>
        <w:rPr>
          <w:rFonts w:hint="eastAsia" w:ascii="宋体" w:hAnsi="宋体" w:cs="宋体"/>
          <w:szCs w:val="21"/>
        </w:rPr>
        <w:t>采购代理机构在评标结束后将评标报告送</w:t>
      </w:r>
      <w:r>
        <w:rPr>
          <w:rFonts w:hint="eastAsia" w:ascii="宋体" w:hAnsi="宋体" w:cs="宋体"/>
          <w:szCs w:val="21"/>
          <w:lang w:eastAsia="zh-CN"/>
        </w:rPr>
        <w:t>采购人</w:t>
      </w:r>
      <w:r>
        <w:rPr>
          <w:rFonts w:hint="eastAsia" w:ascii="宋体" w:hAnsi="宋体" w:cs="宋体"/>
          <w:szCs w:val="21"/>
        </w:rPr>
        <w:t>。</w:t>
      </w:r>
      <w:r>
        <w:rPr>
          <w:rFonts w:hint="eastAsia" w:ascii="宋体" w:hAnsi="宋体" w:cs="宋体"/>
          <w:szCs w:val="21"/>
          <w:lang w:eastAsia="zh-CN"/>
        </w:rPr>
        <w:t>采购人</w:t>
      </w:r>
      <w:r>
        <w:rPr>
          <w:rFonts w:hint="eastAsia" w:ascii="宋体" w:hAnsi="宋体" w:cs="宋体"/>
          <w:szCs w:val="21"/>
        </w:rPr>
        <w:t>收到评标报告后在评标报告确定的中标候选人名单中按顺序确定中标人。</w:t>
      </w:r>
    </w:p>
    <w:p w14:paraId="7E695608">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7.2中标公告</w:t>
      </w:r>
    </w:p>
    <w:p w14:paraId="5A5187D3">
      <w:pPr>
        <w:spacing w:line="360" w:lineRule="auto"/>
        <w:ind w:firstLine="420" w:firstLineChars="200"/>
        <w:rPr>
          <w:rFonts w:ascii="宋体" w:hAnsi="宋体" w:cs="宋体"/>
          <w:szCs w:val="21"/>
          <w:highlight w:val="none"/>
        </w:rPr>
      </w:pPr>
      <w:r>
        <w:rPr>
          <w:rFonts w:hint="eastAsia" w:ascii="宋体" w:hAnsi="宋体" w:cs="宋体"/>
          <w:szCs w:val="21"/>
        </w:rPr>
        <w:t>7.2.1中标人确定后在</w:t>
      </w:r>
      <w:r>
        <w:rPr>
          <w:rFonts w:hint="eastAsia" w:ascii="宋体" w:hAnsi="宋体" w:cs="宋体"/>
        </w:rPr>
        <w:t>招标公告发布的同一媒介上</w:t>
      </w:r>
      <w:r>
        <w:rPr>
          <w:rFonts w:hint="eastAsia" w:ascii="宋体" w:hAnsi="宋体" w:cs="宋体"/>
          <w:szCs w:val="21"/>
        </w:rPr>
        <w:t>发布中标结果公告，招标文件随中标结</w:t>
      </w:r>
      <w:r>
        <w:rPr>
          <w:rFonts w:hint="eastAsia" w:ascii="宋体" w:hAnsi="宋体" w:cs="宋体"/>
          <w:szCs w:val="21"/>
          <w:highlight w:val="none"/>
        </w:rPr>
        <w:t>果同时公告。</w:t>
      </w:r>
    </w:p>
    <w:p w14:paraId="7C8DE734">
      <w:pPr>
        <w:spacing w:line="360" w:lineRule="auto"/>
        <w:ind w:firstLine="420" w:firstLineChars="200"/>
        <w:rPr>
          <w:rFonts w:ascii="宋体" w:hAnsi="宋体" w:cs="宋体"/>
          <w:szCs w:val="21"/>
          <w:highlight w:val="none"/>
        </w:rPr>
      </w:pPr>
      <w:r>
        <w:rPr>
          <w:rFonts w:hint="eastAsia" w:ascii="宋体" w:hAnsi="宋体" w:cs="宋体"/>
          <w:szCs w:val="21"/>
          <w:highlight w:val="none"/>
        </w:rPr>
        <w:t>7.2.2中标结果公告内容应当包括</w:t>
      </w:r>
      <w:r>
        <w:rPr>
          <w:rFonts w:hint="eastAsia" w:ascii="宋体" w:hAnsi="宋体" w:cs="宋体"/>
          <w:szCs w:val="21"/>
          <w:highlight w:val="none"/>
          <w:lang w:eastAsia="zh-CN"/>
        </w:rPr>
        <w:t>采购人</w:t>
      </w:r>
      <w:r>
        <w:rPr>
          <w:rFonts w:hint="eastAsia" w:ascii="宋体" w:hAnsi="宋体" w:cs="宋体"/>
          <w:szCs w:val="21"/>
          <w:highlight w:val="none"/>
        </w:rPr>
        <w:t>及代理机构的名称、地址、联系方式，项目名称和项目编号，中标人名称、地址和中标金额，主要中标标的的名称、数量、服务质量，中标公告期限以及评审专家名单。</w:t>
      </w:r>
    </w:p>
    <w:p w14:paraId="01B22FC5">
      <w:pPr>
        <w:spacing w:line="360" w:lineRule="auto"/>
        <w:ind w:firstLine="420" w:firstLineChars="200"/>
        <w:rPr>
          <w:rFonts w:ascii="宋体" w:hAnsi="宋体" w:cs="宋体"/>
          <w:szCs w:val="21"/>
        </w:rPr>
      </w:pPr>
      <w:r>
        <w:rPr>
          <w:rFonts w:hint="eastAsia" w:ascii="宋体" w:hAnsi="宋体" w:cs="宋体"/>
          <w:szCs w:val="21"/>
        </w:rPr>
        <w:t>7.2.3中标公告期限为1个工作日。</w:t>
      </w:r>
    </w:p>
    <w:p w14:paraId="2535118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7.3中标通知</w:t>
      </w:r>
    </w:p>
    <w:p w14:paraId="0516FFDF">
      <w:pPr>
        <w:spacing w:line="360" w:lineRule="auto"/>
        <w:ind w:firstLine="420" w:firstLineChars="200"/>
        <w:rPr>
          <w:rFonts w:ascii="宋体" w:hAnsi="宋体" w:cs="宋体"/>
          <w:szCs w:val="21"/>
        </w:rPr>
      </w:pPr>
      <w:r>
        <w:rPr>
          <w:rFonts w:hint="eastAsia" w:ascii="宋体" w:hAnsi="宋体" w:cs="宋体"/>
        </w:rPr>
        <w:t>在确定中标人后应当向中标人发出中标通知书；并告知未中标人。</w:t>
      </w:r>
    </w:p>
    <w:p w14:paraId="2359BCC0">
      <w:pPr>
        <w:pStyle w:val="5"/>
        <w:spacing w:before="0" w:after="0"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7.4履约</w:t>
      </w:r>
      <w:r>
        <w:rPr>
          <w:rFonts w:hint="eastAsia" w:ascii="宋体" w:hAnsi="宋体" w:eastAsia="宋体" w:cs="宋体"/>
          <w:sz w:val="21"/>
          <w:szCs w:val="21"/>
          <w:highlight w:val="none"/>
          <w:lang w:eastAsia="zh-CN"/>
        </w:rPr>
        <w:t>保证金</w:t>
      </w:r>
    </w:p>
    <w:p w14:paraId="71210206">
      <w:pPr>
        <w:spacing w:line="360" w:lineRule="auto"/>
        <w:ind w:firstLine="420" w:firstLineChars="200"/>
        <w:rPr>
          <w:rFonts w:ascii="宋体" w:hAnsi="宋体" w:cs="宋体"/>
          <w:szCs w:val="21"/>
          <w:highlight w:val="none"/>
        </w:rPr>
      </w:pPr>
      <w:r>
        <w:rPr>
          <w:rFonts w:hint="eastAsia" w:ascii="宋体" w:hAnsi="宋体" w:cs="宋体"/>
          <w:szCs w:val="21"/>
          <w:highlight w:val="none"/>
        </w:rPr>
        <w:t>7.4.1 在签订合同前，中标人应按</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前附表规定的金额、担保形式和招标文件第四章“合同条款及格式”规定的履约担保格式向</w:t>
      </w:r>
      <w:r>
        <w:rPr>
          <w:rFonts w:hint="eastAsia" w:ascii="宋体" w:hAnsi="宋体" w:cs="宋体"/>
          <w:szCs w:val="21"/>
          <w:highlight w:val="none"/>
          <w:lang w:eastAsia="zh-CN"/>
        </w:rPr>
        <w:t>采购人</w:t>
      </w:r>
      <w:r>
        <w:rPr>
          <w:rFonts w:hint="eastAsia" w:ascii="宋体" w:hAnsi="宋体" w:cs="宋体"/>
          <w:szCs w:val="21"/>
          <w:highlight w:val="none"/>
        </w:rPr>
        <w:t>提交履约担保。联合体中标的，其履约担保由牵头人递交，并应符合</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前附表规定的金额、担保形式和招标文件第四章“合同条款及格式”规定的履约担保格式要求。</w:t>
      </w:r>
    </w:p>
    <w:p w14:paraId="1AF4B433">
      <w:pPr>
        <w:spacing w:line="360" w:lineRule="auto"/>
        <w:ind w:firstLine="420" w:firstLineChars="200"/>
        <w:rPr>
          <w:rFonts w:ascii="宋体" w:hAnsi="宋体" w:cs="宋体"/>
          <w:szCs w:val="21"/>
          <w:highlight w:val="none"/>
        </w:rPr>
      </w:pPr>
      <w:r>
        <w:rPr>
          <w:rFonts w:hint="eastAsia" w:ascii="宋体" w:hAnsi="宋体" w:cs="宋体"/>
          <w:szCs w:val="21"/>
          <w:highlight w:val="none"/>
        </w:rPr>
        <w:t>7.4.2 中标人不能按本章第7.4.1 项要求提交履约担保的，视为放弃中标，给</w:t>
      </w:r>
      <w:r>
        <w:rPr>
          <w:rFonts w:hint="eastAsia" w:ascii="宋体" w:hAnsi="宋体" w:cs="宋体"/>
          <w:szCs w:val="21"/>
          <w:highlight w:val="none"/>
          <w:lang w:eastAsia="zh-CN"/>
        </w:rPr>
        <w:t>采购人</w:t>
      </w:r>
      <w:r>
        <w:rPr>
          <w:rFonts w:hint="eastAsia" w:ascii="宋体" w:hAnsi="宋体" w:cs="宋体"/>
          <w:szCs w:val="21"/>
          <w:highlight w:val="none"/>
        </w:rPr>
        <w:t>造成损失的，中标人应当予以赔偿。</w:t>
      </w:r>
    </w:p>
    <w:p w14:paraId="5D34CEE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7.5签订合同</w:t>
      </w:r>
    </w:p>
    <w:p w14:paraId="4E5F3904">
      <w:pPr>
        <w:spacing w:line="360" w:lineRule="auto"/>
        <w:ind w:firstLine="420" w:firstLineChars="200"/>
        <w:rPr>
          <w:rFonts w:ascii="宋体" w:hAnsi="宋体" w:cs="宋体"/>
          <w:szCs w:val="21"/>
        </w:rPr>
      </w:pPr>
      <w:r>
        <w:rPr>
          <w:rFonts w:hint="eastAsia" w:ascii="宋体" w:hAnsi="宋体" w:cs="宋体"/>
          <w:szCs w:val="21"/>
        </w:rPr>
        <w:t xml:space="preserve">7.5.1 </w:t>
      </w:r>
      <w:r>
        <w:rPr>
          <w:rFonts w:hint="eastAsia" w:ascii="宋体" w:hAnsi="宋体" w:cs="宋体"/>
          <w:szCs w:val="21"/>
          <w:highlight w:val="none"/>
          <w:lang w:eastAsia="zh-CN"/>
        </w:rPr>
        <w:t>采购人</w:t>
      </w:r>
      <w:r>
        <w:rPr>
          <w:rFonts w:hint="eastAsia" w:ascii="宋体" w:hAnsi="宋体" w:cs="宋体"/>
          <w:szCs w:val="21"/>
          <w:highlight w:val="none"/>
        </w:rPr>
        <w:t>应当自中标通知书发出之日起2个工作日内，</w:t>
      </w:r>
      <w:r>
        <w:rPr>
          <w:rFonts w:hint="eastAsia" w:ascii="宋体" w:hAnsi="宋体" w:cs="宋体"/>
          <w:szCs w:val="21"/>
        </w:rPr>
        <w:t>根据招标文件和中标人投标文件的规定，</w:t>
      </w:r>
      <w:r>
        <w:rPr>
          <w:rFonts w:hint="eastAsia" w:ascii="宋体" w:hAnsi="宋体" w:cs="宋体"/>
          <w:szCs w:val="21"/>
          <w:lang w:eastAsia="zh-CN"/>
        </w:rPr>
        <w:t>采购人</w:t>
      </w:r>
      <w:r>
        <w:rPr>
          <w:rFonts w:hint="eastAsia" w:ascii="宋体" w:hAnsi="宋体" w:cs="宋体"/>
          <w:szCs w:val="21"/>
        </w:rPr>
        <w:t>与中标人签订书面合同。所签订的合同不得对招标文件确定的事项和中标人投标文件作实质性修改。中标人拒绝与</w:t>
      </w:r>
      <w:r>
        <w:rPr>
          <w:rFonts w:hint="eastAsia" w:ascii="宋体" w:hAnsi="宋体" w:cs="宋体"/>
          <w:szCs w:val="21"/>
          <w:lang w:eastAsia="zh-CN"/>
        </w:rPr>
        <w:t>采购人</w:t>
      </w:r>
      <w:r>
        <w:rPr>
          <w:rFonts w:hint="eastAsia" w:ascii="宋体" w:hAnsi="宋体" w:cs="宋体"/>
          <w:szCs w:val="21"/>
        </w:rPr>
        <w:t>签订合同的，</w:t>
      </w:r>
      <w:r>
        <w:rPr>
          <w:rFonts w:hint="eastAsia" w:ascii="宋体" w:hAnsi="宋体" w:cs="宋体"/>
          <w:szCs w:val="21"/>
          <w:lang w:eastAsia="zh-CN"/>
        </w:rPr>
        <w:t>采购人</w:t>
      </w:r>
      <w:r>
        <w:rPr>
          <w:rFonts w:hint="eastAsia" w:ascii="宋体" w:hAnsi="宋体" w:cs="宋体"/>
          <w:szCs w:val="21"/>
        </w:rPr>
        <w:t>可以按照评审报告推荐的中标人名单排序确定下一候选人为中标人，也可以重新开展政府采购活动。</w:t>
      </w:r>
    </w:p>
    <w:p w14:paraId="4C18FE96">
      <w:pPr>
        <w:spacing w:line="360" w:lineRule="auto"/>
        <w:ind w:firstLine="420" w:firstLineChars="200"/>
        <w:rPr>
          <w:rFonts w:ascii="宋体" w:hAnsi="宋体" w:cs="宋体"/>
          <w:szCs w:val="21"/>
        </w:rPr>
      </w:pPr>
      <w:r>
        <w:rPr>
          <w:rFonts w:hint="eastAsia" w:ascii="宋体" w:hAnsi="宋体" w:cs="宋体"/>
          <w:szCs w:val="21"/>
        </w:rPr>
        <w:t xml:space="preserve">7.5.2 </w:t>
      </w:r>
      <w:r>
        <w:rPr>
          <w:rFonts w:hint="eastAsia" w:ascii="宋体" w:hAnsi="宋体" w:cs="宋体"/>
          <w:szCs w:val="21"/>
          <w:lang w:eastAsia="zh-CN"/>
        </w:rPr>
        <w:t>采购人</w:t>
      </w:r>
      <w:r>
        <w:rPr>
          <w:rFonts w:hint="eastAsia" w:ascii="宋体" w:hAnsi="宋体" w:cs="宋体"/>
          <w:szCs w:val="21"/>
        </w:rPr>
        <w:t>不得向中标人提出任何不合理的要求作为签订合同的条件。</w:t>
      </w:r>
    </w:p>
    <w:p w14:paraId="5F63C360">
      <w:pPr>
        <w:spacing w:line="360" w:lineRule="auto"/>
        <w:ind w:firstLine="420" w:firstLineChars="200"/>
        <w:rPr>
          <w:rFonts w:ascii="宋体" w:hAnsi="宋体" w:cs="宋体"/>
          <w:highlight w:val="none"/>
        </w:rPr>
      </w:pPr>
      <w:r>
        <w:rPr>
          <w:rFonts w:hint="eastAsia" w:ascii="宋体" w:hAnsi="宋体" w:cs="宋体"/>
          <w:szCs w:val="21"/>
          <w:highlight w:val="none"/>
        </w:rPr>
        <w:t>7.5.3 政府采购合同应当包括</w:t>
      </w:r>
      <w:r>
        <w:rPr>
          <w:rFonts w:hint="eastAsia" w:ascii="宋体" w:hAnsi="宋体" w:cs="宋体"/>
          <w:szCs w:val="21"/>
          <w:highlight w:val="none"/>
          <w:lang w:eastAsia="zh-CN"/>
        </w:rPr>
        <w:t>采购人</w:t>
      </w:r>
      <w:r>
        <w:rPr>
          <w:rFonts w:hint="eastAsia" w:ascii="宋体" w:hAnsi="宋体" w:cs="宋体"/>
          <w:szCs w:val="21"/>
          <w:highlight w:val="none"/>
        </w:rPr>
        <w:t>与中标人的名称和住所、标的、数量、质量、价款或者报酬、履行期限及地点和方式、验收要求、违约责任、解决争议的方法等内容</w:t>
      </w:r>
      <w:r>
        <w:rPr>
          <w:rFonts w:hint="eastAsia" w:ascii="宋体" w:hAnsi="宋体" w:cs="宋体"/>
          <w:highlight w:val="none"/>
        </w:rPr>
        <w:t>。</w:t>
      </w:r>
    </w:p>
    <w:p w14:paraId="6E841057">
      <w:pPr>
        <w:pStyle w:val="2"/>
        <w:spacing w:line="360" w:lineRule="auto"/>
        <w:rPr>
          <w:rFonts w:cs="宋体"/>
          <w:sz w:val="24"/>
          <w:szCs w:val="24"/>
        </w:rPr>
      </w:pPr>
      <w:bookmarkStart w:id="113" w:name="_Toc20072"/>
      <w:bookmarkStart w:id="114" w:name="_Toc5006"/>
      <w:bookmarkStart w:id="115" w:name="_Toc31326"/>
      <w:bookmarkStart w:id="116" w:name="_Toc12416"/>
      <w:bookmarkStart w:id="117" w:name="_Toc19503"/>
      <w:r>
        <w:rPr>
          <w:rFonts w:hint="eastAsia" w:cs="宋体"/>
          <w:sz w:val="24"/>
          <w:szCs w:val="24"/>
        </w:rPr>
        <w:t>8．重新招标和不再招标</w:t>
      </w:r>
      <w:bookmarkEnd w:id="112"/>
      <w:bookmarkEnd w:id="113"/>
      <w:bookmarkEnd w:id="114"/>
      <w:bookmarkEnd w:id="115"/>
      <w:bookmarkEnd w:id="116"/>
      <w:bookmarkEnd w:id="117"/>
    </w:p>
    <w:p w14:paraId="1288067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8.1重新招标</w:t>
      </w:r>
    </w:p>
    <w:p w14:paraId="609E8B9F">
      <w:pPr>
        <w:spacing w:line="360" w:lineRule="auto"/>
        <w:ind w:firstLine="420" w:firstLineChars="200"/>
        <w:rPr>
          <w:rFonts w:ascii="宋体" w:hAnsi="宋体" w:cs="宋体"/>
          <w:szCs w:val="21"/>
        </w:rPr>
      </w:pPr>
      <w:r>
        <w:rPr>
          <w:rFonts w:hint="eastAsia" w:ascii="宋体" w:hAnsi="宋体" w:cs="宋体"/>
          <w:szCs w:val="21"/>
        </w:rPr>
        <w:t>投标截止时间止，投标人少于</w:t>
      </w:r>
      <w:r>
        <w:rPr>
          <w:rFonts w:hint="eastAsia" w:ascii="宋体" w:hAnsi="宋体" w:cs="宋体"/>
          <w:szCs w:val="21"/>
          <w:u w:val="single"/>
        </w:rPr>
        <w:t xml:space="preserve"> 3 </w:t>
      </w:r>
      <w:r>
        <w:rPr>
          <w:rFonts w:hint="eastAsia" w:ascii="宋体" w:hAnsi="宋体" w:cs="宋体"/>
          <w:szCs w:val="21"/>
        </w:rPr>
        <w:t>个的；</w:t>
      </w:r>
    </w:p>
    <w:p w14:paraId="7A6B74F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8.2不再招标</w:t>
      </w:r>
    </w:p>
    <w:p w14:paraId="4BF02F3B">
      <w:pPr>
        <w:spacing w:line="360" w:lineRule="auto"/>
        <w:ind w:firstLine="420" w:firstLineChars="200"/>
        <w:rPr>
          <w:rFonts w:ascii="宋体" w:hAnsi="宋体" w:cs="宋体"/>
          <w:szCs w:val="21"/>
        </w:rPr>
      </w:pPr>
      <w:r>
        <w:rPr>
          <w:rFonts w:hint="eastAsia" w:ascii="宋体" w:hAnsi="宋体" w:cs="宋体"/>
          <w:szCs w:val="21"/>
        </w:rPr>
        <w:t>重新招标后投标人仍少于</w:t>
      </w:r>
      <w:r>
        <w:rPr>
          <w:rFonts w:hint="eastAsia" w:ascii="宋体" w:hAnsi="宋体" w:cs="宋体"/>
          <w:szCs w:val="21"/>
          <w:u w:val="single"/>
        </w:rPr>
        <w:t xml:space="preserve"> 3 </w:t>
      </w:r>
      <w:r>
        <w:rPr>
          <w:rFonts w:hint="eastAsia" w:ascii="宋体" w:hAnsi="宋体" w:cs="宋体"/>
          <w:szCs w:val="21"/>
        </w:rPr>
        <w:t>个或者符合竞争要求的投标人或者报价未超过采购预算的投标人不足3家的，属于必须审批或核准的工程建设项目，经原审批或核准部门批准后不再进行招标。</w:t>
      </w:r>
    </w:p>
    <w:p w14:paraId="0F32DEDA">
      <w:pPr>
        <w:pStyle w:val="2"/>
        <w:spacing w:line="360" w:lineRule="auto"/>
        <w:rPr>
          <w:rFonts w:cs="宋体"/>
          <w:sz w:val="24"/>
          <w:szCs w:val="24"/>
        </w:rPr>
      </w:pPr>
      <w:bookmarkStart w:id="118" w:name="_Toc30933"/>
      <w:bookmarkStart w:id="119" w:name="_Toc14923"/>
      <w:bookmarkStart w:id="120" w:name="_Toc22360"/>
      <w:bookmarkStart w:id="121" w:name="_Toc9466"/>
      <w:bookmarkStart w:id="122" w:name="_Toc184635079"/>
      <w:bookmarkStart w:id="123" w:name="_Toc28676"/>
      <w:r>
        <w:rPr>
          <w:rFonts w:hint="eastAsia" w:cs="宋体"/>
          <w:sz w:val="24"/>
          <w:szCs w:val="24"/>
        </w:rPr>
        <w:t>9．纪律和监督</w:t>
      </w:r>
      <w:bookmarkEnd w:id="118"/>
      <w:bookmarkEnd w:id="119"/>
      <w:bookmarkEnd w:id="120"/>
      <w:bookmarkEnd w:id="121"/>
      <w:bookmarkEnd w:id="122"/>
      <w:bookmarkEnd w:id="123"/>
    </w:p>
    <w:p w14:paraId="049B861D">
      <w:pPr>
        <w:spacing w:line="360" w:lineRule="auto"/>
        <w:rPr>
          <w:rFonts w:ascii="宋体" w:hAnsi="宋体" w:cs="宋体"/>
          <w:b/>
          <w:szCs w:val="21"/>
        </w:rPr>
      </w:pPr>
      <w:bookmarkStart w:id="124" w:name="_Toc28353"/>
      <w:bookmarkStart w:id="125" w:name="_Toc269828220"/>
      <w:bookmarkStart w:id="126" w:name="_Toc311277295"/>
      <w:bookmarkStart w:id="127" w:name="_Toc311276878"/>
      <w:bookmarkStart w:id="128" w:name="_Toc394051230"/>
      <w:bookmarkStart w:id="129" w:name="_Toc17408"/>
      <w:r>
        <w:rPr>
          <w:rFonts w:hint="eastAsia" w:ascii="宋体" w:hAnsi="宋体" w:cs="宋体"/>
          <w:b/>
          <w:szCs w:val="21"/>
        </w:rPr>
        <w:t>9.1 对</w:t>
      </w:r>
      <w:r>
        <w:rPr>
          <w:rFonts w:hint="eastAsia" w:ascii="宋体" w:hAnsi="宋体" w:cs="宋体"/>
          <w:b/>
          <w:szCs w:val="21"/>
          <w:lang w:eastAsia="zh-CN"/>
        </w:rPr>
        <w:t>采购人</w:t>
      </w:r>
      <w:r>
        <w:rPr>
          <w:rFonts w:hint="eastAsia" w:ascii="宋体" w:hAnsi="宋体" w:cs="宋体"/>
          <w:b/>
          <w:szCs w:val="21"/>
        </w:rPr>
        <w:t>的纪律要求</w:t>
      </w:r>
      <w:bookmarkEnd w:id="124"/>
      <w:bookmarkEnd w:id="125"/>
      <w:bookmarkEnd w:id="126"/>
      <w:bookmarkEnd w:id="127"/>
      <w:bookmarkEnd w:id="128"/>
      <w:bookmarkEnd w:id="129"/>
    </w:p>
    <w:p w14:paraId="09D0F3DC">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不得泄漏招标投标活动中应当保密的情况和资料，不得与投标人串通损害国家利益、社会公共利益或者他人合法权益。</w:t>
      </w:r>
    </w:p>
    <w:p w14:paraId="234AE184">
      <w:pPr>
        <w:spacing w:line="360" w:lineRule="auto"/>
        <w:rPr>
          <w:rFonts w:ascii="宋体" w:hAnsi="宋体" w:cs="宋体"/>
          <w:b/>
          <w:szCs w:val="21"/>
        </w:rPr>
      </w:pPr>
      <w:bookmarkStart w:id="130" w:name="_Toc8162"/>
      <w:bookmarkStart w:id="131" w:name="_Toc269828221"/>
      <w:bookmarkStart w:id="132" w:name="_Toc18524"/>
      <w:bookmarkStart w:id="133" w:name="_Toc311277296"/>
      <w:bookmarkStart w:id="134" w:name="_Toc394051231"/>
      <w:bookmarkStart w:id="135" w:name="_Toc311276879"/>
      <w:r>
        <w:rPr>
          <w:rFonts w:hint="eastAsia" w:ascii="宋体" w:hAnsi="宋体" w:cs="宋体"/>
          <w:b/>
          <w:szCs w:val="21"/>
        </w:rPr>
        <w:t>9.2 对投标人的纪律要求</w:t>
      </w:r>
      <w:bookmarkEnd w:id="130"/>
      <w:bookmarkEnd w:id="131"/>
      <w:bookmarkEnd w:id="132"/>
      <w:bookmarkEnd w:id="133"/>
      <w:bookmarkEnd w:id="134"/>
      <w:bookmarkEnd w:id="135"/>
    </w:p>
    <w:p w14:paraId="798F2C1F">
      <w:pPr>
        <w:spacing w:line="360" w:lineRule="auto"/>
        <w:ind w:firstLine="420" w:firstLineChars="200"/>
        <w:rPr>
          <w:rFonts w:ascii="宋体" w:hAnsi="宋体" w:cs="宋体"/>
          <w:szCs w:val="21"/>
        </w:rPr>
      </w:pPr>
      <w:r>
        <w:rPr>
          <w:rFonts w:hint="eastAsia" w:ascii="宋体" w:hAnsi="宋体" w:cs="宋体"/>
          <w:szCs w:val="21"/>
        </w:rPr>
        <w:t>投标人不得相互串通投标或者与</w:t>
      </w:r>
      <w:r>
        <w:rPr>
          <w:rFonts w:hint="eastAsia" w:ascii="宋体" w:hAnsi="宋体" w:cs="宋体"/>
          <w:szCs w:val="21"/>
          <w:lang w:eastAsia="zh-CN"/>
        </w:rPr>
        <w:t>采购人</w:t>
      </w:r>
      <w:r>
        <w:rPr>
          <w:rFonts w:hint="eastAsia" w:ascii="宋体" w:hAnsi="宋体" w:cs="宋体"/>
          <w:szCs w:val="21"/>
        </w:rPr>
        <w:t>串通投标，不得向</w:t>
      </w:r>
      <w:r>
        <w:rPr>
          <w:rFonts w:hint="eastAsia" w:ascii="宋体" w:hAnsi="宋体" w:cs="宋体"/>
          <w:szCs w:val="21"/>
          <w:lang w:eastAsia="zh-CN"/>
        </w:rPr>
        <w:t>采购人</w:t>
      </w:r>
      <w:r>
        <w:rPr>
          <w:rFonts w:hint="eastAsia" w:ascii="宋体" w:hAnsi="宋体" w:cs="宋体"/>
          <w:szCs w:val="21"/>
        </w:rPr>
        <w:t>或者评标委员会成员行贿谋取中标，不得以他人名义投标或者以其他方式弄虚作假骗取中标；投标人不得以任何方式干扰和影响评标工作。</w:t>
      </w:r>
    </w:p>
    <w:p w14:paraId="209FC293">
      <w:pPr>
        <w:spacing w:line="360" w:lineRule="auto"/>
        <w:rPr>
          <w:rFonts w:ascii="宋体" w:hAnsi="宋体" w:cs="宋体"/>
          <w:b/>
          <w:szCs w:val="21"/>
        </w:rPr>
      </w:pPr>
      <w:bookmarkStart w:id="136" w:name="_Toc269828222"/>
      <w:bookmarkStart w:id="137" w:name="_Toc17459"/>
      <w:bookmarkStart w:id="138" w:name="_Toc394051232"/>
      <w:bookmarkStart w:id="139" w:name="_Toc311276880"/>
      <w:bookmarkStart w:id="140" w:name="_Toc3382"/>
      <w:bookmarkStart w:id="141" w:name="_Toc311277297"/>
      <w:r>
        <w:rPr>
          <w:rFonts w:hint="eastAsia" w:ascii="宋体" w:hAnsi="宋体" w:cs="宋体"/>
          <w:b/>
          <w:szCs w:val="21"/>
        </w:rPr>
        <w:t>9.3 对评标委员会成员的纪律要求</w:t>
      </w:r>
      <w:bookmarkEnd w:id="136"/>
      <w:bookmarkEnd w:id="137"/>
      <w:bookmarkEnd w:id="138"/>
      <w:bookmarkEnd w:id="139"/>
      <w:bookmarkEnd w:id="140"/>
      <w:bookmarkEnd w:id="141"/>
    </w:p>
    <w:p w14:paraId="27453FE3">
      <w:pPr>
        <w:spacing w:line="360" w:lineRule="auto"/>
        <w:ind w:firstLine="420" w:firstLineChars="200"/>
        <w:rPr>
          <w:rFonts w:ascii="宋体" w:hAnsi="宋体" w:cs="宋体"/>
          <w:szCs w:val="21"/>
        </w:rPr>
      </w:pPr>
      <w:bookmarkStart w:id="142" w:name="_Toc311277298"/>
      <w:bookmarkStart w:id="143" w:name="_Toc311276881"/>
      <w:bookmarkStart w:id="144" w:name="_Toc269828223"/>
      <w:r>
        <w:rPr>
          <w:rFonts w:hint="eastAsia" w:ascii="宋体" w:hAnsi="宋体" w:cs="宋体"/>
          <w:szCs w:val="21"/>
        </w:rPr>
        <w:t>评标委员会成员不得收受他人财物或者其他好处，不得向他人透漏对投标文件的评审和比较、中标候选人的推荐情况以及评标有关的其他情况。在评标活动中，评标委员会成员不得擅离职守，影响评标程序正常进行，不得使用第三章“评标办法</w:t>
      </w:r>
      <w:r>
        <w:rPr>
          <w:rFonts w:hint="eastAsia" w:ascii="宋体" w:hAnsi="宋体" w:cs="宋体"/>
        </w:rPr>
        <w:t>（综合评分法）</w:t>
      </w:r>
      <w:r>
        <w:rPr>
          <w:rFonts w:hint="eastAsia" w:ascii="宋体" w:hAnsi="宋体" w:cs="宋体"/>
          <w:szCs w:val="21"/>
        </w:rPr>
        <w:t>”没有规定的评审因素和标准进行评标。</w:t>
      </w:r>
    </w:p>
    <w:p w14:paraId="3D2266F8">
      <w:pPr>
        <w:spacing w:line="360" w:lineRule="auto"/>
        <w:rPr>
          <w:rFonts w:ascii="宋体" w:hAnsi="宋体" w:cs="宋体"/>
          <w:b/>
          <w:szCs w:val="21"/>
        </w:rPr>
      </w:pPr>
      <w:bookmarkStart w:id="145" w:name="_Toc29407"/>
      <w:bookmarkStart w:id="146" w:name="_Toc25669"/>
      <w:bookmarkStart w:id="147" w:name="_Toc394051233"/>
      <w:r>
        <w:rPr>
          <w:rFonts w:hint="eastAsia" w:ascii="宋体" w:hAnsi="宋体" w:cs="宋体"/>
          <w:b/>
          <w:szCs w:val="21"/>
        </w:rPr>
        <w:t>9.4 对与评标活动有关的工作人员的纪律要求</w:t>
      </w:r>
      <w:bookmarkEnd w:id="142"/>
      <w:bookmarkEnd w:id="143"/>
      <w:bookmarkEnd w:id="144"/>
      <w:bookmarkEnd w:id="145"/>
      <w:bookmarkEnd w:id="146"/>
      <w:bookmarkEnd w:id="147"/>
    </w:p>
    <w:p w14:paraId="34A49F61">
      <w:pPr>
        <w:spacing w:line="360" w:lineRule="auto"/>
        <w:ind w:firstLine="420" w:firstLineChars="200"/>
        <w:rPr>
          <w:rFonts w:ascii="宋体" w:hAnsi="宋体" w:cs="宋体"/>
          <w:szCs w:val="21"/>
        </w:rPr>
      </w:pPr>
      <w:r>
        <w:rPr>
          <w:rFonts w:hint="eastAsia" w:ascii="宋体" w:hAnsi="宋体" w:cs="宋体"/>
          <w:szCs w:val="21"/>
        </w:rPr>
        <w:t>与评标活动有关的工作人员不得收受他人财物或者其他好处，不得向他人透漏对投标文件的评审和比较、中标候选人的推荐情况以及评标有关的其他情况。在评标活动中，与评标活动有关的工作人员不得擅离职守，影响评标程序正常进行。</w:t>
      </w:r>
    </w:p>
    <w:p w14:paraId="0FEB7C71">
      <w:pPr>
        <w:spacing w:line="360" w:lineRule="auto"/>
        <w:rPr>
          <w:rFonts w:ascii="宋体" w:hAnsi="宋体" w:cs="宋体"/>
          <w:b/>
          <w:szCs w:val="21"/>
        </w:rPr>
      </w:pPr>
      <w:bookmarkStart w:id="148" w:name="_Toc311277299"/>
      <w:bookmarkStart w:id="149" w:name="_Toc269828224"/>
      <w:bookmarkStart w:id="150" w:name="_Toc24162"/>
      <w:bookmarkStart w:id="151" w:name="_Toc394051234"/>
      <w:bookmarkStart w:id="152" w:name="_Toc311276882"/>
      <w:bookmarkStart w:id="153" w:name="_Toc2425"/>
      <w:r>
        <w:rPr>
          <w:rFonts w:hint="eastAsia" w:ascii="宋体" w:hAnsi="宋体" w:cs="宋体"/>
          <w:b/>
          <w:szCs w:val="21"/>
        </w:rPr>
        <w:t>9.5 质疑与投诉</w:t>
      </w:r>
      <w:bookmarkEnd w:id="148"/>
      <w:bookmarkEnd w:id="149"/>
      <w:bookmarkEnd w:id="150"/>
      <w:bookmarkEnd w:id="151"/>
      <w:bookmarkEnd w:id="152"/>
      <w:bookmarkEnd w:id="153"/>
    </w:p>
    <w:p w14:paraId="2EACA6B0">
      <w:pPr>
        <w:spacing w:line="360" w:lineRule="auto"/>
        <w:ind w:firstLine="420" w:firstLineChars="200"/>
        <w:rPr>
          <w:rFonts w:ascii="宋体" w:hAnsi="宋体" w:cs="宋体"/>
          <w:szCs w:val="21"/>
        </w:rPr>
      </w:pPr>
      <w:r>
        <w:rPr>
          <w:rFonts w:hint="eastAsia" w:ascii="宋体" w:hAnsi="宋体" w:cs="宋体"/>
          <w:szCs w:val="21"/>
        </w:rPr>
        <w:t>投标人和其他利害关系人认为本次招标活动违反法律、法规和规章规定的，可以向采购代理机构或</w:t>
      </w:r>
      <w:r>
        <w:rPr>
          <w:rFonts w:hint="eastAsia" w:ascii="宋体" w:hAnsi="宋体" w:cs="宋体"/>
          <w:szCs w:val="21"/>
          <w:lang w:eastAsia="zh-CN"/>
        </w:rPr>
        <w:t>采购人</w:t>
      </w:r>
      <w:r>
        <w:rPr>
          <w:rFonts w:hint="eastAsia" w:ascii="宋体" w:hAnsi="宋体" w:cs="宋体"/>
          <w:szCs w:val="21"/>
        </w:rPr>
        <w:t>提出质疑，有权向有关行政监督部门投诉，其质疑与投诉将按照中华人民共和国财政部令第94号-政府采购质疑和投诉办法等相关法律法规执行。</w:t>
      </w:r>
    </w:p>
    <w:p w14:paraId="790BB3AE">
      <w:pPr>
        <w:spacing w:line="360" w:lineRule="auto"/>
        <w:rPr>
          <w:rFonts w:ascii="宋体" w:hAnsi="宋体" w:cs="宋体"/>
          <w:szCs w:val="21"/>
        </w:rPr>
      </w:pPr>
      <w:bookmarkStart w:id="154" w:name="_Toc424801126"/>
      <w:bookmarkStart w:id="155" w:name="_Toc7389"/>
      <w:bookmarkStart w:id="156" w:name="_Toc269828225"/>
      <w:bookmarkStart w:id="157" w:name="_Toc418068553"/>
      <w:bookmarkStart w:id="158" w:name="_Toc394051235"/>
      <w:bookmarkStart w:id="159" w:name="_Toc575"/>
      <w:r>
        <w:rPr>
          <w:rFonts w:hint="eastAsia" w:ascii="宋体" w:hAnsi="宋体" w:cs="宋体"/>
          <w:b/>
          <w:szCs w:val="21"/>
        </w:rPr>
        <w:t>10、需要补充的其他内容</w:t>
      </w:r>
      <w:bookmarkEnd w:id="154"/>
      <w:bookmarkEnd w:id="155"/>
      <w:bookmarkEnd w:id="156"/>
      <w:bookmarkEnd w:id="157"/>
      <w:bookmarkEnd w:id="158"/>
      <w:bookmarkEnd w:id="159"/>
      <w:r>
        <w:rPr>
          <w:rFonts w:hint="eastAsia" w:ascii="宋体" w:hAnsi="宋体" w:cs="宋体"/>
          <w:b/>
          <w:szCs w:val="21"/>
        </w:rPr>
        <w:t>：</w:t>
      </w:r>
    </w:p>
    <w:p w14:paraId="17BD00AB">
      <w:pPr>
        <w:spacing w:after="156" w:afterLines="50" w:line="360" w:lineRule="auto"/>
        <w:jc w:val="left"/>
        <w:rPr>
          <w:rFonts w:ascii="宋体" w:hAnsi="宋体" w:cs="宋体"/>
        </w:rPr>
      </w:pPr>
      <w:r>
        <w:rPr>
          <w:rFonts w:hint="eastAsia" w:ascii="宋体" w:hAnsi="宋体" w:cs="宋体"/>
          <w:szCs w:val="21"/>
        </w:rPr>
        <w:t>需要补充的其他内容：见</w:t>
      </w:r>
      <w:r>
        <w:rPr>
          <w:rFonts w:hint="eastAsia" w:ascii="宋体" w:hAnsi="宋体" w:cs="宋体"/>
          <w:szCs w:val="21"/>
          <w:lang w:eastAsia="zh-CN"/>
        </w:rPr>
        <w:t>供应商须知</w:t>
      </w:r>
      <w:r>
        <w:rPr>
          <w:rFonts w:hint="eastAsia" w:ascii="宋体" w:hAnsi="宋体" w:cs="宋体"/>
          <w:szCs w:val="21"/>
        </w:rPr>
        <w:t>前附表。</w:t>
      </w:r>
      <w:bookmarkStart w:id="160" w:name="_Toc424801316"/>
      <w:bookmarkStart w:id="161" w:name="_Toc27425"/>
      <w:bookmarkStart w:id="162" w:name="_Toc6347"/>
      <w:bookmarkStart w:id="163" w:name="_Toc5049"/>
      <w:bookmarkStart w:id="164" w:name="_Toc15358"/>
      <w:bookmarkStart w:id="165" w:name="_Toc424801319"/>
      <w:bookmarkStart w:id="166" w:name="_Toc28907"/>
      <w:bookmarkStart w:id="167" w:name="_Toc23003"/>
      <w:r>
        <w:rPr>
          <w:rFonts w:hint="eastAsia" w:ascii="宋体" w:hAnsi="宋体" w:cs="宋体"/>
        </w:rPr>
        <w:br w:type="page"/>
      </w:r>
    </w:p>
    <w:p w14:paraId="3C0B3FF2">
      <w:pPr>
        <w:pStyle w:val="3"/>
        <w:spacing w:line="360" w:lineRule="auto"/>
        <w:jc w:val="center"/>
        <w:rPr>
          <w:rFonts w:ascii="宋体" w:hAnsi="宋体" w:cs="宋体"/>
        </w:rPr>
      </w:pPr>
      <w:bookmarkStart w:id="168" w:name="_Toc26151"/>
      <w:r>
        <w:rPr>
          <w:rFonts w:hint="eastAsia" w:ascii="宋体" w:hAnsi="宋体" w:cs="宋体"/>
        </w:rPr>
        <w:t>第三章 评标办法（综合评分法）</w:t>
      </w:r>
      <w:bookmarkEnd w:id="160"/>
      <w:bookmarkEnd w:id="161"/>
      <w:bookmarkEnd w:id="162"/>
      <w:bookmarkEnd w:id="163"/>
      <w:bookmarkEnd w:id="168"/>
    </w:p>
    <w:p w14:paraId="4FF933C7">
      <w:pPr>
        <w:snapToGrid w:val="0"/>
        <w:spacing w:line="360" w:lineRule="auto"/>
        <w:jc w:val="center"/>
        <w:rPr>
          <w:rFonts w:hint="eastAsia" w:ascii="宋体" w:hAnsi="宋体" w:cs="宋体"/>
          <w:b/>
          <w:bCs/>
          <w:color w:val="auto"/>
          <w:sz w:val="30"/>
          <w:szCs w:val="30"/>
        </w:rPr>
      </w:pPr>
      <w:r>
        <w:rPr>
          <w:rFonts w:hint="eastAsia" w:ascii="宋体" w:hAnsi="宋体" w:cs="宋体"/>
          <w:b/>
          <w:bCs/>
          <w:color w:val="auto"/>
          <w:sz w:val="30"/>
          <w:szCs w:val="30"/>
        </w:rPr>
        <w:t>评标办法前附表</w:t>
      </w:r>
    </w:p>
    <w:p w14:paraId="3FFBDC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sz w:val="21"/>
          <w:szCs w:val="21"/>
        </w:rPr>
        <w:t>评委将根据评分标准，分别对通过符合性审查</w:t>
      </w:r>
      <w:r>
        <w:rPr>
          <w:rFonts w:hint="eastAsia" w:ascii="宋体" w:hAnsi="宋体" w:eastAsia="宋体" w:cs="宋体"/>
          <w:sz w:val="21"/>
          <w:szCs w:val="21"/>
          <w:lang w:eastAsia="zh-CN"/>
        </w:rPr>
        <w:t>、实质性响应审查</w:t>
      </w:r>
      <w:r>
        <w:rPr>
          <w:rFonts w:hint="eastAsia" w:ascii="宋体" w:hAnsi="宋体" w:eastAsia="宋体" w:cs="宋体"/>
          <w:sz w:val="21"/>
          <w:szCs w:val="21"/>
        </w:rPr>
        <w:t>、资</w:t>
      </w:r>
      <w:r>
        <w:rPr>
          <w:rFonts w:hint="eastAsia" w:ascii="宋体" w:hAnsi="宋体" w:eastAsia="宋体" w:cs="宋体"/>
          <w:color w:val="auto"/>
          <w:sz w:val="21"/>
          <w:szCs w:val="21"/>
        </w:rPr>
        <w:t>格性审查的投标人，进行综合评分。具体评分标准如下：</w:t>
      </w:r>
    </w:p>
    <w:tbl>
      <w:tblPr>
        <w:tblStyle w:val="26"/>
        <w:tblpPr w:leftFromText="180" w:rightFromText="180" w:vertAnchor="text" w:tblpXSpec="center" w:tblpY="157"/>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52"/>
        <w:gridCol w:w="2303"/>
        <w:gridCol w:w="193"/>
        <w:gridCol w:w="6146"/>
      </w:tblGrid>
      <w:tr w14:paraId="6558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85" w:type="dxa"/>
            <w:vAlign w:val="center"/>
          </w:tcPr>
          <w:p w14:paraId="2C30A492">
            <w:pPr>
              <w:spacing w:line="360" w:lineRule="auto"/>
              <w:jc w:val="center"/>
              <w:rPr>
                <w:rFonts w:ascii="宋体" w:hAnsi="宋体"/>
                <w:b/>
                <w:sz w:val="21"/>
                <w:szCs w:val="21"/>
              </w:rPr>
            </w:pPr>
            <w:r>
              <w:rPr>
                <w:rFonts w:ascii="宋体" w:hAnsi="宋体"/>
                <w:b/>
                <w:sz w:val="21"/>
                <w:szCs w:val="21"/>
              </w:rPr>
              <w:t>项目</w:t>
            </w:r>
          </w:p>
        </w:tc>
        <w:tc>
          <w:tcPr>
            <w:tcW w:w="8694" w:type="dxa"/>
            <w:gridSpan w:val="4"/>
            <w:vAlign w:val="center"/>
          </w:tcPr>
          <w:p w14:paraId="43A72FAE">
            <w:pPr>
              <w:widowControl/>
              <w:spacing w:line="360" w:lineRule="auto"/>
              <w:jc w:val="center"/>
              <w:rPr>
                <w:rFonts w:ascii="宋体" w:hAnsi="宋体"/>
                <w:b/>
                <w:sz w:val="21"/>
                <w:szCs w:val="21"/>
              </w:rPr>
            </w:pPr>
            <w:r>
              <w:rPr>
                <w:rFonts w:ascii="宋体" w:hAnsi="宋体"/>
                <w:b/>
                <w:sz w:val="21"/>
                <w:szCs w:val="21"/>
              </w:rPr>
              <w:t>评审因素评审标准</w:t>
            </w:r>
          </w:p>
        </w:tc>
      </w:tr>
      <w:tr w14:paraId="0496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5" w:type="dxa"/>
            <w:vMerge w:val="restart"/>
            <w:vAlign w:val="center"/>
          </w:tcPr>
          <w:p w14:paraId="2C385DCF">
            <w:pPr>
              <w:spacing w:line="360" w:lineRule="auto"/>
              <w:jc w:val="center"/>
              <w:rPr>
                <w:rFonts w:ascii="宋体" w:hAnsi="宋体"/>
                <w:b/>
                <w:sz w:val="21"/>
                <w:szCs w:val="21"/>
              </w:rPr>
            </w:pPr>
            <w:r>
              <w:rPr>
                <w:rFonts w:ascii="宋体" w:hAnsi="宋体"/>
                <w:b/>
                <w:sz w:val="21"/>
                <w:szCs w:val="21"/>
              </w:rPr>
              <w:t>资格性审查</w:t>
            </w:r>
          </w:p>
        </w:tc>
        <w:tc>
          <w:tcPr>
            <w:tcW w:w="2548" w:type="dxa"/>
            <w:gridSpan w:val="3"/>
            <w:vAlign w:val="center"/>
          </w:tcPr>
          <w:p w14:paraId="070346C5">
            <w:pPr>
              <w:spacing w:line="360" w:lineRule="auto"/>
              <w:jc w:val="center"/>
              <w:rPr>
                <w:rFonts w:hint="eastAsia" w:ascii="宋体" w:hAnsi="宋体" w:eastAsia="宋体" w:cs="宋体"/>
                <w:sz w:val="21"/>
                <w:szCs w:val="21"/>
              </w:rPr>
            </w:pPr>
            <w:bookmarkStart w:id="169" w:name="OLE_LINK5"/>
            <w:r>
              <w:rPr>
                <w:rFonts w:hint="eastAsia" w:ascii="宋体" w:hAnsi="宋体" w:eastAsia="宋体" w:cs="宋体"/>
                <w:sz w:val="21"/>
                <w:szCs w:val="21"/>
              </w:rPr>
              <w:t>具有独立承担民事责任</w:t>
            </w:r>
            <w:r>
              <w:rPr>
                <w:rFonts w:hint="eastAsia" w:ascii="宋体" w:hAnsi="宋体" w:cs="宋体"/>
                <w:sz w:val="21"/>
                <w:szCs w:val="21"/>
                <w:lang w:eastAsia="zh-CN"/>
              </w:rPr>
              <w:t>的</w:t>
            </w:r>
            <w:r>
              <w:rPr>
                <w:rFonts w:hint="eastAsia" w:ascii="宋体" w:hAnsi="宋体" w:eastAsia="宋体" w:cs="宋体"/>
                <w:sz w:val="21"/>
                <w:szCs w:val="21"/>
              </w:rPr>
              <w:t>能力</w:t>
            </w:r>
            <w:bookmarkEnd w:id="169"/>
          </w:p>
        </w:tc>
        <w:tc>
          <w:tcPr>
            <w:tcW w:w="6146" w:type="dxa"/>
            <w:vMerge w:val="restart"/>
            <w:vAlign w:val="center"/>
          </w:tcPr>
          <w:p w14:paraId="5EBBD378">
            <w:pPr>
              <w:spacing w:line="360" w:lineRule="auto"/>
              <w:jc w:val="center"/>
              <w:rPr>
                <w:rFonts w:hint="eastAsia" w:ascii="宋体" w:hAnsi="宋体" w:eastAsia="宋体" w:cs="宋体"/>
                <w:sz w:val="21"/>
                <w:szCs w:val="21"/>
              </w:rPr>
            </w:pPr>
            <w:bookmarkStart w:id="170" w:name="OLE_LINK9"/>
            <w:r>
              <w:rPr>
                <w:rFonts w:hint="eastAsia" w:ascii="宋体" w:hAnsi="宋体" w:eastAsia="宋体" w:cs="宋体"/>
                <w:sz w:val="21"/>
                <w:szCs w:val="21"/>
              </w:rPr>
              <w:t>供应商提供的《资格承诺声明函》</w:t>
            </w:r>
            <w:bookmarkEnd w:id="170"/>
          </w:p>
        </w:tc>
      </w:tr>
      <w:tr w14:paraId="69D7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85" w:type="dxa"/>
            <w:vMerge w:val="continue"/>
            <w:vAlign w:val="center"/>
          </w:tcPr>
          <w:p w14:paraId="152C4D2E">
            <w:pPr>
              <w:spacing w:line="360" w:lineRule="auto"/>
              <w:jc w:val="center"/>
              <w:rPr>
                <w:rFonts w:ascii="宋体" w:hAnsi="宋体"/>
                <w:b/>
                <w:sz w:val="21"/>
                <w:szCs w:val="21"/>
              </w:rPr>
            </w:pPr>
          </w:p>
        </w:tc>
        <w:tc>
          <w:tcPr>
            <w:tcW w:w="2548" w:type="dxa"/>
            <w:gridSpan w:val="3"/>
            <w:vAlign w:val="center"/>
          </w:tcPr>
          <w:p w14:paraId="1637DBF7">
            <w:pPr>
              <w:spacing w:line="360" w:lineRule="auto"/>
              <w:jc w:val="center"/>
              <w:rPr>
                <w:rFonts w:hint="eastAsia" w:ascii="宋体" w:hAnsi="宋体" w:eastAsia="宋体" w:cs="宋体"/>
                <w:sz w:val="21"/>
                <w:szCs w:val="21"/>
              </w:rPr>
            </w:pPr>
            <w:bookmarkStart w:id="171" w:name="OLE_LINK37"/>
            <w:r>
              <w:rPr>
                <w:rFonts w:hint="eastAsia" w:ascii="宋体" w:hAnsi="宋体" w:eastAsia="宋体" w:cs="宋体"/>
                <w:sz w:val="21"/>
                <w:szCs w:val="21"/>
              </w:rPr>
              <w:t>具有良好的商业信誉和健全的财务会计制度</w:t>
            </w:r>
            <w:bookmarkEnd w:id="171"/>
          </w:p>
        </w:tc>
        <w:tc>
          <w:tcPr>
            <w:tcW w:w="6146" w:type="dxa"/>
            <w:vMerge w:val="continue"/>
            <w:vAlign w:val="center"/>
          </w:tcPr>
          <w:p w14:paraId="6DCA70FE">
            <w:pPr>
              <w:spacing w:line="360" w:lineRule="auto"/>
              <w:jc w:val="center"/>
              <w:rPr>
                <w:rFonts w:hint="eastAsia" w:ascii="宋体" w:hAnsi="宋体" w:eastAsia="宋体" w:cs="宋体"/>
                <w:sz w:val="21"/>
                <w:szCs w:val="21"/>
              </w:rPr>
            </w:pPr>
          </w:p>
        </w:tc>
      </w:tr>
      <w:tr w14:paraId="1BB2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85" w:type="dxa"/>
            <w:vMerge w:val="continue"/>
            <w:vAlign w:val="center"/>
          </w:tcPr>
          <w:p w14:paraId="230F4ECC">
            <w:pPr>
              <w:spacing w:line="360" w:lineRule="auto"/>
              <w:jc w:val="center"/>
              <w:rPr>
                <w:rFonts w:ascii="宋体" w:hAnsi="宋体"/>
                <w:b/>
                <w:sz w:val="21"/>
                <w:szCs w:val="21"/>
              </w:rPr>
            </w:pPr>
          </w:p>
        </w:tc>
        <w:tc>
          <w:tcPr>
            <w:tcW w:w="2548" w:type="dxa"/>
            <w:gridSpan w:val="3"/>
            <w:vAlign w:val="center"/>
          </w:tcPr>
          <w:p w14:paraId="5E31E45C">
            <w:pPr>
              <w:spacing w:line="360" w:lineRule="auto"/>
              <w:jc w:val="center"/>
              <w:rPr>
                <w:rFonts w:hint="eastAsia" w:ascii="宋体" w:hAnsi="宋体" w:eastAsia="宋体" w:cs="宋体"/>
                <w:sz w:val="21"/>
                <w:szCs w:val="21"/>
              </w:rPr>
            </w:pPr>
            <w:bookmarkStart w:id="172" w:name="OLE_LINK38"/>
            <w:r>
              <w:rPr>
                <w:rFonts w:hint="eastAsia" w:ascii="宋体" w:hAnsi="宋体" w:eastAsia="宋体" w:cs="宋体"/>
                <w:sz w:val="21"/>
                <w:szCs w:val="21"/>
              </w:rPr>
              <w:t>具有履行合同所必需的设备和专业技术能力</w:t>
            </w:r>
            <w:bookmarkEnd w:id="172"/>
          </w:p>
        </w:tc>
        <w:tc>
          <w:tcPr>
            <w:tcW w:w="6146" w:type="dxa"/>
            <w:vMerge w:val="continue"/>
            <w:vAlign w:val="center"/>
          </w:tcPr>
          <w:p w14:paraId="736E13EA">
            <w:pPr>
              <w:spacing w:line="360" w:lineRule="auto"/>
              <w:jc w:val="center"/>
              <w:rPr>
                <w:rFonts w:hint="eastAsia" w:ascii="宋体" w:hAnsi="宋体" w:eastAsia="宋体" w:cs="宋体"/>
                <w:sz w:val="21"/>
                <w:szCs w:val="21"/>
              </w:rPr>
            </w:pPr>
          </w:p>
        </w:tc>
      </w:tr>
      <w:tr w14:paraId="4F45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85" w:type="dxa"/>
            <w:vMerge w:val="continue"/>
            <w:vAlign w:val="center"/>
          </w:tcPr>
          <w:p w14:paraId="778FF30B">
            <w:pPr>
              <w:spacing w:line="360" w:lineRule="auto"/>
              <w:jc w:val="center"/>
              <w:rPr>
                <w:rFonts w:ascii="宋体" w:hAnsi="宋体"/>
                <w:b/>
                <w:sz w:val="21"/>
                <w:szCs w:val="21"/>
              </w:rPr>
            </w:pPr>
          </w:p>
        </w:tc>
        <w:tc>
          <w:tcPr>
            <w:tcW w:w="2548" w:type="dxa"/>
            <w:gridSpan w:val="3"/>
            <w:vAlign w:val="center"/>
          </w:tcPr>
          <w:p w14:paraId="5980A8C3">
            <w:pPr>
              <w:spacing w:line="360" w:lineRule="auto"/>
              <w:jc w:val="center"/>
              <w:rPr>
                <w:rFonts w:hint="eastAsia" w:ascii="宋体" w:hAnsi="宋体" w:eastAsia="宋体" w:cs="宋体"/>
                <w:sz w:val="21"/>
                <w:szCs w:val="21"/>
              </w:rPr>
            </w:pPr>
            <w:bookmarkStart w:id="173" w:name="OLE_LINK39"/>
            <w:r>
              <w:rPr>
                <w:rFonts w:hint="eastAsia" w:ascii="宋体" w:hAnsi="宋体" w:eastAsia="宋体" w:cs="宋体"/>
                <w:sz w:val="21"/>
                <w:szCs w:val="21"/>
              </w:rPr>
              <w:t>有依法缴纳税收和社会保障资金的良好记录</w:t>
            </w:r>
            <w:bookmarkEnd w:id="173"/>
          </w:p>
        </w:tc>
        <w:tc>
          <w:tcPr>
            <w:tcW w:w="6146" w:type="dxa"/>
            <w:vMerge w:val="continue"/>
            <w:vAlign w:val="center"/>
          </w:tcPr>
          <w:p w14:paraId="5865BA68">
            <w:pPr>
              <w:spacing w:line="360" w:lineRule="auto"/>
              <w:jc w:val="center"/>
              <w:rPr>
                <w:rFonts w:hint="eastAsia" w:ascii="宋体" w:hAnsi="宋体" w:eastAsia="宋体" w:cs="宋体"/>
                <w:sz w:val="21"/>
                <w:szCs w:val="21"/>
                <w:lang w:eastAsia="zh-CN"/>
              </w:rPr>
            </w:pPr>
          </w:p>
        </w:tc>
      </w:tr>
      <w:tr w14:paraId="2E3D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85" w:type="dxa"/>
            <w:vMerge w:val="continue"/>
            <w:vAlign w:val="center"/>
          </w:tcPr>
          <w:p w14:paraId="6DC0536D">
            <w:pPr>
              <w:spacing w:line="360" w:lineRule="auto"/>
              <w:jc w:val="center"/>
              <w:rPr>
                <w:rFonts w:ascii="宋体" w:hAnsi="宋体"/>
                <w:b/>
                <w:sz w:val="21"/>
                <w:szCs w:val="21"/>
              </w:rPr>
            </w:pPr>
          </w:p>
        </w:tc>
        <w:tc>
          <w:tcPr>
            <w:tcW w:w="2548" w:type="dxa"/>
            <w:gridSpan w:val="3"/>
            <w:vAlign w:val="center"/>
          </w:tcPr>
          <w:p w14:paraId="4BD1891F">
            <w:pPr>
              <w:spacing w:line="360" w:lineRule="auto"/>
              <w:jc w:val="center"/>
              <w:rPr>
                <w:rFonts w:hint="eastAsia" w:ascii="宋体" w:hAnsi="宋体" w:eastAsia="宋体" w:cs="宋体"/>
                <w:sz w:val="21"/>
                <w:szCs w:val="21"/>
              </w:rPr>
            </w:pPr>
            <w:bookmarkStart w:id="174" w:name="OLE_LINK40"/>
            <w:r>
              <w:rPr>
                <w:rFonts w:hint="eastAsia" w:ascii="宋体" w:hAnsi="宋体" w:cs="宋体"/>
                <w:b w:val="0"/>
                <w:bCs w:val="0"/>
                <w:sz w:val="21"/>
                <w:szCs w:val="21"/>
                <w:lang w:val="en-US" w:eastAsia="zh-CN"/>
              </w:rPr>
              <w:t>参</w:t>
            </w:r>
            <w:r>
              <w:rPr>
                <w:rFonts w:hint="eastAsia" w:ascii="宋体" w:hAnsi="宋体" w:eastAsia="宋体" w:cs="宋体"/>
                <w:b w:val="0"/>
                <w:bCs w:val="0"/>
                <w:sz w:val="21"/>
                <w:szCs w:val="21"/>
                <w:lang w:val="en-US" w:eastAsia="zh-CN"/>
              </w:rPr>
              <w:t>加政府采购活动前三年内，在经营活动中没有重大违法记录</w:t>
            </w:r>
            <w:bookmarkEnd w:id="174"/>
          </w:p>
        </w:tc>
        <w:tc>
          <w:tcPr>
            <w:tcW w:w="6146" w:type="dxa"/>
            <w:vMerge w:val="continue"/>
            <w:vAlign w:val="center"/>
          </w:tcPr>
          <w:p w14:paraId="47DD0802">
            <w:pPr>
              <w:spacing w:line="360" w:lineRule="auto"/>
              <w:jc w:val="center"/>
              <w:rPr>
                <w:rFonts w:hint="eastAsia" w:ascii="宋体" w:hAnsi="宋体" w:eastAsia="宋体" w:cs="宋体"/>
                <w:sz w:val="21"/>
                <w:szCs w:val="21"/>
              </w:rPr>
            </w:pPr>
          </w:p>
        </w:tc>
      </w:tr>
      <w:tr w14:paraId="0C347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3309D263">
            <w:pPr>
              <w:spacing w:line="360" w:lineRule="auto"/>
              <w:jc w:val="center"/>
              <w:rPr>
                <w:rFonts w:ascii="宋体" w:hAnsi="宋体"/>
                <w:b/>
                <w:sz w:val="21"/>
                <w:szCs w:val="21"/>
              </w:rPr>
            </w:pPr>
          </w:p>
        </w:tc>
        <w:tc>
          <w:tcPr>
            <w:tcW w:w="2548" w:type="dxa"/>
            <w:gridSpan w:val="3"/>
            <w:vAlign w:val="center"/>
          </w:tcPr>
          <w:p w14:paraId="6C555570">
            <w:pPr>
              <w:spacing w:line="360" w:lineRule="auto"/>
              <w:ind w:firstLine="420" w:firstLineChars="200"/>
              <w:jc w:val="center"/>
              <w:rPr>
                <w:rFonts w:hint="eastAsia" w:ascii="宋体" w:hAnsi="宋体" w:eastAsia="宋体" w:cs="宋体"/>
                <w:sz w:val="21"/>
                <w:szCs w:val="21"/>
              </w:rPr>
            </w:pPr>
            <w:bookmarkStart w:id="175" w:name="OLE_LINK91"/>
            <w:r>
              <w:rPr>
                <w:rFonts w:hint="eastAsia"/>
                <w:lang w:val="en-US" w:eastAsia="zh-CN"/>
              </w:rPr>
              <w:t>法律、行政法规规定的其他条件</w:t>
            </w:r>
            <w:bookmarkEnd w:id="175"/>
          </w:p>
        </w:tc>
        <w:tc>
          <w:tcPr>
            <w:tcW w:w="6146" w:type="dxa"/>
            <w:vMerge w:val="continue"/>
            <w:vAlign w:val="center"/>
          </w:tcPr>
          <w:p w14:paraId="19565BD0">
            <w:pPr>
              <w:spacing w:line="360" w:lineRule="auto"/>
              <w:jc w:val="center"/>
              <w:rPr>
                <w:rFonts w:hint="eastAsia" w:ascii="宋体" w:hAnsi="宋体" w:eastAsia="宋体" w:cs="宋体"/>
                <w:sz w:val="21"/>
                <w:szCs w:val="21"/>
              </w:rPr>
            </w:pPr>
          </w:p>
        </w:tc>
      </w:tr>
      <w:tr w14:paraId="1303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2CD470D2">
            <w:pPr>
              <w:spacing w:line="360" w:lineRule="auto"/>
              <w:jc w:val="center"/>
              <w:rPr>
                <w:rFonts w:ascii="宋体" w:hAnsi="宋体"/>
                <w:b/>
                <w:sz w:val="21"/>
                <w:szCs w:val="21"/>
              </w:rPr>
            </w:pPr>
            <w:bookmarkStart w:id="176" w:name="OLE_LINK115" w:colFirst="2" w:colLast="2"/>
          </w:p>
        </w:tc>
        <w:tc>
          <w:tcPr>
            <w:tcW w:w="2548" w:type="dxa"/>
            <w:gridSpan w:val="3"/>
            <w:vAlign w:val="center"/>
          </w:tcPr>
          <w:p w14:paraId="52D35A17">
            <w:pPr>
              <w:spacing w:line="360" w:lineRule="auto"/>
              <w:ind w:firstLine="420" w:firstLineChars="200"/>
              <w:jc w:val="center"/>
              <w:rPr>
                <w:rFonts w:hint="eastAsia" w:ascii="宋体" w:hAnsi="宋体" w:eastAsia="宋体" w:cs="宋体"/>
                <w:sz w:val="21"/>
                <w:szCs w:val="21"/>
                <w:lang w:eastAsia="zh-CN"/>
              </w:rPr>
            </w:pPr>
            <w:bookmarkStart w:id="177" w:name="OLE_LINK42"/>
            <w:r>
              <w:rPr>
                <w:rFonts w:hint="eastAsia" w:ascii="宋体" w:hAnsi="宋体" w:eastAsia="宋体" w:cs="宋体"/>
                <w:sz w:val="21"/>
                <w:szCs w:val="21"/>
              </w:rPr>
              <w:t>信誉</w:t>
            </w:r>
            <w:r>
              <w:rPr>
                <w:rFonts w:hint="eastAsia" w:ascii="宋体" w:hAnsi="宋体" w:eastAsia="宋体" w:cs="宋体"/>
                <w:sz w:val="21"/>
                <w:szCs w:val="21"/>
                <w:lang w:eastAsia="zh-CN"/>
              </w:rPr>
              <w:t>要求</w:t>
            </w:r>
            <w:bookmarkEnd w:id="177"/>
          </w:p>
        </w:tc>
        <w:tc>
          <w:tcPr>
            <w:tcW w:w="6146" w:type="dxa"/>
            <w:vAlign w:val="center"/>
          </w:tcPr>
          <w:p w14:paraId="6E0A02F5">
            <w:pPr>
              <w:spacing w:line="360" w:lineRule="auto"/>
              <w:jc w:val="center"/>
              <w:rPr>
                <w:rFonts w:hint="eastAsia" w:ascii="宋体" w:hAnsi="宋体" w:eastAsia="宋体" w:cs="宋体"/>
                <w:sz w:val="21"/>
                <w:szCs w:val="21"/>
              </w:rPr>
            </w:pPr>
            <w:bookmarkStart w:id="178" w:name="OLE_LINK41"/>
            <w:r>
              <w:rPr>
                <w:rFonts w:hint="eastAsia" w:ascii="宋体" w:hAnsi="宋体" w:eastAsia="宋体" w:cs="宋体"/>
                <w:sz w:val="21"/>
                <w:szCs w:val="21"/>
              </w:rPr>
              <w:t>未列入失信被执行人、</w:t>
            </w:r>
            <w:r>
              <w:rPr>
                <w:rFonts w:hint="eastAsia" w:ascii="宋体" w:hAnsi="宋体" w:eastAsia="宋体" w:cs="宋体"/>
                <w:sz w:val="21"/>
                <w:szCs w:val="21"/>
                <w:lang w:val="en-US" w:eastAsia="zh-CN"/>
              </w:rPr>
              <w:t>重大税收违法失信主体</w:t>
            </w:r>
            <w:r>
              <w:rPr>
                <w:rFonts w:hint="eastAsia" w:ascii="宋体" w:hAnsi="宋体" w:eastAsia="宋体" w:cs="宋体"/>
                <w:sz w:val="21"/>
                <w:szCs w:val="21"/>
              </w:rPr>
              <w:t>、政府采购严重违法失信行为记录名单</w:t>
            </w:r>
            <w:bookmarkEnd w:id="178"/>
          </w:p>
        </w:tc>
      </w:tr>
      <w:bookmarkEnd w:id="176"/>
      <w:tr w14:paraId="6E8C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5" w:type="dxa"/>
            <w:vMerge w:val="continue"/>
            <w:vAlign w:val="center"/>
          </w:tcPr>
          <w:p w14:paraId="4892F568">
            <w:pPr>
              <w:spacing w:line="360" w:lineRule="auto"/>
              <w:jc w:val="center"/>
              <w:rPr>
                <w:rFonts w:ascii="宋体" w:hAnsi="宋体"/>
                <w:b/>
                <w:sz w:val="21"/>
                <w:szCs w:val="21"/>
              </w:rPr>
            </w:pPr>
            <w:bookmarkStart w:id="179" w:name="OLE_LINK116" w:colFirst="2" w:colLast="2"/>
          </w:p>
        </w:tc>
        <w:tc>
          <w:tcPr>
            <w:tcW w:w="2548" w:type="dxa"/>
            <w:gridSpan w:val="3"/>
            <w:vAlign w:val="center"/>
          </w:tcPr>
          <w:p w14:paraId="340CC88C">
            <w:pPr>
              <w:spacing w:line="360" w:lineRule="auto"/>
              <w:ind w:firstLine="420" w:firstLineChars="200"/>
              <w:jc w:val="center"/>
              <w:rPr>
                <w:rFonts w:hint="eastAsia" w:ascii="宋体" w:hAnsi="宋体" w:eastAsia="宋体" w:cs="宋体"/>
                <w:sz w:val="21"/>
                <w:szCs w:val="21"/>
              </w:rPr>
            </w:pPr>
            <w:bookmarkStart w:id="180" w:name="OLE_LINK43"/>
            <w:r>
              <w:rPr>
                <w:rFonts w:hint="eastAsia" w:ascii="宋体" w:hAnsi="宋体" w:eastAsia="宋体" w:cs="宋体"/>
                <w:sz w:val="21"/>
                <w:szCs w:val="21"/>
              </w:rPr>
              <w:t>其他</w:t>
            </w:r>
            <w:r>
              <w:rPr>
                <w:rFonts w:hint="eastAsia" w:ascii="宋体" w:hAnsi="宋体" w:cs="宋体"/>
                <w:sz w:val="21"/>
                <w:szCs w:val="21"/>
                <w:lang w:eastAsia="zh-CN"/>
              </w:rPr>
              <w:t>要求</w:t>
            </w:r>
            <w:bookmarkEnd w:id="180"/>
          </w:p>
        </w:tc>
        <w:tc>
          <w:tcPr>
            <w:tcW w:w="6146" w:type="dxa"/>
            <w:vAlign w:val="center"/>
          </w:tcPr>
          <w:p w14:paraId="3E4BE4D0">
            <w:pPr>
              <w:spacing w:line="360" w:lineRule="auto"/>
              <w:jc w:val="center"/>
              <w:rPr>
                <w:rFonts w:hint="eastAsia" w:ascii="宋体" w:hAnsi="宋体" w:eastAsia="宋体" w:cs="宋体"/>
                <w:sz w:val="21"/>
                <w:szCs w:val="21"/>
              </w:rPr>
            </w:pPr>
            <w:bookmarkStart w:id="181" w:name="OLE_LINK44"/>
            <w:r>
              <w:rPr>
                <w:rFonts w:hint="eastAsia" w:ascii="宋体" w:hAnsi="宋体" w:eastAsia="宋体" w:cs="宋体"/>
                <w:sz w:val="21"/>
                <w:szCs w:val="21"/>
              </w:rPr>
              <w:t>符合</w:t>
            </w:r>
            <w:r>
              <w:rPr>
                <w:rFonts w:hint="eastAsia" w:ascii="宋体" w:hAnsi="宋体" w:eastAsia="宋体" w:cs="宋体"/>
                <w:sz w:val="21"/>
                <w:szCs w:val="21"/>
                <w:lang w:eastAsia="zh-CN"/>
              </w:rPr>
              <w:t>供应商须知</w:t>
            </w:r>
            <w:r>
              <w:rPr>
                <w:rFonts w:hint="eastAsia" w:ascii="宋体" w:hAnsi="宋体" w:eastAsia="宋体" w:cs="宋体"/>
                <w:sz w:val="21"/>
                <w:szCs w:val="21"/>
              </w:rPr>
              <w:t>前附表“</w:t>
            </w:r>
            <w:r>
              <w:rPr>
                <w:rFonts w:hint="eastAsia" w:ascii="宋体" w:hAnsi="宋体" w:cs="宋体"/>
                <w:sz w:val="21"/>
                <w:szCs w:val="21"/>
                <w:lang w:eastAsia="zh-CN"/>
              </w:rPr>
              <w:t>供应商资格要求</w:t>
            </w:r>
            <w:r>
              <w:rPr>
                <w:rFonts w:hint="eastAsia" w:ascii="宋体" w:hAnsi="宋体" w:eastAsia="宋体" w:cs="宋体"/>
                <w:sz w:val="21"/>
                <w:szCs w:val="21"/>
              </w:rPr>
              <w:t>”规定的其他内容</w:t>
            </w:r>
            <w:bookmarkEnd w:id="181"/>
          </w:p>
        </w:tc>
      </w:tr>
      <w:bookmarkEnd w:id="179"/>
      <w:tr w14:paraId="313AA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9579" w:type="dxa"/>
            <w:gridSpan w:val="5"/>
            <w:vAlign w:val="center"/>
          </w:tcPr>
          <w:p w14:paraId="48EDA350">
            <w:pPr>
              <w:spacing w:line="360" w:lineRule="auto"/>
              <w:jc w:val="left"/>
              <w:rPr>
                <w:rFonts w:ascii="宋体" w:hAnsi="宋体"/>
                <w:sz w:val="21"/>
                <w:szCs w:val="21"/>
              </w:rPr>
            </w:pPr>
            <w:r>
              <w:rPr>
                <w:rFonts w:ascii="宋体" w:hAnsi="宋体"/>
                <w:b/>
                <w:bCs/>
                <w:sz w:val="21"/>
                <w:szCs w:val="21"/>
              </w:rPr>
              <w:t>依据财政部87号令，公开招标采购项目开标结束后，采购人或代理机构依据法律法规和招标文件的规定，对投标文件中的资格证明等进行审查，以确定投标供应商是否具备投标资格。</w:t>
            </w:r>
          </w:p>
        </w:tc>
      </w:tr>
      <w:tr w14:paraId="4ED6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96B20A9">
            <w:pPr>
              <w:spacing w:line="360" w:lineRule="auto"/>
              <w:jc w:val="center"/>
              <w:rPr>
                <w:rFonts w:hint="eastAsia" w:ascii="宋体" w:hAnsi="宋体" w:eastAsia="宋体"/>
                <w:b/>
                <w:sz w:val="21"/>
                <w:szCs w:val="21"/>
                <w:lang w:eastAsia="zh-CN"/>
              </w:rPr>
            </w:pPr>
            <w:bookmarkStart w:id="182" w:name="OLE_LINK94" w:colFirst="2" w:colLast="2"/>
            <w:r>
              <w:rPr>
                <w:rFonts w:hint="eastAsia" w:ascii="宋体" w:hAnsi="宋体"/>
                <w:b/>
                <w:sz w:val="21"/>
                <w:szCs w:val="21"/>
                <w:lang w:eastAsia="zh-CN"/>
              </w:rPr>
              <w:t>实质性响应审查</w:t>
            </w:r>
          </w:p>
        </w:tc>
        <w:tc>
          <w:tcPr>
            <w:tcW w:w="2303" w:type="dxa"/>
            <w:vAlign w:val="center"/>
          </w:tcPr>
          <w:p w14:paraId="10AE74DE">
            <w:pPr>
              <w:spacing w:line="360" w:lineRule="auto"/>
              <w:jc w:val="center"/>
              <w:rPr>
                <w:rFonts w:ascii="宋体" w:hAnsi="宋体" w:eastAsia="宋体" w:cs="Times New Roman"/>
                <w:kern w:val="2"/>
                <w:sz w:val="21"/>
                <w:szCs w:val="21"/>
                <w:lang w:val="en-US" w:eastAsia="zh-CN" w:bidi="ar-SA"/>
              </w:rPr>
            </w:pPr>
            <w:bookmarkStart w:id="183" w:name="OLE_LINK54"/>
            <w:r>
              <w:rPr>
                <w:rFonts w:ascii="宋体" w:hAnsi="宋体"/>
                <w:sz w:val="21"/>
                <w:szCs w:val="21"/>
              </w:rPr>
              <w:t>投标报价</w:t>
            </w:r>
            <w:bookmarkEnd w:id="183"/>
          </w:p>
        </w:tc>
        <w:tc>
          <w:tcPr>
            <w:tcW w:w="6339" w:type="dxa"/>
            <w:gridSpan w:val="2"/>
            <w:vAlign w:val="center"/>
          </w:tcPr>
          <w:p w14:paraId="2AD32947">
            <w:pPr>
              <w:spacing w:line="360" w:lineRule="auto"/>
              <w:jc w:val="center"/>
              <w:rPr>
                <w:rFonts w:ascii="宋体" w:hAnsi="宋体" w:eastAsia="宋体" w:cs="Times New Roman"/>
                <w:kern w:val="2"/>
                <w:sz w:val="21"/>
                <w:szCs w:val="21"/>
                <w:lang w:val="en-US" w:eastAsia="zh-CN" w:bidi="ar-SA"/>
              </w:rPr>
            </w:pPr>
            <w:bookmarkStart w:id="184" w:name="OLE_LINK111"/>
            <w:r>
              <w:rPr>
                <w:rFonts w:ascii="宋体" w:hAnsi="宋体"/>
                <w:sz w:val="21"/>
                <w:szCs w:val="21"/>
              </w:rPr>
              <w:t>未超过采购预算价</w:t>
            </w:r>
            <w:bookmarkEnd w:id="184"/>
          </w:p>
        </w:tc>
      </w:tr>
      <w:bookmarkEnd w:id="182"/>
      <w:tr w14:paraId="32880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5B01408C">
            <w:pPr>
              <w:spacing w:line="360" w:lineRule="auto"/>
              <w:jc w:val="center"/>
              <w:rPr>
                <w:rFonts w:hint="eastAsia" w:ascii="宋体" w:hAnsi="宋体"/>
                <w:b/>
                <w:sz w:val="21"/>
                <w:szCs w:val="21"/>
                <w:lang w:eastAsia="zh-CN"/>
              </w:rPr>
            </w:pPr>
            <w:bookmarkStart w:id="185" w:name="OLE_LINK55" w:colFirst="1" w:colLast="1"/>
          </w:p>
        </w:tc>
        <w:tc>
          <w:tcPr>
            <w:tcW w:w="2303" w:type="dxa"/>
            <w:vAlign w:val="center"/>
          </w:tcPr>
          <w:p w14:paraId="7E151C95">
            <w:pPr>
              <w:spacing w:line="360" w:lineRule="auto"/>
              <w:jc w:val="center"/>
              <w:rPr>
                <w:rFonts w:ascii="宋体" w:hAnsi="宋体" w:eastAsia="宋体" w:cs="Times New Roman"/>
                <w:kern w:val="2"/>
                <w:sz w:val="21"/>
                <w:szCs w:val="21"/>
                <w:lang w:val="en-US" w:eastAsia="zh-CN" w:bidi="ar-SA"/>
              </w:rPr>
            </w:pPr>
            <w:bookmarkStart w:id="186" w:name="OLE_LINK56"/>
            <w:r>
              <w:rPr>
                <w:rFonts w:ascii="宋体" w:hAnsi="宋体"/>
                <w:sz w:val="21"/>
                <w:szCs w:val="21"/>
              </w:rPr>
              <w:t>投标有效期</w:t>
            </w:r>
            <w:bookmarkEnd w:id="186"/>
          </w:p>
        </w:tc>
        <w:tc>
          <w:tcPr>
            <w:tcW w:w="6339" w:type="dxa"/>
            <w:gridSpan w:val="2"/>
            <w:vAlign w:val="center"/>
          </w:tcPr>
          <w:p w14:paraId="22549404">
            <w:pPr>
              <w:tabs>
                <w:tab w:val="left" w:pos="2197"/>
                <w:tab w:val="center" w:pos="3121"/>
              </w:tabs>
              <w:spacing w:line="360" w:lineRule="auto"/>
              <w:jc w:val="left"/>
              <w:rPr>
                <w:rFonts w:ascii="宋体" w:hAnsi="宋体" w:eastAsia="宋体" w:cs="Times New Roman"/>
                <w:kern w:val="2"/>
                <w:sz w:val="21"/>
                <w:szCs w:val="21"/>
                <w:lang w:val="en-US" w:eastAsia="zh-CN" w:bidi="ar-SA"/>
              </w:rPr>
            </w:pPr>
            <w:bookmarkStart w:id="187" w:name="OLE_LINK57"/>
            <w:r>
              <w:rPr>
                <w:rFonts w:hint="eastAsia" w:ascii="宋体" w:hAnsi="宋体"/>
                <w:sz w:val="21"/>
                <w:szCs w:val="21"/>
                <w:lang w:eastAsia="zh-CN"/>
              </w:rPr>
              <w:tab/>
            </w:r>
            <w:bookmarkStart w:id="188" w:name="OLE_LINK112"/>
            <w:r>
              <w:rPr>
                <w:rFonts w:hint="eastAsia" w:ascii="宋体" w:hAnsi="宋体"/>
                <w:sz w:val="21"/>
                <w:szCs w:val="21"/>
                <w:lang w:eastAsia="zh-CN"/>
              </w:rPr>
              <w:tab/>
            </w:r>
            <w:bookmarkStart w:id="189" w:name="OLE_LINK117"/>
            <w:r>
              <w:rPr>
                <w:rFonts w:ascii="宋体" w:hAnsi="宋体"/>
                <w:sz w:val="21"/>
                <w:szCs w:val="21"/>
              </w:rPr>
              <w:t>符合招标文件要求</w:t>
            </w:r>
            <w:bookmarkEnd w:id="187"/>
            <w:bookmarkEnd w:id="188"/>
            <w:bookmarkEnd w:id="189"/>
          </w:p>
        </w:tc>
      </w:tr>
      <w:bookmarkEnd w:id="185"/>
      <w:tr w14:paraId="779C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937" w:type="dxa"/>
            <w:gridSpan w:val="2"/>
            <w:vMerge w:val="continue"/>
            <w:vAlign w:val="center"/>
          </w:tcPr>
          <w:p w14:paraId="4EFE59D6">
            <w:pPr>
              <w:spacing w:line="360" w:lineRule="auto"/>
              <w:jc w:val="center"/>
              <w:rPr>
                <w:rFonts w:hint="eastAsia" w:ascii="宋体" w:hAnsi="宋体"/>
                <w:b/>
                <w:sz w:val="21"/>
                <w:szCs w:val="21"/>
                <w:lang w:eastAsia="zh-CN"/>
              </w:rPr>
            </w:pPr>
          </w:p>
        </w:tc>
        <w:tc>
          <w:tcPr>
            <w:tcW w:w="2303" w:type="dxa"/>
            <w:vAlign w:val="center"/>
          </w:tcPr>
          <w:p w14:paraId="66369589">
            <w:pPr>
              <w:spacing w:line="360" w:lineRule="auto"/>
              <w:jc w:val="center"/>
              <w:rPr>
                <w:rFonts w:hint="eastAsia" w:ascii="宋体" w:hAnsi="宋体" w:eastAsia="宋体"/>
                <w:sz w:val="21"/>
                <w:szCs w:val="21"/>
                <w:highlight w:val="none"/>
                <w:lang w:eastAsia="zh-CN"/>
              </w:rPr>
            </w:pPr>
            <w:bookmarkStart w:id="190" w:name="OLE_LINK58"/>
            <w:r>
              <w:rPr>
                <w:rFonts w:hint="eastAsia" w:ascii="宋体" w:hAnsi="宋体"/>
                <w:sz w:val="21"/>
                <w:szCs w:val="21"/>
                <w:highlight w:val="none"/>
                <w:lang w:eastAsia="zh-CN"/>
              </w:rPr>
              <w:t>服务内容</w:t>
            </w:r>
            <w:bookmarkEnd w:id="190"/>
          </w:p>
        </w:tc>
        <w:tc>
          <w:tcPr>
            <w:tcW w:w="6339" w:type="dxa"/>
            <w:gridSpan w:val="2"/>
            <w:vAlign w:val="center"/>
          </w:tcPr>
          <w:p w14:paraId="09E7EB60">
            <w:pPr>
              <w:spacing w:line="360" w:lineRule="auto"/>
              <w:jc w:val="center"/>
              <w:rPr>
                <w:rFonts w:ascii="宋体" w:hAnsi="宋体"/>
                <w:sz w:val="21"/>
                <w:szCs w:val="21"/>
                <w:highlight w:val="none"/>
              </w:rPr>
            </w:pPr>
            <w:bookmarkStart w:id="191" w:name="OLE_LINK59"/>
            <w:r>
              <w:rPr>
                <w:rFonts w:ascii="宋体" w:hAnsi="宋体"/>
                <w:sz w:val="21"/>
                <w:szCs w:val="21"/>
                <w:highlight w:val="none"/>
              </w:rPr>
              <w:t>符合招标文件要求</w:t>
            </w:r>
            <w:bookmarkEnd w:id="191"/>
          </w:p>
        </w:tc>
      </w:tr>
      <w:tr w14:paraId="5D069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0D9EB5F4">
            <w:pPr>
              <w:spacing w:line="360" w:lineRule="auto"/>
              <w:jc w:val="center"/>
              <w:rPr>
                <w:rFonts w:hint="eastAsia" w:ascii="宋体" w:hAnsi="宋体"/>
                <w:b/>
                <w:sz w:val="21"/>
                <w:szCs w:val="21"/>
                <w:lang w:eastAsia="zh-CN"/>
              </w:rPr>
            </w:pPr>
            <w:bookmarkStart w:id="192" w:name="OLE_LINK118" w:colFirst="2" w:colLast="2"/>
          </w:p>
        </w:tc>
        <w:tc>
          <w:tcPr>
            <w:tcW w:w="2303" w:type="dxa"/>
            <w:vAlign w:val="center"/>
          </w:tcPr>
          <w:p w14:paraId="633AAD0A">
            <w:pPr>
              <w:spacing w:line="360" w:lineRule="auto"/>
              <w:jc w:val="center"/>
              <w:rPr>
                <w:rFonts w:hint="eastAsia" w:ascii="宋体" w:hAnsi="宋体" w:eastAsia="宋体" w:cs="Times New Roman"/>
                <w:kern w:val="2"/>
                <w:sz w:val="21"/>
                <w:szCs w:val="21"/>
                <w:lang w:val="en-US" w:eastAsia="zh-CN" w:bidi="ar-SA"/>
              </w:rPr>
            </w:pPr>
            <w:bookmarkStart w:id="193" w:name="OLE_LINK60"/>
            <w:r>
              <w:rPr>
                <w:rFonts w:hint="eastAsia" w:ascii="宋体" w:hAnsi="宋体"/>
                <w:sz w:val="21"/>
                <w:szCs w:val="21"/>
                <w:lang w:eastAsia="zh-CN"/>
              </w:rPr>
              <w:t>合同履行期限</w:t>
            </w:r>
            <w:bookmarkEnd w:id="193"/>
          </w:p>
        </w:tc>
        <w:tc>
          <w:tcPr>
            <w:tcW w:w="6339" w:type="dxa"/>
            <w:gridSpan w:val="2"/>
            <w:vAlign w:val="center"/>
          </w:tcPr>
          <w:p w14:paraId="5FEF05E4">
            <w:pPr>
              <w:spacing w:line="360" w:lineRule="auto"/>
              <w:jc w:val="center"/>
              <w:rPr>
                <w:rFonts w:ascii="宋体" w:hAnsi="宋体" w:eastAsia="宋体" w:cs="Times New Roman"/>
                <w:kern w:val="2"/>
                <w:sz w:val="21"/>
                <w:szCs w:val="21"/>
                <w:lang w:val="en-US" w:eastAsia="zh-CN" w:bidi="ar-SA"/>
              </w:rPr>
            </w:pPr>
            <w:bookmarkStart w:id="194" w:name="OLE_LINK95"/>
            <w:r>
              <w:rPr>
                <w:rFonts w:ascii="宋体" w:hAnsi="宋体"/>
                <w:sz w:val="21"/>
                <w:szCs w:val="21"/>
              </w:rPr>
              <w:t>符合招标文件要求</w:t>
            </w:r>
            <w:bookmarkEnd w:id="194"/>
          </w:p>
        </w:tc>
      </w:tr>
      <w:bookmarkEnd w:id="192"/>
      <w:tr w14:paraId="29A0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607FF1C4">
            <w:pPr>
              <w:spacing w:line="360" w:lineRule="auto"/>
              <w:jc w:val="center"/>
              <w:rPr>
                <w:rFonts w:hint="eastAsia" w:ascii="宋体" w:hAnsi="宋体"/>
                <w:b/>
                <w:sz w:val="21"/>
                <w:szCs w:val="21"/>
                <w:lang w:eastAsia="zh-CN"/>
              </w:rPr>
            </w:pPr>
          </w:p>
        </w:tc>
        <w:tc>
          <w:tcPr>
            <w:tcW w:w="2303" w:type="dxa"/>
            <w:vAlign w:val="center"/>
          </w:tcPr>
          <w:p w14:paraId="6D963580">
            <w:pPr>
              <w:spacing w:line="360" w:lineRule="auto"/>
              <w:jc w:val="center"/>
              <w:rPr>
                <w:rFonts w:hint="eastAsia" w:ascii="宋体" w:hAnsi="宋体" w:eastAsia="宋体" w:cs="Times New Roman"/>
                <w:kern w:val="2"/>
                <w:sz w:val="21"/>
                <w:szCs w:val="21"/>
                <w:lang w:val="en-US" w:eastAsia="zh-CN" w:bidi="ar-SA"/>
              </w:rPr>
            </w:pPr>
            <w:bookmarkStart w:id="195" w:name="OLE_LINK61"/>
            <w:r>
              <w:rPr>
                <w:rFonts w:hint="eastAsia" w:ascii="宋体" w:hAnsi="宋体"/>
                <w:color w:val="auto"/>
                <w:sz w:val="21"/>
                <w:szCs w:val="21"/>
                <w:lang w:eastAsia="zh-CN"/>
              </w:rPr>
              <w:t>服务质量</w:t>
            </w:r>
            <w:bookmarkEnd w:id="195"/>
          </w:p>
        </w:tc>
        <w:tc>
          <w:tcPr>
            <w:tcW w:w="6339" w:type="dxa"/>
            <w:gridSpan w:val="2"/>
            <w:vAlign w:val="center"/>
          </w:tcPr>
          <w:p w14:paraId="5B0570D1">
            <w:pPr>
              <w:spacing w:line="360" w:lineRule="auto"/>
              <w:jc w:val="center"/>
              <w:rPr>
                <w:rFonts w:ascii="宋体" w:hAnsi="宋体" w:eastAsia="宋体" w:cs="Times New Roman"/>
                <w:kern w:val="2"/>
                <w:sz w:val="21"/>
                <w:szCs w:val="21"/>
                <w:lang w:val="en-US" w:eastAsia="zh-CN" w:bidi="ar-SA"/>
              </w:rPr>
            </w:pPr>
            <w:bookmarkStart w:id="196" w:name="OLE_LINK62"/>
            <w:r>
              <w:rPr>
                <w:rFonts w:ascii="宋体" w:hAnsi="宋体"/>
                <w:sz w:val="21"/>
                <w:szCs w:val="21"/>
              </w:rPr>
              <w:t>符合招标文件要求</w:t>
            </w:r>
            <w:bookmarkEnd w:id="196"/>
          </w:p>
        </w:tc>
      </w:tr>
      <w:tr w14:paraId="4BDAA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37" w:type="dxa"/>
            <w:gridSpan w:val="2"/>
            <w:vMerge w:val="continue"/>
            <w:vAlign w:val="center"/>
          </w:tcPr>
          <w:p w14:paraId="34A1C751">
            <w:pPr>
              <w:spacing w:line="360" w:lineRule="auto"/>
              <w:jc w:val="center"/>
              <w:rPr>
                <w:rFonts w:hint="eastAsia" w:ascii="宋体" w:hAnsi="宋体"/>
                <w:b/>
                <w:sz w:val="21"/>
                <w:szCs w:val="21"/>
                <w:lang w:eastAsia="zh-CN"/>
              </w:rPr>
            </w:pPr>
          </w:p>
        </w:tc>
        <w:tc>
          <w:tcPr>
            <w:tcW w:w="2303" w:type="dxa"/>
            <w:vAlign w:val="center"/>
          </w:tcPr>
          <w:p w14:paraId="0D34D8D6">
            <w:pPr>
              <w:spacing w:line="360" w:lineRule="auto"/>
              <w:jc w:val="center"/>
              <w:rPr>
                <w:rFonts w:ascii="宋体" w:hAnsi="宋体" w:eastAsia="宋体" w:cs="Times New Roman"/>
                <w:bCs/>
                <w:kern w:val="2"/>
                <w:sz w:val="21"/>
                <w:szCs w:val="21"/>
                <w:lang w:val="en-US" w:eastAsia="zh-CN" w:bidi="ar-SA"/>
              </w:rPr>
            </w:pPr>
            <w:bookmarkStart w:id="197" w:name="OLE_LINK63"/>
            <w:r>
              <w:rPr>
                <w:rFonts w:ascii="宋体" w:hAnsi="宋体"/>
                <w:bCs/>
                <w:sz w:val="21"/>
                <w:szCs w:val="21"/>
              </w:rPr>
              <w:t>其他</w:t>
            </w:r>
            <w:bookmarkEnd w:id="197"/>
          </w:p>
        </w:tc>
        <w:tc>
          <w:tcPr>
            <w:tcW w:w="6339" w:type="dxa"/>
            <w:gridSpan w:val="2"/>
            <w:vAlign w:val="center"/>
          </w:tcPr>
          <w:p w14:paraId="555F9D67">
            <w:pPr>
              <w:spacing w:line="360" w:lineRule="auto"/>
              <w:jc w:val="center"/>
              <w:rPr>
                <w:rFonts w:ascii="宋体" w:hAnsi="宋体" w:eastAsia="宋体" w:cs="Times New Roman"/>
                <w:kern w:val="2"/>
                <w:sz w:val="21"/>
                <w:szCs w:val="21"/>
                <w:lang w:val="en-US" w:eastAsia="zh-CN" w:bidi="ar-SA"/>
              </w:rPr>
            </w:pPr>
            <w:bookmarkStart w:id="198" w:name="OLE_LINK64"/>
            <w:r>
              <w:rPr>
                <w:rFonts w:ascii="宋体" w:hAnsi="宋体"/>
                <w:sz w:val="21"/>
                <w:szCs w:val="21"/>
              </w:rPr>
              <w:t>符合招标文件的其他实质性要求</w:t>
            </w:r>
            <w:bookmarkEnd w:id="198"/>
          </w:p>
        </w:tc>
      </w:tr>
      <w:tr w14:paraId="31A2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F582B80">
            <w:pPr>
              <w:spacing w:line="360" w:lineRule="auto"/>
              <w:jc w:val="center"/>
              <w:rPr>
                <w:rFonts w:ascii="宋体" w:hAnsi="宋体"/>
                <w:b/>
                <w:sz w:val="21"/>
                <w:szCs w:val="21"/>
              </w:rPr>
            </w:pPr>
            <w:r>
              <w:rPr>
                <w:rFonts w:ascii="宋体" w:hAnsi="宋体"/>
                <w:b/>
                <w:sz w:val="21"/>
                <w:szCs w:val="21"/>
              </w:rPr>
              <w:t>符合性审查</w:t>
            </w:r>
          </w:p>
        </w:tc>
        <w:tc>
          <w:tcPr>
            <w:tcW w:w="2303" w:type="dxa"/>
            <w:vAlign w:val="center"/>
          </w:tcPr>
          <w:p w14:paraId="525E76CB">
            <w:pPr>
              <w:spacing w:line="360" w:lineRule="auto"/>
              <w:jc w:val="center"/>
              <w:rPr>
                <w:rFonts w:ascii="宋体" w:hAnsi="宋体"/>
                <w:sz w:val="21"/>
                <w:szCs w:val="21"/>
              </w:rPr>
            </w:pPr>
            <w:bookmarkStart w:id="199" w:name="OLE_LINK46"/>
            <w:r>
              <w:rPr>
                <w:rFonts w:ascii="宋体" w:hAnsi="宋体"/>
                <w:sz w:val="21"/>
                <w:szCs w:val="21"/>
              </w:rPr>
              <w:t>投标文件签署</w:t>
            </w:r>
            <w:bookmarkEnd w:id="199"/>
          </w:p>
        </w:tc>
        <w:tc>
          <w:tcPr>
            <w:tcW w:w="6339" w:type="dxa"/>
            <w:gridSpan w:val="2"/>
            <w:vAlign w:val="center"/>
          </w:tcPr>
          <w:p w14:paraId="7956AFBE">
            <w:pPr>
              <w:spacing w:line="360" w:lineRule="auto"/>
              <w:jc w:val="center"/>
              <w:rPr>
                <w:rFonts w:ascii="宋体" w:hAnsi="宋体"/>
                <w:sz w:val="21"/>
                <w:szCs w:val="21"/>
              </w:rPr>
            </w:pPr>
            <w:bookmarkStart w:id="200" w:name="OLE_LINK47"/>
            <w:r>
              <w:rPr>
                <w:rFonts w:ascii="宋体" w:hAnsi="宋体"/>
                <w:sz w:val="21"/>
                <w:szCs w:val="21"/>
              </w:rPr>
              <w:t>按招标文件要求签署</w:t>
            </w:r>
            <w:bookmarkEnd w:id="200"/>
          </w:p>
        </w:tc>
      </w:tr>
      <w:tr w14:paraId="0C3E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37" w:type="dxa"/>
            <w:gridSpan w:val="2"/>
            <w:vMerge w:val="continue"/>
            <w:vAlign w:val="center"/>
          </w:tcPr>
          <w:p w14:paraId="0EF65169">
            <w:pPr>
              <w:spacing w:line="360" w:lineRule="auto"/>
              <w:jc w:val="center"/>
              <w:rPr>
                <w:rFonts w:ascii="宋体" w:hAnsi="宋体"/>
                <w:sz w:val="21"/>
                <w:szCs w:val="21"/>
              </w:rPr>
            </w:pPr>
          </w:p>
        </w:tc>
        <w:tc>
          <w:tcPr>
            <w:tcW w:w="2303" w:type="dxa"/>
            <w:vAlign w:val="center"/>
          </w:tcPr>
          <w:p w14:paraId="2E02DCD4">
            <w:pPr>
              <w:pStyle w:val="46"/>
              <w:spacing w:line="360" w:lineRule="auto"/>
              <w:jc w:val="center"/>
              <w:rPr>
                <w:rFonts w:ascii="宋体" w:hAnsi="宋体"/>
                <w:sz w:val="21"/>
                <w:szCs w:val="21"/>
              </w:rPr>
            </w:pPr>
            <w:bookmarkStart w:id="201" w:name="OLE_LINK92"/>
            <w:r>
              <w:rPr>
                <w:rFonts w:hint="eastAsia" w:ascii="宋体" w:hAnsi="宋体" w:eastAsia="宋体"/>
                <w:sz w:val="21"/>
                <w:szCs w:val="21"/>
                <w:lang w:eastAsia="zh-CN"/>
              </w:rPr>
              <w:t>供应商名称</w:t>
            </w:r>
            <w:bookmarkEnd w:id="201"/>
          </w:p>
        </w:tc>
        <w:tc>
          <w:tcPr>
            <w:tcW w:w="6339" w:type="dxa"/>
            <w:gridSpan w:val="2"/>
            <w:vAlign w:val="center"/>
          </w:tcPr>
          <w:p w14:paraId="66E9011C">
            <w:pPr>
              <w:pStyle w:val="46"/>
              <w:spacing w:line="360" w:lineRule="auto"/>
              <w:jc w:val="center"/>
              <w:rPr>
                <w:rFonts w:ascii="宋体" w:hAnsi="宋体"/>
                <w:sz w:val="21"/>
                <w:szCs w:val="21"/>
              </w:rPr>
            </w:pPr>
            <w:bookmarkStart w:id="202" w:name="_Toc31616"/>
            <w:bookmarkStart w:id="203" w:name="OLE_LINK93"/>
            <w:bookmarkStart w:id="204" w:name="_Toc28331"/>
            <w:r>
              <w:rPr>
                <w:rFonts w:hint="eastAsia" w:ascii="宋体" w:hAnsi="宋体" w:eastAsia="宋体"/>
                <w:sz w:val="21"/>
                <w:szCs w:val="21"/>
              </w:rPr>
              <w:t>与营业执照等一致</w:t>
            </w:r>
            <w:bookmarkEnd w:id="202"/>
            <w:bookmarkEnd w:id="203"/>
            <w:bookmarkEnd w:id="204"/>
          </w:p>
        </w:tc>
      </w:tr>
      <w:tr w14:paraId="6271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937" w:type="dxa"/>
            <w:gridSpan w:val="2"/>
            <w:vMerge w:val="continue"/>
            <w:vAlign w:val="center"/>
          </w:tcPr>
          <w:p w14:paraId="13659F9C">
            <w:pPr>
              <w:spacing w:line="360" w:lineRule="auto"/>
              <w:jc w:val="center"/>
              <w:rPr>
                <w:rFonts w:ascii="宋体" w:hAnsi="宋体"/>
                <w:sz w:val="21"/>
                <w:szCs w:val="21"/>
              </w:rPr>
            </w:pPr>
          </w:p>
        </w:tc>
        <w:tc>
          <w:tcPr>
            <w:tcW w:w="2303" w:type="dxa"/>
            <w:vAlign w:val="center"/>
          </w:tcPr>
          <w:p w14:paraId="429CE2C6">
            <w:pPr>
              <w:pStyle w:val="46"/>
              <w:spacing w:line="360" w:lineRule="auto"/>
              <w:jc w:val="center"/>
              <w:rPr>
                <w:rFonts w:ascii="宋体" w:hAnsi="宋体"/>
                <w:sz w:val="21"/>
                <w:szCs w:val="21"/>
              </w:rPr>
            </w:pPr>
            <w:bookmarkStart w:id="205" w:name="_Toc28533"/>
            <w:bookmarkStart w:id="206" w:name="_Toc27460"/>
            <w:bookmarkStart w:id="207" w:name="OLE_LINK48"/>
            <w:r>
              <w:rPr>
                <w:rFonts w:hint="eastAsia" w:ascii="宋体" w:hAnsi="宋体" w:eastAsia="宋体"/>
                <w:sz w:val="21"/>
                <w:szCs w:val="21"/>
              </w:rPr>
              <w:t>投标函签字盖章</w:t>
            </w:r>
            <w:bookmarkEnd w:id="205"/>
            <w:bookmarkEnd w:id="206"/>
            <w:bookmarkEnd w:id="207"/>
          </w:p>
        </w:tc>
        <w:tc>
          <w:tcPr>
            <w:tcW w:w="6339" w:type="dxa"/>
            <w:gridSpan w:val="2"/>
            <w:vAlign w:val="center"/>
          </w:tcPr>
          <w:p w14:paraId="1C711EBC">
            <w:pPr>
              <w:pStyle w:val="46"/>
              <w:spacing w:line="360" w:lineRule="auto"/>
              <w:jc w:val="center"/>
              <w:rPr>
                <w:rFonts w:ascii="宋体" w:hAnsi="宋体"/>
                <w:sz w:val="21"/>
                <w:szCs w:val="21"/>
              </w:rPr>
            </w:pPr>
            <w:bookmarkStart w:id="208" w:name="_Toc3444"/>
            <w:bookmarkStart w:id="209" w:name="_Toc15375"/>
            <w:bookmarkStart w:id="210" w:name="OLE_LINK49"/>
            <w:r>
              <w:rPr>
                <w:rFonts w:hint="eastAsia" w:ascii="宋体" w:hAnsi="宋体" w:eastAsia="宋体"/>
                <w:sz w:val="21"/>
                <w:szCs w:val="21"/>
              </w:rPr>
              <w:t>有法定代表人或其委托代理人签字或</w:t>
            </w:r>
            <w:r>
              <w:rPr>
                <w:rFonts w:hint="eastAsia" w:ascii="宋体" w:hAnsi="宋体" w:eastAsia="宋体"/>
                <w:sz w:val="21"/>
                <w:szCs w:val="21"/>
                <w:lang w:val="en-US" w:eastAsia="zh-CN"/>
              </w:rPr>
              <w:t>盖章并加盖</w:t>
            </w:r>
            <w:r>
              <w:rPr>
                <w:rFonts w:hint="eastAsia" w:ascii="宋体" w:hAnsi="宋体" w:eastAsia="宋体"/>
                <w:sz w:val="21"/>
                <w:szCs w:val="21"/>
              </w:rPr>
              <w:t>单位公章</w:t>
            </w:r>
            <w:bookmarkEnd w:id="208"/>
            <w:bookmarkEnd w:id="209"/>
            <w:bookmarkEnd w:id="210"/>
          </w:p>
        </w:tc>
      </w:tr>
      <w:tr w14:paraId="408B6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135A70A">
            <w:pPr>
              <w:spacing w:line="360" w:lineRule="auto"/>
              <w:jc w:val="center"/>
              <w:rPr>
                <w:rFonts w:ascii="宋体" w:hAnsi="宋体"/>
                <w:sz w:val="21"/>
                <w:szCs w:val="21"/>
              </w:rPr>
            </w:pPr>
          </w:p>
        </w:tc>
        <w:tc>
          <w:tcPr>
            <w:tcW w:w="2303" w:type="dxa"/>
            <w:vAlign w:val="center"/>
          </w:tcPr>
          <w:p w14:paraId="33163FC8">
            <w:pPr>
              <w:pStyle w:val="46"/>
              <w:spacing w:line="360" w:lineRule="auto"/>
              <w:jc w:val="center"/>
              <w:rPr>
                <w:rFonts w:hint="eastAsia" w:ascii="宋体" w:hAnsi="宋体" w:eastAsia="宋体"/>
                <w:sz w:val="21"/>
                <w:szCs w:val="21"/>
                <w:lang w:eastAsia="zh-CN"/>
              </w:rPr>
            </w:pPr>
            <w:bookmarkStart w:id="211" w:name="_Toc29466"/>
            <w:bookmarkStart w:id="212" w:name="_Toc16337"/>
            <w:bookmarkStart w:id="213" w:name="OLE_LINK50"/>
            <w:r>
              <w:rPr>
                <w:rFonts w:hint="eastAsia" w:ascii="宋体" w:hAnsi="宋体" w:eastAsia="宋体"/>
                <w:sz w:val="21"/>
                <w:szCs w:val="21"/>
              </w:rPr>
              <w:t>投标文件格式</w:t>
            </w:r>
            <w:bookmarkEnd w:id="211"/>
            <w:bookmarkEnd w:id="212"/>
            <w:bookmarkEnd w:id="213"/>
          </w:p>
        </w:tc>
        <w:tc>
          <w:tcPr>
            <w:tcW w:w="6339" w:type="dxa"/>
            <w:gridSpan w:val="2"/>
            <w:vAlign w:val="center"/>
          </w:tcPr>
          <w:p w14:paraId="633746C7">
            <w:pPr>
              <w:pStyle w:val="46"/>
              <w:spacing w:line="360" w:lineRule="auto"/>
              <w:jc w:val="center"/>
              <w:rPr>
                <w:rFonts w:ascii="宋体" w:hAnsi="宋体"/>
                <w:sz w:val="21"/>
                <w:szCs w:val="21"/>
              </w:rPr>
            </w:pPr>
            <w:bookmarkStart w:id="214" w:name="OLE_LINK51"/>
            <w:bookmarkStart w:id="215" w:name="_Toc29862"/>
            <w:bookmarkStart w:id="216" w:name="_Toc31580"/>
            <w:r>
              <w:rPr>
                <w:rFonts w:hint="eastAsia" w:ascii="宋体" w:hAnsi="宋体" w:eastAsia="宋体"/>
                <w:sz w:val="21"/>
                <w:szCs w:val="21"/>
              </w:rPr>
              <w:t>符合第</w:t>
            </w:r>
            <w:r>
              <w:rPr>
                <w:rFonts w:hint="eastAsia" w:ascii="宋体" w:hAnsi="宋体" w:eastAsia="宋体"/>
                <w:sz w:val="21"/>
                <w:szCs w:val="21"/>
                <w:lang w:eastAsia="zh-CN"/>
              </w:rPr>
              <w:t>六</w:t>
            </w:r>
            <w:r>
              <w:rPr>
                <w:rFonts w:hint="eastAsia" w:ascii="宋体" w:hAnsi="宋体" w:eastAsia="宋体"/>
                <w:sz w:val="21"/>
                <w:szCs w:val="21"/>
              </w:rPr>
              <w:t>章“投标文件格式”的要求</w:t>
            </w:r>
            <w:bookmarkEnd w:id="214"/>
            <w:bookmarkEnd w:id="215"/>
            <w:bookmarkEnd w:id="216"/>
          </w:p>
        </w:tc>
      </w:tr>
      <w:tr w14:paraId="3A15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B6B13BB">
            <w:pPr>
              <w:spacing w:line="360" w:lineRule="auto"/>
              <w:jc w:val="center"/>
              <w:rPr>
                <w:rFonts w:ascii="宋体" w:hAnsi="宋体"/>
                <w:sz w:val="21"/>
                <w:szCs w:val="21"/>
              </w:rPr>
            </w:pPr>
          </w:p>
        </w:tc>
        <w:tc>
          <w:tcPr>
            <w:tcW w:w="2303" w:type="dxa"/>
            <w:vAlign w:val="center"/>
          </w:tcPr>
          <w:p w14:paraId="5A59171C">
            <w:pPr>
              <w:autoSpaceDE w:val="0"/>
              <w:autoSpaceDN w:val="0"/>
              <w:adjustRightInd w:val="0"/>
              <w:spacing w:line="360" w:lineRule="auto"/>
              <w:ind w:firstLine="59" w:firstLineChars="28"/>
              <w:jc w:val="center"/>
              <w:rPr>
                <w:rFonts w:hint="eastAsia" w:ascii="宋体" w:hAnsi="宋体" w:eastAsia="宋体"/>
                <w:sz w:val="21"/>
                <w:szCs w:val="21"/>
              </w:rPr>
            </w:pPr>
            <w:bookmarkStart w:id="217" w:name="OLE_LINK52"/>
            <w:r>
              <w:rPr>
                <w:rFonts w:hint="eastAsia" w:ascii="宋体" w:hAnsi="宋体" w:cs="宋体"/>
                <w:color w:val="auto"/>
                <w:spacing w:val="1"/>
                <w:kern w:val="0"/>
                <w:szCs w:val="21"/>
                <w:highlight w:val="none"/>
              </w:rPr>
              <w:t>报价唯一</w:t>
            </w:r>
            <w:bookmarkEnd w:id="217"/>
          </w:p>
        </w:tc>
        <w:tc>
          <w:tcPr>
            <w:tcW w:w="6339" w:type="dxa"/>
            <w:gridSpan w:val="2"/>
            <w:vAlign w:val="center"/>
          </w:tcPr>
          <w:p w14:paraId="0B43C3D9">
            <w:pPr>
              <w:autoSpaceDE w:val="0"/>
              <w:autoSpaceDN w:val="0"/>
              <w:adjustRightInd w:val="0"/>
              <w:spacing w:line="360" w:lineRule="auto"/>
              <w:ind w:firstLine="59" w:firstLineChars="28"/>
              <w:jc w:val="center"/>
              <w:rPr>
                <w:rFonts w:hint="eastAsia" w:ascii="宋体" w:hAnsi="宋体" w:eastAsia="宋体"/>
                <w:sz w:val="21"/>
                <w:szCs w:val="21"/>
              </w:rPr>
            </w:pPr>
            <w:bookmarkStart w:id="218" w:name="OLE_LINK53"/>
            <w:r>
              <w:rPr>
                <w:rFonts w:hint="eastAsia" w:ascii="宋体" w:hAnsi="宋体" w:cs="宋体"/>
                <w:color w:val="auto"/>
                <w:spacing w:val="1"/>
                <w:kern w:val="0"/>
                <w:szCs w:val="21"/>
                <w:highlight w:val="none"/>
              </w:rPr>
              <w:t>只能有一个有效报价</w:t>
            </w:r>
            <w:bookmarkEnd w:id="218"/>
          </w:p>
        </w:tc>
      </w:tr>
    </w:tbl>
    <w:p w14:paraId="2BCAA33F">
      <w:pPr>
        <w:spacing w:line="360" w:lineRule="auto"/>
        <w:rPr>
          <w:rFonts w:hint="eastAsia"/>
          <w:b/>
          <w:bCs/>
          <w:lang w:val="en-US" w:eastAsia="zh-CN"/>
        </w:rPr>
      </w:pPr>
      <w:r>
        <w:rPr>
          <w:rFonts w:hint="eastAsia"/>
          <w:b/>
          <w:bCs/>
          <w:lang w:val="en-US" w:eastAsia="zh-CN"/>
        </w:rPr>
        <w:br w:type="page"/>
      </w:r>
    </w:p>
    <w:p w14:paraId="04A8C981">
      <w:pPr>
        <w:pStyle w:val="25"/>
        <w:keepNext w:val="0"/>
        <w:keepLines w:val="0"/>
        <w:pageBreakBefore w:val="0"/>
        <w:widowControl/>
        <w:kinsoku/>
        <w:wordWrap/>
        <w:overflowPunct/>
        <w:topLinePunct w:val="0"/>
        <w:autoSpaceDE/>
        <w:autoSpaceDN/>
        <w:bidi w:val="0"/>
        <w:adjustRightInd/>
        <w:snapToGrid/>
        <w:spacing w:before="313" w:beforeLines="100" w:after="313" w:afterLines="100" w:line="360" w:lineRule="auto"/>
        <w:jc w:val="center"/>
        <w:textAlignment w:val="auto"/>
        <w:rPr>
          <w:rFonts w:hint="eastAsia" w:eastAsia="宋体"/>
          <w:b/>
          <w:bCs/>
          <w:lang w:val="en-US" w:eastAsia="zh-CN"/>
        </w:rPr>
      </w:pPr>
      <w:r>
        <w:rPr>
          <w:rFonts w:hint="eastAsia"/>
          <w:b/>
          <w:bCs/>
          <w:lang w:val="en-US" w:eastAsia="zh-CN"/>
        </w:rPr>
        <w:t>A</w:t>
      </w:r>
      <w:r>
        <w:rPr>
          <w:rFonts w:hint="eastAsia" w:eastAsia="宋体"/>
          <w:b/>
          <w:bCs/>
          <w:lang w:val="en-US" w:eastAsia="zh-CN"/>
        </w:rPr>
        <w:t>包</w:t>
      </w:r>
      <w:r>
        <w:rPr>
          <w:rFonts w:hint="eastAsia"/>
          <w:b/>
          <w:bCs/>
          <w:lang w:val="en-US" w:eastAsia="zh-CN"/>
        </w:rPr>
        <w:t>-K包</w:t>
      </w:r>
      <w:r>
        <w:rPr>
          <w:rFonts w:hint="eastAsia" w:eastAsia="宋体"/>
          <w:b/>
          <w:bCs/>
          <w:lang w:val="en-US" w:eastAsia="zh-CN"/>
        </w:rPr>
        <w:t>评分标准：</w:t>
      </w:r>
    </w:p>
    <w:tbl>
      <w:tblPr>
        <w:tblStyle w:val="26"/>
        <w:tblW w:w="91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4"/>
        <w:gridCol w:w="1754"/>
        <w:gridCol w:w="693"/>
        <w:gridCol w:w="5483"/>
      </w:tblGrid>
      <w:tr w14:paraId="6E8C7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0F1FBD7E">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w:t>
            </w:r>
          </w:p>
          <w:p w14:paraId="005DD44A">
            <w:pPr>
              <w:widowControl/>
              <w:autoSpaceDE w:val="0"/>
              <w:autoSpaceDN w:val="0"/>
              <w:spacing w:line="360" w:lineRule="auto"/>
              <w:jc w:val="center"/>
              <w:rPr>
                <w:b/>
                <w:snapToGrid w:val="0"/>
                <w:kern w:val="0"/>
                <w:szCs w:val="21"/>
                <w:lang w:val="zh-CN"/>
              </w:rPr>
            </w:pPr>
            <w:r>
              <w:rPr>
                <w:rFonts w:hint="eastAsia"/>
                <w:b/>
                <w:snapToGrid w:val="0"/>
                <w:kern w:val="0"/>
                <w:szCs w:val="21"/>
                <w:lang w:val="zh-CN"/>
              </w:rPr>
              <w:t>部分</w:t>
            </w:r>
          </w:p>
        </w:tc>
        <w:tc>
          <w:tcPr>
            <w:tcW w:w="1754" w:type="dxa"/>
            <w:tcMar>
              <w:top w:w="170" w:type="dxa"/>
              <w:left w:w="0" w:type="dxa"/>
              <w:bottom w:w="0" w:type="dxa"/>
              <w:right w:w="0" w:type="dxa"/>
            </w:tcMar>
            <w:vAlign w:val="center"/>
          </w:tcPr>
          <w:p w14:paraId="1A779C85">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评审因素</w:t>
            </w:r>
          </w:p>
        </w:tc>
        <w:tc>
          <w:tcPr>
            <w:tcW w:w="693" w:type="dxa"/>
            <w:tcMar>
              <w:top w:w="170" w:type="dxa"/>
              <w:left w:w="0" w:type="dxa"/>
              <w:bottom w:w="0" w:type="dxa"/>
              <w:right w:w="0" w:type="dxa"/>
            </w:tcMar>
            <w:vAlign w:val="center"/>
          </w:tcPr>
          <w:p w14:paraId="7142EED1">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分值</w:t>
            </w:r>
          </w:p>
        </w:tc>
        <w:tc>
          <w:tcPr>
            <w:tcW w:w="5483" w:type="dxa"/>
            <w:tcMar>
              <w:top w:w="170" w:type="dxa"/>
              <w:left w:w="0" w:type="dxa"/>
              <w:bottom w:w="0" w:type="dxa"/>
              <w:right w:w="0" w:type="dxa"/>
            </w:tcMar>
            <w:vAlign w:val="center"/>
          </w:tcPr>
          <w:p w14:paraId="18A6FBE7">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评审标准</w:t>
            </w:r>
          </w:p>
        </w:tc>
      </w:tr>
      <w:tr w14:paraId="3361F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jc w:val="center"/>
        </w:trPr>
        <w:tc>
          <w:tcPr>
            <w:tcW w:w="9164" w:type="dxa"/>
            <w:gridSpan w:val="4"/>
            <w:vAlign w:val="center"/>
          </w:tcPr>
          <w:p w14:paraId="45E7709A">
            <w:pPr>
              <w:widowControl/>
              <w:adjustRightInd w:val="0"/>
              <w:snapToGrid w:val="0"/>
              <w:spacing w:line="360" w:lineRule="auto"/>
              <w:jc w:val="center"/>
              <w:textAlignment w:val="center"/>
              <w:rPr>
                <w:rFonts w:hint="eastAsia"/>
                <w:b/>
                <w:snapToGrid w:val="0"/>
                <w:kern w:val="0"/>
                <w:szCs w:val="21"/>
                <w:lang w:val="zh-CN"/>
              </w:rPr>
            </w:pPr>
            <w:r>
              <w:rPr>
                <w:rFonts w:hint="eastAsia"/>
                <w:sz w:val="21"/>
                <w:szCs w:val="21"/>
              </w:rPr>
              <w:t>采用综合评分法，满分</w:t>
            </w:r>
            <w:r>
              <w:rPr>
                <w:sz w:val="21"/>
                <w:szCs w:val="21"/>
              </w:rPr>
              <w:t>100分，其中投标报价</w:t>
            </w:r>
            <w:r>
              <w:rPr>
                <w:rFonts w:hint="eastAsia"/>
                <w:sz w:val="21"/>
                <w:szCs w:val="21"/>
                <w:lang w:val="en-US" w:eastAsia="zh-CN"/>
              </w:rPr>
              <w:t>15</w:t>
            </w:r>
            <w:r>
              <w:rPr>
                <w:sz w:val="21"/>
                <w:szCs w:val="21"/>
              </w:rPr>
              <w:t>分，技术部分</w:t>
            </w:r>
            <w:r>
              <w:rPr>
                <w:rFonts w:hint="eastAsia"/>
                <w:sz w:val="21"/>
                <w:szCs w:val="21"/>
                <w:lang w:val="en-US" w:eastAsia="zh-CN"/>
              </w:rPr>
              <w:t>65</w:t>
            </w:r>
            <w:r>
              <w:rPr>
                <w:sz w:val="21"/>
                <w:szCs w:val="21"/>
              </w:rPr>
              <w:t>分，商务部分</w:t>
            </w:r>
            <w:r>
              <w:rPr>
                <w:rFonts w:hint="eastAsia"/>
                <w:sz w:val="21"/>
                <w:szCs w:val="21"/>
                <w:lang w:val="en-US" w:eastAsia="zh-CN"/>
              </w:rPr>
              <w:t>20</w:t>
            </w:r>
            <w:r>
              <w:rPr>
                <w:sz w:val="21"/>
                <w:szCs w:val="21"/>
              </w:rPr>
              <w:t>分</w:t>
            </w:r>
          </w:p>
        </w:tc>
      </w:tr>
      <w:tr w14:paraId="225A6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3E229E8D">
            <w:pPr>
              <w:autoSpaceDE w:val="0"/>
              <w:autoSpaceDN w:val="0"/>
              <w:spacing w:before="1" w:line="360" w:lineRule="auto"/>
              <w:ind w:left="300" w:right="291"/>
              <w:jc w:val="left"/>
              <w:rPr>
                <w:kern w:val="0"/>
                <w:szCs w:val="21"/>
                <w:lang w:val="zh-CN" w:bidi="zh-CN"/>
              </w:rPr>
            </w:pPr>
            <w:r>
              <w:rPr>
                <w:rFonts w:hint="eastAsia"/>
                <w:kern w:val="0"/>
                <w:szCs w:val="21"/>
                <w:lang w:bidi="zh-CN"/>
              </w:rPr>
              <w:t>投标</w:t>
            </w:r>
            <w:r>
              <w:rPr>
                <w:rFonts w:hint="eastAsia"/>
                <w:kern w:val="0"/>
                <w:szCs w:val="21"/>
                <w:lang w:val="zh-CN" w:bidi="zh-CN"/>
              </w:rPr>
              <w:t>报价</w:t>
            </w:r>
          </w:p>
          <w:p w14:paraId="2A0822DC">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15</w:t>
            </w:r>
            <w:r>
              <w:rPr>
                <w:rFonts w:hint="eastAsia"/>
                <w:spacing w:val="-28"/>
                <w:kern w:val="0"/>
                <w:szCs w:val="21"/>
                <w:lang w:val="zh-CN" w:bidi="zh-CN"/>
              </w:rPr>
              <w:t>分</w:t>
            </w:r>
            <w:r>
              <w:rPr>
                <w:rFonts w:hint="eastAsia"/>
                <w:kern w:val="0"/>
                <w:szCs w:val="21"/>
                <w:lang w:val="zh-CN" w:bidi="zh-CN"/>
              </w:rPr>
              <w:t>）</w:t>
            </w:r>
          </w:p>
        </w:tc>
        <w:tc>
          <w:tcPr>
            <w:tcW w:w="1754" w:type="dxa"/>
            <w:tcMar>
              <w:top w:w="170" w:type="dxa"/>
              <w:left w:w="0" w:type="dxa"/>
              <w:bottom w:w="0" w:type="dxa"/>
              <w:right w:w="0" w:type="dxa"/>
            </w:tcMar>
            <w:vAlign w:val="center"/>
          </w:tcPr>
          <w:p w14:paraId="5758FE58">
            <w:pPr>
              <w:tabs>
                <w:tab w:val="left" w:pos="420"/>
              </w:tabs>
              <w:autoSpaceDE w:val="0"/>
              <w:autoSpaceDN w:val="0"/>
              <w:spacing w:line="360" w:lineRule="auto"/>
              <w:ind w:firstLine="0" w:firstLineChars="0"/>
              <w:jc w:val="center"/>
              <w:rPr>
                <w:kern w:val="0"/>
                <w:szCs w:val="21"/>
                <w:lang w:val="zh-CN" w:bidi="zh-CN"/>
              </w:rPr>
            </w:pPr>
            <w:bookmarkStart w:id="219" w:name="OLE_LINK65"/>
            <w:r>
              <w:rPr>
                <w:rFonts w:hint="eastAsia"/>
                <w:kern w:val="0"/>
                <w:sz w:val="21"/>
                <w:szCs w:val="21"/>
                <w:lang w:bidi="zh-CN"/>
              </w:rPr>
              <w:t>投标</w:t>
            </w:r>
            <w:r>
              <w:rPr>
                <w:rFonts w:hint="eastAsia"/>
                <w:kern w:val="0"/>
                <w:sz w:val="21"/>
                <w:szCs w:val="21"/>
                <w:lang w:val="zh-CN" w:bidi="zh-CN"/>
              </w:rPr>
              <w:t>报价（</w:t>
            </w:r>
            <w:r>
              <w:rPr>
                <w:rFonts w:hint="eastAsia"/>
                <w:kern w:val="0"/>
                <w:sz w:val="21"/>
                <w:szCs w:val="21"/>
                <w:lang w:val="en-US" w:bidi="zh-CN"/>
              </w:rPr>
              <w:t>15分</w:t>
            </w:r>
            <w:r>
              <w:rPr>
                <w:rFonts w:hint="eastAsia"/>
                <w:kern w:val="0"/>
                <w:sz w:val="21"/>
                <w:szCs w:val="21"/>
                <w:lang w:val="zh-CN" w:bidi="zh-CN"/>
              </w:rPr>
              <w:t>）</w:t>
            </w:r>
            <w:bookmarkEnd w:id="219"/>
          </w:p>
        </w:tc>
        <w:tc>
          <w:tcPr>
            <w:tcW w:w="693" w:type="dxa"/>
            <w:tcMar>
              <w:top w:w="170" w:type="dxa"/>
              <w:left w:w="0" w:type="dxa"/>
              <w:bottom w:w="0" w:type="dxa"/>
              <w:right w:w="0" w:type="dxa"/>
            </w:tcMar>
            <w:vAlign w:val="center"/>
          </w:tcPr>
          <w:p w14:paraId="57C0E451">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15</w:t>
            </w:r>
          </w:p>
        </w:tc>
        <w:tc>
          <w:tcPr>
            <w:tcW w:w="5483" w:type="dxa"/>
            <w:tcMar>
              <w:top w:w="170" w:type="dxa"/>
              <w:left w:w="0" w:type="dxa"/>
              <w:bottom w:w="0" w:type="dxa"/>
              <w:right w:w="0" w:type="dxa"/>
            </w:tcMar>
            <w:vAlign w:val="center"/>
          </w:tcPr>
          <w:p w14:paraId="49C7568C">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default" w:ascii="宋体" w:hAnsi="宋体" w:eastAsia="宋体" w:cs="宋体"/>
                <w:color w:val="000000"/>
                <w:sz w:val="21"/>
                <w:szCs w:val="21"/>
                <w:highlight w:val="none"/>
                <w:lang w:val="en-US" w:eastAsia="zh-CN"/>
              </w:rPr>
            </w:pPr>
            <w:bookmarkStart w:id="220" w:name="OLE_LINK66"/>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报价分统一采用低价优先法计算，即满足招标文件要求且价格最低的投标报价为评标基准价，其报价分为满分</w:t>
            </w:r>
            <w:r>
              <w:rPr>
                <w:rFonts w:hint="eastAsia" w:ascii="宋体" w:hAnsi="宋体" w:cs="宋体"/>
                <w:color w:val="000000"/>
                <w:sz w:val="21"/>
                <w:szCs w:val="21"/>
                <w:highlight w:val="none"/>
                <w:lang w:val="en-US" w:eastAsia="zh-CN"/>
              </w:rPr>
              <w:t>15</w:t>
            </w:r>
            <w:r>
              <w:rPr>
                <w:rFonts w:hint="eastAsia" w:ascii="宋体" w:hAnsi="宋体" w:eastAsia="宋体" w:cs="宋体"/>
                <w:color w:val="000000"/>
                <w:sz w:val="21"/>
                <w:szCs w:val="21"/>
                <w:highlight w:val="none"/>
              </w:rPr>
              <w:t>分。其他</w:t>
            </w:r>
            <w:r>
              <w:rPr>
                <w:rFonts w:hint="eastAsia" w:ascii="宋体" w:hAnsi="宋体" w:eastAsia="宋体" w:cs="宋体"/>
                <w:color w:val="000000"/>
                <w:sz w:val="21"/>
                <w:szCs w:val="21"/>
                <w:highlight w:val="none"/>
                <w:lang w:eastAsia="zh-CN"/>
              </w:rPr>
              <w:t>供应商</w:t>
            </w:r>
            <w:r>
              <w:rPr>
                <w:rFonts w:hint="eastAsia" w:ascii="宋体" w:hAnsi="宋体" w:eastAsia="宋体" w:cs="宋体"/>
                <w:color w:val="000000"/>
                <w:sz w:val="21"/>
                <w:szCs w:val="21"/>
                <w:highlight w:val="none"/>
              </w:rPr>
              <w:t>的报价分统一按照下列公式计算：投标报价得分=（评标基准价/投标报价）×</w:t>
            </w:r>
            <w:r>
              <w:rPr>
                <w:rFonts w:hint="eastAsia" w:ascii="宋体" w:hAnsi="宋体" w:eastAsia="宋体" w:cs="宋体"/>
                <w:color w:val="000000"/>
                <w:sz w:val="21"/>
                <w:szCs w:val="21"/>
                <w:highlight w:val="none"/>
                <w:lang w:val="en-US" w:eastAsia="zh-CN"/>
              </w:rPr>
              <w:t>1</w:t>
            </w:r>
            <w:r>
              <w:rPr>
                <w:rFonts w:hint="eastAsia" w:ascii="宋体" w:hAnsi="宋体" w:cs="宋体"/>
                <w:color w:val="000000"/>
                <w:sz w:val="21"/>
                <w:szCs w:val="21"/>
                <w:highlight w:val="none"/>
                <w:lang w:val="en-US" w:eastAsia="zh-CN"/>
              </w:rPr>
              <w:t>5</w:t>
            </w:r>
          </w:p>
          <w:p w14:paraId="68E77B8E">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2.投标报价得分保留两位小数。</w:t>
            </w:r>
          </w:p>
          <w:p w14:paraId="7301B51F">
            <w:pPr>
              <w:tabs>
                <w:tab w:val="left" w:pos="420"/>
              </w:tabs>
              <w:autoSpaceDE w:val="0"/>
              <w:autoSpaceDN w:val="0"/>
              <w:spacing w:line="360" w:lineRule="auto"/>
              <w:ind w:firstLine="0" w:firstLineChars="0"/>
              <w:rPr>
                <w:kern w:val="0"/>
                <w:szCs w:val="21"/>
                <w:lang w:val="zh-CN" w:bidi="zh-CN"/>
              </w:rPr>
            </w:pPr>
            <w:r>
              <w:rPr>
                <w:rFonts w:hint="eastAsia" w:ascii="宋体" w:hAnsi="宋体" w:eastAsia="宋体" w:cs="宋体"/>
                <w:color w:val="000000"/>
                <w:sz w:val="21"/>
                <w:szCs w:val="21"/>
                <w:highlight w:val="none"/>
              </w:rPr>
              <w:t>3.遵循《政府采购促进中小企业发展暂行办法》(财库[2020]46号)文件、《关于进一步加大政府采购支持中小企业力度的通知》(财库[2022]19号)、《河南省财政厅关于进一步做好政府采购支持中小企业发展有关事项的通知》（豫财购〔2022〕5号）及《郑州市郑东新区财政局（审计局）关于政府采购支持稳经济促增长的通知》（郑东财审[2022]9号)文件规定，本次采购项目价格扣除比例为20%。</w:t>
            </w:r>
            <w:bookmarkEnd w:id="220"/>
          </w:p>
        </w:tc>
      </w:tr>
      <w:tr w14:paraId="0332C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000288C8">
            <w:pPr>
              <w:autoSpaceDE w:val="0"/>
              <w:autoSpaceDN w:val="0"/>
              <w:spacing w:line="360" w:lineRule="auto"/>
              <w:rPr>
                <w:kern w:val="0"/>
                <w:szCs w:val="21"/>
                <w:lang w:val="zh-CN" w:bidi="zh-CN"/>
              </w:rPr>
            </w:pPr>
            <w:bookmarkStart w:id="221" w:name="OLE_LINK104" w:colFirst="3" w:colLast="3"/>
          </w:p>
          <w:p w14:paraId="35660FC1">
            <w:pPr>
              <w:autoSpaceDE w:val="0"/>
              <w:autoSpaceDN w:val="0"/>
              <w:spacing w:line="360" w:lineRule="auto"/>
              <w:rPr>
                <w:kern w:val="0"/>
                <w:szCs w:val="21"/>
                <w:lang w:val="zh-CN" w:bidi="zh-CN"/>
              </w:rPr>
            </w:pPr>
          </w:p>
          <w:p w14:paraId="2734F963">
            <w:pPr>
              <w:autoSpaceDE w:val="0"/>
              <w:autoSpaceDN w:val="0"/>
              <w:spacing w:line="360" w:lineRule="auto"/>
              <w:rPr>
                <w:kern w:val="0"/>
                <w:szCs w:val="21"/>
                <w:lang w:val="zh-CN" w:bidi="zh-CN"/>
              </w:rPr>
            </w:pPr>
          </w:p>
          <w:p w14:paraId="10A3A2E2">
            <w:pPr>
              <w:autoSpaceDE w:val="0"/>
              <w:autoSpaceDN w:val="0"/>
              <w:spacing w:line="360" w:lineRule="auto"/>
              <w:rPr>
                <w:kern w:val="0"/>
                <w:szCs w:val="21"/>
                <w:lang w:val="zh-CN" w:bidi="zh-CN"/>
              </w:rPr>
            </w:pPr>
          </w:p>
          <w:p w14:paraId="33599F46">
            <w:pPr>
              <w:autoSpaceDE w:val="0"/>
              <w:autoSpaceDN w:val="0"/>
              <w:spacing w:line="360" w:lineRule="auto"/>
              <w:rPr>
                <w:kern w:val="0"/>
                <w:szCs w:val="21"/>
                <w:lang w:val="zh-CN" w:bidi="zh-CN"/>
              </w:rPr>
            </w:pPr>
          </w:p>
          <w:p w14:paraId="1197344D">
            <w:pPr>
              <w:autoSpaceDE w:val="0"/>
              <w:autoSpaceDN w:val="0"/>
              <w:spacing w:line="360" w:lineRule="auto"/>
              <w:rPr>
                <w:kern w:val="0"/>
                <w:szCs w:val="21"/>
                <w:lang w:val="zh-CN" w:bidi="zh-CN"/>
              </w:rPr>
            </w:pPr>
          </w:p>
          <w:p w14:paraId="4F5DCEA2">
            <w:pPr>
              <w:autoSpaceDE w:val="0"/>
              <w:autoSpaceDN w:val="0"/>
              <w:spacing w:line="360" w:lineRule="auto"/>
              <w:rPr>
                <w:kern w:val="0"/>
                <w:szCs w:val="21"/>
                <w:lang w:val="zh-CN" w:bidi="zh-CN"/>
              </w:rPr>
            </w:pPr>
          </w:p>
          <w:p w14:paraId="3A06CA14">
            <w:pPr>
              <w:autoSpaceDE w:val="0"/>
              <w:autoSpaceDN w:val="0"/>
              <w:spacing w:line="360" w:lineRule="auto"/>
              <w:rPr>
                <w:kern w:val="0"/>
                <w:szCs w:val="21"/>
                <w:lang w:val="zh-CN" w:bidi="zh-CN"/>
              </w:rPr>
            </w:pPr>
          </w:p>
          <w:p w14:paraId="468777A8">
            <w:pPr>
              <w:autoSpaceDE w:val="0"/>
              <w:autoSpaceDN w:val="0"/>
              <w:spacing w:before="178" w:line="360" w:lineRule="auto"/>
              <w:ind w:left="300" w:right="291"/>
              <w:jc w:val="left"/>
              <w:rPr>
                <w:kern w:val="0"/>
                <w:szCs w:val="21"/>
                <w:lang w:val="zh-CN" w:bidi="zh-CN"/>
              </w:rPr>
            </w:pPr>
            <w:r>
              <w:rPr>
                <w:rFonts w:hint="eastAsia"/>
                <w:kern w:val="0"/>
                <w:szCs w:val="21"/>
                <w:lang w:val="zh-CN" w:bidi="zh-CN"/>
              </w:rPr>
              <w:t>商务部分</w:t>
            </w:r>
          </w:p>
          <w:p w14:paraId="48B9B013">
            <w:pPr>
              <w:autoSpaceDE w:val="0"/>
              <w:autoSpaceDN w:val="0"/>
              <w:spacing w:before="1"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20</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E9F968C">
            <w:pPr>
              <w:tabs>
                <w:tab w:val="left" w:pos="420"/>
              </w:tabs>
              <w:autoSpaceDE w:val="0"/>
              <w:autoSpaceDN w:val="0"/>
              <w:spacing w:line="360" w:lineRule="auto"/>
              <w:ind w:firstLine="0" w:firstLineChars="0"/>
              <w:jc w:val="center"/>
              <w:rPr>
                <w:kern w:val="0"/>
                <w:szCs w:val="21"/>
                <w:highlight w:val="yellow"/>
                <w:lang w:val="zh-CN" w:bidi="zh-CN"/>
              </w:rPr>
            </w:pPr>
            <w:bookmarkStart w:id="222" w:name="OLE_LINK103"/>
            <w:bookmarkStart w:id="223" w:name="OLE_LINK67"/>
            <w:r>
              <w:rPr>
                <w:rFonts w:hint="eastAsia"/>
                <w:kern w:val="0"/>
                <w:sz w:val="21"/>
                <w:szCs w:val="21"/>
                <w:lang w:bidi="zh-CN"/>
              </w:rPr>
              <w:t>企业业</w:t>
            </w:r>
            <w:r>
              <w:rPr>
                <w:rFonts w:hint="eastAsia" w:eastAsia="宋体"/>
                <w:kern w:val="0"/>
                <w:sz w:val="21"/>
                <w:szCs w:val="21"/>
                <w:lang w:bidi="zh-CN"/>
              </w:rPr>
              <w:t>绩</w:t>
            </w:r>
            <w:bookmarkEnd w:id="222"/>
            <w:r>
              <w:rPr>
                <w:rFonts w:hint="eastAsia" w:eastAsia="宋体"/>
                <w:kern w:val="0"/>
                <w:sz w:val="21"/>
                <w:szCs w:val="21"/>
                <w:lang w:val="en-US" w:eastAsia="zh-CN" w:bidi="zh-CN"/>
              </w:rPr>
              <w:t>（6分）</w:t>
            </w:r>
            <w:bookmarkEnd w:id="223"/>
          </w:p>
        </w:tc>
        <w:tc>
          <w:tcPr>
            <w:tcW w:w="693" w:type="dxa"/>
            <w:vAlign w:val="center"/>
          </w:tcPr>
          <w:p w14:paraId="1AE5E92F">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bidi="zh-CN"/>
              </w:rPr>
              <w:t>6</w:t>
            </w:r>
          </w:p>
        </w:tc>
        <w:tc>
          <w:tcPr>
            <w:tcW w:w="5483" w:type="dxa"/>
            <w:tcMar>
              <w:top w:w="57" w:type="dxa"/>
              <w:left w:w="57" w:type="dxa"/>
              <w:bottom w:w="57" w:type="dxa"/>
              <w:right w:w="57" w:type="dxa"/>
            </w:tcMar>
            <w:vAlign w:val="center"/>
          </w:tcPr>
          <w:p w14:paraId="071879C4">
            <w:pPr>
              <w:tabs>
                <w:tab w:val="left" w:pos="420"/>
              </w:tabs>
              <w:autoSpaceDE w:val="0"/>
              <w:autoSpaceDN w:val="0"/>
              <w:spacing w:line="360" w:lineRule="auto"/>
              <w:ind w:firstLine="0" w:firstLineChars="0"/>
              <w:rPr>
                <w:kern w:val="0"/>
                <w:szCs w:val="21"/>
                <w:lang w:val="zh-CN" w:bidi="zh-CN"/>
              </w:rPr>
            </w:pPr>
            <w:bookmarkStart w:id="224" w:name="OLE_LINK68"/>
            <w:r>
              <w:rPr>
                <w:rFonts w:hint="eastAsia"/>
                <w:kern w:val="0"/>
                <w:szCs w:val="21"/>
                <w:lang w:val="zh-CN" w:eastAsia="zh-CN" w:bidi="zh-CN"/>
              </w:rPr>
              <w:t>供应商自 2020 年 1 月 1 日以来具有类似服务业绩。每提供一份得 2 分，最多得 6 分。（提供合同协议书的扫描件）</w:t>
            </w:r>
            <w:bookmarkEnd w:id="224"/>
          </w:p>
        </w:tc>
      </w:tr>
      <w:bookmarkEnd w:id="221"/>
      <w:tr w14:paraId="22527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8780F25">
            <w:pPr>
              <w:autoSpaceDE w:val="0"/>
              <w:autoSpaceDN w:val="0"/>
              <w:spacing w:line="360" w:lineRule="auto"/>
              <w:rPr>
                <w:kern w:val="0"/>
                <w:szCs w:val="21"/>
                <w:lang w:val="zh-CN" w:bidi="zh-CN"/>
              </w:rPr>
            </w:pPr>
          </w:p>
        </w:tc>
        <w:tc>
          <w:tcPr>
            <w:tcW w:w="1754" w:type="dxa"/>
            <w:vAlign w:val="center"/>
          </w:tcPr>
          <w:p w14:paraId="6127E19F">
            <w:pPr>
              <w:tabs>
                <w:tab w:val="left" w:pos="420"/>
              </w:tabs>
              <w:autoSpaceDE w:val="0"/>
              <w:autoSpaceDN w:val="0"/>
              <w:spacing w:line="360" w:lineRule="auto"/>
              <w:ind w:firstLine="0" w:firstLineChars="0"/>
              <w:jc w:val="center"/>
              <w:rPr>
                <w:kern w:val="0"/>
                <w:szCs w:val="21"/>
                <w:lang w:val="zh-CN" w:bidi="zh-CN"/>
              </w:rPr>
            </w:pPr>
            <w:bookmarkStart w:id="225" w:name="OLE_LINK105"/>
            <w:bookmarkStart w:id="226" w:name="OLE_LINK69"/>
            <w:r>
              <w:rPr>
                <w:rFonts w:hint="eastAsia"/>
                <w:kern w:val="0"/>
                <w:szCs w:val="21"/>
                <w:lang w:val="zh-CN" w:eastAsia="zh-CN" w:bidi="zh-CN"/>
              </w:rPr>
              <w:t>其他评分因素</w:t>
            </w:r>
            <w:bookmarkEnd w:id="225"/>
            <w:r>
              <w:rPr>
                <w:rFonts w:hint="eastAsia"/>
                <w:kern w:val="0"/>
                <w:szCs w:val="21"/>
                <w:lang w:val="zh-CN" w:eastAsia="zh-CN" w:bidi="zh-CN"/>
              </w:rPr>
              <w:t>（4 分）</w:t>
            </w:r>
            <w:bookmarkEnd w:id="226"/>
          </w:p>
        </w:tc>
        <w:tc>
          <w:tcPr>
            <w:tcW w:w="693" w:type="dxa"/>
            <w:vAlign w:val="center"/>
          </w:tcPr>
          <w:p w14:paraId="7951CF68">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val="en-US" w:bidi="zh-CN"/>
              </w:rPr>
              <w:t>4</w:t>
            </w:r>
          </w:p>
        </w:tc>
        <w:tc>
          <w:tcPr>
            <w:tcW w:w="5483" w:type="dxa"/>
            <w:tcMar>
              <w:top w:w="57" w:type="dxa"/>
              <w:left w:w="57" w:type="dxa"/>
              <w:bottom w:w="57" w:type="dxa"/>
              <w:right w:w="57" w:type="dxa"/>
            </w:tcMar>
            <w:vAlign w:val="center"/>
          </w:tcPr>
          <w:p w14:paraId="5E98054B">
            <w:pPr>
              <w:tabs>
                <w:tab w:val="left" w:pos="420"/>
              </w:tabs>
              <w:wordWrap w:val="0"/>
              <w:autoSpaceDE w:val="0"/>
              <w:autoSpaceDN w:val="0"/>
              <w:spacing w:line="360" w:lineRule="auto"/>
              <w:ind w:firstLine="0" w:firstLineChars="0"/>
              <w:jc w:val="left"/>
              <w:rPr>
                <w:rFonts w:hint="default"/>
                <w:lang w:val="en-US" w:eastAsia="zh-CN"/>
              </w:rPr>
            </w:pPr>
            <w:bookmarkStart w:id="227" w:name="OLE_LINK70"/>
            <w:r>
              <w:rPr>
                <w:rFonts w:hint="default"/>
                <w:lang w:val="en-US" w:eastAsia="zh-CN"/>
              </w:rPr>
              <w:t>承诺能够及时响应采购人的委托事项，积极组织落实，按期完成采购人拟定的服务项目，评审小组根据供应商提供得服务承诺进行打分；</w:t>
            </w:r>
          </w:p>
          <w:p w14:paraId="3DEECB29">
            <w:pPr>
              <w:tabs>
                <w:tab w:val="left" w:pos="420"/>
              </w:tabs>
              <w:wordWrap w:val="0"/>
              <w:autoSpaceDE w:val="0"/>
              <w:autoSpaceDN w:val="0"/>
              <w:spacing w:line="360" w:lineRule="auto"/>
              <w:ind w:firstLine="0" w:firstLineChars="0"/>
              <w:jc w:val="left"/>
              <w:rPr>
                <w:rFonts w:hint="default"/>
                <w:lang w:val="en-US" w:eastAsia="zh-CN"/>
              </w:rPr>
            </w:pPr>
            <w:r>
              <w:rPr>
                <w:rFonts w:hint="default"/>
                <w:lang w:val="en-US" w:eastAsia="zh-CN"/>
              </w:rPr>
              <w:t>服务承诺全面可行性好内容全面合理得 4 分；服务承诺基本全面、可行对采购需求响应程度较高得 2 分；服务承诺一般、可行性对采购需求响应程度一般得 1 分；缺项得 0 分</w:t>
            </w:r>
            <w:bookmarkEnd w:id="227"/>
          </w:p>
        </w:tc>
      </w:tr>
      <w:tr w14:paraId="6DF81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3FE4BCD0">
            <w:pPr>
              <w:autoSpaceDE w:val="0"/>
              <w:autoSpaceDN w:val="0"/>
              <w:spacing w:line="360" w:lineRule="auto"/>
              <w:rPr>
                <w:kern w:val="0"/>
                <w:szCs w:val="21"/>
                <w:lang w:val="zh-CN" w:bidi="zh-CN"/>
              </w:rPr>
            </w:pPr>
            <w:bookmarkStart w:id="228" w:name="OLE_LINK120" w:colFirst="3" w:colLast="3"/>
          </w:p>
        </w:tc>
        <w:tc>
          <w:tcPr>
            <w:tcW w:w="1754" w:type="dxa"/>
            <w:vAlign w:val="center"/>
          </w:tcPr>
          <w:p w14:paraId="586D5520">
            <w:pPr>
              <w:tabs>
                <w:tab w:val="left" w:pos="420"/>
              </w:tabs>
              <w:autoSpaceDE w:val="0"/>
              <w:autoSpaceDN w:val="0"/>
              <w:spacing w:line="360" w:lineRule="auto"/>
              <w:ind w:firstLine="0" w:firstLineChars="0"/>
              <w:jc w:val="center"/>
              <w:rPr>
                <w:kern w:val="0"/>
                <w:szCs w:val="21"/>
                <w:lang w:val="zh-CN" w:bidi="zh-CN"/>
              </w:rPr>
            </w:pPr>
            <w:bookmarkStart w:id="229" w:name="OLE_LINK106"/>
            <w:bookmarkStart w:id="230" w:name="OLE_LINK71"/>
            <w:r>
              <w:rPr>
                <w:rFonts w:hint="eastAsia"/>
                <w:kern w:val="0"/>
                <w:szCs w:val="21"/>
                <w:lang w:val="zh-CN" w:eastAsia="zh-CN" w:bidi="zh-CN"/>
              </w:rPr>
              <w:t>财务使用计划</w:t>
            </w:r>
            <w:bookmarkEnd w:id="229"/>
            <w:r>
              <w:rPr>
                <w:rFonts w:hint="eastAsia"/>
                <w:kern w:val="0"/>
                <w:szCs w:val="21"/>
                <w:lang w:val="zh-CN" w:eastAsia="zh-CN" w:bidi="zh-CN"/>
              </w:rPr>
              <w:t>（10分）</w:t>
            </w:r>
            <w:bookmarkEnd w:id="230"/>
          </w:p>
        </w:tc>
        <w:tc>
          <w:tcPr>
            <w:tcW w:w="693" w:type="dxa"/>
            <w:vAlign w:val="center"/>
          </w:tcPr>
          <w:p w14:paraId="4998E189">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10</w:t>
            </w:r>
          </w:p>
        </w:tc>
        <w:tc>
          <w:tcPr>
            <w:tcW w:w="5483" w:type="dxa"/>
            <w:tcMar>
              <w:top w:w="57" w:type="dxa"/>
              <w:left w:w="57" w:type="dxa"/>
              <w:bottom w:w="57" w:type="dxa"/>
              <w:right w:w="57" w:type="dxa"/>
            </w:tcMar>
            <w:vAlign w:val="center"/>
          </w:tcPr>
          <w:p w14:paraId="3DAC2D92">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1" w:name="OLE_LINK107"/>
            <w:bookmarkStart w:id="232" w:name="OLE_LINK72"/>
            <w:r>
              <w:rPr>
                <w:rFonts w:hint="eastAsia"/>
                <w:kern w:val="0"/>
                <w:szCs w:val="21"/>
                <w:lang w:val="zh-CN" w:eastAsia="zh-CN" w:bidi="zh-CN"/>
              </w:rPr>
              <w:t>社工服务项目财务使用计划（10分）</w:t>
            </w:r>
          </w:p>
          <w:p w14:paraId="5C162812">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计划内容详尽、合理的得10分；</w:t>
            </w:r>
          </w:p>
          <w:bookmarkEnd w:id="231"/>
          <w:p w14:paraId="7A51E2FB">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3" w:name="OLE_LINK108"/>
            <w:r>
              <w:rPr>
                <w:rFonts w:hint="eastAsia"/>
                <w:kern w:val="0"/>
                <w:szCs w:val="21"/>
                <w:lang w:val="zh-CN" w:eastAsia="zh-CN" w:bidi="zh-CN"/>
              </w:rPr>
              <w:t>计划内容较为详尽、合理的得7分；</w:t>
            </w:r>
          </w:p>
          <w:p w14:paraId="56F44E56">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计划内容不够详尽、不够合理的得4分；</w:t>
            </w:r>
          </w:p>
          <w:p w14:paraId="293B9D84">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计划内容不详尽、不合理的得1分。</w:t>
            </w:r>
          </w:p>
          <w:p w14:paraId="3B2A85F6">
            <w:pPr>
              <w:tabs>
                <w:tab w:val="left" w:pos="420"/>
              </w:tabs>
              <w:wordWrap w:val="0"/>
              <w:autoSpaceDE w:val="0"/>
              <w:autoSpaceDN w:val="0"/>
              <w:spacing w:line="360" w:lineRule="auto"/>
              <w:ind w:firstLine="0" w:firstLineChars="0"/>
              <w:jc w:val="left"/>
              <w:rPr>
                <w:kern w:val="0"/>
                <w:szCs w:val="21"/>
                <w:lang w:val="zh-CN" w:bidi="zh-CN"/>
              </w:rPr>
            </w:pPr>
            <w:r>
              <w:rPr>
                <w:rFonts w:hint="eastAsia"/>
                <w:kern w:val="0"/>
                <w:szCs w:val="21"/>
                <w:lang w:val="zh-CN" w:eastAsia="zh-CN" w:bidi="zh-CN"/>
              </w:rPr>
              <w:t>未提供不得分。</w:t>
            </w:r>
            <w:bookmarkEnd w:id="232"/>
            <w:bookmarkEnd w:id="233"/>
          </w:p>
        </w:tc>
      </w:tr>
      <w:bookmarkEnd w:id="228"/>
      <w:tr w14:paraId="78E76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5CDA46E9">
            <w:pPr>
              <w:autoSpaceDE w:val="0"/>
              <w:autoSpaceDN w:val="0"/>
              <w:spacing w:before="141" w:line="360" w:lineRule="auto"/>
              <w:ind w:left="300" w:right="291"/>
              <w:jc w:val="left"/>
              <w:rPr>
                <w:kern w:val="0"/>
                <w:szCs w:val="21"/>
                <w:lang w:bidi="zh-CN"/>
              </w:rPr>
            </w:pPr>
            <w:r>
              <w:rPr>
                <w:rFonts w:hint="eastAsia"/>
                <w:kern w:val="0"/>
                <w:szCs w:val="21"/>
                <w:lang w:val="zh-CN" w:bidi="zh-CN"/>
              </w:rPr>
              <w:t>技术</w:t>
            </w:r>
            <w:r>
              <w:rPr>
                <w:rFonts w:hint="eastAsia"/>
                <w:kern w:val="0"/>
                <w:szCs w:val="21"/>
                <w:lang w:bidi="zh-CN"/>
              </w:rPr>
              <w:t>部分</w:t>
            </w:r>
          </w:p>
          <w:p w14:paraId="273C718E">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65</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0DBE22D">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1.</w:t>
            </w:r>
            <w:bookmarkStart w:id="234" w:name="OLE_LINK96"/>
            <w:bookmarkStart w:id="235" w:name="OLE_LINK121"/>
            <w:bookmarkStart w:id="236" w:name="OLE_LINK73"/>
            <w:r>
              <w:rPr>
                <w:rFonts w:hint="eastAsia" w:ascii="Times New Roman" w:hAnsi="Times New Roman" w:eastAsia="宋体" w:cs="Times New Roman"/>
                <w:kern w:val="2"/>
                <w:sz w:val="21"/>
                <w:szCs w:val="24"/>
                <w:lang w:val="en-US" w:eastAsia="zh-CN" w:bidi="ar-SA"/>
              </w:rPr>
              <w:t>整体方案</w:t>
            </w:r>
            <w:bookmarkEnd w:id="234"/>
            <w:r>
              <w:rPr>
                <w:rFonts w:hint="eastAsia" w:ascii="Times New Roman" w:hAnsi="Times New Roman" w:eastAsia="宋体" w:cs="Times New Roman"/>
                <w:kern w:val="2"/>
                <w:sz w:val="21"/>
                <w:szCs w:val="24"/>
                <w:lang w:val="en-US" w:eastAsia="zh-CN" w:bidi="ar-SA"/>
              </w:rPr>
              <w:t>（20分</w:t>
            </w:r>
            <w:bookmarkEnd w:id="235"/>
            <w:r>
              <w:rPr>
                <w:rFonts w:hint="eastAsia" w:ascii="Times New Roman" w:hAnsi="Times New Roman" w:eastAsia="宋体" w:cs="Times New Roman"/>
                <w:kern w:val="2"/>
                <w:sz w:val="21"/>
                <w:szCs w:val="24"/>
                <w:lang w:val="en-US" w:eastAsia="zh-CN" w:bidi="ar-SA"/>
              </w:rPr>
              <w:t>）</w:t>
            </w:r>
            <w:bookmarkEnd w:id="236"/>
          </w:p>
        </w:tc>
        <w:tc>
          <w:tcPr>
            <w:tcW w:w="693" w:type="dxa"/>
            <w:vAlign w:val="center"/>
          </w:tcPr>
          <w:p w14:paraId="29EE52C6">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20</w:t>
            </w:r>
          </w:p>
        </w:tc>
        <w:tc>
          <w:tcPr>
            <w:tcW w:w="5483" w:type="dxa"/>
            <w:tcMar>
              <w:top w:w="57" w:type="dxa"/>
              <w:left w:w="57" w:type="dxa"/>
              <w:bottom w:w="57" w:type="dxa"/>
              <w:right w:w="57" w:type="dxa"/>
            </w:tcMar>
            <w:vAlign w:val="center"/>
          </w:tcPr>
          <w:p w14:paraId="18A5FF1B">
            <w:pPr>
              <w:tabs>
                <w:tab w:val="left" w:pos="420"/>
              </w:tabs>
              <w:wordWrap w:val="0"/>
              <w:autoSpaceDE w:val="0"/>
              <w:autoSpaceDN w:val="0"/>
              <w:spacing w:line="360" w:lineRule="auto"/>
              <w:ind w:firstLine="0" w:firstLineChars="0"/>
              <w:jc w:val="left"/>
              <w:rPr>
                <w:rFonts w:hint="default" w:eastAsia="宋体"/>
                <w:lang w:val="zh-CN" w:eastAsia="zh-CN"/>
              </w:rPr>
            </w:pPr>
            <w:bookmarkStart w:id="237" w:name="OLE_LINK97"/>
            <w:r>
              <w:rPr>
                <w:rFonts w:hint="eastAsia" w:eastAsia="宋体"/>
                <w:lang w:val="en-US" w:eastAsia="zh-CN"/>
              </w:rPr>
              <w:t>供应商应针对本项目特点制定的专业社会工作服务方案和规划包括但不限于社会救助、养老服务、儿童福利、社区治理、社会事务等进行综合评价 。评审小组根据供应商提供的整体方案可行性、合理性进行打分； 服务方案基本全面，覆盖以上内容，内容全面合理得 20 分； 服务方案基本全面，覆盖以上内容，对采购需求响应程度较高得 10分； 服务方案基本全面，覆盖以上内容，对采购需求响应程度一般得 5 分；缺项得 0 分。</w:t>
            </w:r>
            <w:bookmarkEnd w:id="237"/>
          </w:p>
        </w:tc>
      </w:tr>
      <w:tr w14:paraId="30E00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29DBE5C">
            <w:pPr>
              <w:autoSpaceDE w:val="0"/>
              <w:autoSpaceDN w:val="0"/>
              <w:spacing w:line="360" w:lineRule="auto"/>
              <w:rPr>
                <w:kern w:val="0"/>
                <w:szCs w:val="21"/>
                <w:lang w:val="zh-CN" w:bidi="zh-CN"/>
              </w:rPr>
            </w:pPr>
          </w:p>
        </w:tc>
        <w:tc>
          <w:tcPr>
            <w:tcW w:w="1754" w:type="dxa"/>
            <w:vAlign w:val="center"/>
          </w:tcPr>
          <w:p w14:paraId="7C797E18">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2.</w:t>
            </w:r>
            <w:bookmarkStart w:id="238" w:name="OLE_LINK113"/>
            <w:bookmarkStart w:id="239" w:name="OLE_LINK74"/>
            <w:r>
              <w:rPr>
                <w:rFonts w:hint="eastAsia" w:ascii="Times New Roman" w:hAnsi="Times New Roman" w:eastAsia="宋体" w:cs="Times New Roman"/>
                <w:kern w:val="2"/>
                <w:sz w:val="21"/>
                <w:szCs w:val="24"/>
                <w:lang w:val="en-US" w:eastAsia="zh-CN" w:bidi="ar-SA"/>
              </w:rPr>
              <w:t>人员培训及督导计划</w:t>
            </w:r>
            <w:bookmarkEnd w:id="238"/>
            <w:r>
              <w:rPr>
                <w:rFonts w:hint="eastAsia" w:ascii="Times New Roman" w:hAnsi="Times New Roman" w:eastAsia="宋体" w:cs="Times New Roman"/>
                <w:kern w:val="2"/>
                <w:sz w:val="21"/>
                <w:szCs w:val="24"/>
                <w:lang w:val="en-US" w:eastAsia="zh-CN" w:bidi="ar-SA"/>
              </w:rPr>
              <w:t>（10 分）</w:t>
            </w:r>
            <w:bookmarkEnd w:id="239"/>
          </w:p>
        </w:tc>
        <w:tc>
          <w:tcPr>
            <w:tcW w:w="693" w:type="dxa"/>
            <w:vAlign w:val="center"/>
          </w:tcPr>
          <w:p w14:paraId="4885426D">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3E9C5343">
            <w:pPr>
              <w:tabs>
                <w:tab w:val="left" w:pos="420"/>
              </w:tabs>
              <w:wordWrap w:val="0"/>
              <w:autoSpaceDE w:val="0"/>
              <w:autoSpaceDN w:val="0"/>
              <w:spacing w:line="360" w:lineRule="auto"/>
              <w:ind w:firstLine="0" w:firstLineChars="0"/>
              <w:jc w:val="left"/>
              <w:rPr>
                <w:rFonts w:hint="default" w:eastAsia="宋体"/>
                <w:lang w:val="zh-CN" w:eastAsia="zh-CN"/>
              </w:rPr>
            </w:pPr>
            <w:bookmarkStart w:id="240" w:name="OLE_LINK75"/>
            <w:r>
              <w:rPr>
                <w:rFonts w:hint="eastAsia" w:eastAsia="宋体"/>
                <w:lang w:val="en-US" w:eastAsia="zh-CN"/>
              </w:rPr>
              <w:t>供应商应根据辖区情况制定拟派驻本项目的人员培训及督导计划：合理性、可行性、专业性、系统性。评审小组根据供应商提供的人员培训及督导计划进行打分；人员培训及督导计划内容全面合理得 10 分；人员培训及督导计划对采购需求响应程度较高得 7 分；人员培训及督导计划对采购需求响应程度一般得 4 分；缺项得 0 分。</w:t>
            </w:r>
            <w:bookmarkEnd w:id="240"/>
          </w:p>
        </w:tc>
      </w:tr>
      <w:tr w14:paraId="02DD8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45B59840">
            <w:pPr>
              <w:autoSpaceDE w:val="0"/>
              <w:autoSpaceDN w:val="0"/>
              <w:spacing w:line="360" w:lineRule="auto"/>
              <w:rPr>
                <w:kern w:val="0"/>
                <w:szCs w:val="21"/>
                <w:lang w:val="zh-CN" w:bidi="zh-CN"/>
              </w:rPr>
            </w:pPr>
          </w:p>
        </w:tc>
        <w:tc>
          <w:tcPr>
            <w:tcW w:w="1754" w:type="dxa"/>
            <w:vAlign w:val="center"/>
          </w:tcPr>
          <w:p w14:paraId="7F2E6C15">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3.</w:t>
            </w:r>
            <w:bookmarkStart w:id="241" w:name="OLE_LINK98"/>
            <w:bookmarkStart w:id="242" w:name="OLE_LINK122"/>
            <w:bookmarkStart w:id="243" w:name="OLE_LINK76"/>
            <w:r>
              <w:rPr>
                <w:rFonts w:hint="eastAsia" w:ascii="Times New Roman" w:hAnsi="Times New Roman" w:eastAsia="宋体" w:cs="Times New Roman"/>
                <w:kern w:val="2"/>
                <w:sz w:val="21"/>
                <w:szCs w:val="24"/>
                <w:lang w:val="en-US" w:eastAsia="zh-CN" w:bidi="ar-SA"/>
              </w:rPr>
              <w:t>运作机制及工作流程</w:t>
            </w:r>
            <w:bookmarkEnd w:id="241"/>
            <w:r>
              <w:rPr>
                <w:rFonts w:hint="eastAsia" w:ascii="Times New Roman" w:hAnsi="Times New Roman" w:eastAsia="宋体" w:cs="Times New Roman"/>
                <w:kern w:val="2"/>
                <w:sz w:val="21"/>
                <w:szCs w:val="24"/>
                <w:lang w:val="en-US" w:eastAsia="zh-CN" w:bidi="ar-SA"/>
              </w:rPr>
              <w:t>（10 分</w:t>
            </w:r>
            <w:bookmarkEnd w:id="242"/>
            <w:r>
              <w:rPr>
                <w:rFonts w:hint="eastAsia" w:ascii="Times New Roman" w:hAnsi="Times New Roman" w:eastAsia="宋体" w:cs="Times New Roman"/>
                <w:kern w:val="2"/>
                <w:sz w:val="21"/>
                <w:szCs w:val="24"/>
                <w:lang w:val="en-US" w:eastAsia="zh-CN" w:bidi="ar-SA"/>
              </w:rPr>
              <w:t>）</w:t>
            </w:r>
            <w:bookmarkEnd w:id="243"/>
          </w:p>
        </w:tc>
        <w:tc>
          <w:tcPr>
            <w:tcW w:w="693" w:type="dxa"/>
            <w:vAlign w:val="center"/>
          </w:tcPr>
          <w:p w14:paraId="324932CC">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42E41BC1">
            <w:pPr>
              <w:tabs>
                <w:tab w:val="left" w:pos="420"/>
              </w:tabs>
              <w:wordWrap w:val="0"/>
              <w:autoSpaceDE w:val="0"/>
              <w:autoSpaceDN w:val="0"/>
              <w:spacing w:line="360" w:lineRule="auto"/>
              <w:ind w:firstLine="0" w:firstLineChars="0"/>
              <w:jc w:val="left"/>
              <w:rPr>
                <w:rFonts w:hint="default" w:eastAsia="宋体"/>
                <w:lang w:val="zh-CN" w:eastAsia="zh-CN"/>
              </w:rPr>
            </w:pPr>
            <w:bookmarkStart w:id="244" w:name="OLE_LINK77"/>
            <w:r>
              <w:rPr>
                <w:rFonts w:hint="eastAsia" w:eastAsia="宋体"/>
                <w:lang w:val="en-US" w:eastAsia="zh-CN"/>
              </w:rPr>
              <w:t>制定本项目工作流程的详细程度、内部运作机制、项目各个环节是否均设置有相应的机构督导等进行对比评审；运作机制及工作流程内容全面合理得 10 分；运作机制及工作流程明确，对采购需求响应程度较高得 7 分；运作机制及工作流程对采购需求响应程度一般得 4 分；缺项得 0 分。</w:t>
            </w:r>
            <w:bookmarkEnd w:id="244"/>
          </w:p>
        </w:tc>
      </w:tr>
      <w:tr w14:paraId="02648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D38F661">
            <w:pPr>
              <w:autoSpaceDE w:val="0"/>
              <w:autoSpaceDN w:val="0"/>
              <w:spacing w:line="360" w:lineRule="auto"/>
              <w:rPr>
                <w:kern w:val="0"/>
                <w:szCs w:val="21"/>
                <w:lang w:val="zh-CN" w:bidi="zh-CN"/>
              </w:rPr>
            </w:pPr>
          </w:p>
        </w:tc>
        <w:tc>
          <w:tcPr>
            <w:tcW w:w="1754" w:type="dxa"/>
            <w:vAlign w:val="center"/>
          </w:tcPr>
          <w:p w14:paraId="5EFC49C4">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4.</w:t>
            </w:r>
            <w:bookmarkStart w:id="245" w:name="OLE_LINK99"/>
            <w:bookmarkStart w:id="246" w:name="OLE_LINK78"/>
            <w:r>
              <w:rPr>
                <w:rFonts w:hint="eastAsia" w:ascii="Times New Roman" w:hAnsi="Times New Roman" w:eastAsia="宋体" w:cs="Times New Roman"/>
                <w:kern w:val="2"/>
                <w:sz w:val="21"/>
                <w:szCs w:val="24"/>
                <w:lang w:val="en-US" w:eastAsia="zh-CN" w:bidi="ar-SA"/>
              </w:rPr>
              <w:t>服务质量保证措施</w:t>
            </w:r>
            <w:bookmarkEnd w:id="245"/>
            <w:r>
              <w:rPr>
                <w:rFonts w:hint="eastAsia" w:ascii="Times New Roman" w:hAnsi="Times New Roman" w:eastAsia="宋体" w:cs="Times New Roman"/>
                <w:kern w:val="2"/>
                <w:sz w:val="21"/>
                <w:szCs w:val="24"/>
                <w:lang w:val="en-US" w:eastAsia="zh-CN" w:bidi="ar-SA"/>
              </w:rPr>
              <w:t>（10 分）</w:t>
            </w:r>
            <w:bookmarkEnd w:id="246"/>
          </w:p>
        </w:tc>
        <w:tc>
          <w:tcPr>
            <w:tcW w:w="693" w:type="dxa"/>
            <w:vAlign w:val="center"/>
          </w:tcPr>
          <w:p w14:paraId="10B68327">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5F847067">
            <w:pPr>
              <w:tabs>
                <w:tab w:val="left" w:pos="420"/>
              </w:tabs>
              <w:wordWrap w:val="0"/>
              <w:autoSpaceDE w:val="0"/>
              <w:autoSpaceDN w:val="0"/>
              <w:spacing w:line="360" w:lineRule="auto"/>
              <w:ind w:firstLine="0" w:firstLineChars="0"/>
              <w:jc w:val="left"/>
              <w:rPr>
                <w:rFonts w:hint="default" w:eastAsia="宋体"/>
                <w:lang w:val="zh-CN" w:eastAsia="zh-CN"/>
              </w:rPr>
            </w:pPr>
            <w:bookmarkStart w:id="247" w:name="OLE_LINK100"/>
            <w:bookmarkStart w:id="248" w:name="OLE_LINK79"/>
            <w:r>
              <w:rPr>
                <w:rFonts w:hint="eastAsia" w:eastAsia="宋体"/>
                <w:lang w:val="en-US" w:eastAsia="zh-CN"/>
              </w:rPr>
              <w:t xml:space="preserve">供应商应根据本项目特点制定针对本项目服务质量的实施保证措施，评审小组根据供应商提供的质量的实施保证措施进行打分；服务质量保证措施到位且内容全面合理得 10 分；服务质量保证措施对采购需求响应程度较高得 7 分；服务质量保证措施对采购需求响应程度一般得4分；缺项得 </w:t>
            </w:r>
            <w:bookmarkEnd w:id="247"/>
            <w:bookmarkStart w:id="249" w:name="OLE_LINK101"/>
            <w:r>
              <w:rPr>
                <w:rFonts w:hint="eastAsia" w:eastAsia="宋体"/>
                <w:lang w:val="en-US" w:eastAsia="zh-CN"/>
              </w:rPr>
              <w:t>0 分。</w:t>
            </w:r>
            <w:bookmarkEnd w:id="248"/>
            <w:bookmarkEnd w:id="249"/>
          </w:p>
        </w:tc>
      </w:tr>
      <w:tr w14:paraId="2D2D90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2AFA653C">
            <w:pPr>
              <w:autoSpaceDE w:val="0"/>
              <w:autoSpaceDN w:val="0"/>
              <w:spacing w:line="360" w:lineRule="auto"/>
              <w:rPr>
                <w:kern w:val="0"/>
                <w:szCs w:val="21"/>
                <w:lang w:val="zh-CN" w:bidi="zh-CN"/>
              </w:rPr>
            </w:pPr>
          </w:p>
        </w:tc>
        <w:tc>
          <w:tcPr>
            <w:tcW w:w="1754" w:type="dxa"/>
            <w:vAlign w:val="center"/>
          </w:tcPr>
          <w:p w14:paraId="33890172">
            <w:pPr>
              <w:pStyle w:val="7"/>
              <w:spacing w:line="360" w:lineRule="auto"/>
              <w:ind w:left="0" w:leftChars="0"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5.</w:t>
            </w:r>
            <w:bookmarkStart w:id="250" w:name="OLE_LINK102"/>
            <w:bookmarkStart w:id="251" w:name="OLE_LINK80"/>
            <w:r>
              <w:rPr>
                <w:rFonts w:hint="eastAsia" w:ascii="Times New Roman" w:hAnsi="Times New Roman" w:eastAsia="宋体" w:cs="Times New Roman"/>
                <w:kern w:val="2"/>
                <w:sz w:val="21"/>
                <w:szCs w:val="24"/>
                <w:lang w:val="en-US" w:eastAsia="zh-CN" w:bidi="ar-SA"/>
              </w:rPr>
              <w:t>项目制度</w:t>
            </w:r>
            <w:bookmarkEnd w:id="250"/>
            <w:r>
              <w:rPr>
                <w:rFonts w:hint="eastAsia" w:ascii="Times New Roman" w:hAnsi="Times New Roman" w:eastAsia="宋体" w:cs="Times New Roman"/>
                <w:kern w:val="2"/>
                <w:sz w:val="21"/>
                <w:szCs w:val="24"/>
                <w:lang w:val="en-US" w:eastAsia="zh-CN" w:bidi="ar-SA"/>
              </w:rPr>
              <w:t>（10分）</w:t>
            </w:r>
            <w:bookmarkEnd w:id="251"/>
          </w:p>
          <w:p w14:paraId="1511752D">
            <w:pPr>
              <w:tabs>
                <w:tab w:val="left" w:pos="420"/>
              </w:tabs>
              <w:autoSpaceDE w:val="0"/>
              <w:autoSpaceDN w:val="0"/>
              <w:spacing w:line="360" w:lineRule="auto"/>
              <w:ind w:left="-21" w:leftChars="-10" w:right="-21" w:rightChars="-10" w:firstLine="0" w:firstLineChars="0"/>
              <w:jc w:val="center"/>
              <w:rPr>
                <w:rFonts w:hint="eastAsia" w:ascii="Times New Roman" w:hAnsi="Times New Roman" w:eastAsia="宋体" w:cs="Times New Roman"/>
                <w:kern w:val="2"/>
                <w:sz w:val="21"/>
                <w:szCs w:val="24"/>
                <w:lang w:val="zh-CN" w:eastAsia="zh-CN" w:bidi="ar-SA"/>
              </w:rPr>
            </w:pPr>
          </w:p>
        </w:tc>
        <w:tc>
          <w:tcPr>
            <w:tcW w:w="693" w:type="dxa"/>
            <w:vAlign w:val="center"/>
          </w:tcPr>
          <w:p w14:paraId="37C5A142">
            <w:pPr>
              <w:tabs>
                <w:tab w:val="left" w:pos="420"/>
              </w:tabs>
              <w:autoSpaceDE w:val="0"/>
              <w:autoSpaceDN w:val="0"/>
              <w:spacing w:line="360" w:lineRule="auto"/>
              <w:ind w:left="-21" w:leftChars="-10" w:right="-21" w:rightChars="-10"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7DC05B2C">
            <w:pPr>
              <w:tabs>
                <w:tab w:val="left" w:pos="420"/>
              </w:tabs>
              <w:wordWrap w:val="0"/>
              <w:autoSpaceDE w:val="0"/>
              <w:autoSpaceDN w:val="0"/>
              <w:spacing w:line="360" w:lineRule="auto"/>
              <w:ind w:firstLine="0" w:firstLineChars="0"/>
              <w:jc w:val="left"/>
              <w:rPr>
                <w:rFonts w:hint="default" w:eastAsia="宋体"/>
                <w:lang w:val="zh-CN" w:eastAsia="zh-CN"/>
              </w:rPr>
            </w:pPr>
            <w:bookmarkStart w:id="252" w:name="OLE_LINK81"/>
            <w:r>
              <w:rPr>
                <w:rFonts w:hint="eastAsia" w:eastAsia="宋体"/>
                <w:lang w:val="en-US" w:eastAsia="zh-CN"/>
              </w:rPr>
              <w:t>供应商应根据本项目特点制定项目制度，评审小组根据供应商提供的项目制度进行打分；项目制度合理、可操作性强且内容全面合理得 10 分；项目制度基本合理、操作性基本合理且对采购需求响应程度较高得 7 分；项目制度一般、操作性差且对采购需求响应程度一般得4分；缺项得 0 分。</w:t>
            </w:r>
            <w:bookmarkEnd w:id="252"/>
          </w:p>
        </w:tc>
      </w:tr>
      <w:tr w14:paraId="1D6B5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9B3E086">
            <w:pPr>
              <w:autoSpaceDE w:val="0"/>
              <w:autoSpaceDN w:val="0"/>
              <w:spacing w:line="360" w:lineRule="auto"/>
              <w:rPr>
                <w:kern w:val="0"/>
                <w:szCs w:val="21"/>
                <w:lang w:val="zh-CN" w:bidi="zh-CN"/>
              </w:rPr>
            </w:pPr>
          </w:p>
        </w:tc>
        <w:tc>
          <w:tcPr>
            <w:tcW w:w="1754" w:type="dxa"/>
            <w:vAlign w:val="center"/>
          </w:tcPr>
          <w:p w14:paraId="2E9621B3">
            <w:pPr>
              <w:tabs>
                <w:tab w:val="left" w:pos="420"/>
              </w:tabs>
              <w:wordWrap w:val="0"/>
              <w:autoSpaceDE w:val="0"/>
              <w:autoSpaceDN w:val="0"/>
              <w:spacing w:line="360" w:lineRule="auto"/>
              <w:ind w:firstLine="0" w:firstLineChars="0"/>
              <w:jc w:val="center"/>
              <w:rPr>
                <w:rFonts w:hint="eastAsia" w:eastAsia="宋体"/>
                <w:lang w:val="zh-CN" w:eastAsia="zh-CN"/>
              </w:rPr>
            </w:pPr>
            <w:r>
              <w:rPr>
                <w:rFonts w:hint="eastAsia" w:eastAsia="宋体"/>
                <w:lang w:val="en-US" w:eastAsia="zh-CN"/>
              </w:rPr>
              <w:t>6.</w:t>
            </w:r>
            <w:bookmarkStart w:id="253" w:name="OLE_LINK114"/>
            <w:bookmarkStart w:id="254" w:name="OLE_LINK83"/>
            <w:r>
              <w:rPr>
                <w:rFonts w:hint="eastAsia" w:eastAsia="宋体"/>
                <w:lang w:val="en-US" w:eastAsia="zh-CN"/>
              </w:rPr>
              <w:t>应急方案</w:t>
            </w:r>
            <w:bookmarkEnd w:id="253"/>
            <w:r>
              <w:rPr>
                <w:rFonts w:hint="eastAsia" w:eastAsia="宋体"/>
                <w:lang w:val="en-US" w:eastAsia="zh-CN"/>
              </w:rPr>
              <w:t>（5分）</w:t>
            </w:r>
            <w:bookmarkEnd w:id="254"/>
          </w:p>
        </w:tc>
        <w:tc>
          <w:tcPr>
            <w:tcW w:w="693" w:type="dxa"/>
            <w:vAlign w:val="center"/>
          </w:tcPr>
          <w:p w14:paraId="00E54A31">
            <w:pPr>
              <w:tabs>
                <w:tab w:val="left" w:pos="420"/>
              </w:tabs>
              <w:wordWrap w:val="0"/>
              <w:autoSpaceDE w:val="0"/>
              <w:autoSpaceDN w:val="0"/>
              <w:spacing w:line="360" w:lineRule="auto"/>
              <w:ind w:firstLine="0" w:firstLineChars="0"/>
              <w:jc w:val="center"/>
              <w:rPr>
                <w:rFonts w:hint="default" w:eastAsia="宋体"/>
                <w:lang w:val="en-US" w:eastAsia="zh-CN"/>
              </w:rPr>
            </w:pPr>
            <w:r>
              <w:rPr>
                <w:rFonts w:hint="eastAsia" w:eastAsia="宋体"/>
                <w:lang w:val="en-US" w:eastAsia="zh-CN"/>
              </w:rPr>
              <w:t>5</w:t>
            </w:r>
          </w:p>
        </w:tc>
        <w:tc>
          <w:tcPr>
            <w:tcW w:w="5483" w:type="dxa"/>
            <w:tcMar>
              <w:top w:w="57" w:type="dxa"/>
              <w:left w:w="57" w:type="dxa"/>
              <w:bottom w:w="57" w:type="dxa"/>
              <w:right w:w="57" w:type="dxa"/>
            </w:tcMar>
            <w:vAlign w:val="center"/>
          </w:tcPr>
          <w:p w14:paraId="082830B9">
            <w:pPr>
              <w:tabs>
                <w:tab w:val="left" w:pos="420"/>
              </w:tabs>
              <w:wordWrap w:val="0"/>
              <w:autoSpaceDE w:val="0"/>
              <w:autoSpaceDN w:val="0"/>
              <w:spacing w:line="360" w:lineRule="auto"/>
              <w:ind w:firstLine="0" w:firstLineChars="0"/>
              <w:jc w:val="left"/>
              <w:rPr>
                <w:rFonts w:hint="default" w:eastAsia="宋体"/>
                <w:lang w:val="zh-CN" w:eastAsia="zh-CN"/>
              </w:rPr>
            </w:pPr>
            <w:bookmarkStart w:id="255" w:name="OLE_LINK82"/>
            <w:r>
              <w:rPr>
                <w:rFonts w:hint="eastAsia" w:eastAsia="宋体"/>
                <w:lang w:val="en-US" w:eastAsia="zh-CN"/>
              </w:rPr>
              <w:t>根据各供应商应急方案及措施，包含工作方案、人员调集方案等，对突发事件的应急预案，评标委员会根据方案的完整性和合理性进行横向比较打分。方案全面、详细 ，完全满足用户需求；得5分；方案较全面、详细 ，基本满足用户需求；得3分；方案全面性、详细性、合理性欠缺；得1分；没有不得分。</w:t>
            </w:r>
            <w:bookmarkEnd w:id="255"/>
          </w:p>
        </w:tc>
      </w:tr>
      <w:tr w14:paraId="35866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E52E4AB">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注：1.</w:t>
            </w:r>
            <w:r>
              <w:rPr>
                <w:rFonts w:hint="eastAsia" w:ascii="宋体" w:hAnsi="宋体" w:eastAsia="宋体" w:cs="宋体"/>
                <w:color w:val="000000"/>
                <w:kern w:val="1"/>
                <w:sz w:val="21"/>
                <w:szCs w:val="21"/>
                <w:highlight w:val="none"/>
              </w:rPr>
              <w:t>评委依据编制的内容是否完整，各项的优劣程度在规定范围内赋分。</w:t>
            </w:r>
          </w:p>
          <w:p w14:paraId="0240C695">
            <w:pPr>
              <w:tabs>
                <w:tab w:val="left" w:pos="420"/>
              </w:tabs>
              <w:wordWrap w:val="0"/>
              <w:autoSpaceDE w:val="0"/>
              <w:autoSpaceDN w:val="0"/>
              <w:spacing w:line="360" w:lineRule="auto"/>
              <w:ind w:firstLine="0" w:firstLineChars="0"/>
              <w:jc w:val="left"/>
              <w:rPr>
                <w:rFonts w:hint="eastAsia" w:eastAsia="宋体"/>
                <w:lang w:val="en-US" w:eastAsia="zh-CN"/>
              </w:rPr>
            </w:pPr>
            <w:r>
              <w:rPr>
                <w:rFonts w:hint="eastAsia" w:ascii="宋体" w:hAnsi="宋体" w:eastAsia="宋体" w:cs="宋体"/>
                <w:color w:val="000000"/>
                <w:kern w:val="1"/>
                <w:sz w:val="21"/>
                <w:szCs w:val="21"/>
                <w:highlight w:val="none"/>
              </w:rPr>
              <w:t>2.以上各分项若有缺项，该项为0分。</w:t>
            </w:r>
          </w:p>
        </w:tc>
      </w:tr>
      <w:tr w14:paraId="563EB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39E6DEB8">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tc>
      </w:tr>
      <w:tr w14:paraId="21221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0C2C884F">
            <w:pPr>
              <w:keepNext w:val="0"/>
              <w:keepLines w:val="0"/>
              <w:pageBreakBefore w:val="0"/>
              <w:widowControl w:val="0"/>
              <w:kinsoku/>
              <w:wordWrap/>
              <w:overflowPunct/>
              <w:topLinePunct w:val="0"/>
              <w:bidi w:val="0"/>
              <w:snapToGrid/>
              <w:spacing w:beforeAutospacing="0" w:afterAutospacing="0" w:line="360" w:lineRule="auto"/>
              <w:ind w:left="0" w:leftChars="0" w:right="0"/>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lang w:eastAsia="zh-CN"/>
              </w:rPr>
              <w:t>供应商</w:t>
            </w:r>
            <w:r>
              <w:rPr>
                <w:rFonts w:hint="eastAsia" w:ascii="宋体" w:hAnsi="宋体" w:eastAsia="宋体" w:cs="宋体"/>
                <w:b/>
                <w:color w:val="000000"/>
                <w:kern w:val="0"/>
                <w:sz w:val="21"/>
                <w:szCs w:val="21"/>
                <w:highlight w:val="none"/>
              </w:rPr>
              <w:t>的最终得分：</w:t>
            </w:r>
          </w:p>
          <w:p w14:paraId="58100CF1">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color w:val="000000"/>
                <w:kern w:val="0"/>
                <w:sz w:val="21"/>
                <w:szCs w:val="21"/>
                <w:highlight w:val="none"/>
              </w:rPr>
              <w:t>评标委员会对各</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的得分进行汇总，计算过程中评委个人分值按四舍五入保留</w:t>
            </w:r>
            <w:r>
              <w:rPr>
                <w:rFonts w:hint="eastAsia" w:ascii="宋体" w:hAnsi="宋体" w:eastAsia="宋体" w:cs="宋体"/>
                <w:color w:val="000000"/>
                <w:kern w:val="0"/>
                <w:sz w:val="21"/>
                <w:szCs w:val="21"/>
                <w:highlight w:val="none"/>
                <w:lang w:eastAsia="zh-CN"/>
              </w:rPr>
              <w:t>两</w:t>
            </w:r>
            <w:r>
              <w:rPr>
                <w:rFonts w:hint="eastAsia" w:ascii="宋体" w:hAnsi="宋体" w:eastAsia="宋体" w:cs="宋体"/>
                <w:color w:val="000000"/>
                <w:kern w:val="0"/>
                <w:sz w:val="21"/>
                <w:szCs w:val="21"/>
                <w:highlight w:val="none"/>
              </w:rPr>
              <w:t>位数，最终结果按四舍五入保留两位小数。以各评委打分的算术平均值作为该</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的最终得分。</w:t>
            </w:r>
          </w:p>
        </w:tc>
      </w:tr>
      <w:tr w14:paraId="48E31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32A0A89">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中标候选人推荐原则：</w:t>
            </w:r>
          </w:p>
          <w:p w14:paraId="23531A6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157" w:beforeLines="50" w:beforeAutospacing="0" w:afterAutospacing="0" w:line="360" w:lineRule="auto"/>
              <w:ind w:right="0" w:rightChars="0"/>
              <w:jc w:val="left"/>
              <w:textAlignment w:val="auto"/>
              <w:outlineLvl w:val="9"/>
              <w:rPr>
                <w:rFonts w:hint="eastAsia" w:ascii="宋体" w:hAnsi="宋体" w:cs="宋体"/>
                <w:b w:val="0"/>
                <w:bCs w:val="0"/>
                <w:color w:val="auto"/>
                <w:szCs w:val="21"/>
                <w:highlight w:val="none"/>
                <w:lang w:val="en-US" w:eastAsia="zh-CN"/>
              </w:rPr>
            </w:pPr>
            <w:r>
              <w:rPr>
                <w:rFonts w:hint="eastAsia" w:ascii="宋体" w:hAnsi="宋体" w:cs="宋体"/>
                <w:b w:val="0"/>
                <w:bCs w:val="0"/>
                <w:color w:val="auto"/>
                <w:kern w:val="2"/>
                <w:sz w:val="21"/>
                <w:szCs w:val="21"/>
                <w:lang w:val="en-US" w:eastAsia="zh-CN" w:bidi="ar-SA"/>
              </w:rPr>
              <w:t>（1</w:t>
            </w:r>
            <w:r>
              <w:rPr>
                <w:rFonts w:hint="eastAsia" w:ascii="宋体" w:hAnsi="宋体" w:cs="宋体"/>
                <w:b w:val="0"/>
                <w:bCs w:val="0"/>
                <w:color w:val="auto"/>
                <w:kern w:val="2"/>
                <w:sz w:val="21"/>
                <w:szCs w:val="21"/>
                <w:highlight w:val="none"/>
                <w:lang w:val="en-US" w:eastAsia="zh-CN" w:bidi="ar-SA"/>
              </w:rPr>
              <w:t>）</w:t>
            </w:r>
            <w:r>
              <w:rPr>
                <w:rFonts w:hint="eastAsia" w:ascii="宋体" w:hAnsi="宋体" w:cs="宋体"/>
                <w:b w:val="0"/>
                <w:bCs w:val="0"/>
                <w:color w:val="auto"/>
                <w:szCs w:val="21"/>
                <w:highlight w:val="none"/>
                <w:lang w:val="en-US" w:eastAsia="zh-CN"/>
              </w:rPr>
              <w:t>评标委员会推荐3名供应商为中标候选人，并标明排序。</w:t>
            </w:r>
          </w:p>
          <w:p w14:paraId="7BBD93F0">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（2）评标委员会评审时按照标包顺序</w:t>
            </w:r>
            <w:r>
              <w:rPr>
                <w:rFonts w:hint="eastAsia" w:ascii="宋体" w:hAnsi="宋体" w:cs="宋体"/>
                <w:b w:val="0"/>
                <w:bCs w:val="0"/>
                <w:color w:val="auto"/>
                <w:szCs w:val="21"/>
                <w:highlight w:val="none"/>
              </w:rPr>
              <w:t>进行</w:t>
            </w:r>
            <w:r>
              <w:rPr>
                <w:rFonts w:hint="eastAsia" w:ascii="宋体" w:hAnsi="宋体" w:cs="宋体"/>
                <w:b w:val="0"/>
                <w:bCs w:val="0"/>
                <w:color w:val="auto"/>
                <w:szCs w:val="21"/>
                <w:highlight w:val="none"/>
                <w:lang w:val="en-US" w:eastAsia="zh-CN"/>
              </w:rPr>
              <w:t>评审并推荐中标候选人，排序方法如下：</w:t>
            </w:r>
          </w:p>
          <w:p w14:paraId="6AB14746">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①如果某供应商被推荐为A包的第一中标候选人，则其它标包不再推荐其为中标候选人。</w:t>
            </w:r>
          </w:p>
          <w:p w14:paraId="5D9DD523">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0"/>
                <w:sz w:val="21"/>
                <w:szCs w:val="21"/>
                <w:highlight w:val="none"/>
              </w:rPr>
            </w:pPr>
            <w:r>
              <w:rPr>
                <w:rFonts w:hint="eastAsia" w:ascii="宋体" w:hAnsi="宋体" w:cs="宋体"/>
                <w:b w:val="0"/>
                <w:bCs w:val="0"/>
                <w:color w:val="auto"/>
                <w:szCs w:val="21"/>
                <w:highlight w:val="none"/>
                <w:lang w:val="en-US" w:eastAsia="zh-CN"/>
              </w:rPr>
              <w:t>②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w:t>
            </w:r>
            <w:r>
              <w:rPr>
                <w:rFonts w:hint="eastAsia" w:ascii="宋体" w:hAnsi="宋体" w:eastAsia="宋体" w:cs="宋体"/>
                <w:b w:val="0"/>
                <w:bCs w:val="0"/>
                <w:color w:val="auto"/>
                <w:szCs w:val="21"/>
                <w:highlight w:val="none"/>
                <w:lang w:val="en-US" w:eastAsia="zh-CN"/>
              </w:rPr>
              <w:t>，排序第二的供应商被推荐为第二中标候选人，剩余标包按照标包顺序依次推荐中标候选人；如果排序第二的供应商未被推荐为包B至包K任一标包的第一中标候选人，则推荐其为第一中标候选人，推荐排序第三的供应商为第二中标候选人；如果排序第二的供应商也已经被推荐为包B至包K中1个以上（含1个）标包的第一中标候选人，则推荐排序第三的供应商为第一中标候选人，推荐排序第四的供应商为第二中标候选人，依此类推，直至推荐出至少1名中标候选人。若进入详细评审的某个标包的所有供应商在前述的标包中（包B至包K）均被推荐为第一中标候选人，则仍然推荐该标包排序第一的供应商为第一中标候选人，推荐排序第二的供应商为第二中标候选人。</w:t>
            </w:r>
          </w:p>
        </w:tc>
      </w:tr>
    </w:tbl>
    <w:p w14:paraId="7DA23427">
      <w:pPr>
        <w:spacing w:line="360" w:lineRule="auto"/>
        <w:rPr>
          <w:rFonts w:hint="eastAsia"/>
          <w:lang w:val="en-US" w:eastAsia="zh-CN"/>
        </w:rPr>
      </w:pPr>
      <w:r>
        <w:rPr>
          <w:rFonts w:hint="eastAsia"/>
          <w:lang w:val="en-US" w:eastAsia="zh-CN"/>
        </w:rPr>
        <w:br w:type="page"/>
      </w:r>
    </w:p>
    <w:p w14:paraId="5AC2066B">
      <w:pPr>
        <w:pStyle w:val="14"/>
        <w:spacing w:after="0" w:line="360" w:lineRule="auto"/>
        <w:ind w:left="0"/>
        <w:rPr>
          <w:rFonts w:ascii="宋体" w:hAnsi="宋体" w:cs="宋体"/>
          <w:b/>
          <w:bCs/>
          <w:szCs w:val="21"/>
        </w:rPr>
      </w:pPr>
      <w:bookmarkStart w:id="256" w:name="_Toc184635095"/>
      <w:bookmarkStart w:id="257" w:name="_Toc15062"/>
      <w:bookmarkStart w:id="258" w:name="_Toc301454123"/>
      <w:bookmarkStart w:id="259" w:name="_Toc30309"/>
      <w:bookmarkStart w:id="260" w:name="_Toc10331"/>
      <w:r>
        <w:rPr>
          <w:rFonts w:hint="eastAsia" w:ascii="宋体" w:hAnsi="宋体" w:cs="宋体"/>
          <w:b/>
          <w:bCs/>
          <w:szCs w:val="21"/>
        </w:rPr>
        <w:t xml:space="preserve">一、评标方法 </w:t>
      </w:r>
    </w:p>
    <w:p w14:paraId="3306C572">
      <w:pPr>
        <w:spacing w:line="360" w:lineRule="auto"/>
        <w:ind w:firstLine="420" w:firstLineChars="200"/>
        <w:rPr>
          <w:rFonts w:ascii="宋体" w:hAnsi="宋体" w:cs="宋体"/>
          <w:szCs w:val="21"/>
        </w:rPr>
      </w:pPr>
      <w:r>
        <w:rPr>
          <w:rFonts w:hint="eastAsia" w:ascii="宋体" w:hAnsi="宋体" w:cs="宋体"/>
          <w:bCs/>
          <w:szCs w:val="21"/>
        </w:rPr>
        <w:t>1.本项目采用综合评分法，总分值100分</w:t>
      </w:r>
      <w:r>
        <w:rPr>
          <w:rFonts w:hint="eastAsia" w:ascii="宋体" w:hAnsi="宋体" w:cs="宋体"/>
          <w:szCs w:val="21"/>
        </w:rPr>
        <w:t>。</w:t>
      </w:r>
    </w:p>
    <w:p w14:paraId="5C24ABF9">
      <w:pPr>
        <w:spacing w:line="360" w:lineRule="auto"/>
        <w:ind w:firstLine="420" w:firstLineChars="200"/>
        <w:rPr>
          <w:rFonts w:ascii="宋体" w:hAnsi="宋体" w:cs="宋体"/>
          <w:szCs w:val="21"/>
        </w:rPr>
      </w:pPr>
      <w:r>
        <w:rPr>
          <w:rFonts w:hint="eastAsia" w:ascii="宋体" w:hAnsi="宋体" w:cs="宋体"/>
          <w:szCs w:val="21"/>
        </w:rPr>
        <w:t>2.评标委员会根据最终得分高低确定的排序，总分排序中综合得分相同的投标人，以</w:t>
      </w:r>
      <w:r>
        <w:rPr>
          <w:rFonts w:hint="eastAsia" w:ascii="宋体" w:hAnsi="宋体" w:cs="宋体"/>
          <w:szCs w:val="21"/>
          <w:lang w:eastAsia="zh-CN"/>
        </w:rPr>
        <w:t>服务能力</w:t>
      </w:r>
      <w:r>
        <w:rPr>
          <w:rFonts w:hint="eastAsia" w:ascii="宋体" w:hAnsi="宋体" w:cs="宋体"/>
          <w:szCs w:val="21"/>
        </w:rPr>
        <w:t>得分较高的优先；如果</w:t>
      </w:r>
      <w:r>
        <w:rPr>
          <w:rFonts w:hint="eastAsia" w:ascii="宋体" w:hAnsi="宋体" w:cs="宋体"/>
          <w:szCs w:val="21"/>
          <w:lang w:eastAsia="zh-CN"/>
        </w:rPr>
        <w:t>服务能力</w:t>
      </w:r>
      <w:r>
        <w:rPr>
          <w:rFonts w:hint="eastAsia" w:ascii="宋体" w:hAnsi="宋体" w:cs="宋体"/>
          <w:szCs w:val="21"/>
        </w:rPr>
        <w:t>得分也相等，以报价较低优先；如果报价也相等以商务部分得分高的优先；如果所有都相等，由评标委员会另行商议确定。</w:t>
      </w:r>
    </w:p>
    <w:p w14:paraId="45A58F20">
      <w:pPr>
        <w:spacing w:line="360" w:lineRule="auto"/>
        <w:rPr>
          <w:rFonts w:ascii="宋体" w:hAnsi="宋体" w:cs="宋体"/>
          <w:b/>
          <w:bCs/>
          <w:szCs w:val="21"/>
        </w:rPr>
      </w:pPr>
      <w:r>
        <w:rPr>
          <w:rFonts w:hint="eastAsia" w:ascii="宋体" w:hAnsi="宋体" w:cs="宋体"/>
          <w:b/>
          <w:bCs/>
          <w:szCs w:val="21"/>
        </w:rPr>
        <w:t>二、评标原则：</w:t>
      </w:r>
    </w:p>
    <w:p w14:paraId="7134256E">
      <w:pPr>
        <w:spacing w:line="360" w:lineRule="auto"/>
        <w:ind w:firstLine="420" w:firstLineChars="200"/>
        <w:rPr>
          <w:rFonts w:ascii="宋体" w:hAnsi="宋体" w:cs="宋体"/>
          <w:bCs/>
          <w:szCs w:val="21"/>
        </w:rPr>
      </w:pPr>
      <w:r>
        <w:rPr>
          <w:rFonts w:hint="eastAsia" w:ascii="宋体" w:hAnsi="宋体" w:cs="宋体"/>
          <w:bCs/>
          <w:szCs w:val="21"/>
        </w:rPr>
        <w:t>1.评标活动遵循公平、公正、科学和择优的原则。</w:t>
      </w:r>
    </w:p>
    <w:p w14:paraId="5B40E4C7">
      <w:pPr>
        <w:spacing w:line="360" w:lineRule="auto"/>
        <w:ind w:firstLine="420" w:firstLineChars="200"/>
        <w:rPr>
          <w:rFonts w:ascii="宋体" w:hAnsi="宋体" w:cs="宋体"/>
          <w:bCs/>
          <w:szCs w:val="21"/>
        </w:rPr>
      </w:pPr>
      <w:r>
        <w:rPr>
          <w:rFonts w:hint="eastAsia" w:ascii="宋体" w:hAnsi="宋体" w:cs="宋体"/>
          <w:bCs/>
          <w:szCs w:val="21"/>
        </w:rPr>
        <w:t>2.对所有投标人的投标评定都采用相同的程序和标准。</w:t>
      </w:r>
    </w:p>
    <w:p w14:paraId="7E9C4CFF">
      <w:pPr>
        <w:spacing w:line="360" w:lineRule="auto"/>
        <w:rPr>
          <w:rFonts w:ascii="宋体" w:hAnsi="宋体" w:cs="宋体"/>
          <w:b/>
          <w:bCs/>
          <w:szCs w:val="21"/>
        </w:rPr>
      </w:pPr>
      <w:r>
        <w:rPr>
          <w:rFonts w:hint="eastAsia" w:ascii="宋体" w:hAnsi="宋体" w:cs="宋体"/>
          <w:b/>
          <w:bCs/>
          <w:szCs w:val="21"/>
        </w:rPr>
        <w:t>三、评标委员会</w:t>
      </w:r>
    </w:p>
    <w:p w14:paraId="66A29BC0">
      <w:pPr>
        <w:spacing w:line="360" w:lineRule="auto"/>
        <w:ind w:firstLine="420" w:firstLineChars="200"/>
        <w:rPr>
          <w:rFonts w:ascii="宋体" w:hAnsi="宋体" w:cs="宋体"/>
          <w:bCs/>
          <w:szCs w:val="21"/>
        </w:rPr>
      </w:pPr>
      <w:r>
        <w:rPr>
          <w:rFonts w:hint="eastAsia" w:ascii="宋体" w:hAnsi="宋体" w:cs="宋体"/>
          <w:bCs/>
          <w:szCs w:val="21"/>
        </w:rPr>
        <w:t>1.评标由评标委员会负责，评标委员会由有关技术、经济等方面的专家组成，</w:t>
      </w:r>
      <w:r>
        <w:rPr>
          <w:rFonts w:hint="eastAsia" w:ascii="宋体" w:hAnsi="宋体" w:cs="宋体"/>
        </w:rPr>
        <w:t>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r>
        <w:rPr>
          <w:rFonts w:hint="eastAsia" w:ascii="宋体" w:hAnsi="宋体" w:cs="宋体"/>
          <w:bCs/>
          <w:szCs w:val="21"/>
        </w:rPr>
        <w:t>。</w:t>
      </w:r>
    </w:p>
    <w:p w14:paraId="0FACB14C">
      <w:pPr>
        <w:spacing w:line="360" w:lineRule="auto"/>
        <w:ind w:firstLine="420" w:firstLineChars="200"/>
        <w:rPr>
          <w:rFonts w:ascii="宋体" w:hAnsi="宋体" w:cs="宋体"/>
          <w:bCs/>
          <w:szCs w:val="21"/>
        </w:rPr>
      </w:pPr>
      <w:r>
        <w:rPr>
          <w:rFonts w:hint="eastAsia" w:ascii="宋体" w:hAnsi="宋体" w:cs="宋体"/>
          <w:bCs/>
          <w:szCs w:val="21"/>
        </w:rPr>
        <w:t>2.与投标人有利害关系的人员不得进入评标委员会；</w:t>
      </w:r>
    </w:p>
    <w:p w14:paraId="797CA45C">
      <w:pPr>
        <w:spacing w:line="360" w:lineRule="auto"/>
        <w:ind w:firstLine="420" w:firstLineChars="200"/>
        <w:rPr>
          <w:rFonts w:ascii="宋体" w:hAnsi="宋体" w:cs="宋体"/>
          <w:bCs/>
          <w:szCs w:val="21"/>
        </w:rPr>
      </w:pPr>
      <w:r>
        <w:rPr>
          <w:rFonts w:hint="eastAsia" w:ascii="宋体" w:hAnsi="宋体" w:cs="宋体"/>
          <w:bCs/>
          <w:szCs w:val="21"/>
        </w:rPr>
        <w:t>3.评委按招标文件要求对所有投标文件进行符合性审查、综合比较和评价，独立评审。</w:t>
      </w:r>
    </w:p>
    <w:p w14:paraId="545F6D47">
      <w:pPr>
        <w:spacing w:line="360" w:lineRule="auto"/>
        <w:rPr>
          <w:rFonts w:ascii="宋体" w:hAnsi="宋体" w:cs="宋体"/>
          <w:szCs w:val="21"/>
        </w:rPr>
      </w:pPr>
      <w:r>
        <w:rPr>
          <w:rFonts w:hint="eastAsia" w:ascii="宋体" w:hAnsi="宋体" w:cs="宋体"/>
          <w:b/>
          <w:bCs/>
          <w:szCs w:val="21"/>
        </w:rPr>
        <w:t>四、评标纪律</w:t>
      </w:r>
    </w:p>
    <w:p w14:paraId="5507FC41">
      <w:pPr>
        <w:spacing w:line="360" w:lineRule="auto"/>
        <w:rPr>
          <w:rFonts w:ascii="宋体" w:hAnsi="宋体" w:cs="宋体"/>
          <w:szCs w:val="21"/>
        </w:rPr>
      </w:pPr>
      <w:r>
        <w:rPr>
          <w:rFonts w:hint="eastAsia" w:ascii="宋体" w:hAnsi="宋体" w:cs="宋体"/>
          <w:szCs w:val="21"/>
        </w:rPr>
        <w:t xml:space="preserve">    1.评标委员会成员应当客观、公正地履行职责，遵守职业道德，对所提出的评审意见承担个人责任。</w:t>
      </w:r>
    </w:p>
    <w:p w14:paraId="58B6A062">
      <w:pPr>
        <w:spacing w:line="360" w:lineRule="auto"/>
        <w:ind w:firstLine="420" w:firstLineChars="200"/>
        <w:rPr>
          <w:rFonts w:ascii="宋体" w:hAnsi="宋体" w:cs="宋体"/>
          <w:szCs w:val="21"/>
        </w:rPr>
      </w:pPr>
      <w:r>
        <w:rPr>
          <w:rFonts w:hint="eastAsia" w:ascii="宋体" w:hAnsi="宋体" w:cs="宋体"/>
          <w:szCs w:val="21"/>
        </w:rPr>
        <w:t>2.评标委员会成员不得向他人透漏对投标文件的评审和比较、中标候选人的推荐情况以及评标有关的其他情况。</w:t>
      </w:r>
    </w:p>
    <w:p w14:paraId="0A9E024B">
      <w:pPr>
        <w:spacing w:line="360" w:lineRule="auto"/>
        <w:rPr>
          <w:rFonts w:ascii="宋体" w:hAnsi="宋体" w:cs="宋体"/>
          <w:szCs w:val="21"/>
        </w:rPr>
      </w:pPr>
      <w:r>
        <w:rPr>
          <w:rFonts w:hint="eastAsia" w:ascii="宋体" w:hAnsi="宋体" w:cs="宋体"/>
          <w:szCs w:val="21"/>
        </w:rPr>
        <w:t xml:space="preserve">    3.在评标活动中，评标委员会成员不得擅离职守，影响评标程序正常进行。</w:t>
      </w:r>
    </w:p>
    <w:p w14:paraId="51A8A654">
      <w:pPr>
        <w:spacing w:line="360" w:lineRule="auto"/>
        <w:rPr>
          <w:rFonts w:ascii="宋体" w:hAnsi="宋体" w:cs="宋体"/>
          <w:szCs w:val="21"/>
        </w:rPr>
      </w:pPr>
      <w:r>
        <w:rPr>
          <w:rFonts w:hint="eastAsia" w:ascii="宋体" w:hAnsi="宋体" w:cs="宋体"/>
          <w:szCs w:val="21"/>
        </w:rPr>
        <w:t xml:space="preserve">    4.评标委员会应当根据招标文件规定的评标标准和方法，对投标文件进行系统地评审和比较。招标文件中没有规定的标准和方法不得作为评标的依据。</w:t>
      </w:r>
    </w:p>
    <w:p w14:paraId="50B9E486">
      <w:pPr>
        <w:spacing w:line="360" w:lineRule="auto"/>
        <w:rPr>
          <w:rFonts w:ascii="宋体" w:hAnsi="宋体" w:cs="宋体"/>
          <w:szCs w:val="21"/>
        </w:rPr>
      </w:pPr>
      <w:r>
        <w:rPr>
          <w:rFonts w:hint="eastAsia" w:ascii="宋体" w:hAnsi="宋体" w:cs="宋体"/>
          <w:szCs w:val="21"/>
        </w:rPr>
        <w:t xml:space="preserve">    5.在评标活动中，评标委员会成员不得与任何投标人或者与招标结果有利害关系的人进行私下接触，不得收受投标人、中介人、其他利害关系人的财物或者其他好处。</w:t>
      </w:r>
    </w:p>
    <w:p w14:paraId="0C5555B8">
      <w:pPr>
        <w:spacing w:line="360" w:lineRule="auto"/>
        <w:rPr>
          <w:rFonts w:ascii="宋体" w:hAnsi="宋体" w:cs="宋体"/>
          <w:szCs w:val="21"/>
        </w:rPr>
      </w:pPr>
      <w:r>
        <w:rPr>
          <w:rFonts w:hint="eastAsia" w:ascii="宋体" w:hAnsi="宋体" w:cs="宋体"/>
          <w:szCs w:val="21"/>
        </w:rPr>
        <w:t xml:space="preserve">    6.与投标人有利害关系的应主动回避。</w:t>
      </w:r>
    </w:p>
    <w:p w14:paraId="0DA95A2D">
      <w:pPr>
        <w:spacing w:line="360" w:lineRule="auto"/>
        <w:rPr>
          <w:rFonts w:ascii="宋体" w:hAnsi="宋体" w:cs="宋体"/>
          <w:szCs w:val="21"/>
        </w:rPr>
      </w:pPr>
      <w:r>
        <w:rPr>
          <w:rFonts w:hint="eastAsia" w:ascii="宋体" w:hAnsi="宋体" w:cs="宋体"/>
          <w:szCs w:val="21"/>
        </w:rPr>
        <w:t xml:space="preserve">    7.参加评标的人员应严格遵守国家有关保密的法律、法规和规定，并接受有关部门的监督；</w:t>
      </w:r>
    </w:p>
    <w:p w14:paraId="05459308">
      <w:pPr>
        <w:spacing w:line="360" w:lineRule="auto"/>
        <w:rPr>
          <w:rFonts w:ascii="宋体" w:hAnsi="宋体" w:cs="宋体"/>
          <w:szCs w:val="21"/>
        </w:rPr>
      </w:pPr>
      <w:r>
        <w:rPr>
          <w:rFonts w:hint="eastAsia" w:ascii="宋体" w:hAnsi="宋体" w:cs="宋体"/>
          <w:szCs w:val="21"/>
        </w:rPr>
        <w:t xml:space="preserve">    8.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27DE550F">
      <w:pPr>
        <w:spacing w:line="360" w:lineRule="auto"/>
        <w:ind w:firstLine="480"/>
        <w:rPr>
          <w:rFonts w:ascii="宋体" w:hAnsi="宋体" w:cs="宋体"/>
          <w:szCs w:val="21"/>
        </w:rPr>
      </w:pPr>
      <w:r>
        <w:rPr>
          <w:rFonts w:hint="eastAsia" w:ascii="宋体" w:hAnsi="宋体" w:cs="宋体"/>
          <w:szCs w:val="21"/>
        </w:rPr>
        <w:t>9.遵守法律、行政法规有关评标的相关规定。</w:t>
      </w:r>
    </w:p>
    <w:p w14:paraId="3077185A">
      <w:pPr>
        <w:pStyle w:val="10"/>
        <w:spacing w:line="360" w:lineRule="auto"/>
        <w:rPr>
          <w:rFonts w:hAnsi="宋体"/>
          <w:color w:val="auto"/>
          <w:sz w:val="21"/>
          <w:szCs w:val="21"/>
        </w:rPr>
      </w:pPr>
      <w:r>
        <w:rPr>
          <w:rFonts w:hint="eastAsia" w:hAnsi="宋体"/>
          <w:b/>
          <w:bCs/>
          <w:color w:val="auto"/>
          <w:sz w:val="21"/>
          <w:szCs w:val="21"/>
        </w:rPr>
        <w:t>五、评审程序及方法</w:t>
      </w:r>
    </w:p>
    <w:p w14:paraId="393AA882">
      <w:pPr>
        <w:pStyle w:val="10"/>
        <w:spacing w:line="360" w:lineRule="auto"/>
        <w:ind w:firstLine="480"/>
        <w:rPr>
          <w:rFonts w:hAnsi="宋体"/>
          <w:color w:val="auto"/>
          <w:sz w:val="21"/>
          <w:szCs w:val="21"/>
        </w:rPr>
      </w:pPr>
      <w:r>
        <w:rPr>
          <w:rFonts w:hint="eastAsia" w:hAnsi="宋体"/>
          <w:color w:val="auto"/>
          <w:sz w:val="21"/>
          <w:szCs w:val="21"/>
        </w:rPr>
        <w:t>投标文件初审。初审分为资格性审查</w:t>
      </w:r>
      <w:r>
        <w:rPr>
          <w:rFonts w:hint="eastAsia" w:hAnsi="宋体"/>
          <w:color w:val="auto"/>
          <w:sz w:val="21"/>
          <w:szCs w:val="21"/>
          <w:lang w:eastAsia="zh-CN"/>
        </w:rPr>
        <w:t>、</w:t>
      </w:r>
      <w:r>
        <w:rPr>
          <w:rFonts w:hint="eastAsia" w:hAnsi="宋体"/>
          <w:color w:val="auto"/>
          <w:sz w:val="21"/>
          <w:szCs w:val="21"/>
        </w:rPr>
        <w:t>符合性审查</w:t>
      </w:r>
      <w:r>
        <w:rPr>
          <w:rFonts w:hint="eastAsia" w:hAnsi="宋体"/>
          <w:color w:val="auto"/>
          <w:sz w:val="21"/>
          <w:szCs w:val="21"/>
          <w:lang w:eastAsia="zh-CN"/>
        </w:rPr>
        <w:t>和</w:t>
      </w:r>
      <w:r>
        <w:rPr>
          <w:rFonts w:hint="eastAsia" w:ascii="宋体" w:hAnsi="宋体" w:eastAsia="宋体" w:cs="宋体"/>
          <w:color w:val="auto"/>
          <w:sz w:val="21"/>
          <w:szCs w:val="21"/>
          <w:lang w:val="en-US" w:eastAsia="zh-CN"/>
        </w:rPr>
        <w:t>实质性响应审查</w:t>
      </w:r>
      <w:r>
        <w:rPr>
          <w:rFonts w:hint="eastAsia" w:hAnsi="宋体"/>
          <w:color w:val="auto"/>
          <w:sz w:val="21"/>
          <w:szCs w:val="21"/>
        </w:rPr>
        <w:t>。</w:t>
      </w:r>
    </w:p>
    <w:p w14:paraId="42F82042">
      <w:pPr>
        <w:pStyle w:val="10"/>
        <w:spacing w:line="360" w:lineRule="auto"/>
        <w:ind w:firstLine="480"/>
        <w:rPr>
          <w:rFonts w:hAnsi="宋体"/>
          <w:color w:val="auto"/>
          <w:sz w:val="21"/>
          <w:szCs w:val="21"/>
        </w:rPr>
      </w:pPr>
      <w:r>
        <w:rPr>
          <w:rFonts w:hint="eastAsia" w:hAnsi="宋体"/>
          <w:color w:val="auto"/>
          <w:sz w:val="21"/>
          <w:szCs w:val="21"/>
        </w:rPr>
        <w:t>5.1资格性审查：</w:t>
      </w:r>
    </w:p>
    <w:p w14:paraId="0DD039C8">
      <w:pPr>
        <w:pStyle w:val="10"/>
        <w:spacing w:line="360" w:lineRule="auto"/>
        <w:ind w:firstLine="480"/>
        <w:rPr>
          <w:rFonts w:hAnsi="宋体"/>
          <w:color w:val="auto"/>
          <w:sz w:val="21"/>
          <w:szCs w:val="21"/>
        </w:rPr>
      </w:pPr>
      <w:r>
        <w:rPr>
          <w:rFonts w:hint="eastAsia" w:hAnsi="宋体"/>
          <w:color w:val="auto"/>
          <w:sz w:val="21"/>
          <w:szCs w:val="21"/>
        </w:rPr>
        <w:t>开标结束后，</w:t>
      </w:r>
      <w:r>
        <w:rPr>
          <w:rFonts w:hint="eastAsia" w:hAnsi="宋体"/>
          <w:color w:val="auto"/>
          <w:sz w:val="21"/>
          <w:szCs w:val="21"/>
          <w:lang w:eastAsia="zh-CN"/>
        </w:rPr>
        <w:t>采购人</w:t>
      </w:r>
      <w:r>
        <w:rPr>
          <w:rFonts w:hint="eastAsia" w:hAnsi="宋体"/>
          <w:color w:val="auto"/>
          <w:sz w:val="21"/>
          <w:szCs w:val="21"/>
        </w:rPr>
        <w:t>或者采购代理机构应当依法对投标人的资格进行审查，以确定投标人是否具备投标资格；有一项不符合评审标准的，应当否决其投标。当通过资格审查的投标人大于等于三家时进入评标阶段，当通过资格审查的投标人小于三家时不得进入评标阶段。资格审查人员将资格审查结果提交评标委员会。</w:t>
      </w:r>
    </w:p>
    <w:p w14:paraId="52611541">
      <w:pPr>
        <w:pStyle w:val="10"/>
        <w:spacing w:line="360" w:lineRule="auto"/>
        <w:ind w:firstLine="480"/>
        <w:rPr>
          <w:rFonts w:hAnsi="宋体"/>
          <w:color w:val="auto"/>
          <w:sz w:val="21"/>
          <w:szCs w:val="21"/>
        </w:rPr>
      </w:pPr>
      <w:r>
        <w:rPr>
          <w:rFonts w:hint="eastAsia" w:hAnsi="宋体"/>
          <w:color w:val="auto"/>
          <w:sz w:val="21"/>
          <w:szCs w:val="21"/>
        </w:rPr>
        <w:t>5.2符合性审查：</w:t>
      </w:r>
    </w:p>
    <w:p w14:paraId="74CF6A75">
      <w:pPr>
        <w:pStyle w:val="10"/>
        <w:spacing w:line="360" w:lineRule="auto"/>
        <w:ind w:firstLine="480"/>
        <w:rPr>
          <w:rFonts w:hint="eastAsia" w:hAnsi="宋体"/>
          <w:color w:val="auto"/>
          <w:sz w:val="21"/>
          <w:szCs w:val="21"/>
        </w:rPr>
      </w:pPr>
      <w:r>
        <w:rPr>
          <w:rFonts w:hint="eastAsia" w:hAnsi="宋体"/>
          <w:color w:val="auto"/>
          <w:sz w:val="21"/>
          <w:szCs w:val="21"/>
        </w:rPr>
        <w:t>评标委员会应当对符合资格的投标人的投标文件进行符合性审查，以确定其是否满足招标文件的实质性要求。在对投标文件进行详细评估之前，评委会将确定每一投标文件是否对招标文件的要求做出了实质性的响应，而没有重大偏离。实质性响应的投标是指投标符合招标文件的所有条款、条件和规定且没有重大偏离和保留。重大偏离和保留是指对招标文件规定的范围、质量和性能产生重大或不可接受的偏差，或限制了</w:t>
      </w:r>
      <w:r>
        <w:rPr>
          <w:rFonts w:hint="eastAsia" w:hAnsi="宋体"/>
          <w:color w:val="auto"/>
          <w:sz w:val="21"/>
          <w:szCs w:val="21"/>
          <w:lang w:eastAsia="zh-CN"/>
        </w:rPr>
        <w:t>采购人</w:t>
      </w:r>
      <w:r>
        <w:rPr>
          <w:rFonts w:hint="eastAsia" w:hAnsi="宋体"/>
          <w:color w:val="auto"/>
          <w:sz w:val="21"/>
          <w:szCs w:val="21"/>
        </w:rPr>
        <w:t>的权利和投标人的义务的规定，而纠正这些偏离将影响到其它提交实质性响应投标的投标人的公平竞争地位。</w:t>
      </w:r>
    </w:p>
    <w:p w14:paraId="07CD808E">
      <w:pPr>
        <w:pStyle w:val="10"/>
        <w:spacing w:line="360" w:lineRule="auto"/>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5.3实质性响应审查：</w:t>
      </w:r>
    </w:p>
    <w:p w14:paraId="23BFD729">
      <w:pPr>
        <w:pStyle w:val="10"/>
        <w:spacing w:line="360" w:lineRule="auto"/>
        <w:ind w:firstLine="480"/>
        <w:rPr>
          <w:rFonts w:hAnsi="宋体"/>
          <w:color w:val="auto"/>
          <w:sz w:val="21"/>
          <w:szCs w:val="21"/>
        </w:rPr>
      </w:pPr>
      <w:r>
        <w:rPr>
          <w:rFonts w:hint="eastAsia" w:hAnsi="宋体"/>
          <w:color w:val="auto"/>
          <w:sz w:val="21"/>
          <w:szCs w:val="21"/>
        </w:rPr>
        <w:t>评委会判断投标文件的响应性仅基于投标文件本身内容而不靠外部证据。</w:t>
      </w:r>
    </w:p>
    <w:p w14:paraId="1C561BBF">
      <w:pPr>
        <w:pStyle w:val="10"/>
        <w:spacing w:line="360" w:lineRule="auto"/>
        <w:ind w:firstLine="480"/>
        <w:rPr>
          <w:rFonts w:hAnsi="宋体"/>
          <w:color w:val="auto"/>
          <w:sz w:val="21"/>
          <w:szCs w:val="21"/>
        </w:rPr>
      </w:pPr>
      <w:r>
        <w:rPr>
          <w:rFonts w:hint="eastAsia" w:hAnsi="宋体"/>
          <w:color w:val="auto"/>
          <w:sz w:val="21"/>
          <w:szCs w:val="21"/>
        </w:rPr>
        <w:t>评委会将依据投标人提供的资格证明文件审查投标人的财务、技术和生产能力。如果确定投标人无资格履行合同，其投标将被拒绝。</w:t>
      </w:r>
    </w:p>
    <w:p w14:paraId="2FAA83DF">
      <w:pPr>
        <w:pStyle w:val="10"/>
        <w:spacing w:line="360" w:lineRule="auto"/>
        <w:ind w:firstLine="480"/>
        <w:rPr>
          <w:rFonts w:hAnsi="宋体"/>
          <w:color w:val="auto"/>
          <w:sz w:val="21"/>
          <w:szCs w:val="21"/>
        </w:rPr>
      </w:pPr>
      <w:r>
        <w:rPr>
          <w:rFonts w:hint="eastAsia" w:hAnsi="宋体"/>
          <w:color w:val="auto"/>
          <w:sz w:val="21"/>
          <w:szCs w:val="21"/>
        </w:rPr>
        <w:t>实质上没有响应招标文件要求的投标将被拒绝，投标人不得通过修正或撤消不符之处而使其投标成为实质上响应投标。</w:t>
      </w:r>
    </w:p>
    <w:p w14:paraId="42DFBFEA">
      <w:pPr>
        <w:pStyle w:val="10"/>
        <w:spacing w:line="360" w:lineRule="auto"/>
        <w:ind w:firstLine="480"/>
        <w:rPr>
          <w:rFonts w:hAnsi="宋体"/>
          <w:color w:val="auto"/>
          <w:sz w:val="21"/>
          <w:szCs w:val="21"/>
        </w:rPr>
      </w:pPr>
      <w:r>
        <w:rPr>
          <w:rFonts w:hint="eastAsia" w:hAnsi="宋体"/>
          <w:color w:val="auto"/>
          <w:sz w:val="21"/>
          <w:szCs w:val="21"/>
        </w:rPr>
        <w:t>评标中具有下列情形之一的，其投标无效：</w:t>
      </w:r>
    </w:p>
    <w:p w14:paraId="3EB8376C">
      <w:pPr>
        <w:spacing w:line="360" w:lineRule="auto"/>
        <w:ind w:left="17" w:leftChars="8" w:firstLine="420" w:firstLineChars="200"/>
        <w:rPr>
          <w:rFonts w:ascii="宋体" w:hAnsi="宋体" w:cs="宋体"/>
          <w:szCs w:val="21"/>
        </w:rPr>
      </w:pPr>
      <w:r>
        <w:rPr>
          <w:rFonts w:hint="eastAsia" w:ascii="宋体" w:hAnsi="宋体" w:cs="宋体"/>
          <w:szCs w:val="21"/>
        </w:rPr>
        <w:t>（一）投标文件附有</w:t>
      </w:r>
      <w:r>
        <w:rPr>
          <w:rFonts w:hint="eastAsia" w:ascii="宋体" w:hAnsi="宋体" w:cs="宋体"/>
          <w:szCs w:val="21"/>
          <w:lang w:eastAsia="zh-CN"/>
        </w:rPr>
        <w:t>采购人</w:t>
      </w:r>
      <w:r>
        <w:rPr>
          <w:rFonts w:hint="eastAsia" w:ascii="宋体" w:hAnsi="宋体" w:cs="宋体"/>
          <w:szCs w:val="21"/>
        </w:rPr>
        <w:t>不能接受的附加条件；</w:t>
      </w:r>
    </w:p>
    <w:p w14:paraId="756E817D">
      <w:pPr>
        <w:spacing w:line="360" w:lineRule="auto"/>
        <w:ind w:left="17" w:leftChars="8" w:firstLine="420" w:firstLineChars="200"/>
        <w:rPr>
          <w:rFonts w:ascii="宋体" w:hAnsi="宋体" w:cs="宋体"/>
          <w:szCs w:val="21"/>
        </w:rPr>
      </w:pPr>
      <w:r>
        <w:rPr>
          <w:rFonts w:hint="eastAsia" w:ascii="宋体" w:hAnsi="宋体" w:cs="宋体"/>
          <w:szCs w:val="21"/>
        </w:rPr>
        <w:t>（二）投标报价超出预算金额；</w:t>
      </w:r>
    </w:p>
    <w:p w14:paraId="6EFDB833">
      <w:pPr>
        <w:spacing w:line="360" w:lineRule="auto"/>
        <w:ind w:left="17" w:leftChars="8" w:firstLine="420" w:firstLineChars="200"/>
        <w:rPr>
          <w:rFonts w:ascii="宋体" w:hAnsi="宋体" w:cs="宋体"/>
          <w:szCs w:val="21"/>
        </w:rPr>
      </w:pPr>
      <w:r>
        <w:rPr>
          <w:rFonts w:hint="eastAsia" w:ascii="宋体" w:hAnsi="宋体" w:cs="宋体"/>
          <w:szCs w:val="21"/>
        </w:rPr>
        <w:t>（三）多个投标人出现“制作机器码”一致的，机器码一致的所有投标文件均做无效文件处理；</w:t>
      </w:r>
    </w:p>
    <w:p w14:paraId="0355CB04">
      <w:pPr>
        <w:spacing w:line="360" w:lineRule="auto"/>
        <w:ind w:left="17" w:leftChars="8" w:firstLine="420" w:firstLineChars="200"/>
        <w:rPr>
          <w:rFonts w:ascii="宋体" w:hAnsi="宋体" w:cs="宋体"/>
          <w:szCs w:val="21"/>
        </w:rPr>
      </w:pPr>
      <w:r>
        <w:rPr>
          <w:rFonts w:hint="eastAsia" w:ascii="宋体" w:hAnsi="宋体" w:cs="宋体"/>
          <w:szCs w:val="21"/>
        </w:rPr>
        <w:t>（四）不符合招标文件中规定的其他实质性要求。</w:t>
      </w:r>
    </w:p>
    <w:p w14:paraId="6DEB0C4C">
      <w:pPr>
        <w:pStyle w:val="10"/>
        <w:spacing w:line="360" w:lineRule="auto"/>
        <w:rPr>
          <w:rFonts w:hAnsi="宋体"/>
          <w:b/>
          <w:bCs/>
          <w:color w:val="auto"/>
          <w:sz w:val="21"/>
          <w:szCs w:val="21"/>
        </w:rPr>
      </w:pPr>
      <w:r>
        <w:rPr>
          <w:rFonts w:hint="eastAsia" w:hAnsi="宋体"/>
          <w:b/>
          <w:bCs/>
          <w:color w:val="auto"/>
          <w:sz w:val="21"/>
          <w:szCs w:val="21"/>
        </w:rPr>
        <w:t>六、详细评审</w:t>
      </w:r>
    </w:p>
    <w:p w14:paraId="5D1F31A6">
      <w:pPr>
        <w:pStyle w:val="10"/>
        <w:spacing w:line="360" w:lineRule="auto"/>
        <w:ind w:firstLine="480"/>
        <w:rPr>
          <w:rFonts w:hAnsi="宋体"/>
          <w:color w:val="auto"/>
          <w:sz w:val="21"/>
          <w:szCs w:val="21"/>
        </w:rPr>
      </w:pPr>
      <w:r>
        <w:rPr>
          <w:rFonts w:hint="eastAsia" w:hAnsi="宋体"/>
          <w:color w:val="auto"/>
          <w:sz w:val="21"/>
          <w:szCs w:val="21"/>
        </w:rPr>
        <w:t>6.1评标委员会按评标办法进行打分，并计算出最终得分。</w:t>
      </w:r>
    </w:p>
    <w:p w14:paraId="130D45A8">
      <w:pPr>
        <w:pStyle w:val="10"/>
        <w:spacing w:line="360" w:lineRule="auto"/>
        <w:ind w:firstLine="480"/>
        <w:rPr>
          <w:rFonts w:hAnsi="宋体"/>
          <w:color w:val="auto"/>
          <w:sz w:val="21"/>
          <w:szCs w:val="21"/>
        </w:rPr>
      </w:pPr>
      <w:r>
        <w:rPr>
          <w:rFonts w:hint="eastAsia" w:hAnsi="宋体"/>
          <w:color w:val="auto"/>
          <w:sz w:val="21"/>
          <w:szCs w:val="21"/>
        </w:rPr>
        <w:t>（1）按本章详细评审表“报价部分”规定的评审因素和分值对投标报价计算出得分A；</w:t>
      </w:r>
    </w:p>
    <w:p w14:paraId="4BCF6E5A">
      <w:pPr>
        <w:pStyle w:val="10"/>
        <w:spacing w:line="360" w:lineRule="auto"/>
        <w:ind w:firstLine="480"/>
        <w:rPr>
          <w:rFonts w:hAnsi="宋体"/>
          <w:color w:val="auto"/>
          <w:sz w:val="21"/>
          <w:szCs w:val="21"/>
        </w:rPr>
      </w:pPr>
      <w:r>
        <w:rPr>
          <w:rFonts w:hint="eastAsia" w:hAnsi="宋体"/>
          <w:color w:val="auto"/>
          <w:sz w:val="21"/>
          <w:szCs w:val="21"/>
        </w:rPr>
        <w:t>（2）按本章详细评审表“商务部分”规定的评审因素和分值对技术部分计算出得分B；</w:t>
      </w:r>
    </w:p>
    <w:p w14:paraId="4DFF1720">
      <w:pPr>
        <w:pStyle w:val="10"/>
        <w:spacing w:line="360" w:lineRule="auto"/>
        <w:ind w:firstLine="480"/>
        <w:rPr>
          <w:rFonts w:hAnsi="宋体"/>
          <w:color w:val="auto"/>
          <w:sz w:val="21"/>
          <w:szCs w:val="21"/>
        </w:rPr>
      </w:pPr>
      <w:r>
        <w:rPr>
          <w:rFonts w:hint="eastAsia" w:hAnsi="宋体"/>
          <w:color w:val="auto"/>
          <w:sz w:val="21"/>
          <w:szCs w:val="21"/>
        </w:rPr>
        <w:t>（3）按本章详细评审表“技术部分”规定的评审因素和分值对综合部分计算出得分C；</w:t>
      </w:r>
    </w:p>
    <w:p w14:paraId="3C5A23E7">
      <w:pPr>
        <w:pStyle w:val="10"/>
        <w:spacing w:line="360" w:lineRule="auto"/>
        <w:ind w:firstLine="480"/>
        <w:rPr>
          <w:rFonts w:hAnsi="宋体"/>
          <w:color w:val="auto"/>
          <w:sz w:val="21"/>
          <w:szCs w:val="21"/>
        </w:rPr>
      </w:pPr>
      <w:r>
        <w:rPr>
          <w:rFonts w:hint="eastAsia" w:hAnsi="宋体"/>
          <w:color w:val="auto"/>
          <w:sz w:val="21"/>
          <w:szCs w:val="21"/>
        </w:rPr>
        <w:t>（4）评分分值计算保留小数点后两位，小数点后第三位“四舍五入”。</w:t>
      </w:r>
    </w:p>
    <w:p w14:paraId="6DD5A4F5">
      <w:pPr>
        <w:pStyle w:val="10"/>
        <w:spacing w:line="360" w:lineRule="auto"/>
        <w:ind w:firstLine="480"/>
        <w:rPr>
          <w:rFonts w:hAnsi="宋体"/>
          <w:color w:val="auto"/>
          <w:sz w:val="21"/>
          <w:szCs w:val="21"/>
        </w:rPr>
      </w:pPr>
      <w:r>
        <w:rPr>
          <w:rFonts w:hint="eastAsia" w:hAnsi="宋体"/>
          <w:color w:val="auto"/>
          <w:sz w:val="21"/>
          <w:szCs w:val="21"/>
        </w:rPr>
        <w:t>（5）投标人得分=A+B+C</w:t>
      </w:r>
    </w:p>
    <w:p w14:paraId="1F258792">
      <w:pPr>
        <w:pStyle w:val="10"/>
        <w:spacing w:line="360" w:lineRule="auto"/>
        <w:ind w:firstLine="480"/>
        <w:rPr>
          <w:rFonts w:hAnsi="宋体"/>
          <w:color w:val="auto"/>
          <w:sz w:val="21"/>
          <w:szCs w:val="21"/>
        </w:rPr>
      </w:pPr>
      <w:r>
        <w:rPr>
          <w:rFonts w:hint="eastAsia" w:hAnsi="宋体"/>
          <w:color w:val="auto"/>
          <w:sz w:val="21"/>
          <w:szCs w:val="21"/>
        </w:rPr>
        <w:t>6.2评审委员会发现投标人的报价明显低于其他投标报价，使得其投标报价可能低于其个别成本的，应当要求该投标人作出书面说明并提供相应的证明材料。投标人不能合理说明或者不能提供相应证明材料的，由评审委员会认定该投标人以低于成本报价竞标，其投标作否决投标处理。</w:t>
      </w:r>
    </w:p>
    <w:p w14:paraId="7B841D7F">
      <w:pPr>
        <w:pStyle w:val="10"/>
        <w:spacing w:line="360" w:lineRule="auto"/>
        <w:ind w:firstLine="480"/>
        <w:rPr>
          <w:rFonts w:hAnsi="宋体"/>
          <w:color w:val="auto"/>
          <w:sz w:val="21"/>
          <w:szCs w:val="21"/>
        </w:rPr>
      </w:pPr>
      <w:r>
        <w:rPr>
          <w:rFonts w:hint="eastAsia" w:hAnsi="宋体"/>
          <w:color w:val="auto"/>
          <w:sz w:val="21"/>
          <w:szCs w:val="21"/>
        </w:rPr>
        <w:t>6.3</w:t>
      </w:r>
      <w:bookmarkStart w:id="261" w:name="OLE_LINK84"/>
      <w:bookmarkStart w:id="262" w:name="OLE_LINK119"/>
      <w:bookmarkStart w:id="263" w:name="OLE_LINK109"/>
      <w:r>
        <w:rPr>
          <w:rFonts w:hint="eastAsia" w:hAnsi="宋体"/>
          <w:color w:val="auto"/>
          <w:sz w:val="21"/>
          <w:szCs w:val="21"/>
        </w:rPr>
        <w:t>在招标采购中，出现下列情形之一的，应予废标：</w:t>
      </w:r>
    </w:p>
    <w:p w14:paraId="5D2B0B4D">
      <w:pPr>
        <w:pStyle w:val="10"/>
        <w:spacing w:line="360" w:lineRule="auto"/>
        <w:ind w:firstLine="480"/>
        <w:rPr>
          <w:rFonts w:hAnsi="宋体"/>
          <w:color w:val="auto"/>
          <w:sz w:val="21"/>
          <w:szCs w:val="21"/>
        </w:rPr>
      </w:pPr>
      <w:r>
        <w:rPr>
          <w:rFonts w:hint="eastAsia" w:hAnsi="宋体"/>
          <w:color w:val="auto"/>
          <w:sz w:val="21"/>
          <w:szCs w:val="21"/>
        </w:rPr>
        <w:t>（1）符合专业条件的投标人或者对招标文件作实质响应的投标人不足三家的；</w:t>
      </w:r>
    </w:p>
    <w:p w14:paraId="44B61FA6">
      <w:pPr>
        <w:pStyle w:val="10"/>
        <w:spacing w:line="360" w:lineRule="auto"/>
        <w:ind w:firstLine="480"/>
        <w:rPr>
          <w:rFonts w:hAnsi="宋体"/>
          <w:color w:val="auto"/>
          <w:sz w:val="21"/>
          <w:szCs w:val="21"/>
        </w:rPr>
      </w:pPr>
      <w:r>
        <w:rPr>
          <w:rFonts w:hint="eastAsia" w:hAnsi="宋体"/>
          <w:color w:val="auto"/>
          <w:sz w:val="21"/>
          <w:szCs w:val="21"/>
        </w:rPr>
        <w:t>（2）出现影响采购公正的违法、违规行为的；</w:t>
      </w:r>
    </w:p>
    <w:p w14:paraId="255B4326">
      <w:pPr>
        <w:pStyle w:val="10"/>
        <w:spacing w:line="360" w:lineRule="auto"/>
        <w:ind w:firstLine="480"/>
        <w:rPr>
          <w:rFonts w:hAnsi="宋体"/>
          <w:color w:val="auto"/>
          <w:sz w:val="21"/>
          <w:szCs w:val="21"/>
        </w:rPr>
      </w:pPr>
      <w:r>
        <w:rPr>
          <w:rFonts w:hint="eastAsia" w:hAnsi="宋体"/>
          <w:color w:val="auto"/>
          <w:sz w:val="21"/>
          <w:szCs w:val="21"/>
        </w:rPr>
        <w:t>（3）投标人的报价均超过了采购预算，</w:t>
      </w:r>
      <w:r>
        <w:rPr>
          <w:rFonts w:hint="eastAsia" w:hAnsi="宋体"/>
          <w:color w:val="auto"/>
          <w:sz w:val="21"/>
          <w:szCs w:val="21"/>
          <w:lang w:eastAsia="zh-CN"/>
        </w:rPr>
        <w:t>采购人</w:t>
      </w:r>
      <w:r>
        <w:rPr>
          <w:rFonts w:hint="eastAsia" w:hAnsi="宋体"/>
          <w:color w:val="auto"/>
          <w:sz w:val="21"/>
          <w:szCs w:val="21"/>
        </w:rPr>
        <w:t>不能支付的；</w:t>
      </w:r>
    </w:p>
    <w:bookmarkEnd w:id="261"/>
    <w:p w14:paraId="7AA2B456">
      <w:pPr>
        <w:pStyle w:val="10"/>
        <w:spacing w:line="360" w:lineRule="auto"/>
        <w:ind w:firstLine="480"/>
        <w:rPr>
          <w:rFonts w:hAnsi="宋体"/>
          <w:color w:val="auto"/>
          <w:sz w:val="21"/>
          <w:szCs w:val="21"/>
        </w:rPr>
      </w:pPr>
      <w:r>
        <w:rPr>
          <w:rFonts w:hint="eastAsia" w:hAnsi="宋体"/>
          <w:color w:val="auto"/>
          <w:sz w:val="21"/>
          <w:szCs w:val="21"/>
        </w:rPr>
        <w:t>（4）因重大变故，采购任务取消的。</w:t>
      </w:r>
      <w:bookmarkEnd w:id="262"/>
    </w:p>
    <w:bookmarkEnd w:id="263"/>
    <w:p w14:paraId="6D8EC762">
      <w:pPr>
        <w:pStyle w:val="10"/>
        <w:spacing w:line="360" w:lineRule="auto"/>
        <w:ind w:firstLine="480"/>
        <w:rPr>
          <w:rFonts w:hAnsi="宋体"/>
          <w:b/>
          <w:bCs/>
          <w:color w:val="auto"/>
          <w:sz w:val="21"/>
          <w:szCs w:val="21"/>
        </w:rPr>
      </w:pPr>
      <w:r>
        <w:rPr>
          <w:rFonts w:hint="eastAsia" w:hAnsi="宋体"/>
          <w:b/>
          <w:bCs/>
          <w:color w:val="auto"/>
          <w:sz w:val="21"/>
          <w:szCs w:val="21"/>
        </w:rPr>
        <w:t>七、投标文件的澄清和补正</w:t>
      </w:r>
    </w:p>
    <w:p w14:paraId="5E299C45">
      <w:pPr>
        <w:pStyle w:val="10"/>
        <w:spacing w:line="360" w:lineRule="auto"/>
        <w:ind w:firstLine="480"/>
        <w:rPr>
          <w:rFonts w:hAnsi="宋体"/>
          <w:color w:val="auto"/>
          <w:sz w:val="21"/>
          <w:szCs w:val="21"/>
        </w:rPr>
      </w:pPr>
      <w:r>
        <w:rPr>
          <w:rFonts w:hint="eastAsia" w:hAnsi="宋体"/>
          <w:color w:val="auto"/>
          <w:sz w:val="21"/>
          <w:szCs w:val="21"/>
        </w:rPr>
        <w:t>7.1在评标过程中，评标委员会可以书面形式要求投标人对所提交投标文件中不明确的内容进行书面澄清或说明，或者对细微偏差进行补正。评标委员会不接受投标人主动提出的澄清、说明或补正。</w:t>
      </w:r>
    </w:p>
    <w:p w14:paraId="25329266">
      <w:pPr>
        <w:pStyle w:val="10"/>
        <w:spacing w:line="360" w:lineRule="auto"/>
        <w:ind w:firstLine="480"/>
        <w:rPr>
          <w:rFonts w:hAnsi="宋体"/>
          <w:color w:val="auto"/>
          <w:sz w:val="21"/>
          <w:szCs w:val="21"/>
        </w:rPr>
      </w:pPr>
      <w:r>
        <w:rPr>
          <w:rFonts w:hint="eastAsia" w:hAnsi="宋体"/>
          <w:color w:val="auto"/>
          <w:sz w:val="21"/>
          <w:szCs w:val="21"/>
        </w:rPr>
        <w:t>7.2澄清、说明和补正不得改变投标文件的实质性内容（算术性错误修正的除外）。投标人的书面澄清、说明和补正属于投标文件的组成部分。</w:t>
      </w:r>
    </w:p>
    <w:p w14:paraId="64A895B6">
      <w:pPr>
        <w:pStyle w:val="10"/>
        <w:spacing w:line="360" w:lineRule="auto"/>
        <w:ind w:firstLine="480"/>
        <w:rPr>
          <w:rFonts w:hAnsi="宋体"/>
          <w:color w:val="auto"/>
          <w:sz w:val="21"/>
          <w:szCs w:val="21"/>
        </w:rPr>
      </w:pPr>
      <w:r>
        <w:rPr>
          <w:rFonts w:hint="eastAsia" w:hAnsi="宋体"/>
          <w:color w:val="auto"/>
          <w:sz w:val="21"/>
          <w:szCs w:val="21"/>
        </w:rPr>
        <w:t>7.3评标委员会对投标人提交的澄清、说明或补正有疑问的，可以要求投标人进一步澄清、说明或补正，直至满足评标委员会的要求。</w:t>
      </w:r>
    </w:p>
    <w:p w14:paraId="375A702B">
      <w:pPr>
        <w:pStyle w:val="10"/>
        <w:spacing w:line="360" w:lineRule="auto"/>
        <w:ind w:firstLine="480"/>
        <w:rPr>
          <w:rFonts w:hAnsi="宋体"/>
          <w:b/>
          <w:bCs/>
          <w:color w:val="auto"/>
          <w:sz w:val="21"/>
          <w:szCs w:val="21"/>
        </w:rPr>
      </w:pPr>
      <w:r>
        <w:rPr>
          <w:rFonts w:hint="eastAsia" w:hAnsi="宋体"/>
          <w:b/>
          <w:bCs/>
          <w:color w:val="auto"/>
          <w:sz w:val="21"/>
          <w:szCs w:val="21"/>
        </w:rPr>
        <w:t>八、评标结果</w:t>
      </w:r>
    </w:p>
    <w:p w14:paraId="2BB45F38">
      <w:pPr>
        <w:pStyle w:val="10"/>
        <w:spacing w:line="360" w:lineRule="auto"/>
        <w:ind w:firstLine="480"/>
        <w:rPr>
          <w:rFonts w:hAnsi="宋体"/>
          <w:color w:val="auto"/>
          <w:sz w:val="21"/>
          <w:szCs w:val="21"/>
        </w:rPr>
      </w:pPr>
      <w:r>
        <w:rPr>
          <w:rFonts w:hint="eastAsia" w:hAnsi="宋体"/>
          <w:color w:val="auto"/>
          <w:sz w:val="21"/>
          <w:szCs w:val="21"/>
        </w:rPr>
        <w:t>8.1评标委员会按照评标办法要求推荐中标候选人。</w:t>
      </w:r>
    </w:p>
    <w:p w14:paraId="66448E81">
      <w:pPr>
        <w:pStyle w:val="10"/>
        <w:spacing w:line="360" w:lineRule="auto"/>
        <w:ind w:firstLine="480"/>
        <w:rPr>
          <w:rFonts w:hAnsi="宋体"/>
          <w:color w:val="auto"/>
          <w:sz w:val="21"/>
          <w:szCs w:val="21"/>
        </w:rPr>
      </w:pPr>
      <w:r>
        <w:rPr>
          <w:rFonts w:hint="eastAsia" w:hAnsi="宋体"/>
          <w:color w:val="auto"/>
          <w:sz w:val="21"/>
          <w:szCs w:val="21"/>
        </w:rPr>
        <w:t>8.2评标委员会完成评标后，应当向</w:t>
      </w:r>
      <w:r>
        <w:rPr>
          <w:rFonts w:hint="eastAsia" w:hAnsi="宋体"/>
          <w:color w:val="auto"/>
          <w:sz w:val="21"/>
          <w:szCs w:val="21"/>
          <w:lang w:eastAsia="zh-CN"/>
        </w:rPr>
        <w:t>采购人</w:t>
      </w:r>
      <w:r>
        <w:rPr>
          <w:rFonts w:hint="eastAsia" w:hAnsi="宋体"/>
          <w:color w:val="auto"/>
          <w:sz w:val="21"/>
          <w:szCs w:val="21"/>
        </w:rPr>
        <w:t>提交书面评标报告。评标报告应当由全体评标委员会成员签字。</w:t>
      </w:r>
    </w:p>
    <w:p w14:paraId="41D9CE38">
      <w:pPr>
        <w:pStyle w:val="10"/>
        <w:spacing w:line="360" w:lineRule="auto"/>
        <w:ind w:firstLine="480"/>
        <w:rPr>
          <w:rFonts w:hAnsi="宋体"/>
          <w:color w:val="auto"/>
          <w:sz w:val="21"/>
          <w:szCs w:val="21"/>
        </w:rPr>
      </w:pPr>
      <w:r>
        <w:rPr>
          <w:rFonts w:hint="eastAsia" w:hAnsi="宋体"/>
          <w:color w:val="auto"/>
          <w:sz w:val="21"/>
          <w:szCs w:val="21"/>
        </w:rPr>
        <w:t>8.3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bookmarkEnd w:id="256"/>
    <w:bookmarkEnd w:id="257"/>
    <w:bookmarkEnd w:id="258"/>
    <w:bookmarkEnd w:id="259"/>
    <w:bookmarkEnd w:id="260"/>
    <w:p w14:paraId="1F4E9BDF">
      <w:pPr>
        <w:pStyle w:val="20"/>
        <w:spacing w:line="360" w:lineRule="auto"/>
        <w:ind w:firstLine="0" w:firstLineChars="0"/>
        <w:rPr>
          <w:rFonts w:ascii="宋体" w:eastAsia="宋体" w:cs="宋体"/>
        </w:rPr>
        <w:sectPr>
          <w:footerReference r:id="rId5" w:type="default"/>
          <w:pgSz w:w="11906" w:h="16838"/>
          <w:pgMar w:top="1417" w:right="1701" w:bottom="1417" w:left="1701" w:header="851" w:footer="992" w:gutter="0"/>
          <w:pgNumType w:fmt="numberInDash" w:start="1"/>
          <w:cols w:space="720" w:num="1"/>
          <w:docGrid w:type="lines" w:linePitch="312" w:charSpace="0"/>
        </w:sectPr>
      </w:pPr>
    </w:p>
    <w:p w14:paraId="64F9ECBA">
      <w:pPr>
        <w:pStyle w:val="3"/>
        <w:spacing w:line="600" w:lineRule="auto"/>
        <w:ind w:right="105" w:rightChars="50"/>
        <w:jc w:val="center"/>
        <w:rPr>
          <w:rFonts w:hint="eastAsia" w:ascii="宋体" w:hAnsi="宋体" w:eastAsia="宋体" w:cs="宋体"/>
          <w:szCs w:val="32"/>
          <w:highlight w:val="none"/>
          <w:lang w:eastAsia="zh-CN"/>
        </w:rPr>
      </w:pPr>
      <w:bookmarkStart w:id="264" w:name="_Toc21294"/>
      <w:r>
        <w:rPr>
          <w:rFonts w:hint="eastAsia" w:ascii="宋体" w:hAnsi="宋体" w:cs="宋体"/>
          <w:szCs w:val="32"/>
          <w:highlight w:val="none"/>
        </w:rPr>
        <w:t>第四章 合同</w:t>
      </w:r>
      <w:bookmarkEnd w:id="164"/>
      <w:bookmarkEnd w:id="165"/>
      <w:bookmarkEnd w:id="166"/>
      <w:bookmarkEnd w:id="167"/>
      <w:r>
        <w:rPr>
          <w:rFonts w:hint="eastAsia" w:ascii="宋体" w:hAnsi="宋体" w:cs="宋体"/>
          <w:szCs w:val="32"/>
          <w:highlight w:val="none"/>
          <w:lang w:eastAsia="zh-CN"/>
        </w:rPr>
        <w:t>条款</w:t>
      </w:r>
      <w:bookmarkEnd w:id="264"/>
    </w:p>
    <w:p w14:paraId="22BBA94A">
      <w:pPr>
        <w:spacing w:line="360" w:lineRule="auto"/>
        <w:jc w:val="center"/>
        <w:rPr>
          <w:rFonts w:hint="eastAsia" w:ascii="黑体" w:hAnsi="黑体" w:eastAsia="黑体" w:cs="黑体"/>
          <w:b/>
          <w:bCs/>
          <w:color w:val="000000"/>
          <w:spacing w:val="-20"/>
          <w:sz w:val="52"/>
          <w:szCs w:val="52"/>
        </w:rPr>
      </w:pPr>
      <w:bookmarkStart w:id="265" w:name="_Toc430020796"/>
      <w:bookmarkStart w:id="266" w:name="_Toc12109"/>
      <w:bookmarkStart w:id="267" w:name="_Toc8678"/>
      <w:bookmarkStart w:id="268" w:name="_Toc7207"/>
      <w:bookmarkStart w:id="269" w:name="_Toc179456560"/>
      <w:bookmarkStart w:id="270" w:name="_Toc181348162"/>
      <w:bookmarkStart w:id="271" w:name="_Toc267574131"/>
      <w:bookmarkStart w:id="272" w:name="_Toc181344351"/>
      <w:bookmarkStart w:id="273" w:name="_Toc270946198"/>
      <w:r>
        <w:rPr>
          <w:rFonts w:hint="eastAsia" w:ascii="黑体" w:hAnsi="黑体" w:eastAsia="黑体" w:cs="黑体"/>
          <w:b/>
          <w:bCs/>
          <w:color w:val="000000"/>
          <w:spacing w:val="-20"/>
          <w:sz w:val="52"/>
          <w:szCs w:val="52"/>
        </w:rPr>
        <w:t>郑州市郑东新区社会事业局</w:t>
      </w:r>
    </w:p>
    <w:p w14:paraId="2049A971">
      <w:pPr>
        <w:spacing w:line="360" w:lineRule="auto"/>
        <w:jc w:val="center"/>
        <w:rPr>
          <w:rFonts w:hint="eastAsia" w:ascii="黑体" w:hAnsi="黑体" w:eastAsia="黑体" w:cs="黑体"/>
          <w:b/>
          <w:bCs/>
          <w:color w:val="000000"/>
          <w:sz w:val="52"/>
          <w:szCs w:val="52"/>
        </w:rPr>
      </w:pPr>
      <w:r>
        <w:rPr>
          <w:rFonts w:hint="eastAsia" w:ascii="黑体" w:hAnsi="黑体" w:eastAsia="黑体" w:cs="黑体"/>
          <w:b/>
          <w:bCs/>
          <w:color w:val="000000"/>
          <w:sz w:val="52"/>
          <w:szCs w:val="52"/>
        </w:rPr>
        <w:t>20</w:t>
      </w:r>
      <w:r>
        <w:rPr>
          <w:rFonts w:hint="eastAsia" w:ascii="黑体" w:hAnsi="黑体" w:eastAsia="黑体" w:cs="黑体"/>
          <w:b/>
          <w:bCs/>
          <w:color w:val="000000"/>
          <w:sz w:val="52"/>
          <w:szCs w:val="52"/>
          <w:lang w:val="en-US" w:eastAsia="zh-CN"/>
        </w:rPr>
        <w:t>24</w:t>
      </w:r>
      <w:r>
        <w:rPr>
          <w:rFonts w:hint="eastAsia" w:ascii="黑体" w:hAnsi="黑体" w:eastAsia="黑体" w:cs="黑体"/>
          <w:b/>
          <w:bCs/>
          <w:color w:val="000000"/>
          <w:sz w:val="52"/>
          <w:szCs w:val="52"/>
        </w:rPr>
        <w:t>年度政府购买社会工作服务</w:t>
      </w:r>
    </w:p>
    <w:p w14:paraId="6F7E3F0F">
      <w:pPr>
        <w:spacing w:line="360" w:lineRule="auto"/>
        <w:jc w:val="center"/>
        <w:rPr>
          <w:rFonts w:ascii="黑体" w:hAnsi="黑体" w:eastAsia="黑体" w:cs="黑体"/>
          <w:b/>
          <w:bCs/>
          <w:color w:val="000000"/>
          <w:sz w:val="52"/>
          <w:szCs w:val="52"/>
        </w:rPr>
      </w:pPr>
    </w:p>
    <w:p w14:paraId="0A035360">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合</w:t>
      </w:r>
    </w:p>
    <w:p w14:paraId="70892E5E">
      <w:pPr>
        <w:spacing w:line="360" w:lineRule="auto"/>
        <w:jc w:val="center"/>
        <w:rPr>
          <w:rFonts w:ascii="黑体" w:hAnsi="黑体" w:eastAsia="黑体" w:cs="黑体"/>
          <w:b/>
          <w:bCs/>
          <w:color w:val="000000"/>
          <w:sz w:val="52"/>
          <w:szCs w:val="52"/>
        </w:rPr>
      </w:pPr>
    </w:p>
    <w:p w14:paraId="063A29BA">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同</w:t>
      </w:r>
    </w:p>
    <w:p w14:paraId="5CF96ED1">
      <w:pPr>
        <w:spacing w:line="360" w:lineRule="auto"/>
        <w:jc w:val="center"/>
        <w:rPr>
          <w:rFonts w:ascii="黑体" w:hAnsi="黑体" w:eastAsia="黑体" w:cs="黑体"/>
          <w:b/>
          <w:bCs/>
          <w:color w:val="000000"/>
          <w:sz w:val="52"/>
          <w:szCs w:val="52"/>
        </w:rPr>
      </w:pPr>
    </w:p>
    <w:p w14:paraId="5AE4A9FE">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书</w:t>
      </w:r>
    </w:p>
    <w:p w14:paraId="145AC8FF">
      <w:pPr>
        <w:pStyle w:val="2"/>
        <w:jc w:val="both"/>
      </w:pPr>
    </w:p>
    <w:p w14:paraId="05171645">
      <w:pPr>
        <w:spacing w:line="360" w:lineRule="auto"/>
        <w:rPr>
          <w:rFonts w:ascii="仿宋" w:hAnsi="仿宋" w:eastAsia="仿宋" w:cs="仿宋"/>
          <w:color w:val="000000"/>
          <w:sz w:val="44"/>
          <w:szCs w:val="44"/>
        </w:rPr>
      </w:pPr>
    </w:p>
    <w:p w14:paraId="03428270">
      <w:pPr>
        <w:spacing w:line="360" w:lineRule="auto"/>
        <w:rPr>
          <w:rFonts w:ascii="宋体" w:hAnsi="宋体" w:eastAsia="等线" w:cs="仿宋"/>
          <w:color w:val="000000"/>
          <w:sz w:val="36"/>
          <w:szCs w:val="36"/>
          <w:u w:val="single"/>
        </w:rPr>
      </w:pPr>
      <w:r>
        <w:rPr>
          <w:rFonts w:hint="eastAsia" w:ascii="宋体" w:hAnsi="宋体" w:eastAsia="等线" w:cs="仿宋"/>
          <w:color w:val="000000"/>
          <w:sz w:val="36"/>
          <w:szCs w:val="36"/>
        </w:rPr>
        <w:t xml:space="preserve">项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目 </w:t>
      </w:r>
      <w:r>
        <w:rPr>
          <w:rFonts w:ascii="宋体" w:hAnsi="宋体" w:eastAsia="等线" w:cs="仿宋"/>
          <w:color w:val="000000"/>
          <w:sz w:val="36"/>
          <w:szCs w:val="36"/>
        </w:rPr>
        <w:t xml:space="preserve">  </w:t>
      </w:r>
      <w:r>
        <w:rPr>
          <w:rFonts w:hint="eastAsia" w:ascii="宋体" w:hAnsi="宋体" w:eastAsia="等线" w:cs="仿宋"/>
          <w:color w:val="000000"/>
          <w:sz w:val="36"/>
          <w:szCs w:val="36"/>
          <w:lang w:val="en-US" w:eastAsia="zh-CN"/>
        </w:rPr>
        <w:t>包   段</w:t>
      </w:r>
      <w:r>
        <w:rPr>
          <w:rFonts w:hint="eastAsia" w:ascii="宋体" w:hAnsi="宋体" w:eastAsia="等线" w:cs="仿宋"/>
          <w:color w:val="000000"/>
          <w:sz w:val="36"/>
          <w:szCs w:val="36"/>
        </w:rPr>
        <w:t>：</w:t>
      </w:r>
      <w:r>
        <w:rPr>
          <w:rFonts w:hint="eastAsia" w:ascii="宋体" w:hAnsi="宋体" w:eastAsia="等线" w:cs="仿宋"/>
          <w:color w:val="000000"/>
          <w:sz w:val="36"/>
          <w:szCs w:val="36"/>
          <w:u w:val="single"/>
        </w:rPr>
        <w:t xml:space="preserve">  </w:t>
      </w:r>
      <w:r>
        <w:rPr>
          <w:rFonts w:ascii="宋体" w:hAnsi="宋体" w:eastAsia="等线" w:cs="仿宋"/>
          <w:color w:val="000000"/>
          <w:sz w:val="36"/>
          <w:szCs w:val="36"/>
          <w:u w:val="single"/>
        </w:rPr>
        <w:t xml:space="preserve">  </w:t>
      </w:r>
      <w:r>
        <w:rPr>
          <w:rFonts w:hint="eastAsia" w:ascii="宋体" w:hAnsi="宋体" w:eastAsia="等线" w:cs="仿宋"/>
          <w:color w:val="000000"/>
          <w:sz w:val="36"/>
          <w:szCs w:val="36"/>
          <w:u w:val="single"/>
          <w:lang w:val="en-US" w:eastAsia="zh-CN"/>
        </w:rPr>
        <w:t xml:space="preserve">                    </w:t>
      </w:r>
      <w:r>
        <w:rPr>
          <w:rFonts w:hint="eastAsia" w:ascii="宋体" w:hAnsi="宋体" w:eastAsia="等线" w:cs="仿宋"/>
          <w:color w:val="000000"/>
          <w:sz w:val="36"/>
          <w:szCs w:val="36"/>
          <w:u w:val="single"/>
        </w:rPr>
        <w:t xml:space="preserve"> </w:t>
      </w:r>
    </w:p>
    <w:p w14:paraId="4151101D">
      <w:pPr>
        <w:spacing w:line="360" w:lineRule="auto"/>
        <w:rPr>
          <w:rFonts w:ascii="宋体" w:hAnsi="宋体" w:eastAsia="等线" w:cs="仿宋"/>
          <w:color w:val="000000"/>
          <w:sz w:val="36"/>
          <w:szCs w:val="36"/>
        </w:rPr>
      </w:pPr>
      <w:r>
        <w:rPr>
          <w:rFonts w:hint="eastAsia" w:ascii="宋体" w:hAnsi="宋体" w:eastAsia="等线" w:cs="仿宋"/>
          <w:color w:val="000000"/>
          <w:sz w:val="36"/>
          <w:szCs w:val="36"/>
        </w:rPr>
        <w:t xml:space="preserve">编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 号：</w:t>
      </w:r>
      <w:r>
        <w:rPr>
          <w:rFonts w:hint="eastAsia" w:ascii="宋体" w:hAnsi="宋体" w:eastAsia="等线" w:cs="仿宋"/>
          <w:b/>
          <w:bCs/>
          <w:color w:val="000000"/>
          <w:sz w:val="36"/>
          <w:szCs w:val="36"/>
          <w:u w:val="single"/>
        </w:rPr>
        <w:t xml:space="preserve">              </w:t>
      </w:r>
      <w:r>
        <w:rPr>
          <w:rFonts w:ascii="宋体" w:hAnsi="宋体" w:eastAsia="等线" w:cs="仿宋"/>
          <w:b/>
          <w:bCs/>
          <w:color w:val="000000"/>
          <w:sz w:val="36"/>
          <w:szCs w:val="36"/>
          <w:u w:val="single"/>
        </w:rPr>
        <w:t xml:space="preserve">        </w:t>
      </w:r>
      <w:r>
        <w:rPr>
          <w:rFonts w:hint="eastAsia" w:ascii="宋体" w:hAnsi="宋体" w:eastAsia="等线" w:cs="仿宋"/>
          <w:b/>
          <w:bCs/>
          <w:color w:val="000000"/>
          <w:sz w:val="36"/>
          <w:szCs w:val="36"/>
          <w:u w:val="single"/>
        </w:rPr>
        <w:t xml:space="preserve">   </w:t>
      </w:r>
      <w:r>
        <w:rPr>
          <w:rFonts w:hint="eastAsia" w:ascii="宋体" w:hAnsi="宋体" w:eastAsia="等线" w:cs="仿宋"/>
          <w:color w:val="000000"/>
          <w:sz w:val="36"/>
          <w:szCs w:val="36"/>
        </w:rPr>
        <w:t xml:space="preserve"> </w:t>
      </w:r>
    </w:p>
    <w:p w14:paraId="26A00526">
      <w:pPr>
        <w:spacing w:line="360" w:lineRule="auto"/>
        <w:jc w:val="center"/>
        <w:rPr>
          <w:rFonts w:hint="eastAsia" w:ascii="仿宋" w:hAnsi="仿宋" w:eastAsia="仿宋" w:cs="仿宋"/>
          <w:color w:val="000000"/>
          <w:sz w:val="32"/>
          <w:szCs w:val="32"/>
        </w:rPr>
      </w:pPr>
    </w:p>
    <w:p w14:paraId="7759FB0A">
      <w:pPr>
        <w:spacing w:line="360" w:lineRule="auto"/>
        <w:jc w:val="center"/>
        <w:rPr>
          <w:rFonts w:hint="eastAsia" w:ascii="仿宋" w:hAnsi="仿宋" w:eastAsia="仿宋" w:cs="仿宋"/>
          <w:color w:val="000000"/>
          <w:sz w:val="32"/>
          <w:szCs w:val="32"/>
        </w:rPr>
      </w:pPr>
    </w:p>
    <w:p w14:paraId="746DBFED">
      <w:pPr>
        <w:spacing w:line="360" w:lineRule="auto"/>
        <w:jc w:val="center"/>
        <w:rPr>
          <w:rFonts w:ascii="仿宋" w:hAnsi="仿宋" w:eastAsia="仿宋" w:cs="仿宋"/>
          <w:color w:val="000000"/>
          <w:sz w:val="32"/>
          <w:szCs w:val="32"/>
        </w:rPr>
      </w:pPr>
      <w:r>
        <w:rPr>
          <w:rFonts w:hint="eastAsia" w:ascii="仿宋" w:hAnsi="仿宋" w:eastAsia="仿宋" w:cs="仿宋"/>
          <w:color w:val="000000"/>
          <w:sz w:val="32"/>
          <w:szCs w:val="32"/>
        </w:rPr>
        <w:t>20</w:t>
      </w:r>
      <w:r>
        <w:rPr>
          <w:rFonts w:hint="eastAsia" w:ascii="仿宋" w:hAnsi="仿宋" w:eastAsia="仿宋" w:cs="仿宋"/>
          <w:color w:val="000000"/>
          <w:sz w:val="32"/>
          <w:szCs w:val="32"/>
          <w:lang w:val="en-US" w:eastAsia="zh-CN"/>
        </w:rPr>
        <w:t>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 xml:space="preserve">  月   日</w:t>
      </w:r>
    </w:p>
    <w:p w14:paraId="0E54EB13">
      <w:pPr>
        <w:spacing w:line="360" w:lineRule="auto"/>
        <w:jc w:val="center"/>
        <w:rPr>
          <w:rFonts w:ascii="宋体" w:hAnsi="宋体" w:eastAsia="宋体" w:cs="Times New Roman"/>
          <w:b/>
          <w:color w:val="000000"/>
          <w:sz w:val="44"/>
          <w:szCs w:val="44"/>
          <w:shd w:val="clear" w:color="auto" w:fill="FFFFFF"/>
        </w:rPr>
        <w:sectPr>
          <w:footerReference r:id="rId6" w:type="default"/>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Cs/>
          <w:color w:val="000000"/>
          <w:sz w:val="32"/>
          <w:szCs w:val="32"/>
        </w:rPr>
        <w:t>郑州市郑东新区</w:t>
      </w:r>
      <w:r>
        <w:rPr>
          <w:rFonts w:ascii="仿宋" w:hAnsi="仿宋" w:eastAsia="仿宋" w:cs="仿宋"/>
          <w:bCs/>
          <w:color w:val="000000"/>
          <w:sz w:val="32"/>
          <w:szCs w:val="32"/>
        </w:rPr>
        <w:t>社会事业局</w:t>
      </w:r>
    </w:p>
    <w:p w14:paraId="41FB6D66">
      <w:pPr>
        <w:keepNext w:val="0"/>
        <w:keepLines w:val="0"/>
        <w:pageBreakBefore w:val="0"/>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第一条：本合同当事人</w:t>
      </w:r>
    </w:p>
    <w:p w14:paraId="3A841BE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rPr>
        <w:t>甲方（服务</w:t>
      </w:r>
      <w:r>
        <w:rPr>
          <w:rFonts w:hint="eastAsia" w:ascii="仿宋" w:hAnsi="仿宋" w:eastAsia="仿宋" w:cs="仿宋"/>
          <w:color w:val="auto"/>
          <w:sz w:val="32"/>
          <w:szCs w:val="32"/>
          <w:highlight w:val="none"/>
          <w:lang w:val="en-US" w:eastAsia="zh-CN"/>
        </w:rPr>
        <w:t>购买方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郑州市郑东新区社会事业局</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 xml:space="preserve"> </w:t>
      </w:r>
    </w:p>
    <w:p w14:paraId="11BB598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乙方（服务</w:t>
      </w:r>
      <w:r>
        <w:rPr>
          <w:rFonts w:hint="eastAsia" w:ascii="仿宋" w:hAnsi="仿宋" w:eastAsia="仿宋" w:cs="仿宋"/>
          <w:color w:val="auto"/>
          <w:sz w:val="32"/>
          <w:szCs w:val="32"/>
          <w:highlight w:val="none"/>
          <w:lang w:val="en-US" w:eastAsia="zh-CN"/>
        </w:rPr>
        <w:t>承接方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u w:val="single"/>
          <w:lang w:val="en-US" w:eastAsia="zh-CN"/>
        </w:rPr>
        <w:t xml:space="preserve">                                 </w:t>
      </w:r>
    </w:p>
    <w:p w14:paraId="155282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法定代表人/负责人：</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p>
    <w:p w14:paraId="5D57615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w:t>
      </w:r>
      <w:r>
        <w:rPr>
          <w:rFonts w:hint="eastAsia" w:ascii="仿宋" w:hAnsi="仿宋" w:eastAsia="仿宋" w:cs="仿宋"/>
          <w:bCs/>
          <w:color w:val="auto"/>
          <w:sz w:val="32"/>
          <w:szCs w:val="32"/>
          <w:highlight w:val="none"/>
        </w:rPr>
        <w:t>《郑东新区政府购买社会工作服务实施办法》（郑东</w:t>
      </w:r>
      <w:r>
        <w:rPr>
          <w:rFonts w:hint="eastAsia" w:ascii="仿宋" w:hAnsi="仿宋" w:eastAsia="仿宋" w:cs="仿宋"/>
          <w:bCs/>
          <w:color w:val="auto"/>
          <w:sz w:val="32"/>
          <w:szCs w:val="32"/>
          <w:highlight w:val="none"/>
          <w:lang w:val="en-US" w:eastAsia="zh-CN"/>
        </w:rPr>
        <w:t>办</w:t>
      </w:r>
      <w:r>
        <w:rPr>
          <w:rFonts w:hint="eastAsia" w:ascii="仿宋" w:hAnsi="仿宋" w:eastAsia="仿宋" w:cs="仿宋"/>
          <w:bCs/>
          <w:color w:val="auto"/>
          <w:sz w:val="32"/>
          <w:szCs w:val="32"/>
          <w:highlight w:val="none"/>
        </w:rPr>
        <w:t>〔2020〕32号）</w:t>
      </w:r>
      <w:r>
        <w:rPr>
          <w:rFonts w:hint="eastAsia" w:ascii="仿宋" w:hAnsi="仿宋" w:eastAsia="仿宋" w:cs="仿宋"/>
          <w:color w:val="auto"/>
          <w:sz w:val="32"/>
          <w:szCs w:val="32"/>
          <w:highlight w:val="none"/>
        </w:rPr>
        <w:t>文件的要求，在平等、自愿、互利的基础上，经共同协商，就甲方将委托乙方对相关服务事宜，订立本合同。</w:t>
      </w:r>
    </w:p>
    <w:p w14:paraId="66EBEAB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第二条：价格</w:t>
      </w:r>
    </w:p>
    <w:p w14:paraId="153F95FE">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合同总价（人民币）：</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 xml:space="preserve">万元。 </w:t>
      </w:r>
    </w:p>
    <w:p w14:paraId="2CF8140C">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color w:val="auto"/>
        </w:rPr>
      </w:pPr>
      <w:r>
        <w:rPr>
          <w:rFonts w:hint="eastAsia" w:ascii="仿宋" w:hAnsi="仿宋" w:eastAsia="仿宋" w:cs="仿宋"/>
          <w:color w:val="auto"/>
          <w:sz w:val="32"/>
          <w:szCs w:val="32"/>
          <w:highlight w:val="none"/>
        </w:rPr>
        <w:t xml:space="preserve">  大写：</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w:t>
      </w:r>
    </w:p>
    <w:p w14:paraId="0B53B4E8">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合同总价包括了所有服务人员薪酬、督导培训、办公经费、服务活动、项目管理、技术支持、税费（包括关税、增值税）、保险费等全部费用。</w:t>
      </w:r>
    </w:p>
    <w:p w14:paraId="54787DC0">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3.项目薪酬部分占据项目总款项比例不得低于89%，</w:t>
      </w:r>
      <w:r>
        <w:rPr>
          <w:rFonts w:hint="eastAsia" w:ascii="仿宋" w:hAnsi="仿宋" w:eastAsia="仿宋" w:cs="仿宋"/>
          <w:bCs/>
          <w:color w:val="auto"/>
          <w:sz w:val="32"/>
          <w:szCs w:val="32"/>
          <w:highlight w:val="none"/>
          <w:lang w:eastAsia="zh-CN"/>
        </w:rPr>
        <w:t>项目社工薪酬构成包含基础工资、社保、公积金和</w:t>
      </w:r>
      <w:r>
        <w:rPr>
          <w:rFonts w:hint="eastAsia" w:ascii="仿宋" w:hAnsi="仿宋" w:eastAsia="仿宋" w:cs="仿宋"/>
          <w:bCs/>
          <w:color w:val="auto"/>
          <w:sz w:val="32"/>
          <w:szCs w:val="32"/>
          <w:highlight w:val="none"/>
          <w:lang w:val="en-US" w:eastAsia="zh-CN"/>
        </w:rPr>
        <w:t>社会服务绩效</w:t>
      </w:r>
      <w:r>
        <w:rPr>
          <w:rFonts w:hint="eastAsia" w:ascii="仿宋" w:hAnsi="仿宋" w:eastAsia="仿宋" w:cs="仿宋"/>
          <w:bCs/>
          <w:color w:val="auto"/>
          <w:sz w:val="32"/>
          <w:szCs w:val="32"/>
          <w:highlight w:val="none"/>
          <w:lang w:eastAsia="zh-CN"/>
        </w:rPr>
        <w:t>，其中绩效额度由甲方</w:t>
      </w:r>
      <w:r>
        <w:rPr>
          <w:rFonts w:hint="eastAsia" w:ascii="仿宋" w:hAnsi="仿宋" w:eastAsia="仿宋" w:cs="仿宋"/>
          <w:bCs/>
          <w:color w:val="auto"/>
          <w:sz w:val="32"/>
          <w:szCs w:val="32"/>
          <w:highlight w:val="none"/>
          <w:lang w:val="en-US" w:eastAsia="zh-CN"/>
        </w:rPr>
        <w:t>能力评定结果</w:t>
      </w:r>
      <w:r>
        <w:rPr>
          <w:rFonts w:hint="eastAsia" w:ascii="仿宋" w:hAnsi="仿宋" w:eastAsia="仿宋" w:cs="仿宋"/>
          <w:bCs/>
          <w:color w:val="auto"/>
          <w:sz w:val="32"/>
          <w:szCs w:val="32"/>
          <w:highlight w:val="none"/>
          <w:lang w:eastAsia="zh-CN"/>
        </w:rPr>
        <w:t>确定</w:t>
      </w:r>
      <w:r>
        <w:rPr>
          <w:rFonts w:hint="eastAsia" w:ascii="仿宋" w:hAnsi="仿宋" w:eastAsia="仿宋" w:cs="仿宋"/>
          <w:bCs/>
          <w:color w:val="auto"/>
          <w:sz w:val="32"/>
          <w:szCs w:val="32"/>
          <w:highlight w:val="none"/>
          <w:lang w:val="en-US" w:eastAsia="zh-CN"/>
        </w:rPr>
        <w:t>，</w:t>
      </w:r>
      <w:r>
        <w:rPr>
          <w:rFonts w:hint="eastAsia" w:ascii="仿宋" w:hAnsi="仿宋" w:eastAsia="仿宋" w:cs="仿宋"/>
          <w:bCs/>
          <w:color w:val="auto"/>
          <w:sz w:val="32"/>
          <w:szCs w:val="32"/>
          <w:highlight w:val="none"/>
          <w:lang w:eastAsia="zh-CN"/>
        </w:rPr>
        <w:t>根据《郑东新区社工能力评定》，按照</w:t>
      </w:r>
      <w:r>
        <w:rPr>
          <w:rFonts w:hint="eastAsia" w:ascii="仿宋" w:hAnsi="仿宋" w:eastAsia="仿宋" w:cs="仿宋"/>
          <w:bCs/>
          <w:color w:val="auto"/>
          <w:sz w:val="32"/>
          <w:szCs w:val="32"/>
          <w:highlight w:val="none"/>
          <w:lang w:val="en-US" w:eastAsia="zh-CN"/>
        </w:rPr>
        <w:t>季度</w:t>
      </w:r>
      <w:r>
        <w:rPr>
          <w:rFonts w:hint="eastAsia" w:ascii="仿宋" w:hAnsi="仿宋" w:eastAsia="仿宋" w:cs="仿宋"/>
          <w:bCs/>
          <w:color w:val="auto"/>
          <w:sz w:val="32"/>
          <w:szCs w:val="32"/>
          <w:highlight w:val="none"/>
          <w:lang w:eastAsia="zh-CN"/>
        </w:rPr>
        <w:t>由乙方发放至社工个人。</w:t>
      </w:r>
    </w:p>
    <w:p w14:paraId="199F8B28">
      <w:pPr>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如合同内容没有变更，本合同价格为固定不变价。</w:t>
      </w:r>
    </w:p>
    <w:p w14:paraId="1089B30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第三条：项目基本情况</w:t>
      </w:r>
    </w:p>
    <w:p w14:paraId="0D6BC4DD">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1.项目包段：</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46E84A9E">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2.项目服务范围：</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38FCEF77">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3.服务对象：参照招标文件具体要求。 </w:t>
      </w:r>
    </w:p>
    <w:p w14:paraId="2D2CDC46">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4.基本服务内容：参照招标文件具体要求。</w:t>
      </w:r>
    </w:p>
    <w:p w14:paraId="187C2DC7">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第四条：项目具体实施情况</w:t>
      </w:r>
    </w:p>
    <w:p w14:paraId="4D1D3C41">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sectPr>
          <w:footerReference r:id="rId7" w:type="default"/>
          <w:pgSz w:w="11906" w:h="16838"/>
          <w:pgMar w:top="1440" w:right="1800" w:bottom="1440" w:left="1800" w:header="851" w:footer="992" w:gutter="0"/>
          <w:pgNumType w:fmt="numberInDash"/>
          <w:cols w:space="425" w:num="1"/>
          <w:docGrid w:type="lines" w:linePitch="312" w:charSpace="0"/>
        </w:sectPr>
      </w:pPr>
    </w:p>
    <w:p w14:paraId="3E0B8A7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1.项目实施方案</w:t>
      </w:r>
    </w:p>
    <w:p w14:paraId="71BB185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highlight w:val="none"/>
        </w:rPr>
        <w:t>项目实施方案按照落项后与服务需求方对接协商的最终年度实施方案计划为准。</w:t>
      </w:r>
    </w:p>
    <w:p w14:paraId="582EA9A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2.项目服务指标</w:t>
      </w:r>
    </w:p>
    <w:p w14:paraId="37463A0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参照招标文件具体要求，</w:t>
      </w:r>
      <w:r>
        <w:rPr>
          <w:rFonts w:hint="eastAsia" w:ascii="仿宋" w:hAnsi="仿宋" w:eastAsia="仿宋" w:cs="仿宋"/>
          <w:color w:val="auto"/>
          <w:sz w:val="32"/>
          <w:szCs w:val="32"/>
          <w:highlight w:val="none"/>
          <w:lang w:val="en-US" w:eastAsia="zh-CN"/>
        </w:rPr>
        <w:t>并根据甲方所定区域工作实际指标为准</w:t>
      </w:r>
      <w:r>
        <w:rPr>
          <w:rFonts w:hint="eastAsia" w:ascii="仿宋" w:hAnsi="仿宋" w:eastAsia="仿宋" w:cs="仿宋"/>
          <w:color w:val="auto"/>
          <w:sz w:val="32"/>
          <w:szCs w:val="32"/>
          <w:highlight w:val="none"/>
          <w:lang w:eastAsia="zh-CN"/>
        </w:rPr>
        <w:t>。</w:t>
      </w:r>
    </w:p>
    <w:p w14:paraId="0400F7D1">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_GB2312" w:hAnsi="仿宋_GB2312" w:eastAsia="仿宋_GB2312" w:cs="仿宋_GB2312"/>
          <w:color w:val="auto"/>
          <w:sz w:val="32"/>
          <w:szCs w:val="32"/>
          <w:lang w:eastAsia="zh-CN"/>
        </w:rPr>
      </w:pPr>
      <w:r>
        <w:rPr>
          <w:rFonts w:hint="eastAsia" w:ascii="仿宋" w:hAnsi="仿宋" w:eastAsia="仿宋" w:cs="仿宋"/>
          <w:color w:val="auto"/>
          <w:sz w:val="32"/>
          <w:szCs w:val="32"/>
          <w:highlight w:val="none"/>
        </w:rPr>
        <w:t>项目（岗位）派驻人员</w:t>
      </w:r>
      <w:r>
        <w:rPr>
          <w:rFonts w:hint="eastAsia" w:ascii="仿宋" w:hAnsi="仿宋" w:eastAsia="仿宋" w:cs="仿宋"/>
          <w:color w:val="auto"/>
          <w:sz w:val="32"/>
          <w:szCs w:val="32"/>
          <w:highlight w:val="none"/>
          <w:lang w:eastAsia="zh-CN"/>
        </w:rPr>
        <w:t>要求</w:t>
      </w:r>
    </w:p>
    <w:p w14:paraId="552C8E45">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驻站社工要求年龄 45 岁以下，</w:t>
      </w:r>
      <w:r>
        <w:rPr>
          <w:rFonts w:hint="eastAsia" w:ascii="仿宋_GB2312" w:hAnsi="仿宋_GB2312" w:eastAsia="仿宋_GB2312" w:cs="仿宋_GB2312"/>
          <w:color w:val="auto"/>
          <w:sz w:val="32"/>
          <w:szCs w:val="32"/>
          <w:lang w:val="en-US" w:eastAsia="zh-CN"/>
        </w:rPr>
        <w:t>全日制</w:t>
      </w:r>
      <w:r>
        <w:rPr>
          <w:rFonts w:hint="eastAsia" w:ascii="仿宋_GB2312" w:hAnsi="仿宋_GB2312" w:eastAsia="仿宋_GB2312" w:cs="仿宋_GB2312"/>
          <w:color w:val="auto"/>
          <w:sz w:val="32"/>
          <w:szCs w:val="32"/>
          <w:lang w:eastAsia="zh-CN"/>
        </w:rPr>
        <w:t>本科及以上学历，取得国家认可的社工师（含助理社工师）资质的专业社会工作者，</w:t>
      </w:r>
      <w:r>
        <w:rPr>
          <w:rFonts w:hint="eastAsia" w:ascii="仿宋_GB2312" w:hAnsi="仿宋_GB2312" w:eastAsia="仿宋_GB2312" w:cs="仿宋_GB2312"/>
          <w:color w:val="auto"/>
          <w:sz w:val="32"/>
          <w:szCs w:val="32"/>
          <w:lang w:val="en-US" w:eastAsia="zh-CN"/>
        </w:rPr>
        <w:t>未持证的上岗后需考取助理</w:t>
      </w:r>
      <w:r>
        <w:rPr>
          <w:rFonts w:hint="eastAsia" w:ascii="仿宋_GB2312" w:hAnsi="仿宋_GB2312" w:eastAsia="仿宋_GB2312" w:cs="仿宋_GB2312"/>
          <w:color w:val="auto"/>
          <w:sz w:val="32"/>
          <w:szCs w:val="32"/>
          <w:lang w:eastAsia="zh-CN"/>
        </w:rPr>
        <w:t>社工师</w:t>
      </w:r>
      <w:r>
        <w:rPr>
          <w:rFonts w:hint="eastAsia" w:ascii="仿宋_GB2312" w:hAnsi="仿宋_GB2312" w:eastAsia="仿宋_GB2312" w:cs="仿宋_GB2312"/>
          <w:color w:val="auto"/>
          <w:sz w:val="32"/>
          <w:szCs w:val="32"/>
          <w:lang w:val="en-US" w:eastAsia="zh-CN"/>
        </w:rPr>
        <w:t>。</w:t>
      </w:r>
    </w:p>
    <w:p w14:paraId="1C16A99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黑体" w:hAnsi="黑体" w:eastAsia="黑体" w:cs="黑体"/>
          <w:b w:val="0"/>
          <w:bCs w:val="0"/>
          <w:color w:val="auto"/>
          <w:sz w:val="32"/>
          <w:szCs w:val="32"/>
          <w:highlight w:val="none"/>
        </w:rPr>
        <w:t>第五条：</w:t>
      </w:r>
      <w:r>
        <w:rPr>
          <w:rFonts w:hint="eastAsia" w:ascii="仿宋" w:hAnsi="仿宋" w:eastAsia="仿宋" w:cs="仿宋"/>
          <w:color w:val="auto"/>
          <w:sz w:val="32"/>
          <w:szCs w:val="32"/>
          <w:highlight w:val="none"/>
        </w:rPr>
        <w:t>委托合同依法签订后，即具有法律约束力，甲、乙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方必须遵守合同条款，履行合同规定的责任义务。</w:t>
      </w:r>
    </w:p>
    <w:p w14:paraId="17D1099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第六条：项目服务期及验收标准：</w:t>
      </w:r>
    </w:p>
    <w:p w14:paraId="1D00EA8F">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本合同期限</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12 </w:t>
      </w:r>
      <w:r>
        <w:rPr>
          <w:rFonts w:hint="eastAsia" w:ascii="仿宋" w:hAnsi="仿宋" w:eastAsia="仿宋" w:cs="仿宋"/>
          <w:color w:val="auto"/>
          <w:sz w:val="32"/>
          <w:szCs w:val="32"/>
          <w:highlight w:val="none"/>
          <w:u w:val="none"/>
          <w:lang w:val="en-US" w:eastAsia="zh-CN"/>
        </w:rPr>
        <w:t>个月</w:t>
      </w:r>
      <w:r>
        <w:rPr>
          <w:rFonts w:hint="eastAsia" w:ascii="仿宋" w:hAnsi="仿宋" w:eastAsia="仿宋" w:cs="仿宋"/>
          <w:color w:val="auto"/>
          <w:sz w:val="32"/>
          <w:szCs w:val="32"/>
          <w:highlight w:val="none"/>
        </w:rPr>
        <w:t>，自</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日起至</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日止。</w:t>
      </w:r>
    </w:p>
    <w:p w14:paraId="631F4ECE">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lang w:eastAsia="zh-CN"/>
        </w:rPr>
        <w:t>乙方</w:t>
      </w:r>
      <w:r>
        <w:rPr>
          <w:rFonts w:hint="eastAsia" w:ascii="仿宋" w:hAnsi="仿宋" w:eastAsia="仿宋" w:cs="仿宋"/>
          <w:bCs/>
          <w:color w:val="auto"/>
          <w:sz w:val="32"/>
          <w:szCs w:val="32"/>
          <w:highlight w:val="none"/>
        </w:rPr>
        <w:t>服务试用期为</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rPr>
        <w:t>个月，自合同签订之日起算</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lang w:eastAsia="zh-CN"/>
        </w:rPr>
        <w:t>个月后对</w:t>
      </w:r>
      <w:r>
        <w:rPr>
          <w:rFonts w:hint="eastAsia" w:ascii="仿宋" w:hAnsi="仿宋" w:eastAsia="仿宋" w:cs="仿宋"/>
          <w:bCs/>
          <w:color w:val="auto"/>
          <w:sz w:val="32"/>
          <w:szCs w:val="32"/>
          <w:highlight w:val="none"/>
          <w:lang w:val="en-US" w:eastAsia="zh-CN"/>
        </w:rPr>
        <w:t>试用</w:t>
      </w:r>
      <w:r>
        <w:rPr>
          <w:rFonts w:hint="eastAsia" w:ascii="仿宋" w:hAnsi="仿宋" w:eastAsia="仿宋" w:cs="仿宋"/>
          <w:bCs/>
          <w:color w:val="auto"/>
          <w:sz w:val="32"/>
          <w:szCs w:val="32"/>
          <w:highlight w:val="none"/>
          <w:lang w:eastAsia="zh-CN"/>
        </w:rPr>
        <w:t>不合格</w:t>
      </w:r>
      <w:r>
        <w:rPr>
          <w:rFonts w:hint="eastAsia" w:ascii="仿宋" w:hAnsi="仿宋" w:eastAsia="仿宋" w:cs="仿宋"/>
          <w:bCs/>
          <w:color w:val="auto"/>
          <w:sz w:val="32"/>
          <w:szCs w:val="32"/>
          <w:highlight w:val="none"/>
          <w:lang w:val="en-US" w:eastAsia="zh-CN"/>
        </w:rPr>
        <w:t>承接机构</w:t>
      </w:r>
      <w:r>
        <w:rPr>
          <w:rFonts w:hint="eastAsia" w:ascii="仿宋" w:hAnsi="仿宋" w:eastAsia="仿宋" w:cs="仿宋"/>
          <w:bCs/>
          <w:color w:val="auto"/>
          <w:sz w:val="32"/>
          <w:szCs w:val="32"/>
          <w:highlight w:val="none"/>
          <w:lang w:eastAsia="zh-CN"/>
        </w:rPr>
        <w:t>应按照</w:t>
      </w:r>
      <w:r>
        <w:rPr>
          <w:rFonts w:hint="eastAsia" w:ascii="仿宋" w:hAnsi="仿宋" w:eastAsia="仿宋" w:cs="仿宋"/>
          <w:bCs/>
          <w:color w:val="auto"/>
          <w:sz w:val="32"/>
          <w:szCs w:val="32"/>
          <w:highlight w:val="none"/>
          <w:lang w:val="en-US" w:eastAsia="zh-CN"/>
        </w:rPr>
        <w:t>合同约束条件进行整改或解除合同</w:t>
      </w:r>
      <w:r>
        <w:rPr>
          <w:rFonts w:hint="eastAsia" w:ascii="仿宋" w:hAnsi="仿宋" w:eastAsia="仿宋" w:cs="仿宋"/>
          <w:bCs/>
          <w:color w:val="auto"/>
          <w:sz w:val="32"/>
          <w:szCs w:val="32"/>
          <w:highlight w:val="none"/>
        </w:rPr>
        <w:t>。</w:t>
      </w:r>
    </w:p>
    <w:p w14:paraId="4134E22B">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验收标准：由第三方评估机构进行验收评估。</w:t>
      </w:r>
    </w:p>
    <w:p w14:paraId="3311249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第七条：服务要求</w:t>
      </w:r>
    </w:p>
    <w:p w14:paraId="7C99169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社工机构应在起始日起 </w:t>
      </w:r>
      <w:r>
        <w:rPr>
          <w:rFonts w:hint="eastAsia" w:ascii="仿宋" w:hAnsi="仿宋" w:eastAsia="仿宋" w:cs="仿宋"/>
          <w:color w:val="auto"/>
          <w:sz w:val="32"/>
          <w:szCs w:val="32"/>
          <w:highlight w:val="none"/>
          <w:u w:val="single"/>
          <w:lang w:val="en-US" w:eastAsia="zh-CN"/>
        </w:rPr>
        <w:t>1</w:t>
      </w:r>
      <w:r>
        <w:rPr>
          <w:rFonts w:hint="eastAsia" w:ascii="仿宋" w:hAnsi="仿宋" w:eastAsia="仿宋" w:cs="仿宋"/>
          <w:color w:val="auto"/>
          <w:sz w:val="32"/>
          <w:szCs w:val="32"/>
          <w:highlight w:val="none"/>
          <w:u w:val="single"/>
        </w:rPr>
        <w:t>个工作日</w:t>
      </w:r>
      <w:r>
        <w:rPr>
          <w:rFonts w:hint="eastAsia" w:ascii="仿宋" w:hAnsi="仿宋" w:eastAsia="仿宋" w:cs="仿宋"/>
          <w:color w:val="auto"/>
          <w:sz w:val="32"/>
          <w:szCs w:val="32"/>
          <w:highlight w:val="none"/>
        </w:rPr>
        <w:t xml:space="preserve"> 内安排社工上岗，若在合同有效期内缺岗</w:t>
      </w:r>
      <w:r>
        <w:rPr>
          <w:rFonts w:hint="eastAsia" w:ascii="仿宋" w:hAnsi="仿宋" w:eastAsia="仿宋" w:cs="仿宋"/>
          <w:color w:val="auto"/>
          <w:sz w:val="32"/>
          <w:szCs w:val="32"/>
          <w:highlight w:val="none"/>
          <w:lang w:val="en-US" w:eastAsia="zh-CN"/>
        </w:rPr>
        <w:t>一周</w:t>
      </w:r>
      <w:r>
        <w:rPr>
          <w:rFonts w:hint="eastAsia" w:ascii="仿宋" w:hAnsi="仿宋" w:eastAsia="仿宋" w:cs="仿宋"/>
          <w:color w:val="auto"/>
          <w:sz w:val="32"/>
          <w:szCs w:val="32"/>
          <w:highlight w:val="none"/>
        </w:rPr>
        <w:t>的，经核实按实际缺岗时间扣除甲方支付乙方的服务费用。</w:t>
      </w:r>
    </w:p>
    <w:p w14:paraId="4B51E68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第八条：</w:t>
      </w:r>
      <w:r>
        <w:rPr>
          <w:rFonts w:hint="eastAsia" w:ascii="黑体" w:hAnsi="黑体" w:eastAsia="黑体" w:cs="黑体"/>
          <w:b w:val="0"/>
          <w:bCs w:val="0"/>
          <w:color w:val="auto"/>
          <w:sz w:val="32"/>
          <w:szCs w:val="32"/>
          <w:highlight w:val="none"/>
          <w:lang w:eastAsia="zh-CN"/>
        </w:rPr>
        <w:t>双方</w:t>
      </w:r>
      <w:r>
        <w:rPr>
          <w:rFonts w:hint="eastAsia" w:ascii="黑体" w:hAnsi="黑体" w:eastAsia="黑体" w:cs="黑体"/>
          <w:b w:val="0"/>
          <w:bCs w:val="0"/>
          <w:color w:val="auto"/>
          <w:sz w:val="32"/>
          <w:szCs w:val="32"/>
          <w:highlight w:val="none"/>
        </w:rPr>
        <w:t>权利和义务</w:t>
      </w:r>
    </w:p>
    <w:p w14:paraId="1C29E84D">
      <w:pPr>
        <w:keepNext w:val="0"/>
        <w:keepLines w:val="0"/>
        <w:pageBreakBefore w:val="0"/>
        <w:numPr>
          <w:ilvl w:val="0"/>
          <w:numId w:val="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甲方的权利和义务</w:t>
      </w:r>
    </w:p>
    <w:p w14:paraId="03A2277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在约定的时间进行拨款，若甲方在约定时间内未能按时拨款，造成重大影响的由甲方承担责任。</w:t>
      </w:r>
    </w:p>
    <w:p w14:paraId="676672B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甲方有权对乙方进行指导、监督和审计工作，具体包括财务监督、服务指导、服务监督及综合评估工作，乙方需配合甲方的工作。</w:t>
      </w:r>
    </w:p>
    <w:p w14:paraId="434F7B5F">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若乙方未按照协议将款项全部用于该服务开展，包括挪用、转借、另作他用等，则乙方须承担违约责任，甲方有权停止拨款，同时有权单方终止本协议，甲方终止本协议时，乙方应返还甲方已拨付的全部服务资助款项。</w:t>
      </w:r>
      <w:r>
        <w:rPr>
          <w:rFonts w:hint="eastAsia" w:ascii="仿宋" w:hAnsi="仿宋" w:eastAsia="仿宋" w:cs="仿宋"/>
          <w:color w:val="auto"/>
          <w:sz w:val="32"/>
          <w:szCs w:val="32"/>
          <w:highlight w:val="none"/>
          <w:lang w:eastAsia="zh-CN"/>
        </w:rPr>
        <w:t>经第三方核实，</w:t>
      </w:r>
      <w:r>
        <w:rPr>
          <w:rFonts w:hint="eastAsia" w:ascii="仿宋" w:hAnsi="仿宋" w:eastAsia="仿宋" w:cs="仿宋"/>
          <w:color w:val="auto"/>
          <w:sz w:val="32"/>
          <w:szCs w:val="32"/>
          <w:highlight w:val="none"/>
        </w:rPr>
        <w:t>有下列情形之一的，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方有权</w:t>
      </w:r>
      <w:r>
        <w:rPr>
          <w:rFonts w:hint="eastAsia" w:ascii="仿宋" w:hAnsi="仿宋" w:eastAsia="仿宋" w:cs="仿宋"/>
          <w:color w:val="auto"/>
          <w:sz w:val="32"/>
          <w:szCs w:val="32"/>
          <w:highlight w:val="none"/>
          <w:lang w:eastAsia="zh-CN"/>
        </w:rPr>
        <w:t>终止合同：</w:t>
      </w:r>
    </w:p>
    <w:p w14:paraId="00ABEC3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320" w:firstLineChars="1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①</w:t>
      </w:r>
      <w:r>
        <w:rPr>
          <w:rFonts w:hint="eastAsia" w:ascii="仿宋" w:hAnsi="仿宋" w:eastAsia="仿宋" w:cs="仿宋"/>
          <w:color w:val="auto"/>
          <w:sz w:val="32"/>
          <w:szCs w:val="32"/>
          <w:highlight w:val="none"/>
          <w:lang w:eastAsia="zh-CN"/>
        </w:rPr>
        <w:t>乙方</w:t>
      </w:r>
      <w:r>
        <w:rPr>
          <w:rFonts w:hint="eastAsia" w:ascii="仿宋" w:hAnsi="仿宋" w:eastAsia="仿宋" w:cs="仿宋"/>
          <w:color w:val="auto"/>
          <w:sz w:val="32"/>
          <w:szCs w:val="32"/>
          <w:highlight w:val="none"/>
        </w:rPr>
        <w:t>如不按要求使用</w:t>
      </w:r>
      <w:r>
        <w:rPr>
          <w:rFonts w:hint="eastAsia" w:ascii="仿宋" w:hAnsi="仿宋" w:eastAsia="仿宋" w:cs="仿宋"/>
          <w:color w:val="auto"/>
          <w:sz w:val="32"/>
          <w:szCs w:val="32"/>
          <w:highlight w:val="none"/>
          <w:lang w:eastAsia="zh-CN"/>
        </w:rPr>
        <w:t>项目资金</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lang w:eastAsia="zh-CN"/>
        </w:rPr>
        <w:t>，且用于本项目之外，</w:t>
      </w:r>
      <w:r>
        <w:rPr>
          <w:rFonts w:hint="eastAsia" w:ascii="仿宋" w:hAnsi="仿宋" w:eastAsia="仿宋" w:cs="仿宋"/>
          <w:color w:val="auto"/>
          <w:sz w:val="32"/>
          <w:szCs w:val="32"/>
          <w:highlight w:val="none"/>
        </w:rPr>
        <w:t>乙方应返还甲方所拨的款项；</w:t>
      </w:r>
    </w:p>
    <w:p w14:paraId="7605B268">
      <w:pPr>
        <w:pStyle w:val="10"/>
        <w:keepNext w:val="0"/>
        <w:keepLines w:val="0"/>
        <w:pageBreakBefore w:val="0"/>
        <w:widowControl w:val="0"/>
        <w:kinsoku/>
        <w:wordWrap/>
        <w:overflowPunct/>
        <w:topLinePunct w:val="0"/>
        <w:bidi w:val="0"/>
        <w:adjustRightInd w:val="0"/>
        <w:spacing w:line="560" w:lineRule="exact"/>
        <w:ind w:right="0" w:rightChars="0" w:firstLine="0" w:firstLineChars="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②</w:t>
      </w:r>
      <w:r>
        <w:rPr>
          <w:rFonts w:hint="eastAsia" w:ascii="仿宋" w:hAnsi="仿宋" w:eastAsia="仿宋" w:cs="仿宋"/>
          <w:color w:val="auto"/>
          <w:sz w:val="32"/>
          <w:szCs w:val="32"/>
          <w:highlight w:val="none"/>
          <w:lang w:eastAsia="zh-CN"/>
        </w:rPr>
        <w:t>乙方应按时发放社工薪酬，拖欠本项目社工工资一个月以上</w:t>
      </w:r>
      <w:r>
        <w:rPr>
          <w:rFonts w:hint="eastAsia" w:ascii="仿宋" w:hAnsi="仿宋" w:eastAsia="仿宋" w:cs="仿宋"/>
          <w:color w:val="auto"/>
          <w:sz w:val="32"/>
          <w:szCs w:val="32"/>
          <w:highlight w:val="none"/>
          <w:lang w:val="en-US" w:eastAsia="zh-CN"/>
        </w:rPr>
        <w:t>。</w:t>
      </w:r>
    </w:p>
    <w:p w14:paraId="13D82102">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具体履约过程中如乙方和</w:t>
      </w: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发生争议，甲方应承担协调处理的职责。</w:t>
      </w:r>
    </w:p>
    <w:p w14:paraId="02C0AB4A">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若不当使用社工，或让社工所做工作超出社工专业服务范畴的，情节严重的，经核查属实，甲方和乙方有权终止本协议。</w:t>
      </w:r>
    </w:p>
    <w:p w14:paraId="2DFA579B">
      <w:pPr>
        <w:keepNext w:val="0"/>
        <w:keepLines w:val="0"/>
        <w:pageBreakBefore w:val="0"/>
        <w:numPr>
          <w:ilvl w:val="0"/>
          <w:numId w:val="6"/>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乙方的权利和义务</w:t>
      </w:r>
    </w:p>
    <w:p w14:paraId="7AADB1ED">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乙方在收取甲方拨付的款项时，需先提供给甲方正式票据；乙方应严格按照要求将代收代付的资助款项适用于社工工资薪酬、社工服务活动开展以及社工办公经费等</w:t>
      </w:r>
      <w:r>
        <w:rPr>
          <w:rFonts w:hint="eastAsia" w:ascii="仿宋" w:hAnsi="仿宋" w:eastAsia="仿宋" w:cs="仿宋"/>
          <w:color w:val="auto"/>
          <w:sz w:val="32"/>
          <w:szCs w:val="32"/>
          <w:highlight w:val="none"/>
          <w:lang w:eastAsia="zh-CN"/>
        </w:rPr>
        <w:t>。</w:t>
      </w:r>
    </w:p>
    <w:p w14:paraId="06ADEC53">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乙方项目派驻社工，</w:t>
      </w:r>
      <w:r>
        <w:rPr>
          <w:rFonts w:hint="eastAsia" w:ascii="仿宋" w:hAnsi="仿宋" w:eastAsia="仿宋" w:cs="仿宋"/>
          <w:color w:val="auto"/>
          <w:sz w:val="32"/>
          <w:szCs w:val="32"/>
          <w:highlight w:val="none"/>
          <w:lang w:eastAsia="zh-CN"/>
        </w:rPr>
        <w:t>合同前三个月不允许人员变动，经第三方评估统一考核后按照购买方要求更换不合格社工，</w:t>
      </w:r>
      <w:r>
        <w:rPr>
          <w:rFonts w:hint="eastAsia" w:ascii="仿宋" w:hAnsi="仿宋" w:eastAsia="仿宋" w:cs="仿宋"/>
          <w:color w:val="auto"/>
          <w:sz w:val="32"/>
          <w:szCs w:val="32"/>
          <w:highlight w:val="none"/>
          <w:lang w:val="en-US" w:eastAsia="zh-CN"/>
        </w:rPr>
        <w:t>服务需求方若建议更换项目负责人、派驻人员时，社工机构需及时与甲方沟通，协商后在进行调整。</w:t>
      </w:r>
      <w:r>
        <w:rPr>
          <w:rFonts w:hint="eastAsia" w:ascii="仿宋" w:hAnsi="仿宋" w:eastAsia="仿宋" w:cs="仿宋"/>
          <w:color w:val="auto"/>
          <w:sz w:val="32"/>
          <w:szCs w:val="32"/>
          <w:highlight w:val="none"/>
        </w:rPr>
        <w:t>项目全年人员变动</w:t>
      </w:r>
      <w:r>
        <w:rPr>
          <w:rFonts w:hint="eastAsia" w:ascii="仿宋" w:hAnsi="仿宋" w:eastAsia="仿宋" w:cs="仿宋"/>
          <w:color w:val="auto"/>
          <w:sz w:val="32"/>
          <w:szCs w:val="32"/>
          <w:highlight w:val="none"/>
          <w:lang w:val="en-US" w:eastAsia="zh-CN"/>
        </w:rPr>
        <w:t>原则上</w:t>
      </w:r>
      <w:r>
        <w:rPr>
          <w:rFonts w:hint="eastAsia" w:ascii="仿宋" w:hAnsi="仿宋" w:eastAsia="仿宋" w:cs="仿宋"/>
          <w:color w:val="auto"/>
          <w:sz w:val="32"/>
          <w:szCs w:val="32"/>
          <w:highlight w:val="none"/>
        </w:rPr>
        <w:t>不能超过</w:t>
      </w:r>
      <w:r>
        <w:rPr>
          <w:rFonts w:hint="eastAsia" w:ascii="仿宋" w:hAnsi="仿宋" w:eastAsia="仿宋" w:cs="仿宋"/>
          <w:color w:val="auto"/>
          <w:sz w:val="32"/>
          <w:szCs w:val="32"/>
          <w:highlight w:val="none"/>
          <w:lang w:val="en-US" w:eastAsia="zh-CN"/>
        </w:rPr>
        <w:t>50%。</w:t>
      </w:r>
    </w:p>
    <w:p w14:paraId="2739C7DA">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乙方需将项目总款项的89%用于项目人员薪酬，否则，末期评估等级为“不合格”。</w:t>
      </w:r>
    </w:p>
    <w:p w14:paraId="1649914E">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乙方需完成甲方要求的其他工作。</w:t>
      </w:r>
    </w:p>
    <w:p w14:paraId="142790E4">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第九条：劳动条件</w:t>
      </w:r>
    </w:p>
    <w:p w14:paraId="28B36AB3">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乙方社工按照</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正常工作时间提供社工服务，社工工作时间与用人单位工作总时间应保持一致，原则上不少于</w:t>
      </w:r>
      <w:r>
        <w:rPr>
          <w:rFonts w:hint="eastAsia" w:ascii="仿宋" w:hAnsi="仿宋" w:eastAsia="仿宋" w:cs="仿宋"/>
          <w:color w:val="auto"/>
          <w:kern w:val="0"/>
          <w:sz w:val="32"/>
          <w:szCs w:val="32"/>
          <w:highlight w:val="none"/>
          <w:lang w:val="en-US" w:eastAsia="zh-CN"/>
        </w:rPr>
        <w:t>40</w:t>
      </w:r>
      <w:r>
        <w:rPr>
          <w:rFonts w:hint="eastAsia" w:ascii="仿宋" w:hAnsi="仿宋" w:eastAsia="仿宋" w:cs="仿宋"/>
          <w:color w:val="auto"/>
          <w:kern w:val="0"/>
          <w:sz w:val="32"/>
          <w:szCs w:val="32"/>
          <w:highlight w:val="none"/>
        </w:rPr>
        <w:t>小时/周</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回乙方接受培训</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督导等</w:t>
      </w:r>
      <w:r>
        <w:rPr>
          <w:rFonts w:hint="eastAsia" w:ascii="仿宋" w:hAnsi="仿宋" w:eastAsia="仿宋" w:cs="仿宋"/>
          <w:color w:val="auto"/>
          <w:kern w:val="0"/>
          <w:sz w:val="32"/>
          <w:szCs w:val="32"/>
          <w:highlight w:val="none"/>
        </w:rPr>
        <w:t>时间不得与</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的正常工作时间冲突。</w:t>
      </w:r>
    </w:p>
    <w:p w14:paraId="630E3D4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第十条：服务承诺</w:t>
      </w:r>
    </w:p>
    <w:p w14:paraId="1C3478DA">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乙方应承诺根据服务单位要求修改、完善实施方案及提交的成果，满足需求。</w:t>
      </w:r>
    </w:p>
    <w:p w14:paraId="2B4C02C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乙方须对服务方案的实施、验收、培训、应用等提供协助和技术支持。</w:t>
      </w:r>
    </w:p>
    <w:p w14:paraId="5443765C">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乙方需要按照计划书所写内容开展服务，接受甲方代表到项目（岗位）点考察。</w:t>
      </w:r>
    </w:p>
    <w:p w14:paraId="04251CF0">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乙方需向甲方提供项目（岗位）工作人员的学历、技术职称等基本信息。</w:t>
      </w:r>
    </w:p>
    <w:p w14:paraId="51ABDA35">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乙方需接受甲方对项目（岗位）提供督导和评估，以便共同研究，</w:t>
      </w:r>
      <w:r>
        <w:rPr>
          <w:rFonts w:hint="eastAsia" w:ascii="仿宋" w:hAnsi="仿宋" w:eastAsia="仿宋" w:cs="仿宋"/>
          <w:color w:val="auto"/>
          <w:sz w:val="32"/>
          <w:szCs w:val="32"/>
          <w:highlight w:val="none"/>
          <w:lang w:eastAsia="zh-CN"/>
        </w:rPr>
        <w:t>双方</w:t>
      </w:r>
      <w:r>
        <w:rPr>
          <w:rFonts w:hint="eastAsia" w:ascii="仿宋" w:hAnsi="仿宋" w:eastAsia="仿宋" w:cs="仿宋"/>
          <w:color w:val="auto"/>
          <w:sz w:val="32"/>
          <w:szCs w:val="32"/>
          <w:highlight w:val="none"/>
        </w:rPr>
        <w:t>有权共同使用项目数据和资料。</w:t>
      </w:r>
    </w:p>
    <w:p w14:paraId="6CDD379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乙方需要留有项目财务支出单据，以供复查，对欠缺有效单据的支出，甲方不予承认。</w:t>
      </w:r>
    </w:p>
    <w:p w14:paraId="351A93BF">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乙方若有重大财务变动，需要提交书面申请，经批准后才可调配。</w:t>
      </w:r>
    </w:p>
    <w:p w14:paraId="41C5AC0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乙方在该项目（岗位）中所制作的宣传材料需放置“20</w:t>
      </w:r>
      <w:r>
        <w:rPr>
          <w:rFonts w:hint="eastAsia" w:ascii="仿宋" w:hAnsi="仿宋" w:eastAsia="仿宋" w:cs="仿宋"/>
          <w:color w:val="auto"/>
          <w:sz w:val="32"/>
          <w:szCs w:val="32"/>
          <w:highlight w:val="none"/>
          <w:lang w:val="en-US" w:eastAsia="zh-CN"/>
        </w:rPr>
        <w:t>24</w:t>
      </w:r>
      <w:r>
        <w:rPr>
          <w:rFonts w:hint="eastAsia" w:ascii="仿宋" w:hAnsi="仿宋" w:eastAsia="仿宋" w:cs="仿宋"/>
          <w:color w:val="auto"/>
          <w:sz w:val="32"/>
          <w:szCs w:val="32"/>
          <w:highlight w:val="none"/>
        </w:rPr>
        <w:t>年郑州市郑东新区政府购买社会工作服务”专用标志，除此之外使用标志需要经甲方书面授权。</w:t>
      </w:r>
    </w:p>
    <w:p w14:paraId="74D82586">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乙方应于整个项目结束后的十五个工作日内，向甲方递交包含账目结算在内的完整自评报告。</w:t>
      </w:r>
    </w:p>
    <w:p w14:paraId="4665076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乙方应遵守以上各条款，否则甲方有权随时终止项目，并追回拨款，相关不良记录将影响乙方日后的政府购买社会工作服务申请。</w:t>
      </w:r>
    </w:p>
    <w:p w14:paraId="1DB3E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第十一条：拨款方式</w:t>
      </w:r>
    </w:p>
    <w:p w14:paraId="7D5912F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项目付款比例依据各阶段</w:t>
      </w:r>
      <w:r>
        <w:rPr>
          <w:rFonts w:hint="eastAsia" w:ascii="仿宋" w:hAnsi="仿宋" w:eastAsia="仿宋" w:cs="仿宋"/>
          <w:color w:val="auto"/>
          <w:sz w:val="32"/>
          <w:szCs w:val="32"/>
          <w:highlight w:val="none"/>
        </w:rPr>
        <w:t>第三方评估</w:t>
      </w:r>
      <w:r>
        <w:rPr>
          <w:rFonts w:hint="eastAsia" w:ascii="仿宋" w:hAnsi="仿宋" w:eastAsia="仿宋" w:cs="仿宋"/>
          <w:color w:val="auto"/>
          <w:sz w:val="32"/>
          <w:szCs w:val="32"/>
          <w:highlight w:val="none"/>
          <w:lang w:val="en-US" w:eastAsia="zh-CN"/>
        </w:rPr>
        <w:t>结果档次而定，</w:t>
      </w:r>
      <w:r>
        <w:rPr>
          <w:rFonts w:hint="eastAsia" w:ascii="仿宋" w:hAnsi="仿宋" w:eastAsia="仿宋" w:cs="仿宋"/>
          <w:color w:val="auto"/>
          <w:sz w:val="32"/>
          <w:szCs w:val="32"/>
          <w:highlight w:val="none"/>
        </w:rPr>
        <w:t>总分分为</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个档次，</w:t>
      </w:r>
      <w:r>
        <w:rPr>
          <w:rFonts w:hint="eastAsia" w:ascii="仿宋" w:hAnsi="仿宋" w:eastAsia="仿宋" w:cs="仿宋"/>
          <w:color w:val="auto"/>
          <w:sz w:val="32"/>
          <w:szCs w:val="32"/>
          <w:highlight w:val="none"/>
          <w:lang w:val="en-US" w:eastAsia="zh-CN"/>
        </w:rPr>
        <w:t>依据评估分数分为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优秀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良好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不合格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w:t>
      </w:r>
    </w:p>
    <w:p w14:paraId="0A4F52D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0"/>
          <w:sz w:val="32"/>
          <w:szCs w:val="32"/>
          <w:highlight w:val="none"/>
        </w:rPr>
        <w:t>本项目</w:t>
      </w:r>
      <w:r>
        <w:rPr>
          <w:rFonts w:hint="eastAsia" w:ascii="仿宋" w:hAnsi="仿宋" w:eastAsia="仿宋" w:cs="仿宋"/>
          <w:color w:val="auto"/>
          <w:kern w:val="0"/>
          <w:sz w:val="32"/>
          <w:szCs w:val="32"/>
          <w:highlight w:val="none"/>
          <w:lang w:val="en-US" w:eastAsia="zh-CN"/>
        </w:rPr>
        <w:t>款以</w:t>
      </w:r>
      <w:r>
        <w:rPr>
          <w:rFonts w:hint="eastAsia" w:ascii="仿宋" w:hAnsi="仿宋" w:eastAsia="仿宋" w:cs="仿宋"/>
          <w:color w:val="auto"/>
          <w:kern w:val="0"/>
          <w:sz w:val="32"/>
          <w:szCs w:val="32"/>
          <w:highlight w:val="none"/>
        </w:rPr>
        <w:t>转账形式</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分</w:t>
      </w:r>
      <w:r>
        <w:rPr>
          <w:rFonts w:hint="eastAsia" w:ascii="仿宋" w:hAnsi="仿宋" w:eastAsia="仿宋" w:cs="仿宋"/>
          <w:color w:val="auto"/>
          <w:kern w:val="0"/>
          <w:sz w:val="32"/>
          <w:szCs w:val="32"/>
          <w:highlight w:val="none"/>
          <w:lang w:val="en-US" w:eastAsia="zh-CN"/>
        </w:rPr>
        <w:t>三</w:t>
      </w:r>
      <w:r>
        <w:rPr>
          <w:rFonts w:hint="eastAsia" w:ascii="仿宋" w:hAnsi="仿宋" w:eastAsia="仿宋" w:cs="仿宋"/>
          <w:color w:val="auto"/>
          <w:kern w:val="0"/>
          <w:sz w:val="32"/>
          <w:szCs w:val="32"/>
          <w:highlight w:val="none"/>
        </w:rPr>
        <w:t>次拨付。</w:t>
      </w:r>
      <w:r>
        <w:rPr>
          <w:rFonts w:hint="eastAsia" w:ascii="仿宋" w:hAnsi="仿宋" w:eastAsia="仿宋" w:cs="仿宋"/>
          <w:color w:val="auto"/>
          <w:kern w:val="0"/>
          <w:sz w:val="32"/>
          <w:szCs w:val="32"/>
          <w:highlight w:val="none"/>
          <w:lang w:val="en-US" w:eastAsia="zh-CN"/>
        </w:rPr>
        <w:t>第一次，</w:t>
      </w:r>
      <w:r>
        <w:rPr>
          <w:rFonts w:hint="eastAsia" w:ascii="仿宋" w:hAnsi="仿宋" w:eastAsia="仿宋" w:cs="仿宋"/>
          <w:color w:val="auto"/>
          <w:kern w:val="0"/>
          <w:sz w:val="32"/>
          <w:szCs w:val="32"/>
          <w:highlight w:val="none"/>
        </w:rPr>
        <w:t>甲方于项目合同签订之日起30天内拨付服务总经费的</w:t>
      </w:r>
      <w:r>
        <w:rPr>
          <w:rFonts w:hint="eastAsia" w:ascii="仿宋" w:hAnsi="仿宋" w:eastAsia="仿宋" w:cs="仿宋"/>
          <w:color w:val="auto"/>
          <w:kern w:val="0"/>
          <w:sz w:val="32"/>
          <w:szCs w:val="32"/>
          <w:highlight w:val="none"/>
          <w:lang w:val="en-US" w:eastAsia="zh-CN"/>
        </w:rPr>
        <w:t>50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第二次，</w:t>
      </w:r>
      <w:r>
        <w:rPr>
          <w:rFonts w:hint="eastAsia" w:ascii="仿宋" w:hAnsi="仿宋" w:eastAsia="仿宋" w:cs="仿宋"/>
          <w:color w:val="auto"/>
          <w:kern w:val="0"/>
          <w:sz w:val="32"/>
          <w:szCs w:val="32"/>
          <w:highlight w:val="none"/>
        </w:rPr>
        <w:t>项目通过中期评估</w:t>
      </w:r>
      <w:r>
        <w:rPr>
          <w:rFonts w:hint="eastAsia" w:ascii="仿宋" w:hAnsi="仿宋" w:eastAsia="仿宋" w:cs="仿宋"/>
          <w:color w:val="auto"/>
          <w:kern w:val="0"/>
          <w:sz w:val="32"/>
          <w:szCs w:val="32"/>
          <w:highlight w:val="none"/>
          <w:lang w:val="en-US" w:eastAsia="zh-CN"/>
        </w:rPr>
        <w:t>等级为</w:t>
      </w:r>
      <w:r>
        <w:rPr>
          <w:rFonts w:hint="eastAsia" w:ascii="仿宋" w:hAnsi="仿宋" w:eastAsia="仿宋" w:cs="仿宋"/>
          <w:color w:val="auto"/>
          <w:kern w:val="0"/>
          <w:sz w:val="32"/>
          <w:szCs w:val="32"/>
          <w:highlight w:val="none"/>
        </w:rPr>
        <w:t>“合格”及以上的拨付</w:t>
      </w:r>
      <w:r>
        <w:rPr>
          <w:rFonts w:hint="eastAsia" w:ascii="仿宋" w:hAnsi="仿宋" w:eastAsia="仿宋" w:cs="仿宋"/>
          <w:color w:val="auto"/>
          <w:kern w:val="0"/>
          <w:sz w:val="32"/>
          <w:szCs w:val="32"/>
          <w:highlight w:val="none"/>
          <w:lang w:val="en-US" w:eastAsia="zh-CN"/>
        </w:rPr>
        <w:t>30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不合格</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不予拨付</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第三次，</w:t>
      </w:r>
      <w:r>
        <w:rPr>
          <w:rFonts w:hint="eastAsia" w:ascii="仿宋" w:hAnsi="仿宋" w:eastAsia="仿宋" w:cs="仿宋"/>
          <w:color w:val="auto"/>
          <w:kern w:val="0"/>
          <w:sz w:val="32"/>
          <w:szCs w:val="32"/>
          <w:highlight w:val="none"/>
        </w:rPr>
        <w:t>项目末期评估为“合格”及以上的拨付</w:t>
      </w:r>
      <w:r>
        <w:rPr>
          <w:rFonts w:hint="eastAsia" w:ascii="仿宋" w:hAnsi="仿宋" w:eastAsia="仿宋" w:cs="仿宋"/>
          <w:color w:val="auto"/>
          <w:kern w:val="0"/>
          <w:sz w:val="32"/>
          <w:szCs w:val="32"/>
          <w:highlight w:val="none"/>
          <w:lang w:val="en-US" w:eastAsia="zh-CN"/>
        </w:rPr>
        <w:t>20%</w:t>
      </w:r>
      <w:r>
        <w:rPr>
          <w:rFonts w:hint="eastAsia" w:ascii="仿宋" w:hAnsi="仿宋" w:eastAsia="仿宋" w:cs="仿宋"/>
          <w:color w:val="auto"/>
          <w:kern w:val="0"/>
          <w:sz w:val="32"/>
          <w:szCs w:val="32"/>
          <w:highlight w:val="none"/>
        </w:rPr>
        <w:t>，为“不合格”的拨付5%。</w:t>
      </w:r>
    </w:p>
    <w:p w14:paraId="7BD61CD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第十二条：技术资料</w:t>
      </w:r>
    </w:p>
    <w:p w14:paraId="15DF3FD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1.乙方应按照招标文件规定的时间向甲方提供有关技术资料。</w:t>
      </w:r>
    </w:p>
    <w:p w14:paraId="60AE6D6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2.没有其它两方书面同意，任何一方不得将有关合同或任何合同条文、规格、计划或者资料提供给与履行本合同无关的任何其他人。即使向履行本合同有关的人员提供，也应注意保密并限于履行合同的必需范围。</w:t>
      </w:r>
    </w:p>
    <w:p w14:paraId="04E7C6A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第十三条：涉及保密</w:t>
      </w:r>
    </w:p>
    <w:p w14:paraId="1A8C2CE1">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方应永久恪守因签署或履行本合同而获知的业务方面的秘密信息。任何一方如将获知的对方秘密信息泄露给第三方、应赔偿因泄密而给对方造成的一切损失并承担相应的法律责任。</w:t>
      </w:r>
    </w:p>
    <w:p w14:paraId="1C4A17B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第十四条：</w:t>
      </w:r>
      <w:r>
        <w:rPr>
          <w:rFonts w:hint="eastAsia" w:ascii="仿宋" w:hAnsi="仿宋" w:eastAsia="仿宋" w:cs="仿宋"/>
          <w:color w:val="auto"/>
          <w:sz w:val="32"/>
          <w:szCs w:val="32"/>
          <w:highlight w:val="none"/>
        </w:rPr>
        <w:t>在合同期内，任何一方不得无故单方面终止合同，如任何一方无故终止合同，须提前一个月以书面形式通知对方，并且均须赔付对方损失相当于两个月的服务费金额，以下情况除外：</w:t>
      </w:r>
    </w:p>
    <w:p w14:paraId="7249B1D6">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服务质量严重下降，导致服务单位环境不能达到合同要求标准，并经甲方多次警告及罚款均无效果，且已危害服务单位公众形象及生活环境，但因不可抗力造成的，即自然灾害、人为恶意破坏等因素引起的不在此列。</w:t>
      </w:r>
    </w:p>
    <w:p w14:paraId="79B57DC9">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甲方未能如期付款而影响乙方服务工作，受资金不到位而导致服务难以开展。</w:t>
      </w:r>
    </w:p>
    <w:p w14:paraId="120049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第十五条：违约与赔偿责任</w:t>
      </w:r>
    </w:p>
    <w:p w14:paraId="191BA145">
      <w:pPr>
        <w:keepNext w:val="0"/>
        <w:keepLines w:val="0"/>
        <w:pageBreakBefore w:val="0"/>
        <w:numPr>
          <w:ilvl w:val="0"/>
          <w:numId w:val="1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交付违约</w:t>
      </w:r>
    </w:p>
    <w:p w14:paraId="69BD991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乙方应在合同所规定的时间内完成和交付本合同规定的全部项目，如完成工作延时，甲方有权要求乙方作出补偿和采取补救措施，并继续履行本合同所规定的义务。如因甲方原因而造成的延期乙方不负延期责任。</w:t>
      </w:r>
    </w:p>
    <w:p w14:paraId="13A7B3B5">
      <w:pPr>
        <w:keepNext w:val="0"/>
        <w:keepLines w:val="0"/>
        <w:pageBreakBefore w:val="0"/>
        <w:numPr>
          <w:ilvl w:val="0"/>
          <w:numId w:val="11"/>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付款违约</w:t>
      </w:r>
    </w:p>
    <w:p w14:paraId="737BD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如甲方付款延误，应当向乙方说明原因,做好解释工作。 </w:t>
      </w:r>
    </w:p>
    <w:p w14:paraId="1E88A47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3.保密违约</w:t>
      </w:r>
    </w:p>
    <w:p w14:paraId="42112A4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任何一方违反本合同所规定的保密义务，承担由此引起的责任，违约方应按本合同总价的5%支付违约金。</w:t>
      </w:r>
    </w:p>
    <w:p w14:paraId="7405D742">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发生违约事件，守约方要求违约方支付违约金时，应以书面方式通知违约方，内容包括违约事件、违约金、支付事件和方式等，违约方在收到上述通知后，应于15天内答复对方，并支付违约金。如</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方不能就此达成一致意见，将按照本合同所规定的争端解决条款解决</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方的纠纷。</w:t>
      </w:r>
    </w:p>
    <w:p w14:paraId="279FAE41">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不可抗力</w:t>
      </w:r>
    </w:p>
    <w:p w14:paraId="69086255">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由于不可抗力（含政府相关政策重大调整及征收、拆迁等），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方协商决定是否解除合同，或者部分免除履行合同的义务，或者延期履行合同，乙方延迟</w:t>
      </w:r>
      <w:r>
        <w:rPr>
          <w:rFonts w:hint="eastAsia" w:ascii="仿宋" w:hAnsi="仿宋" w:eastAsia="仿宋" w:cs="仿宋"/>
          <w:color w:val="auto"/>
          <w:sz w:val="32"/>
          <w:szCs w:val="32"/>
          <w:highlight w:val="none"/>
          <w:lang w:val="en-US" w:eastAsia="zh-CN"/>
        </w:rPr>
        <w:t>履</w:t>
      </w:r>
      <w:r>
        <w:rPr>
          <w:rFonts w:hint="eastAsia" w:ascii="仿宋" w:hAnsi="仿宋" w:eastAsia="仿宋" w:cs="仿宋"/>
          <w:color w:val="auto"/>
          <w:sz w:val="32"/>
          <w:szCs w:val="32"/>
          <w:highlight w:val="none"/>
        </w:rPr>
        <w:t>行本合同时发生不可抗力的，迟延方的合同义务不能免除。</w:t>
      </w:r>
    </w:p>
    <w:p w14:paraId="3901B85F">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受到不可抗力影响的一方，应尽可能地采取合理的行为和适当的措施减轻不可抗力对合同的履行所造成的影响。没有采取适当措施致使损失扩大的，该方不得就扩大损失的部分要求免责或赔偿。</w:t>
      </w:r>
    </w:p>
    <w:p w14:paraId="141D5A6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第十六条：争端解决</w:t>
      </w:r>
    </w:p>
    <w:p w14:paraId="2B17A91D">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凡与合同有关而引起的一切争议，甲乙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方应首先友好协商，如经协商后仍不能达成协议时，任何一方可以向甲方所在地法院提出诉讼。本合同的诉讼管辖地为甲方所在地的法院。</w:t>
      </w:r>
    </w:p>
    <w:p w14:paraId="1880AA34">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在进行法院审理期间，除提交法院审理的事项外，合同其他部分仍应继续履行。</w:t>
      </w:r>
    </w:p>
    <w:p w14:paraId="4A3E445A">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本合同解释权归甲方。</w:t>
      </w:r>
    </w:p>
    <w:p w14:paraId="2A6D098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第十七条：</w:t>
      </w:r>
      <w:r>
        <w:rPr>
          <w:rFonts w:hint="eastAsia" w:ascii="仿宋" w:hAnsi="仿宋" w:eastAsia="仿宋" w:cs="仿宋"/>
          <w:color w:val="auto"/>
          <w:sz w:val="32"/>
          <w:szCs w:val="32"/>
          <w:highlight w:val="none"/>
        </w:rPr>
        <w:t>本合同及其附件和补充协议中为规定的事宜，均遵照中华人民共和国有关法律、法规和规章执行。</w:t>
      </w:r>
    </w:p>
    <w:p w14:paraId="2CF26630">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第十八条：</w:t>
      </w:r>
      <w:r>
        <w:rPr>
          <w:rFonts w:hint="eastAsia" w:ascii="仿宋" w:hAnsi="仿宋" w:eastAsia="仿宋" w:cs="仿宋"/>
          <w:color w:val="auto"/>
          <w:sz w:val="32"/>
          <w:szCs w:val="32"/>
          <w:highlight w:val="none"/>
        </w:rPr>
        <w:t>本合同正本共</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页，本合同正本一式</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份，甲</w:t>
      </w:r>
      <w:r>
        <w:rPr>
          <w:rFonts w:hint="eastAsia" w:ascii="仿宋" w:hAnsi="仿宋" w:eastAsia="仿宋" w:cs="仿宋"/>
          <w:color w:val="auto"/>
          <w:sz w:val="32"/>
          <w:szCs w:val="32"/>
          <w:highlight w:val="none"/>
          <w:lang w:val="en-US" w:eastAsia="zh-CN"/>
        </w:rPr>
        <w:t>方两份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乙方一份，具有同等法律效力。</w:t>
      </w:r>
    </w:p>
    <w:p w14:paraId="40A4002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第十九条：合同的生效、变更与终止</w:t>
      </w:r>
    </w:p>
    <w:p w14:paraId="154C3D95">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合同经甲乙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方代表签字盖章后生效。</w:t>
      </w:r>
    </w:p>
    <w:p w14:paraId="638878C9">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如果乙方严重违约合同，并在收到违约通知书后在30日内仍未能改正的，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方可立即终止本合同。</w:t>
      </w:r>
    </w:p>
    <w:p w14:paraId="44ECCD4F">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本合同在履行中如发生争议，</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方应协商解决；</w:t>
      </w:r>
      <w:r>
        <w:rPr>
          <w:rFonts w:hint="eastAsia" w:ascii="仿宋" w:hAnsi="仿宋" w:eastAsia="仿宋" w:cs="仿宋"/>
          <w:color w:val="auto"/>
          <w:kern w:val="0"/>
          <w:sz w:val="32"/>
          <w:szCs w:val="32"/>
          <w:highlight w:val="none"/>
        </w:rPr>
        <w:t>协商解决不成的，</w:t>
      </w:r>
      <w:r>
        <w:rPr>
          <w:rFonts w:hint="eastAsia" w:ascii="仿宋" w:hAnsi="仿宋" w:eastAsia="仿宋" w:cs="仿宋"/>
          <w:color w:val="auto"/>
          <w:sz w:val="32"/>
          <w:szCs w:val="32"/>
          <w:highlight w:val="none"/>
        </w:rPr>
        <w:t>通过法律途径解决。</w:t>
      </w:r>
    </w:p>
    <w:p w14:paraId="2F5B3CF2">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合同期满本合同自然终止。</w:t>
      </w:r>
    </w:p>
    <w:p w14:paraId="05BD4940">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105" w:right="-395" w:rightChars="-188"/>
        <w:textAlignment w:val="auto"/>
        <w:rPr>
          <w:rFonts w:hint="eastAsia" w:ascii="仿宋" w:hAnsi="仿宋" w:eastAsia="仿宋" w:cs="仿宋"/>
          <w:color w:val="auto"/>
          <w:sz w:val="32"/>
          <w:szCs w:val="32"/>
          <w:highlight w:val="none"/>
        </w:rPr>
      </w:pPr>
    </w:p>
    <w:p w14:paraId="76A93801">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r>
        <w:rPr>
          <w:rFonts w:hint="eastAsia" w:ascii="仿宋" w:hAnsi="仿宋" w:eastAsia="仿宋" w:cs="仿宋"/>
          <w:color w:val="auto"/>
          <w:sz w:val="32"/>
          <w:szCs w:val="32"/>
          <w:highlight w:val="none"/>
        </w:rPr>
        <w:t>甲    方（盖章）：</w:t>
      </w:r>
    </w:p>
    <w:p w14:paraId="1EB906D7">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日    期：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日</w:t>
      </w:r>
    </w:p>
    <w:p w14:paraId="4EDBAC7A">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pacing w:val="-20"/>
          <w:sz w:val="32"/>
          <w:szCs w:val="32"/>
          <w:highlight w:val="none"/>
          <w:lang w:val="en-US" w:eastAsia="zh-CN"/>
        </w:rPr>
      </w:pPr>
      <w:r>
        <w:rPr>
          <w:rFonts w:hint="eastAsia" w:ascii="仿宋" w:hAnsi="仿宋" w:eastAsia="仿宋" w:cs="仿宋"/>
          <w:color w:val="auto"/>
          <w:sz w:val="32"/>
          <w:szCs w:val="32"/>
          <w:highlight w:val="none"/>
        </w:rPr>
        <w:t>地    址：河南省郑州市</w:t>
      </w:r>
      <w:r>
        <w:rPr>
          <w:rFonts w:hint="eastAsia" w:ascii="仿宋" w:hAnsi="仿宋" w:eastAsia="仿宋" w:cs="仿宋"/>
          <w:color w:val="auto"/>
          <w:sz w:val="32"/>
          <w:szCs w:val="32"/>
          <w:highlight w:val="none"/>
          <w:lang w:val="en-US" w:eastAsia="zh-CN"/>
        </w:rPr>
        <w:t>龙湖中环南路金融智谷2号楼</w:t>
      </w:r>
    </w:p>
    <w:p w14:paraId="3EC3BE31">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邮政编号：450003</w:t>
      </w:r>
    </w:p>
    <w:p w14:paraId="4B7727BC">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电    话：0371—67179934</w:t>
      </w:r>
      <w:r>
        <w:rPr>
          <w:rFonts w:hint="eastAsia" w:ascii="仿宋" w:hAnsi="仿宋" w:eastAsia="仿宋" w:cs="仿宋"/>
          <w:color w:val="auto"/>
          <w:sz w:val="32"/>
          <w:szCs w:val="32"/>
          <w:highlight w:val="none"/>
          <w:lang w:val="en-US" w:eastAsia="zh-CN"/>
        </w:rPr>
        <w:t>/67179242</w:t>
      </w:r>
    </w:p>
    <w:p w14:paraId="2347576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p>
    <w:p w14:paraId="5D03F926">
      <w:pPr>
        <w:pStyle w:val="10"/>
        <w:rPr>
          <w:rFonts w:hint="eastAsia" w:ascii="仿宋" w:hAnsi="仿宋" w:eastAsia="仿宋" w:cs="仿宋"/>
          <w:color w:val="auto"/>
          <w:sz w:val="32"/>
          <w:szCs w:val="32"/>
        </w:rPr>
      </w:pPr>
    </w:p>
    <w:p w14:paraId="6155B326">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    方（盖章）：             负责人（签字）：</w:t>
      </w:r>
    </w:p>
    <w:p w14:paraId="4A7CB514">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日    期：   年    月    日</w:t>
      </w:r>
    </w:p>
    <w:p w14:paraId="0AB46288">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地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址：</w:t>
      </w:r>
      <w:r>
        <w:rPr>
          <w:rFonts w:hint="eastAsia" w:ascii="仿宋" w:hAnsi="仿宋" w:eastAsia="仿宋" w:cs="仿宋"/>
          <w:color w:val="auto"/>
          <w:sz w:val="32"/>
          <w:szCs w:val="32"/>
          <w:lang w:val="en-US" w:eastAsia="zh-CN"/>
        </w:rPr>
        <w:t xml:space="preserve">                          </w:t>
      </w:r>
    </w:p>
    <w:p w14:paraId="4195E4A9">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电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话：</w:t>
      </w:r>
      <w:r>
        <w:rPr>
          <w:rFonts w:hint="eastAsia" w:ascii="仿宋" w:hAnsi="仿宋" w:eastAsia="仿宋" w:cs="仿宋"/>
          <w:color w:val="auto"/>
          <w:sz w:val="32"/>
          <w:szCs w:val="32"/>
          <w:lang w:val="en-US" w:eastAsia="zh-CN"/>
        </w:rPr>
        <w:t xml:space="preserve"> </w:t>
      </w:r>
    </w:p>
    <w:p w14:paraId="0CD68F9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开户银行：</w:t>
      </w:r>
    </w:p>
    <w:p w14:paraId="03BCA7A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开户账号：</w:t>
      </w:r>
    </w:p>
    <w:p w14:paraId="66F4FB66">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436911C8">
      <w:pPr>
        <w:widowControl/>
        <w:jc w:val="center"/>
        <w:rPr>
          <w:rFonts w:ascii="宋体" w:hAnsi="宋体" w:cs="宋体"/>
          <w:b/>
          <w:bCs/>
          <w:color w:val="000000"/>
          <w:kern w:val="0"/>
          <w:sz w:val="24"/>
          <w:lang w:bidi="ar"/>
        </w:rPr>
      </w:pPr>
      <w:r>
        <w:rPr>
          <w:rFonts w:hint="eastAsia" w:ascii="宋体" w:hAnsi="宋体" w:cs="宋体"/>
          <w:b/>
          <w:bCs/>
          <w:color w:val="000000"/>
          <w:kern w:val="0"/>
          <w:sz w:val="24"/>
          <w:lang w:bidi="ar"/>
        </w:rPr>
        <w:t>政府采购廉政合同</w:t>
      </w:r>
    </w:p>
    <w:p w14:paraId="46729C08">
      <w:pPr>
        <w:pStyle w:val="45"/>
        <w:spacing w:line="360" w:lineRule="auto"/>
        <w:jc w:val="center"/>
      </w:pPr>
    </w:p>
    <w:p w14:paraId="2638B3A0">
      <w:pPr>
        <w:pStyle w:val="10"/>
        <w:spacing w:line="360" w:lineRule="auto"/>
        <w:ind w:firstLine="480"/>
        <w:rPr>
          <w:rFonts w:hAnsi="宋体"/>
          <w:color w:val="auto"/>
          <w:sz w:val="21"/>
          <w:szCs w:val="21"/>
        </w:rPr>
      </w:pPr>
      <w:r>
        <w:rPr>
          <w:rFonts w:hint="eastAsia" w:hAnsi="宋体"/>
          <w:color w:val="auto"/>
          <w:sz w:val="21"/>
          <w:szCs w:val="21"/>
        </w:rPr>
        <w:t xml:space="preserve">甲方（购货方）： </w:t>
      </w:r>
    </w:p>
    <w:p w14:paraId="63C64839">
      <w:pPr>
        <w:pStyle w:val="10"/>
        <w:spacing w:line="360" w:lineRule="auto"/>
        <w:ind w:firstLine="480"/>
        <w:rPr>
          <w:rFonts w:hAnsi="宋体"/>
          <w:color w:val="auto"/>
          <w:sz w:val="21"/>
          <w:szCs w:val="21"/>
        </w:rPr>
      </w:pPr>
      <w:r>
        <w:rPr>
          <w:rFonts w:hint="eastAsia" w:hAnsi="宋体"/>
          <w:color w:val="auto"/>
          <w:sz w:val="21"/>
          <w:szCs w:val="21"/>
        </w:rPr>
        <w:t>乙方（供货方）：</w:t>
      </w:r>
    </w:p>
    <w:p w14:paraId="418A9E89">
      <w:pPr>
        <w:pStyle w:val="10"/>
        <w:spacing w:line="360" w:lineRule="auto"/>
        <w:ind w:firstLine="480"/>
        <w:rPr>
          <w:rFonts w:hAnsi="宋体"/>
          <w:color w:val="auto"/>
          <w:sz w:val="21"/>
          <w:szCs w:val="21"/>
        </w:rPr>
      </w:pPr>
      <w:r>
        <w:rPr>
          <w:rFonts w:hint="eastAsia" w:hAnsi="宋体"/>
          <w:color w:val="auto"/>
          <w:sz w:val="21"/>
          <w:szCs w:val="21"/>
        </w:rPr>
        <w:t>为促进甲乙双方廉洁高效合作，促使甲乙双方工作人员廉洁从业，不断推动党风廉政建设工作，按照《合同法》和国家其他有关法律法规、廉政规定，经甲乙双方协商一致，自愿签订以下廉政合同。</w:t>
      </w:r>
    </w:p>
    <w:p w14:paraId="20D9C10A">
      <w:pPr>
        <w:pStyle w:val="10"/>
        <w:spacing w:line="360" w:lineRule="auto"/>
        <w:ind w:firstLine="480"/>
        <w:rPr>
          <w:rFonts w:hAnsi="宋体"/>
          <w:color w:val="auto"/>
          <w:sz w:val="21"/>
          <w:szCs w:val="21"/>
        </w:rPr>
      </w:pPr>
      <w:r>
        <w:rPr>
          <w:rFonts w:hint="eastAsia" w:hAnsi="宋体"/>
          <w:color w:val="auto"/>
          <w:sz w:val="21"/>
          <w:szCs w:val="21"/>
        </w:rPr>
        <w:t xml:space="preserve">第一条：甲乙双方的权利和义务 </w:t>
      </w:r>
    </w:p>
    <w:p w14:paraId="69362A17">
      <w:pPr>
        <w:pStyle w:val="10"/>
        <w:spacing w:line="360" w:lineRule="auto"/>
        <w:ind w:firstLine="480"/>
        <w:rPr>
          <w:rFonts w:hAnsi="宋体"/>
          <w:color w:val="auto"/>
          <w:sz w:val="21"/>
          <w:szCs w:val="21"/>
        </w:rPr>
      </w:pPr>
      <w:r>
        <w:rPr>
          <w:rFonts w:hint="eastAsia" w:hAnsi="宋体"/>
          <w:color w:val="auto"/>
          <w:sz w:val="21"/>
          <w:szCs w:val="21"/>
        </w:rPr>
        <w:t xml:space="preserve">（一）严格遵守党和国家有关法律法规及党风廉政建设各项规定。 </w:t>
      </w:r>
    </w:p>
    <w:p w14:paraId="46EEEF9C">
      <w:pPr>
        <w:pStyle w:val="10"/>
        <w:spacing w:line="360" w:lineRule="auto"/>
        <w:ind w:firstLine="480"/>
        <w:rPr>
          <w:rFonts w:hAnsi="宋体"/>
          <w:color w:val="auto"/>
          <w:sz w:val="21"/>
          <w:szCs w:val="21"/>
        </w:rPr>
      </w:pPr>
      <w:r>
        <w:rPr>
          <w:rFonts w:hint="eastAsia" w:hAnsi="宋体"/>
          <w:color w:val="auto"/>
          <w:sz w:val="21"/>
          <w:szCs w:val="21"/>
        </w:rPr>
        <w:t xml:space="preserve">（二）严格履行《中华人民共和国反不正当竞争法》、《关于禁止商业贿赂行为的暂行规定》各项约定，杜绝违约行为的发生。 </w:t>
      </w:r>
    </w:p>
    <w:p w14:paraId="211978D6">
      <w:pPr>
        <w:pStyle w:val="10"/>
        <w:spacing w:line="360" w:lineRule="auto"/>
        <w:ind w:firstLine="480"/>
        <w:rPr>
          <w:rFonts w:hAnsi="宋体"/>
          <w:color w:val="auto"/>
          <w:sz w:val="21"/>
          <w:szCs w:val="21"/>
        </w:rPr>
      </w:pPr>
      <w:r>
        <w:rPr>
          <w:rFonts w:hint="eastAsia" w:hAnsi="宋体"/>
          <w:color w:val="auto"/>
          <w:sz w:val="21"/>
          <w:szCs w:val="21"/>
        </w:rPr>
        <w:t xml:space="preserve">（三）双方的业务活动坚持公开、公平、公正、诚信的原则（除法律认定的商业秘密和合同文件另有规定之外），严禁损害国家和集体利益，违反法律法规及规章制度。 </w:t>
      </w:r>
    </w:p>
    <w:p w14:paraId="63B9CCA0">
      <w:pPr>
        <w:pStyle w:val="10"/>
        <w:spacing w:line="360" w:lineRule="auto"/>
        <w:ind w:firstLine="480"/>
        <w:rPr>
          <w:rFonts w:hAnsi="宋体"/>
          <w:color w:val="auto"/>
          <w:sz w:val="21"/>
          <w:szCs w:val="21"/>
        </w:rPr>
      </w:pPr>
      <w:r>
        <w:rPr>
          <w:rFonts w:hint="eastAsia" w:hAnsi="宋体"/>
          <w:color w:val="auto"/>
          <w:sz w:val="21"/>
          <w:szCs w:val="21"/>
        </w:rPr>
        <w:t xml:space="preserve">（四）建立健全党风廉政建设各项制度，开展党风廉政建设宣传教育，加强对本方工作人员的监督检查。 </w:t>
      </w:r>
    </w:p>
    <w:p w14:paraId="71F36433">
      <w:pPr>
        <w:pStyle w:val="10"/>
        <w:spacing w:line="360" w:lineRule="auto"/>
        <w:ind w:firstLine="480"/>
        <w:rPr>
          <w:rFonts w:hAnsi="宋体"/>
          <w:color w:val="auto"/>
          <w:sz w:val="21"/>
          <w:szCs w:val="21"/>
        </w:rPr>
      </w:pPr>
      <w:r>
        <w:rPr>
          <w:rFonts w:hint="eastAsia" w:hAnsi="宋体"/>
          <w:color w:val="auto"/>
          <w:sz w:val="21"/>
          <w:szCs w:val="21"/>
        </w:rPr>
        <w:t xml:space="preserve">（五）发现对方在业务活动中有违反廉政规定和本合同约定的行为时，有及时提醒和督促对方纠正的权利和义务。 </w:t>
      </w:r>
    </w:p>
    <w:p w14:paraId="05550608">
      <w:pPr>
        <w:pStyle w:val="10"/>
        <w:spacing w:line="360" w:lineRule="auto"/>
        <w:ind w:firstLine="480"/>
        <w:rPr>
          <w:rFonts w:hAnsi="宋体"/>
          <w:color w:val="auto"/>
          <w:sz w:val="21"/>
          <w:szCs w:val="21"/>
        </w:rPr>
      </w:pPr>
      <w:r>
        <w:rPr>
          <w:rFonts w:hint="eastAsia" w:hAnsi="宋体"/>
          <w:color w:val="auto"/>
          <w:sz w:val="21"/>
          <w:szCs w:val="21"/>
        </w:rPr>
        <w:t xml:space="preserve">（六）发现对方在业务活动中有违反廉政规定和本合同约定的行为时，有权向对方主管部门或有关机构检举、揭发。 </w:t>
      </w:r>
    </w:p>
    <w:p w14:paraId="0457ACCB">
      <w:pPr>
        <w:pStyle w:val="10"/>
        <w:spacing w:line="360" w:lineRule="auto"/>
        <w:ind w:firstLine="480"/>
        <w:rPr>
          <w:rFonts w:hAnsi="宋体"/>
          <w:color w:val="auto"/>
          <w:sz w:val="21"/>
          <w:szCs w:val="21"/>
        </w:rPr>
      </w:pPr>
      <w:r>
        <w:rPr>
          <w:rFonts w:hint="eastAsia" w:hAnsi="宋体"/>
          <w:color w:val="auto"/>
          <w:sz w:val="21"/>
          <w:szCs w:val="21"/>
        </w:rPr>
        <w:t xml:space="preserve">（七）经济合同变更时廉政合同内容也应做相应调整，并履行有关手续。 </w:t>
      </w:r>
    </w:p>
    <w:p w14:paraId="1538AAFA">
      <w:pPr>
        <w:pStyle w:val="10"/>
        <w:spacing w:line="360" w:lineRule="auto"/>
        <w:ind w:firstLine="480"/>
        <w:rPr>
          <w:rFonts w:hAnsi="宋体"/>
          <w:color w:val="auto"/>
          <w:sz w:val="21"/>
          <w:szCs w:val="21"/>
        </w:rPr>
      </w:pPr>
      <w:r>
        <w:rPr>
          <w:rFonts w:hint="eastAsia" w:hAnsi="宋体"/>
          <w:color w:val="auto"/>
          <w:sz w:val="21"/>
          <w:szCs w:val="21"/>
        </w:rPr>
        <w:t xml:space="preserve">第二条：甲方在廉政建设方面义务 </w:t>
      </w:r>
    </w:p>
    <w:p w14:paraId="5FD81FE6">
      <w:pPr>
        <w:pStyle w:val="10"/>
        <w:spacing w:line="360" w:lineRule="auto"/>
        <w:ind w:firstLine="480"/>
        <w:rPr>
          <w:rFonts w:hAnsi="宋体"/>
          <w:color w:val="auto"/>
          <w:sz w:val="21"/>
          <w:szCs w:val="21"/>
        </w:rPr>
      </w:pPr>
      <w:r>
        <w:rPr>
          <w:rFonts w:hint="eastAsia" w:hAnsi="宋体"/>
          <w:color w:val="auto"/>
          <w:sz w:val="21"/>
          <w:szCs w:val="21"/>
        </w:rPr>
        <w:t xml:space="preserve">（一）甲方不准以任何形式向乙方及其工作人员馈赠礼金、礼品、有价证券、支付凭证、贵重物品等财物； </w:t>
      </w:r>
    </w:p>
    <w:p w14:paraId="0707C3D4">
      <w:pPr>
        <w:pStyle w:val="10"/>
        <w:spacing w:line="360" w:lineRule="auto"/>
        <w:ind w:firstLine="480"/>
        <w:rPr>
          <w:rFonts w:hAnsi="宋体"/>
          <w:color w:val="auto"/>
          <w:sz w:val="21"/>
          <w:szCs w:val="21"/>
        </w:rPr>
      </w:pPr>
      <w:r>
        <w:rPr>
          <w:rFonts w:hint="eastAsia" w:hAnsi="宋体"/>
          <w:color w:val="auto"/>
          <w:sz w:val="21"/>
          <w:szCs w:val="21"/>
        </w:rPr>
        <w:t xml:space="preserve">（二）甲方不准以任何名义为乙方及其工作人员报销应由乙方或个人支付的任何费用。 </w:t>
      </w:r>
    </w:p>
    <w:p w14:paraId="60D96713">
      <w:pPr>
        <w:pStyle w:val="10"/>
        <w:spacing w:line="360" w:lineRule="auto"/>
        <w:ind w:firstLine="480"/>
        <w:rPr>
          <w:rFonts w:hAnsi="宋体"/>
          <w:color w:val="auto"/>
          <w:sz w:val="21"/>
          <w:szCs w:val="21"/>
        </w:rPr>
      </w:pPr>
      <w:r>
        <w:rPr>
          <w:rFonts w:hint="eastAsia" w:hAnsi="宋体"/>
          <w:color w:val="auto"/>
          <w:sz w:val="21"/>
          <w:szCs w:val="21"/>
        </w:rPr>
        <w:t xml:space="preserve">（三）甲方不准以任何理由邀请乙方工作人员参加有影响合作业务的宴请及娱乐活动；不准为其提供通讯工具、交通工具、高档办公用品等。 </w:t>
      </w:r>
    </w:p>
    <w:p w14:paraId="30A6D6F2">
      <w:pPr>
        <w:pStyle w:val="10"/>
        <w:spacing w:line="360" w:lineRule="auto"/>
        <w:ind w:firstLine="480"/>
        <w:rPr>
          <w:rFonts w:hAnsi="宋体"/>
          <w:color w:val="auto"/>
          <w:sz w:val="21"/>
          <w:szCs w:val="21"/>
        </w:rPr>
      </w:pPr>
      <w:r>
        <w:rPr>
          <w:rFonts w:hint="eastAsia" w:hAnsi="宋体"/>
          <w:color w:val="auto"/>
          <w:sz w:val="21"/>
          <w:szCs w:val="21"/>
        </w:rPr>
        <w:t xml:space="preserve">（四）甲方不准为乙方工作人员在住房装修、婚丧嫁娶、配偶、子女、亲友出国（境）旅游提供方便；不准为乙方工作人员的配偶、子女及有利害关系的人员安排工作或劳务。 </w:t>
      </w:r>
    </w:p>
    <w:p w14:paraId="6CECA235">
      <w:pPr>
        <w:pStyle w:val="10"/>
        <w:spacing w:line="360" w:lineRule="auto"/>
        <w:ind w:firstLine="480"/>
        <w:rPr>
          <w:rFonts w:hAnsi="宋体"/>
          <w:color w:val="auto"/>
          <w:sz w:val="21"/>
          <w:szCs w:val="21"/>
        </w:rPr>
      </w:pPr>
      <w:r>
        <w:rPr>
          <w:rFonts w:hint="eastAsia" w:hAnsi="宋体"/>
          <w:color w:val="auto"/>
          <w:sz w:val="21"/>
          <w:szCs w:val="21"/>
        </w:rPr>
        <w:t xml:space="preserve">（五）甲方及其工作人员不准与监管单位串通，违反有关规定和程序，损害乙方利益。 </w:t>
      </w:r>
    </w:p>
    <w:p w14:paraId="3D7BDABA">
      <w:pPr>
        <w:pStyle w:val="10"/>
        <w:spacing w:line="360" w:lineRule="auto"/>
        <w:ind w:firstLine="480"/>
        <w:rPr>
          <w:rFonts w:hAnsi="宋体"/>
          <w:color w:val="auto"/>
          <w:sz w:val="21"/>
          <w:szCs w:val="21"/>
        </w:rPr>
      </w:pPr>
      <w:r>
        <w:rPr>
          <w:rFonts w:hint="eastAsia" w:hAnsi="宋体"/>
          <w:color w:val="auto"/>
          <w:sz w:val="21"/>
          <w:szCs w:val="21"/>
        </w:rPr>
        <w:t xml:space="preserve">（六）不得有其他违反法律法规、党纪政纪行为。 </w:t>
      </w:r>
    </w:p>
    <w:p w14:paraId="39F74D60">
      <w:pPr>
        <w:pStyle w:val="10"/>
        <w:spacing w:line="360" w:lineRule="auto"/>
        <w:ind w:firstLine="480"/>
        <w:rPr>
          <w:rFonts w:hAnsi="宋体"/>
          <w:color w:val="auto"/>
          <w:sz w:val="21"/>
          <w:szCs w:val="21"/>
        </w:rPr>
      </w:pPr>
      <w:r>
        <w:rPr>
          <w:rFonts w:hint="eastAsia" w:hAnsi="宋体"/>
          <w:color w:val="auto"/>
          <w:sz w:val="21"/>
          <w:szCs w:val="21"/>
        </w:rPr>
        <w:t xml:space="preserve">第三条：乙方在廉政建设方面的义务 </w:t>
      </w:r>
    </w:p>
    <w:p w14:paraId="52C6ECDD">
      <w:pPr>
        <w:pStyle w:val="10"/>
        <w:spacing w:line="360" w:lineRule="auto"/>
        <w:ind w:firstLine="480"/>
        <w:rPr>
          <w:rFonts w:hAnsi="宋体"/>
          <w:color w:val="auto"/>
          <w:sz w:val="21"/>
          <w:szCs w:val="21"/>
        </w:rPr>
      </w:pPr>
      <w:r>
        <w:rPr>
          <w:rFonts w:hint="eastAsia" w:hAnsi="宋体"/>
          <w:color w:val="auto"/>
          <w:sz w:val="21"/>
          <w:szCs w:val="21"/>
        </w:rPr>
        <w:t xml:space="preserve">（一）乙方及其工作人员不得干扰协作企业正常的生产经营活动，不得以任何理由要挟甲方从事不属于甲方义务的工作。 </w:t>
      </w:r>
    </w:p>
    <w:p w14:paraId="29AC9B62">
      <w:pPr>
        <w:pStyle w:val="10"/>
        <w:spacing w:line="360" w:lineRule="auto"/>
        <w:ind w:firstLine="480"/>
        <w:rPr>
          <w:rFonts w:hAnsi="宋体"/>
          <w:color w:val="auto"/>
          <w:sz w:val="21"/>
          <w:szCs w:val="21"/>
        </w:rPr>
      </w:pPr>
      <w:r>
        <w:rPr>
          <w:rFonts w:hint="eastAsia" w:hAnsi="宋体"/>
          <w:color w:val="auto"/>
          <w:sz w:val="21"/>
          <w:szCs w:val="21"/>
        </w:rPr>
        <w:t xml:space="preserve">（二）乙方及其工作人员不得索要或接受甲方的礼金，有价证券、支付凭证、贵重物品等财物。 </w:t>
      </w:r>
    </w:p>
    <w:p w14:paraId="6F05F46E">
      <w:pPr>
        <w:pStyle w:val="10"/>
        <w:spacing w:line="360" w:lineRule="auto"/>
        <w:ind w:firstLine="480"/>
        <w:rPr>
          <w:rFonts w:hAnsi="宋体"/>
          <w:color w:val="auto"/>
          <w:sz w:val="21"/>
          <w:szCs w:val="21"/>
        </w:rPr>
      </w:pPr>
      <w:r>
        <w:rPr>
          <w:rFonts w:hint="eastAsia" w:hAnsi="宋体"/>
          <w:color w:val="auto"/>
          <w:sz w:val="21"/>
          <w:szCs w:val="21"/>
        </w:rPr>
        <w:t xml:space="preserve">（三）乙方及其工作人员不得在甲方报销应由乙方或个人支付的任何费用。 </w:t>
      </w:r>
    </w:p>
    <w:p w14:paraId="3B69E79A">
      <w:pPr>
        <w:pStyle w:val="10"/>
        <w:spacing w:line="360" w:lineRule="auto"/>
        <w:ind w:firstLine="480"/>
        <w:rPr>
          <w:rFonts w:hAnsi="宋体"/>
          <w:color w:val="auto"/>
          <w:sz w:val="21"/>
          <w:szCs w:val="21"/>
        </w:rPr>
      </w:pPr>
      <w:r>
        <w:rPr>
          <w:rFonts w:hint="eastAsia" w:hAnsi="宋体"/>
          <w:color w:val="auto"/>
          <w:sz w:val="21"/>
          <w:szCs w:val="21"/>
        </w:rPr>
        <w:t xml:space="preserve">（四）乙方工作人员不得参加甲方提供的宴请、娱乐活动、高档消费；不得要求甲方提供交通工具、通讯工具、高档办公用品等。 </w:t>
      </w:r>
    </w:p>
    <w:p w14:paraId="3180C88D">
      <w:pPr>
        <w:pStyle w:val="10"/>
        <w:spacing w:line="360" w:lineRule="auto"/>
        <w:ind w:firstLine="480"/>
        <w:rPr>
          <w:rFonts w:hAnsi="宋体"/>
          <w:color w:val="auto"/>
          <w:sz w:val="21"/>
          <w:szCs w:val="21"/>
        </w:rPr>
      </w:pPr>
      <w:r>
        <w:rPr>
          <w:rFonts w:hint="eastAsia" w:hAnsi="宋体"/>
          <w:color w:val="auto"/>
          <w:sz w:val="21"/>
          <w:szCs w:val="21"/>
        </w:rPr>
        <w:t xml:space="preserve">（五）乙方及其工作人员不得要求或者接受甲方为其住房装修、婚丧嫁娶、配偶、子女、亲友出国（境）旅游等违反规定的相关活动提供方便。 </w:t>
      </w:r>
    </w:p>
    <w:p w14:paraId="71911623">
      <w:pPr>
        <w:pStyle w:val="10"/>
        <w:spacing w:line="360" w:lineRule="auto"/>
        <w:ind w:firstLine="480"/>
        <w:rPr>
          <w:rFonts w:hAnsi="宋体"/>
          <w:color w:val="auto"/>
          <w:sz w:val="21"/>
          <w:szCs w:val="21"/>
        </w:rPr>
      </w:pPr>
      <w:r>
        <w:rPr>
          <w:rFonts w:hint="eastAsia" w:hAnsi="宋体"/>
          <w:color w:val="auto"/>
          <w:sz w:val="21"/>
          <w:szCs w:val="21"/>
        </w:rPr>
        <w:t xml:space="preserve">（六）乙方及其工作人员不得要求甲方为其配偶、子女及有利害关系的人员安排工作或劳务；不得违反规定从事与甲方施工项目有关的材料设备供应、工程分包等经济活动。 </w:t>
      </w:r>
    </w:p>
    <w:p w14:paraId="055AA612">
      <w:pPr>
        <w:pStyle w:val="10"/>
        <w:spacing w:line="360" w:lineRule="auto"/>
        <w:ind w:firstLine="480"/>
        <w:rPr>
          <w:rFonts w:hAnsi="宋体"/>
          <w:color w:val="auto"/>
          <w:sz w:val="21"/>
          <w:szCs w:val="21"/>
        </w:rPr>
      </w:pPr>
      <w:r>
        <w:rPr>
          <w:rFonts w:hint="eastAsia" w:hAnsi="宋体"/>
          <w:color w:val="auto"/>
          <w:sz w:val="21"/>
          <w:szCs w:val="21"/>
        </w:rPr>
        <w:t xml:space="preserve">（七）乙方应根据经济合同约定进度付款，不得以不正当理由拖欠款项，不得超进度拨付款。 </w:t>
      </w:r>
    </w:p>
    <w:p w14:paraId="589A882C">
      <w:pPr>
        <w:pStyle w:val="10"/>
        <w:spacing w:line="360" w:lineRule="auto"/>
        <w:ind w:firstLine="480"/>
        <w:rPr>
          <w:rFonts w:hAnsi="宋体"/>
          <w:color w:val="auto"/>
          <w:sz w:val="21"/>
          <w:szCs w:val="21"/>
        </w:rPr>
      </w:pPr>
      <w:r>
        <w:rPr>
          <w:rFonts w:hint="eastAsia" w:hAnsi="宋体"/>
          <w:color w:val="auto"/>
          <w:sz w:val="21"/>
          <w:szCs w:val="21"/>
        </w:rPr>
        <w:t xml:space="preserve">第四条：违约责任 </w:t>
      </w:r>
    </w:p>
    <w:p w14:paraId="5BFA410F">
      <w:pPr>
        <w:pStyle w:val="10"/>
        <w:spacing w:line="360" w:lineRule="auto"/>
        <w:ind w:firstLine="480"/>
        <w:rPr>
          <w:rFonts w:hAnsi="宋体"/>
          <w:color w:val="auto"/>
          <w:sz w:val="21"/>
          <w:szCs w:val="21"/>
        </w:rPr>
      </w:pPr>
      <w:r>
        <w:rPr>
          <w:rFonts w:hint="eastAsia" w:hAnsi="宋体"/>
          <w:color w:val="auto"/>
          <w:sz w:val="21"/>
          <w:szCs w:val="21"/>
        </w:rPr>
        <w:t xml:space="preserve">（一）甲方违反本《廉政合同》规定义务的，须向乙方承担经济合同总额 3%的经济违约责任。 </w:t>
      </w:r>
    </w:p>
    <w:p w14:paraId="3D33C535">
      <w:pPr>
        <w:pStyle w:val="10"/>
        <w:spacing w:line="360" w:lineRule="auto"/>
        <w:ind w:firstLine="480"/>
        <w:rPr>
          <w:rFonts w:hAnsi="宋体"/>
          <w:color w:val="auto"/>
          <w:sz w:val="21"/>
          <w:szCs w:val="21"/>
        </w:rPr>
      </w:pPr>
      <w:r>
        <w:rPr>
          <w:rFonts w:hint="eastAsia" w:hAnsi="宋体"/>
          <w:color w:val="auto"/>
          <w:sz w:val="21"/>
          <w:szCs w:val="21"/>
        </w:rPr>
        <w:t xml:space="preserve">（二）甲方发生多次违反廉政合同约定内容，乙方有权将甲方列入黑名单，禁止 3-5 年内进入乙方作业市场；给乙方造成经济损失、社会影响较大的，乙方有权终止履行合同。 </w:t>
      </w:r>
    </w:p>
    <w:p w14:paraId="36303682">
      <w:pPr>
        <w:pStyle w:val="10"/>
        <w:spacing w:line="360" w:lineRule="auto"/>
        <w:ind w:firstLine="480"/>
        <w:rPr>
          <w:rFonts w:hAnsi="宋体"/>
          <w:color w:val="auto"/>
          <w:sz w:val="21"/>
          <w:szCs w:val="21"/>
        </w:rPr>
      </w:pPr>
      <w:r>
        <w:rPr>
          <w:rFonts w:hint="eastAsia" w:hAnsi="宋体"/>
          <w:color w:val="auto"/>
          <w:sz w:val="21"/>
          <w:szCs w:val="21"/>
        </w:rPr>
        <w:t xml:space="preserve">（三）乙方若违反本《廉政合同》有关规定的，对违法违纪人员，由乙方主管部门依据有关规定查处，给甲方造成的损失，按有关规定予以赔偿。 </w:t>
      </w:r>
    </w:p>
    <w:p w14:paraId="2908F776">
      <w:pPr>
        <w:pStyle w:val="10"/>
        <w:spacing w:line="360" w:lineRule="auto"/>
        <w:ind w:firstLine="480"/>
        <w:rPr>
          <w:rFonts w:hAnsi="宋体"/>
          <w:color w:val="auto"/>
          <w:sz w:val="21"/>
          <w:szCs w:val="21"/>
        </w:rPr>
      </w:pPr>
      <w:r>
        <w:rPr>
          <w:rFonts w:hint="eastAsia" w:hAnsi="宋体"/>
          <w:color w:val="auto"/>
          <w:sz w:val="21"/>
          <w:szCs w:val="21"/>
        </w:rPr>
        <w:t xml:space="preserve">第五条：检查方式 </w:t>
      </w:r>
    </w:p>
    <w:p w14:paraId="184C7A6D">
      <w:pPr>
        <w:pStyle w:val="10"/>
        <w:spacing w:line="360" w:lineRule="auto"/>
        <w:ind w:firstLine="480"/>
        <w:rPr>
          <w:rFonts w:hAnsi="宋体"/>
          <w:color w:val="auto"/>
          <w:sz w:val="21"/>
          <w:szCs w:val="21"/>
        </w:rPr>
      </w:pPr>
      <w:r>
        <w:rPr>
          <w:rFonts w:hint="eastAsia" w:hAnsi="宋体"/>
          <w:color w:val="auto"/>
          <w:sz w:val="21"/>
          <w:szCs w:val="21"/>
        </w:rPr>
        <w:t xml:space="preserve">本合同的履约情况由甲乙双方共同派员监督，检查方式为座谈、问卷调查、查看资料或由双方约定的其他方式等。检查时间、次数、方式、检查结论等由双方协商确定。 </w:t>
      </w:r>
    </w:p>
    <w:p w14:paraId="4B3E325B">
      <w:pPr>
        <w:pStyle w:val="10"/>
        <w:spacing w:line="360" w:lineRule="auto"/>
        <w:ind w:firstLine="480"/>
        <w:rPr>
          <w:rFonts w:hAnsi="宋体"/>
          <w:color w:val="auto"/>
          <w:sz w:val="21"/>
          <w:szCs w:val="21"/>
        </w:rPr>
      </w:pPr>
      <w:r>
        <w:rPr>
          <w:rFonts w:hint="eastAsia" w:hAnsi="宋体"/>
          <w:color w:val="auto"/>
          <w:sz w:val="21"/>
          <w:szCs w:val="21"/>
        </w:rPr>
        <w:t xml:space="preserve">第六条：本合同有效期同经济合同期限。 </w:t>
      </w:r>
    </w:p>
    <w:p w14:paraId="259E8732">
      <w:pPr>
        <w:pStyle w:val="10"/>
        <w:spacing w:line="360" w:lineRule="auto"/>
        <w:ind w:firstLine="480"/>
        <w:rPr>
          <w:rFonts w:hAnsi="宋体"/>
          <w:color w:val="auto"/>
          <w:sz w:val="21"/>
          <w:szCs w:val="21"/>
        </w:rPr>
      </w:pPr>
      <w:r>
        <w:rPr>
          <w:rFonts w:hint="eastAsia" w:hAnsi="宋体"/>
          <w:color w:val="auto"/>
          <w:sz w:val="21"/>
          <w:szCs w:val="21"/>
        </w:rPr>
        <w:t xml:space="preserve">第七条：本合同为经济合同附件，与主合同具有同等法律效力，甲乙双方签署后生效。 </w:t>
      </w:r>
    </w:p>
    <w:p w14:paraId="72907C55">
      <w:pPr>
        <w:pStyle w:val="10"/>
        <w:spacing w:line="360" w:lineRule="auto"/>
        <w:ind w:firstLine="480"/>
        <w:rPr>
          <w:rFonts w:hAnsi="宋体"/>
          <w:color w:val="auto"/>
          <w:sz w:val="21"/>
          <w:szCs w:val="21"/>
        </w:rPr>
      </w:pPr>
      <w:r>
        <w:rPr>
          <w:rFonts w:hint="eastAsia" w:hAnsi="宋体"/>
          <w:color w:val="auto"/>
          <w:sz w:val="21"/>
          <w:szCs w:val="21"/>
        </w:rPr>
        <w:t>第八条：本合同一式三份，甲、乙双方、采购办各一份。</w:t>
      </w:r>
    </w:p>
    <w:p w14:paraId="57D00C15">
      <w:pPr>
        <w:pStyle w:val="10"/>
        <w:spacing w:line="360" w:lineRule="auto"/>
        <w:ind w:firstLine="480"/>
        <w:rPr>
          <w:rFonts w:hAnsi="宋体"/>
          <w:color w:val="auto"/>
          <w:sz w:val="21"/>
          <w:szCs w:val="21"/>
        </w:rPr>
      </w:pPr>
      <w:r>
        <w:rPr>
          <w:rFonts w:hint="eastAsia" w:hAnsi="宋体"/>
          <w:color w:val="auto"/>
          <w:sz w:val="21"/>
          <w:szCs w:val="21"/>
        </w:rPr>
        <w:t xml:space="preserve">甲方单位： （盖章）              乙方单位：（盖章） </w:t>
      </w:r>
    </w:p>
    <w:p w14:paraId="1E1065C8">
      <w:pPr>
        <w:pStyle w:val="10"/>
        <w:spacing w:line="360" w:lineRule="auto"/>
        <w:ind w:firstLine="480"/>
        <w:rPr>
          <w:rFonts w:hAnsi="宋体"/>
          <w:color w:val="auto"/>
          <w:sz w:val="21"/>
          <w:szCs w:val="21"/>
        </w:rPr>
      </w:pPr>
      <w:r>
        <w:rPr>
          <w:rFonts w:hint="eastAsia" w:hAnsi="宋体"/>
          <w:color w:val="auto"/>
          <w:sz w:val="21"/>
          <w:szCs w:val="21"/>
        </w:rPr>
        <w:t xml:space="preserve">法 定 代 表 人 ：                法 定 代 表 人： </w:t>
      </w:r>
    </w:p>
    <w:p w14:paraId="7C0E41C9">
      <w:pPr>
        <w:pStyle w:val="10"/>
        <w:spacing w:line="360" w:lineRule="auto"/>
        <w:ind w:firstLine="480"/>
        <w:rPr>
          <w:rFonts w:hAnsi="宋体"/>
          <w:color w:val="auto"/>
          <w:sz w:val="21"/>
          <w:szCs w:val="21"/>
        </w:rPr>
      </w:pPr>
      <w:r>
        <w:rPr>
          <w:rFonts w:hint="eastAsia" w:hAnsi="宋体"/>
          <w:color w:val="auto"/>
          <w:sz w:val="21"/>
          <w:szCs w:val="21"/>
        </w:rPr>
        <w:t xml:space="preserve">（或授权代理人）签字：           （或授权代理人）签字： </w:t>
      </w:r>
    </w:p>
    <w:p w14:paraId="29F35800">
      <w:pPr>
        <w:pStyle w:val="10"/>
        <w:spacing w:line="360" w:lineRule="auto"/>
        <w:ind w:firstLine="480"/>
        <w:rPr>
          <w:rFonts w:hAnsi="宋体"/>
          <w:color w:val="auto"/>
          <w:sz w:val="21"/>
          <w:szCs w:val="21"/>
        </w:rPr>
      </w:pPr>
      <w:r>
        <w:rPr>
          <w:rFonts w:hint="eastAsia" w:hAnsi="宋体"/>
          <w:color w:val="auto"/>
          <w:sz w:val="21"/>
          <w:szCs w:val="21"/>
        </w:rPr>
        <w:t xml:space="preserve">单位地址：                       单位地址： </w:t>
      </w:r>
    </w:p>
    <w:p w14:paraId="1BF10D83">
      <w:pPr>
        <w:pStyle w:val="10"/>
        <w:spacing w:line="360" w:lineRule="auto"/>
        <w:ind w:firstLine="480"/>
        <w:rPr>
          <w:rFonts w:hAnsi="宋体"/>
          <w:sz w:val="144"/>
          <w:szCs w:val="144"/>
        </w:rPr>
      </w:pPr>
      <w:r>
        <w:rPr>
          <w:rFonts w:hint="eastAsia" w:hAnsi="宋体"/>
          <w:color w:val="auto"/>
          <w:sz w:val="21"/>
          <w:szCs w:val="21"/>
        </w:rPr>
        <w:t>联系电话：                       联系电话：</w:t>
      </w:r>
    </w:p>
    <w:p w14:paraId="1723788F">
      <w:r>
        <w:rPr>
          <w:rFonts w:hint="eastAsia" w:ascii="宋体" w:hAnsi="宋体" w:cs="宋体"/>
          <w:szCs w:val="32"/>
        </w:rPr>
        <w:br w:type="page"/>
      </w:r>
    </w:p>
    <w:p w14:paraId="4E18ED8E">
      <w:pPr>
        <w:pStyle w:val="3"/>
        <w:spacing w:line="600" w:lineRule="auto"/>
        <w:ind w:right="420" w:rightChars="200"/>
        <w:jc w:val="center"/>
        <w:rPr>
          <w:rFonts w:hint="eastAsia" w:ascii="宋体" w:hAnsi="宋体" w:cs="宋体"/>
          <w:szCs w:val="32"/>
          <w:lang w:val="en-US" w:eastAsia="zh-CN"/>
        </w:rPr>
      </w:pPr>
      <w:bookmarkStart w:id="274" w:name="_Toc27095"/>
      <w:r>
        <w:rPr>
          <w:rFonts w:hint="eastAsia" w:ascii="宋体" w:hAnsi="宋体" w:cs="宋体"/>
          <w:szCs w:val="32"/>
        </w:rPr>
        <w:t>第</w:t>
      </w:r>
      <w:r>
        <w:rPr>
          <w:rFonts w:hint="eastAsia" w:ascii="宋体" w:hAnsi="宋体" w:cs="宋体"/>
          <w:szCs w:val="32"/>
          <w:lang w:eastAsia="zh-CN"/>
        </w:rPr>
        <w:t>五章</w:t>
      </w:r>
      <w:r>
        <w:rPr>
          <w:rFonts w:hint="eastAsia" w:ascii="宋体" w:hAnsi="宋体" w:cs="宋体"/>
          <w:szCs w:val="32"/>
          <w:lang w:val="en-US" w:eastAsia="zh-CN"/>
        </w:rPr>
        <w:t xml:space="preserve"> </w:t>
      </w:r>
      <w:bookmarkEnd w:id="265"/>
      <w:bookmarkEnd w:id="266"/>
      <w:bookmarkEnd w:id="267"/>
      <w:bookmarkEnd w:id="268"/>
      <w:bookmarkEnd w:id="274"/>
      <w:r>
        <w:rPr>
          <w:rFonts w:hint="eastAsia" w:ascii="宋体" w:hAnsi="宋体" w:cs="宋体"/>
          <w:szCs w:val="32"/>
          <w:lang w:eastAsia="zh-CN"/>
        </w:rPr>
        <w:t>服务要求</w:t>
      </w:r>
    </w:p>
    <w:p w14:paraId="49392D35">
      <w:pPr>
        <w:spacing w:line="560" w:lineRule="exact"/>
        <w:jc w:val="center"/>
        <w:rPr>
          <w:rFonts w:hint="eastAsia" w:ascii="宋体" w:hAnsi="宋体" w:eastAsia="宋体" w:cs="宋体"/>
          <w:b/>
          <w:w w:val="90"/>
          <w:sz w:val="32"/>
          <w:szCs w:val="32"/>
        </w:rPr>
      </w:pPr>
      <w:r>
        <w:rPr>
          <w:rFonts w:hint="eastAsia" w:ascii="宋体" w:hAnsi="宋体" w:eastAsia="宋体" w:cs="宋体"/>
          <w:b/>
          <w:w w:val="90"/>
          <w:sz w:val="32"/>
          <w:szCs w:val="32"/>
        </w:rPr>
        <w:t>郑东新区政府购买社会工作服务说明及相关要求</w:t>
      </w:r>
    </w:p>
    <w:p w14:paraId="0037085D">
      <w:pPr>
        <w:pStyle w:val="79"/>
        <w:numPr>
          <w:ilvl w:val="0"/>
          <w:numId w:val="0"/>
        </w:numPr>
        <w:rPr>
          <w:rFonts w:hint="eastAsia" w:ascii="宋体" w:hAnsi="宋体" w:eastAsia="宋体" w:cs="宋体"/>
        </w:rPr>
      </w:pPr>
    </w:p>
    <w:p w14:paraId="32694385">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根据《郑东新区政府购买社会工作服务实施办法》（郑东</w:t>
      </w:r>
      <w:r>
        <w:rPr>
          <w:rFonts w:hint="eastAsia" w:ascii="宋体" w:hAnsi="宋体" w:eastAsia="宋体" w:cs="宋体"/>
          <w:bCs/>
          <w:szCs w:val="21"/>
          <w:lang w:val="en-US" w:eastAsia="zh-CN"/>
        </w:rPr>
        <w:t>办</w:t>
      </w:r>
      <w:r>
        <w:rPr>
          <w:rFonts w:hint="eastAsia" w:ascii="宋体" w:hAnsi="宋体" w:eastAsia="宋体" w:cs="宋体"/>
          <w:bCs/>
          <w:szCs w:val="21"/>
        </w:rPr>
        <w:t>〔2020〕32号）、郑州市民政局关于印发《郑州市乡镇（街道）社会工作服务站项目实施方案》（试行）（郑民文〔2021〕8号）和《郑州市政府购买社会工作服务资金管理暂行办法》（郑民文〔2019〕1号）文件，为进一步深化社工服务内涵，实现专业社工与服务对象的有效对接，并结合我区实际工作需要，我区拟面向社会工作相关领域购买一批社工服务项目，并以公开招标的形式实施政府采购。现将项目概况和有关要求说明如下：</w:t>
      </w:r>
    </w:p>
    <w:p w14:paraId="2436ED23">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一、项目概况</w:t>
      </w:r>
    </w:p>
    <w:p w14:paraId="37C62938">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政府购买社会工作服务是指政府部门根据经济社会发展情况和社会工作服务发展需要，以合同管理的方式，将社会工作服务交由具备相应条件的公益服务类社会组织（机构）来完成，并根据其提供服务的数量和质量，按照一定的标准进行考核评估并支付服务费用的过程和做法。政府购买社会工作服务的形式主要包括购买社工服务岗位和购买社工服务项目。购买社工服务岗位是指根据服务对象或用人单位（部门）的实际需求，确定社工岗位数量，按照社工薪酬指导标准，由政府向专业社工服务机构购买社工岗位服务。购买社工服务项目是根据服务对象的情况和服务内容、需求、目标等进行综合预算，实行项目打包，由政府向专业社工服务机构购买社会工作服务。</w:t>
      </w:r>
    </w:p>
    <w:p w14:paraId="771435D9">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本次招标项目为“郑州市郑东新区</w:t>
      </w:r>
      <w:r>
        <w:rPr>
          <w:rFonts w:hint="eastAsia" w:ascii="宋体" w:hAnsi="宋体" w:eastAsia="宋体" w:cs="宋体"/>
          <w:kern w:val="0"/>
          <w:szCs w:val="21"/>
          <w:lang w:val="en-US" w:eastAsia="zh-CN"/>
        </w:rPr>
        <w:t>社会事业局2024</w:t>
      </w:r>
      <w:r>
        <w:rPr>
          <w:rFonts w:hint="eastAsia" w:ascii="宋体" w:hAnsi="宋体" w:eastAsia="宋体" w:cs="宋体"/>
          <w:kern w:val="0"/>
          <w:szCs w:val="21"/>
        </w:rPr>
        <w:t>年政府购买社会工作服务项目”，拟向社会购买包括</w:t>
      </w:r>
      <w:r>
        <w:rPr>
          <w:rFonts w:hint="eastAsia" w:ascii="宋体" w:hAnsi="宋体" w:eastAsia="宋体" w:cs="宋体"/>
          <w:kern w:val="0"/>
          <w:szCs w:val="21"/>
          <w:lang w:eastAsia="zh-CN"/>
        </w:rPr>
        <w:t>社会工作服务站</w:t>
      </w:r>
      <w:r>
        <w:rPr>
          <w:rFonts w:hint="eastAsia" w:ascii="宋体" w:hAnsi="宋体" w:eastAsia="宋体" w:cs="宋体"/>
          <w:kern w:val="0"/>
          <w:szCs w:val="21"/>
        </w:rPr>
        <w:t>类、社会工作发展监管类共</w:t>
      </w:r>
      <w:r>
        <w:rPr>
          <w:rFonts w:hint="eastAsia" w:ascii="宋体" w:hAnsi="宋体" w:eastAsia="宋体" w:cs="宋体"/>
          <w:kern w:val="0"/>
          <w:szCs w:val="21"/>
          <w:lang w:val="en-US" w:eastAsia="zh-CN"/>
        </w:rPr>
        <w:t>两</w:t>
      </w:r>
      <w:r>
        <w:rPr>
          <w:rFonts w:hint="eastAsia" w:ascii="宋体" w:hAnsi="宋体" w:eastAsia="宋体" w:cs="宋体"/>
          <w:kern w:val="0"/>
          <w:szCs w:val="21"/>
        </w:rPr>
        <w:t>大类社工服务，涵盖</w:t>
      </w:r>
      <w:r>
        <w:rPr>
          <w:rFonts w:hint="eastAsia" w:ascii="宋体" w:hAnsi="宋体" w:eastAsia="宋体" w:cs="宋体"/>
          <w:kern w:val="0"/>
          <w:szCs w:val="21"/>
          <w:lang w:eastAsia="zh-CN"/>
        </w:rPr>
        <w:t>民政服务</w:t>
      </w:r>
      <w:r>
        <w:rPr>
          <w:rFonts w:hint="eastAsia" w:ascii="宋体" w:hAnsi="宋体" w:eastAsia="宋体" w:cs="宋体"/>
          <w:kern w:val="0"/>
          <w:szCs w:val="21"/>
        </w:rPr>
        <w:t>、</w:t>
      </w:r>
      <w:r>
        <w:rPr>
          <w:rFonts w:hint="eastAsia" w:ascii="宋体" w:hAnsi="宋体" w:eastAsia="宋体" w:cs="宋体"/>
          <w:kern w:val="0"/>
          <w:szCs w:val="21"/>
          <w:lang w:eastAsia="zh-CN"/>
        </w:rPr>
        <w:t>社区综合服务、</w:t>
      </w:r>
      <w:r>
        <w:rPr>
          <w:rFonts w:hint="eastAsia" w:ascii="宋体" w:hAnsi="宋体" w:eastAsia="宋体" w:cs="宋体"/>
          <w:kern w:val="0"/>
          <w:szCs w:val="21"/>
        </w:rPr>
        <w:t>婚姻家庭服务、老龄服务、社会组织培育和发展</w:t>
      </w:r>
      <w:r>
        <w:rPr>
          <w:rFonts w:hint="eastAsia" w:ascii="宋体" w:hAnsi="宋体" w:eastAsia="宋体" w:cs="宋体"/>
          <w:kern w:val="0"/>
          <w:szCs w:val="21"/>
          <w:highlight w:val="none"/>
        </w:rPr>
        <w:t>等领域，共</w:t>
      </w:r>
      <w:r>
        <w:rPr>
          <w:rFonts w:hint="eastAsia" w:ascii="宋体" w:hAnsi="宋体" w:eastAsia="宋体" w:cs="宋体"/>
          <w:kern w:val="0"/>
          <w:szCs w:val="21"/>
          <w:highlight w:val="none"/>
          <w:lang w:val="en-US" w:eastAsia="zh-CN"/>
        </w:rPr>
        <w:t>26</w:t>
      </w:r>
      <w:r>
        <w:rPr>
          <w:rFonts w:hint="eastAsia" w:ascii="宋体" w:hAnsi="宋体" w:eastAsia="宋体" w:cs="宋体"/>
          <w:kern w:val="0"/>
          <w:szCs w:val="21"/>
          <w:highlight w:val="none"/>
        </w:rPr>
        <w:t>个子项目。</w:t>
      </w:r>
    </w:p>
    <w:p w14:paraId="15FDA016">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二、有关要求</w:t>
      </w:r>
    </w:p>
    <w:p w14:paraId="61AA082E">
      <w:pPr>
        <w:spacing w:line="360" w:lineRule="auto"/>
        <w:ind w:firstLine="422" w:firstLineChars="200"/>
        <w:rPr>
          <w:rFonts w:hint="eastAsia" w:ascii="宋体" w:hAnsi="宋体" w:eastAsia="宋体" w:cs="宋体"/>
          <w:bCs/>
          <w:szCs w:val="21"/>
          <w:lang w:val="en-US"/>
        </w:rPr>
      </w:pPr>
      <w:r>
        <w:rPr>
          <w:rFonts w:hint="eastAsia" w:ascii="宋体" w:hAnsi="宋体" w:eastAsia="宋体" w:cs="宋体"/>
          <w:b/>
          <w:bCs/>
          <w:szCs w:val="21"/>
        </w:rPr>
        <w:t>（一）本次招标：</w:t>
      </w:r>
      <w:r>
        <w:rPr>
          <w:rFonts w:hint="eastAsia" w:ascii="宋体" w:hAnsi="宋体" w:eastAsia="宋体" w:cs="宋体"/>
          <w:bCs/>
          <w:szCs w:val="21"/>
        </w:rPr>
        <w:t>根据项目分包情况，</w:t>
      </w:r>
      <w:r>
        <w:rPr>
          <w:rFonts w:hint="eastAsia" w:ascii="宋体" w:hAnsi="宋体" w:eastAsia="宋体" w:cs="宋体"/>
          <w:bCs/>
          <w:szCs w:val="21"/>
          <w:lang w:eastAsia="zh-CN"/>
        </w:rPr>
        <w:t>所有包段</w:t>
      </w:r>
      <w:r>
        <w:rPr>
          <w:rFonts w:hint="eastAsia" w:ascii="宋体" w:hAnsi="宋体" w:eastAsia="宋体" w:cs="宋体"/>
          <w:bCs/>
          <w:szCs w:val="21"/>
        </w:rPr>
        <w:t>分别拟确定1家机构为中标单位，1家机构为候选单位，</w:t>
      </w:r>
      <w:r>
        <w:rPr>
          <w:rFonts w:hint="eastAsia" w:ascii="宋体" w:hAnsi="宋体" w:eastAsia="宋体" w:cs="宋体"/>
          <w:bCs/>
          <w:szCs w:val="21"/>
          <w:lang w:val="en-US" w:eastAsia="zh-CN"/>
        </w:rPr>
        <w:t>所有包段不可重复中标。</w:t>
      </w:r>
    </w:p>
    <w:p w14:paraId="258A1431">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（二）对投标人的资格要求：</w:t>
      </w:r>
    </w:p>
    <w:p w14:paraId="3C702FB0">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1.满足《中华人民共和国政府采购法》第二十二条规定。</w:t>
      </w:r>
    </w:p>
    <w:p w14:paraId="0AD9CFD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2.落实政府采购政策满足的资格要求：本项目执行促进中小型企业发展政策（监狱企业、残疾人福利性企业视同小微企业）、强制采购节能产品、优先采购节能环保产品等政府采购政策。</w:t>
      </w:r>
    </w:p>
    <w:p w14:paraId="46C1A7D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3.本项目的特定资格要求</w:t>
      </w:r>
    </w:p>
    <w:p w14:paraId="62E4386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3.1信誉要求</w:t>
      </w:r>
    </w:p>
    <w:p w14:paraId="0EA0F5C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74DD3CF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24C564C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3.3本项目专门面向中型、小型、微型企业采购，以申请人提供的中小企业声明函为准。残疾人福利性单位视同小型、微型企业（财库〔2017〕141 号）；监狱企业视同小型、微型企业(财库〔2014〕68 号)，除提供声明函外还应当提供由省级以上监狱管理局、戒毒管理局（含新疆生产建设兵团）出具的属于监狱企业的证明文件。</w:t>
      </w:r>
    </w:p>
    <w:p w14:paraId="407595E1">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3.4本次招标不接受联合体投标。</w:t>
      </w:r>
    </w:p>
    <w:p w14:paraId="7C2C9E2A">
      <w:pPr>
        <w:pStyle w:val="10"/>
        <w:keepNext w:val="0"/>
        <w:keepLines w:val="0"/>
        <w:pageBreakBefore w:val="0"/>
        <w:widowControl w:val="0"/>
        <w:kinsoku/>
        <w:wordWrap/>
        <w:overflowPunct/>
        <w:topLinePunct w:val="0"/>
        <w:autoSpaceDE w:val="0"/>
        <w:autoSpaceDN w:val="0"/>
        <w:bidi w:val="0"/>
        <w:adjustRightInd w:val="0"/>
        <w:snapToGrid/>
        <w:spacing w:line="360" w:lineRule="auto"/>
        <w:ind w:firstLine="422" w:firstLineChars="200"/>
        <w:textAlignment w:val="auto"/>
        <w:rPr>
          <w:rFonts w:hint="eastAsia" w:ascii="宋体" w:hAnsi="宋体" w:eastAsia="宋体" w:cs="宋体"/>
          <w:lang w:val="en-US" w:eastAsia="zh-CN"/>
        </w:rPr>
      </w:pPr>
      <w:r>
        <w:rPr>
          <w:rFonts w:hint="eastAsia" w:ascii="宋体" w:hAnsi="宋体" w:eastAsia="宋体" w:cs="宋体"/>
          <w:b/>
          <w:bCs w:val="0"/>
          <w:color w:val="auto"/>
          <w:kern w:val="2"/>
          <w:sz w:val="21"/>
          <w:szCs w:val="21"/>
          <w:lang w:val="en-US" w:eastAsia="zh-CN" w:bidi="ar-SA"/>
        </w:rPr>
        <w:t>（三）投标要求：</w:t>
      </w: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p w14:paraId="276B6147">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四</w:t>
      </w:r>
      <w:r>
        <w:rPr>
          <w:rFonts w:hint="eastAsia" w:ascii="宋体" w:hAnsi="宋体" w:eastAsia="宋体" w:cs="宋体"/>
          <w:b/>
          <w:bCs/>
          <w:szCs w:val="21"/>
        </w:rPr>
        <w:t>）项目资金管理要求：</w:t>
      </w:r>
      <w:r>
        <w:rPr>
          <w:rFonts w:hint="eastAsia" w:ascii="宋体" w:hAnsi="宋体" w:eastAsia="宋体" w:cs="宋体"/>
          <w:bCs/>
          <w:szCs w:val="21"/>
        </w:rPr>
        <w:t>综合型民政和社区服务类项目经费预算主要包括薪酬待遇、督导培训经费、服务活动经费、项目管理经费等，其中薪酬待遇，即用且仅用于支付项目执行工作人员的薪酬和社保金、公积金等五险一金不低于项目经费的</w:t>
      </w:r>
      <w:r>
        <w:rPr>
          <w:rFonts w:hint="eastAsia" w:ascii="宋体" w:hAnsi="宋体" w:eastAsia="宋体" w:cs="宋体"/>
          <w:bCs/>
          <w:szCs w:val="21"/>
          <w:lang w:val="en-US" w:eastAsia="zh-CN"/>
        </w:rPr>
        <w:t>89</w:t>
      </w:r>
      <w:r>
        <w:rPr>
          <w:rFonts w:hint="eastAsia" w:ascii="宋体" w:hAnsi="宋体" w:eastAsia="宋体" w:cs="宋体"/>
          <w:bCs/>
          <w:szCs w:val="21"/>
        </w:rPr>
        <w:t>%，其他部分经费管理参照</w:t>
      </w:r>
      <w:r>
        <w:rPr>
          <w:rFonts w:hint="eastAsia" w:ascii="宋体" w:hAnsi="宋体" w:eastAsia="宋体" w:cs="宋体"/>
          <w:szCs w:val="21"/>
        </w:rPr>
        <w:t>《郑州市政府购买社会工作服务资金管理暂行办法》（郑民文〔2019〕1号）文件相关要求进行执行落实。社会工作发展监管类项目根据实际合同约定执行落实。</w:t>
      </w:r>
    </w:p>
    <w:p w14:paraId="03DA2E8C">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五</w:t>
      </w:r>
      <w:r>
        <w:rPr>
          <w:rFonts w:hint="eastAsia" w:ascii="宋体" w:hAnsi="宋体" w:eastAsia="宋体" w:cs="宋体"/>
          <w:b/>
          <w:bCs/>
          <w:szCs w:val="21"/>
        </w:rPr>
        <w:t>）进驻项目工期要求：</w:t>
      </w:r>
      <w:r>
        <w:rPr>
          <w:rFonts w:hint="eastAsia" w:ascii="宋体" w:hAnsi="宋体" w:eastAsia="宋体" w:cs="宋体"/>
          <w:bCs/>
          <w:szCs w:val="21"/>
        </w:rPr>
        <w:t>合同签订后</w:t>
      </w:r>
      <w:r>
        <w:rPr>
          <w:rFonts w:hint="eastAsia" w:ascii="宋体" w:hAnsi="宋体" w:eastAsia="宋体" w:cs="宋体"/>
          <w:bCs/>
          <w:szCs w:val="21"/>
          <w:lang w:val="en-US" w:eastAsia="zh-CN"/>
        </w:rPr>
        <w:t>1</w:t>
      </w:r>
      <w:r>
        <w:rPr>
          <w:rFonts w:hint="eastAsia" w:ascii="宋体" w:hAnsi="宋体" w:eastAsia="宋体" w:cs="宋体"/>
          <w:bCs/>
          <w:szCs w:val="21"/>
        </w:rPr>
        <w:t>天内进驻项目。</w:t>
      </w:r>
    </w:p>
    <w:p w14:paraId="4DD1F0E3">
      <w:pPr>
        <w:spacing w:line="360" w:lineRule="auto"/>
        <w:ind w:firstLine="422" w:firstLineChars="200"/>
        <w:rPr>
          <w:rFonts w:hint="eastAsia" w:ascii="宋体" w:hAnsi="宋体" w:eastAsia="宋体" w:cs="宋体"/>
          <w:szCs w:val="21"/>
        </w:rPr>
      </w:pPr>
      <w:r>
        <w:rPr>
          <w:rFonts w:hint="eastAsia" w:ascii="宋体" w:hAnsi="宋体" w:eastAsia="宋体" w:cs="宋体"/>
          <w:b/>
          <w:bCs/>
          <w:szCs w:val="21"/>
        </w:rPr>
        <w:t>（</w:t>
      </w:r>
      <w:r>
        <w:rPr>
          <w:rFonts w:hint="eastAsia" w:ascii="宋体" w:hAnsi="宋体" w:eastAsia="宋体" w:cs="宋体"/>
          <w:b/>
          <w:bCs/>
          <w:szCs w:val="21"/>
          <w:lang w:eastAsia="zh-CN"/>
        </w:rPr>
        <w:t>六</w:t>
      </w:r>
      <w:r>
        <w:rPr>
          <w:rFonts w:hint="eastAsia" w:ascii="宋体" w:hAnsi="宋体" w:eastAsia="宋体" w:cs="宋体"/>
          <w:b/>
          <w:bCs/>
          <w:szCs w:val="21"/>
        </w:rPr>
        <w:t>）试用期：</w:t>
      </w:r>
      <w:r>
        <w:rPr>
          <w:rFonts w:hint="eastAsia" w:ascii="宋体" w:hAnsi="宋体" w:eastAsia="宋体" w:cs="宋体"/>
          <w:szCs w:val="21"/>
        </w:rPr>
        <w:t>对承接机构实行</w:t>
      </w:r>
      <w:r>
        <w:rPr>
          <w:rFonts w:hint="eastAsia" w:ascii="宋体" w:hAnsi="宋体" w:eastAsia="宋体" w:cs="宋体"/>
          <w:szCs w:val="21"/>
          <w:lang w:val="en-US" w:eastAsia="zh-CN"/>
        </w:rPr>
        <w:t>1</w:t>
      </w:r>
      <w:r>
        <w:rPr>
          <w:rFonts w:hint="eastAsia" w:ascii="宋体" w:hAnsi="宋体" w:eastAsia="宋体" w:cs="宋体"/>
          <w:szCs w:val="21"/>
        </w:rPr>
        <w:t>个月试用期。</w:t>
      </w:r>
    </w:p>
    <w:p w14:paraId="2B9B6D5E">
      <w:pPr>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szCs w:val="21"/>
        </w:rPr>
        <w:t>（</w:t>
      </w:r>
      <w:r>
        <w:rPr>
          <w:rFonts w:hint="eastAsia" w:ascii="宋体" w:hAnsi="宋体" w:eastAsia="宋体" w:cs="宋体"/>
          <w:b/>
          <w:bCs/>
          <w:szCs w:val="21"/>
          <w:lang w:eastAsia="zh-CN"/>
        </w:rPr>
        <w:t>七</w:t>
      </w:r>
      <w:r>
        <w:rPr>
          <w:rFonts w:hint="eastAsia" w:ascii="宋体" w:hAnsi="宋体" w:eastAsia="宋体" w:cs="宋体"/>
          <w:b/>
          <w:bCs/>
          <w:szCs w:val="21"/>
        </w:rPr>
        <w:t>）服务周期：</w:t>
      </w:r>
      <w:r>
        <w:rPr>
          <w:rFonts w:hint="eastAsia" w:ascii="宋体" w:hAnsi="宋体" w:eastAsia="宋体" w:cs="宋体"/>
          <w:szCs w:val="21"/>
        </w:rPr>
        <w:t>服务周期</w:t>
      </w:r>
      <w:r>
        <w:rPr>
          <w:rFonts w:hint="eastAsia" w:ascii="宋体" w:hAnsi="宋体" w:eastAsia="宋体" w:cs="宋体"/>
          <w:color w:val="auto"/>
          <w:szCs w:val="21"/>
        </w:rPr>
        <w:t>为自合同签订之日起1年。</w:t>
      </w:r>
    </w:p>
    <w:p w14:paraId="672094EC">
      <w:pPr>
        <w:spacing w:line="360" w:lineRule="auto"/>
        <w:ind w:left="-199" w:leftChars="-95" w:right="-395" w:rightChars="-188" w:firstLine="632" w:firstLineChars="300"/>
        <w:rPr>
          <w:rFonts w:hint="eastAsia" w:ascii="宋体" w:hAnsi="宋体" w:eastAsia="宋体" w:cs="宋体"/>
          <w:color w:val="auto"/>
          <w:szCs w:val="21"/>
        </w:rPr>
      </w:pPr>
      <w:r>
        <w:rPr>
          <w:rFonts w:hint="eastAsia" w:ascii="宋体" w:hAnsi="宋体" w:eastAsia="宋体" w:cs="宋体"/>
          <w:b/>
          <w:bCs/>
          <w:color w:val="auto"/>
          <w:szCs w:val="21"/>
        </w:rPr>
        <w:t>（</w:t>
      </w:r>
      <w:r>
        <w:rPr>
          <w:rFonts w:hint="eastAsia" w:ascii="宋体" w:hAnsi="宋体" w:eastAsia="宋体" w:cs="宋体"/>
          <w:b/>
          <w:bCs/>
          <w:color w:val="auto"/>
          <w:szCs w:val="21"/>
          <w:lang w:eastAsia="zh-CN"/>
        </w:rPr>
        <w:t>八</w:t>
      </w:r>
      <w:r>
        <w:rPr>
          <w:rFonts w:hint="eastAsia" w:ascii="宋体" w:hAnsi="宋体" w:eastAsia="宋体" w:cs="宋体"/>
          <w:b/>
          <w:bCs/>
          <w:color w:val="auto"/>
          <w:szCs w:val="21"/>
        </w:rPr>
        <w:t>）付款方式：</w:t>
      </w:r>
      <w:r>
        <w:rPr>
          <w:rFonts w:hint="eastAsia" w:ascii="宋体" w:hAnsi="宋体" w:eastAsia="宋体" w:cs="宋体"/>
          <w:color w:val="auto"/>
          <w:szCs w:val="21"/>
        </w:rPr>
        <w:t>项目付款比例依据各阶段第三方评估结果档次而定，总分分为四个档次</w:t>
      </w:r>
      <w:r>
        <w:rPr>
          <w:rFonts w:hint="eastAsia" w:ascii="宋体" w:hAnsi="宋体" w:eastAsia="宋体" w:cs="宋体"/>
          <w:color w:val="auto"/>
          <w:szCs w:val="21"/>
          <w:lang w:eastAsia="zh-CN"/>
        </w:rPr>
        <w:t>，</w:t>
      </w:r>
      <w:r>
        <w:rPr>
          <w:rFonts w:hint="eastAsia" w:ascii="宋体" w:hAnsi="宋体" w:eastAsia="宋体" w:cs="宋体"/>
          <w:color w:val="auto"/>
          <w:szCs w:val="21"/>
        </w:rPr>
        <w:t>依据评估分数分为“优秀、良好、合格、不合格”。</w:t>
      </w:r>
    </w:p>
    <w:p w14:paraId="5B8F0D1C">
      <w:pPr>
        <w:spacing w:line="360" w:lineRule="auto"/>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所有</w:t>
      </w:r>
      <w:r>
        <w:rPr>
          <w:rFonts w:hint="eastAsia" w:ascii="宋体" w:hAnsi="宋体" w:eastAsia="宋体" w:cs="宋体"/>
          <w:color w:val="auto"/>
          <w:szCs w:val="21"/>
        </w:rPr>
        <w:t>项目通过转账形式付款，</w:t>
      </w:r>
      <w:r>
        <w:rPr>
          <w:rFonts w:hint="eastAsia" w:ascii="宋体" w:hAnsi="宋体" w:eastAsia="宋体" w:cs="宋体"/>
          <w:color w:val="auto"/>
          <w:szCs w:val="21"/>
          <w:lang w:eastAsia="zh-CN"/>
        </w:rPr>
        <w:t>分三次拨付。第一次，甲方于项目合同签订之日起30天内拨付服务总经费的50%。第二次，项目通过中期评估等级为“合格”及以上的拨付30%，“不合格”不予拨付。第三次，项目末期评估为“合格”及以上的拨付20%，为“不合格”的拨付5%。</w:t>
      </w:r>
    </w:p>
    <w:p w14:paraId="63984495">
      <w:pPr>
        <w:spacing w:line="360" w:lineRule="auto"/>
        <w:ind w:firstLine="422" w:firstLineChars="200"/>
        <w:rPr>
          <w:rFonts w:hint="eastAsia" w:ascii="宋体" w:hAnsi="宋体" w:eastAsia="宋体" w:cs="宋体"/>
          <w:bCs/>
          <w:color w:val="auto"/>
          <w:szCs w:val="21"/>
        </w:rPr>
      </w:pPr>
      <w:r>
        <w:rPr>
          <w:rFonts w:hint="eastAsia" w:ascii="宋体" w:hAnsi="宋体" w:eastAsia="宋体" w:cs="宋体"/>
          <w:b/>
          <w:bCs/>
          <w:color w:val="auto"/>
          <w:szCs w:val="21"/>
        </w:rPr>
        <w:t>（九）服务内容、指标及要求：</w:t>
      </w:r>
      <w:r>
        <w:rPr>
          <w:rFonts w:hint="eastAsia" w:ascii="宋体" w:hAnsi="宋体" w:eastAsia="宋体" w:cs="宋体"/>
          <w:bCs/>
          <w:color w:val="auto"/>
          <w:szCs w:val="21"/>
        </w:rPr>
        <w:t>见附件1、附件2。</w:t>
      </w:r>
    </w:p>
    <w:p w14:paraId="5BA034DF">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（十）项目分包情况：</w:t>
      </w:r>
      <w:r>
        <w:rPr>
          <w:rFonts w:hint="eastAsia" w:ascii="宋体" w:hAnsi="宋体" w:eastAsia="宋体" w:cs="宋体"/>
          <w:bCs/>
          <w:szCs w:val="21"/>
        </w:rPr>
        <w:t>见附件3。</w:t>
      </w:r>
    </w:p>
    <w:p w14:paraId="3076089D">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附件：</w:t>
      </w:r>
    </w:p>
    <w:p w14:paraId="06888FDD">
      <w:pPr>
        <w:spacing w:line="360" w:lineRule="auto"/>
        <w:ind w:right="-143" w:rightChars="-68" w:firstLine="420" w:firstLineChars="200"/>
        <w:rPr>
          <w:rFonts w:hint="eastAsia" w:ascii="宋体" w:hAnsi="宋体" w:eastAsia="宋体" w:cs="宋体"/>
          <w:bCs/>
          <w:w w:val="98"/>
          <w:szCs w:val="21"/>
        </w:rPr>
      </w:pPr>
      <w:r>
        <w:rPr>
          <w:rFonts w:hint="eastAsia" w:ascii="宋体" w:hAnsi="宋体" w:eastAsia="宋体" w:cs="宋体"/>
          <w:bCs/>
          <w:szCs w:val="21"/>
        </w:rPr>
        <w:t>1、郑东新区政府购买专业社会工作服务内容及有关要求</w:t>
      </w:r>
    </w:p>
    <w:p w14:paraId="3911E65A">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2、郑东新区政府购买专业社会工作服务指标</w:t>
      </w:r>
    </w:p>
    <w:p w14:paraId="119DF067">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3、郑东新区政府购买社会工作服务项目分包情况</w:t>
      </w:r>
    </w:p>
    <w:p w14:paraId="3D9EB165">
      <w:pPr>
        <w:tabs>
          <w:tab w:val="left" w:pos="420"/>
        </w:tabs>
        <w:spacing w:line="360" w:lineRule="auto"/>
        <w:ind w:firstLine="0" w:firstLineChars="0"/>
        <w:jc w:val="center"/>
        <w:rPr>
          <w:rFonts w:hint="eastAsia" w:ascii="宋体" w:hAnsi="宋体" w:eastAsia="宋体" w:cs="宋体"/>
          <w:color w:val="000000"/>
          <w:kern w:val="2"/>
          <w:sz w:val="24"/>
          <w:szCs w:val="24"/>
          <w:lang w:val="en-US" w:eastAsia="zh-CN" w:bidi="ar-SA"/>
        </w:rPr>
      </w:pPr>
    </w:p>
    <w:p w14:paraId="60A76EE5">
      <w:pPr>
        <w:tabs>
          <w:tab w:val="left" w:pos="420"/>
        </w:tabs>
        <w:wordWrap w:val="0"/>
        <w:spacing w:line="360" w:lineRule="auto"/>
        <w:ind w:firstLine="0" w:firstLineChars="0"/>
        <w:jc w:val="righ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3A764136">
      <w:pPr>
        <w:spacing w:line="360" w:lineRule="auto"/>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附件1：</w:t>
      </w:r>
    </w:p>
    <w:p w14:paraId="1858662B">
      <w:pPr>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郑东新区政府购买专业社会工作服务</w:t>
      </w:r>
    </w:p>
    <w:p w14:paraId="5BE2CD12">
      <w:pPr>
        <w:spacing w:line="360" w:lineRule="auto"/>
        <w:jc w:val="center"/>
        <w:rPr>
          <w:rFonts w:hint="eastAsia" w:ascii="宋体" w:hAnsi="宋体" w:eastAsia="宋体" w:cs="宋体"/>
          <w:bCs/>
          <w:color w:val="auto"/>
          <w:w w:val="98"/>
          <w:sz w:val="22"/>
          <w:szCs w:val="22"/>
        </w:rPr>
      </w:pPr>
      <w:r>
        <w:rPr>
          <w:rFonts w:hint="eastAsia" w:ascii="宋体" w:hAnsi="宋体" w:eastAsia="宋体" w:cs="宋体"/>
          <w:b/>
          <w:bCs/>
          <w:color w:val="auto"/>
          <w:sz w:val="32"/>
          <w:szCs w:val="32"/>
        </w:rPr>
        <w:t>内容及有关要求</w:t>
      </w:r>
    </w:p>
    <w:p w14:paraId="7AA9D832">
      <w:pPr>
        <w:spacing w:line="360" w:lineRule="auto"/>
        <w:ind w:firstLine="645"/>
        <w:rPr>
          <w:rFonts w:hint="eastAsia" w:ascii="宋体" w:hAnsi="宋体" w:eastAsia="宋体" w:cs="宋体"/>
          <w:b/>
          <w:bCs/>
          <w:color w:val="auto"/>
          <w:sz w:val="21"/>
          <w:szCs w:val="21"/>
        </w:rPr>
      </w:pPr>
      <w:r>
        <w:rPr>
          <w:rFonts w:hint="eastAsia" w:ascii="宋体" w:hAnsi="宋体" w:eastAsia="宋体" w:cs="宋体"/>
          <w:b/>
          <w:bCs/>
          <w:color w:val="auto"/>
          <w:sz w:val="21"/>
          <w:szCs w:val="21"/>
        </w:rPr>
        <w:t>一、项目名称</w:t>
      </w:r>
    </w:p>
    <w:p w14:paraId="19183264">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6289F82D">
      <w:pPr>
        <w:spacing w:line="360" w:lineRule="auto"/>
        <w:ind w:firstLine="645"/>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1、郑州市郑东新区社会事业局2024年政府购买社会工作服务项目</w:t>
      </w:r>
    </w:p>
    <w:p w14:paraId="43E39EC5">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4BE954B2">
      <w:pPr>
        <w:spacing w:line="360" w:lineRule="auto"/>
        <w:ind w:firstLine="645"/>
        <w:rPr>
          <w:rFonts w:hint="eastAsia" w:ascii="宋体" w:hAnsi="宋体" w:eastAsia="宋体" w:cs="宋体"/>
          <w:sz w:val="21"/>
          <w:szCs w:val="21"/>
          <w:highlight w:val="none"/>
          <w:lang w:eastAsia="zh-CN"/>
        </w:rPr>
      </w:pPr>
      <w:r>
        <w:rPr>
          <w:rFonts w:hint="eastAsia" w:ascii="宋体" w:hAnsi="宋体" w:eastAsia="宋体" w:cs="宋体"/>
          <w:color w:val="000000"/>
          <w:spacing w:val="-2"/>
          <w:sz w:val="21"/>
          <w:szCs w:val="21"/>
          <w:highlight w:val="none"/>
          <w:lang w:val="en-US" w:eastAsia="zh-CN"/>
        </w:rPr>
        <w:t>1</w:t>
      </w:r>
      <w:r>
        <w:rPr>
          <w:rFonts w:hint="eastAsia" w:ascii="宋体" w:hAnsi="宋体" w:eastAsia="宋体" w:cs="宋体"/>
          <w:color w:val="000000"/>
          <w:spacing w:val="-2"/>
          <w:sz w:val="21"/>
          <w:szCs w:val="21"/>
          <w:highlight w:val="none"/>
        </w:rPr>
        <w:t>、</w:t>
      </w:r>
      <w:r>
        <w:rPr>
          <w:rFonts w:hint="eastAsia" w:ascii="宋体" w:hAnsi="宋体" w:eastAsia="宋体" w:cs="宋体"/>
          <w:sz w:val="21"/>
          <w:szCs w:val="21"/>
          <w:highlight w:val="none"/>
        </w:rPr>
        <w:t>“第三方评估”服务项目</w:t>
      </w:r>
      <w:r>
        <w:rPr>
          <w:rFonts w:hint="eastAsia" w:ascii="宋体" w:hAnsi="宋体" w:eastAsia="宋体" w:cs="宋体"/>
          <w:sz w:val="21"/>
          <w:szCs w:val="21"/>
          <w:highlight w:val="none"/>
          <w:lang w:eastAsia="zh-CN"/>
        </w:rPr>
        <w:t>；</w:t>
      </w:r>
    </w:p>
    <w:p w14:paraId="2119727B">
      <w:pPr>
        <w:spacing w:line="360" w:lineRule="auto"/>
        <w:ind w:firstLine="645"/>
        <w:rPr>
          <w:rFonts w:hint="eastAsia" w:ascii="宋体" w:hAnsi="宋体" w:eastAsia="宋体" w:cs="宋体"/>
          <w:b/>
          <w:bCs/>
          <w:color w:val="auto"/>
          <w:spacing w:val="-2"/>
          <w:sz w:val="21"/>
          <w:szCs w:val="21"/>
        </w:rPr>
      </w:pPr>
      <w:r>
        <w:rPr>
          <w:rFonts w:hint="eastAsia" w:ascii="宋体" w:hAnsi="宋体" w:eastAsia="宋体" w:cs="宋体"/>
          <w:b/>
          <w:bCs/>
          <w:color w:val="auto"/>
          <w:sz w:val="21"/>
          <w:szCs w:val="21"/>
        </w:rPr>
        <w:t>二、具体内容</w:t>
      </w:r>
    </w:p>
    <w:p w14:paraId="0331AD33">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585DF596">
      <w:pPr>
        <w:spacing w:line="360" w:lineRule="auto"/>
        <w:ind w:firstLine="645"/>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1、郑州市郑东新区社会事业局2024年政府购买社会工作服务项目（</w:t>
      </w:r>
      <w:r>
        <w:rPr>
          <w:rFonts w:hint="eastAsia" w:ascii="宋体" w:hAnsi="宋体" w:eastAsia="宋体" w:cs="宋体"/>
          <w:b/>
          <w:bCs/>
          <w:color w:val="auto"/>
          <w:spacing w:val="-2"/>
          <w:sz w:val="21"/>
          <w:szCs w:val="21"/>
          <w:highlight w:val="none"/>
          <w:lang w:val="en-US" w:eastAsia="zh-CN"/>
        </w:rPr>
        <w:t>共计25</w:t>
      </w:r>
      <w:r>
        <w:rPr>
          <w:rFonts w:hint="eastAsia" w:ascii="宋体" w:hAnsi="宋体" w:eastAsia="宋体" w:cs="宋体"/>
          <w:b/>
          <w:bCs/>
          <w:color w:val="000000"/>
          <w:spacing w:val="-2"/>
          <w:sz w:val="21"/>
          <w:szCs w:val="21"/>
          <w:highlight w:val="none"/>
        </w:rPr>
        <w:t>个社会工作服务站</w:t>
      </w:r>
      <w:r>
        <w:rPr>
          <w:rFonts w:hint="eastAsia" w:ascii="宋体" w:hAnsi="宋体" w:eastAsia="宋体" w:cs="宋体"/>
          <w:b/>
          <w:bCs/>
          <w:color w:val="auto"/>
          <w:spacing w:val="-2"/>
          <w:sz w:val="21"/>
          <w:szCs w:val="21"/>
          <w:highlight w:val="none"/>
        </w:rPr>
        <w:t>）</w:t>
      </w:r>
    </w:p>
    <w:p w14:paraId="57D2166A">
      <w:pPr>
        <w:spacing w:line="360" w:lineRule="auto"/>
        <w:ind w:firstLine="414" w:firstLineChars="200"/>
        <w:rPr>
          <w:rFonts w:hint="eastAsia" w:ascii="宋体" w:hAnsi="宋体" w:eastAsia="宋体" w:cs="宋体"/>
          <w:color w:val="000000"/>
          <w:kern w:val="0"/>
          <w:sz w:val="21"/>
          <w:szCs w:val="21"/>
          <w:lang w:val="en-US" w:eastAsia="zh-CN" w:bidi="ar"/>
        </w:rPr>
      </w:pPr>
      <w:r>
        <w:rPr>
          <w:rFonts w:hint="eastAsia" w:ascii="宋体" w:hAnsi="宋体" w:eastAsia="宋体" w:cs="宋体"/>
          <w:b/>
          <w:color w:val="auto"/>
          <w:spacing w:val="-2"/>
          <w:sz w:val="21"/>
          <w:szCs w:val="21"/>
        </w:rPr>
        <w:t>（1）服务对象：</w:t>
      </w:r>
      <w:r>
        <w:rPr>
          <w:rFonts w:hint="eastAsia" w:ascii="宋体" w:hAnsi="宋体" w:eastAsia="宋体" w:cs="宋体"/>
          <w:color w:val="000000"/>
          <w:kern w:val="0"/>
          <w:sz w:val="21"/>
          <w:szCs w:val="21"/>
          <w:lang w:val="en-US" w:eastAsia="zh-CN" w:bidi="ar"/>
        </w:rPr>
        <w:t>社工站服务聚焦民政领域服务对象，主要是纳入困难群众救助补助资金保障范围的人员，包括最低生活保障对象、特困人员、临时救助对象、生活无着的流浪乞讨人员、孤儿、事实无人抚养儿童等。</w:t>
      </w:r>
    </w:p>
    <w:p w14:paraId="7841F808">
      <w:pPr>
        <w:spacing w:line="360" w:lineRule="auto"/>
        <w:ind w:firstLine="414" w:firstLineChars="200"/>
        <w:rPr>
          <w:rFonts w:hint="eastAsia" w:ascii="宋体" w:hAnsi="宋体" w:eastAsia="宋体" w:cs="宋体"/>
          <w:bCs/>
          <w:color w:val="auto"/>
          <w:sz w:val="21"/>
          <w:szCs w:val="21"/>
          <w:lang w:val="en-US" w:eastAsia="zh-CN"/>
        </w:rPr>
      </w:pPr>
      <w:r>
        <w:rPr>
          <w:rFonts w:hint="eastAsia" w:ascii="宋体" w:hAnsi="宋体" w:eastAsia="宋体" w:cs="宋体"/>
          <w:b/>
          <w:color w:val="auto"/>
          <w:spacing w:val="-2"/>
          <w:sz w:val="21"/>
          <w:szCs w:val="21"/>
        </w:rPr>
        <w:t>（2）服务内容：</w:t>
      </w:r>
      <w:r>
        <w:rPr>
          <w:rFonts w:hint="eastAsia" w:ascii="宋体" w:hAnsi="宋体" w:eastAsia="宋体" w:cs="宋体"/>
          <w:bCs/>
          <w:color w:val="auto"/>
          <w:sz w:val="21"/>
          <w:szCs w:val="21"/>
        </w:rPr>
        <w:t>在祭城路街道办事处</w:t>
      </w:r>
      <w:r>
        <w:rPr>
          <w:rFonts w:hint="eastAsia" w:ascii="宋体" w:hAnsi="宋体" w:eastAsia="宋体" w:cs="宋体"/>
          <w:bCs/>
          <w:color w:val="auto"/>
          <w:sz w:val="21"/>
          <w:szCs w:val="21"/>
          <w:lang w:val="en-US" w:eastAsia="zh-CN"/>
        </w:rPr>
        <w:t>等</w:t>
      </w:r>
      <w:r>
        <w:rPr>
          <w:rFonts w:hint="eastAsia" w:ascii="宋体" w:hAnsi="宋体" w:eastAsia="宋体" w:cs="宋体"/>
          <w:bCs/>
          <w:color w:val="auto"/>
          <w:sz w:val="21"/>
          <w:szCs w:val="21"/>
        </w:rPr>
        <w:t>相关社区实施</w:t>
      </w:r>
      <w:r>
        <w:rPr>
          <w:rFonts w:hint="eastAsia" w:ascii="宋体" w:hAnsi="宋体" w:eastAsia="宋体" w:cs="宋体"/>
          <w:bCs/>
          <w:color w:val="auto"/>
          <w:sz w:val="21"/>
          <w:szCs w:val="21"/>
          <w:lang w:val="en-US" w:eastAsia="zh-CN"/>
        </w:rPr>
        <w:t>的</w:t>
      </w:r>
      <w:r>
        <w:rPr>
          <w:rFonts w:hint="eastAsia" w:ascii="宋体" w:hAnsi="宋体" w:eastAsia="宋体" w:cs="宋体"/>
          <w:bCs/>
          <w:color w:val="auto"/>
          <w:sz w:val="21"/>
          <w:szCs w:val="21"/>
        </w:rPr>
        <w:t>社会工作服务站是以习近平新时代中国特色社会主义思想为指导，坚持以人民为中心的发展思想，以提升办事处民政服务能力为重点，以专业社会工作服务为支撑，采用政府购买方式，实施社工站服务项目，搭建的基层公共服务平台。</w:t>
      </w:r>
      <w:r>
        <w:rPr>
          <w:rFonts w:hint="eastAsia" w:ascii="宋体" w:hAnsi="宋体" w:eastAsia="宋体" w:cs="宋体"/>
          <w:bCs/>
          <w:color w:val="auto"/>
          <w:sz w:val="21"/>
          <w:szCs w:val="21"/>
          <w:lang w:val="en-US" w:eastAsia="zh-CN"/>
        </w:rPr>
        <w:t>主要服务内容如下：</w:t>
      </w:r>
    </w:p>
    <w:p w14:paraId="575DF4FA">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社会救助领域。协助社会救助部门开展对象排查、受理评估、满意度调查、家庭经济状况调查评估、建档访视、需求分析、政策宣传、绩效评价等事务，并为社会救助对象提供心理疏导、照料护理、康复训练、资源链接、能力提升、社会融入等服务。</w:t>
      </w:r>
    </w:p>
    <w:p w14:paraId="7958FB20">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养老服务领域。对特困供养老年人（含机构供养和分散供养）、留守老人、建档立卡贫困老人等老年群体开展健康服务、精神慰藉、危机干预、社会支持网络建设、社区参与、权益保障等服务。统筹链接社区养老服务设施、医疗卫生服务机构、涉老社会组织和服务性企业等资源，开展为老助老服务。</w:t>
      </w:r>
    </w:p>
    <w:p w14:paraId="442352DE">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儿童福利领域。配合进行农村留守儿童、孤儿、事实无人抚养儿童等困境儿童走访核查、家庭探访督导检查，对农村留守儿童和困境儿童家庭开展政策宣传、法制宣传、监护评估、安全和心理健康教育、隔代教育能力建设等，重点解决服务对象在监护管理、心理慰藉、权益维护等方面的问题,做好留守妇女关爱工作。</w:t>
      </w:r>
    </w:p>
    <w:p w14:paraId="45179F3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社区治理领域。为社区居民提供就业政策咨询、福利、精神卫生等服务。推进“三社联动”，孵化培育社区社会组织，培育发展志愿服务队伍，根据居民需求统筹设计、承接和实施服务项目，促进社会组织、社会资源和各类社区主体有序参与。在社区照顾、社区参与、社区融合、社区发展、社区矫正、社区戒毒等方面发挥作用，对有需求的辖区群众提供情绪引导、心理辅导、资源链接、困难纾解、社会支持网络修复等服务，扶助和支持困难人员生活。</w:t>
      </w:r>
    </w:p>
    <w:p w14:paraId="4FB50AFE">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社会事务领域。宣传婚姻政策法规、婚俗改革、新时代婚姻家庭文化建设，开展婚前辅导、婚姻家庭咨询和辅导等服务。宣传殡葬政策法规，引导文明节俭办丧事，提供丧葬需求咨询服务。对残疾人开展家庭排查、需求评估、心理辅导、能力提升、资源链接等服务，提供精神障碍社区康复服务。为生活无着的流浪乞讨人员特别是返乡和易走失人员提供心理疏导、教育矫治等服务。</w:t>
      </w:r>
    </w:p>
    <w:p w14:paraId="4276BEEA">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（3）人力资源配置：</w:t>
      </w:r>
    </w:p>
    <w:p w14:paraId="2740683C">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①驻站社工要求年龄 45 岁以下，全日制本科及以上学历，取得国家认可的社工师（含助理社工师）资质的专业社会工作者，未持证的上岗后需考取助理社工师。社会工作者应当拥护党的领导、践行党的宗旨、执行党的决定，坚决维护党中央权威和集中统一领导。</w:t>
      </w:r>
    </w:p>
    <w:p w14:paraId="32267557">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000000"/>
          <w:kern w:val="0"/>
          <w:sz w:val="21"/>
          <w:szCs w:val="21"/>
          <w:lang w:val="en-US" w:eastAsia="zh-CN" w:bidi="ar"/>
        </w:rPr>
        <w:t>②承接机构应为项目团队配备内部专业督导，帮助项目团队尽快融入新环境，协调项目相关</w:t>
      </w:r>
      <w:r>
        <w:rPr>
          <w:rFonts w:hint="eastAsia" w:ascii="宋体" w:hAnsi="宋体" w:eastAsia="宋体" w:cs="宋体"/>
          <w:color w:val="auto"/>
          <w:sz w:val="21"/>
          <w:szCs w:val="21"/>
        </w:rPr>
        <w:t>方关系，与项目外部督导建立联系共同提升项目团队各方面能力，有效推</w:t>
      </w:r>
    </w:p>
    <w:p w14:paraId="52655F6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p>
    <w:p w14:paraId="075FAB6D">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进各项服务开展。</w:t>
      </w:r>
    </w:p>
    <w:p w14:paraId="4EBA8C94">
      <w:pPr>
        <w:spacing w:line="360" w:lineRule="auto"/>
        <w:ind w:firstLine="420" w:firstLineChars="200"/>
        <w:rPr>
          <w:rFonts w:hint="eastAsia" w:ascii="宋体" w:hAnsi="宋体" w:eastAsia="宋体" w:cs="宋体"/>
          <w:color w:val="auto"/>
          <w:sz w:val="21"/>
          <w:szCs w:val="21"/>
          <w:highlight w:val="yellow"/>
        </w:rPr>
      </w:pPr>
      <w:r>
        <w:rPr>
          <w:rFonts w:hint="eastAsia" w:ascii="宋体" w:hAnsi="宋体" w:eastAsia="宋体" w:cs="宋体"/>
          <w:color w:val="auto"/>
          <w:sz w:val="21"/>
          <w:szCs w:val="21"/>
        </w:rPr>
        <w:t>③</w:t>
      </w:r>
      <w:r>
        <w:rPr>
          <w:rFonts w:hint="eastAsia" w:ascii="宋体" w:hAnsi="宋体" w:eastAsia="宋体" w:cs="宋体"/>
          <w:bCs/>
          <w:color w:val="auto"/>
          <w:sz w:val="21"/>
          <w:szCs w:val="21"/>
        </w:rPr>
        <w:t>应发展壮大社区志愿者队伍，逐步形成“社工引领</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协助社工”的服务模式，深度挖掘社区资源，通过资源整合，培育一批社区社会组织，努力促进社区、社会工作者、社会组织“</w:t>
      </w:r>
      <w:r>
        <w:rPr>
          <w:rFonts w:hint="eastAsia" w:ascii="宋体" w:hAnsi="宋体" w:eastAsia="宋体" w:cs="宋体"/>
          <w:bCs/>
          <w:color w:val="auto"/>
          <w:sz w:val="21"/>
          <w:szCs w:val="21"/>
          <w:lang w:val="en-US" w:eastAsia="zh-CN"/>
        </w:rPr>
        <w:t>五社联动</w:t>
      </w:r>
      <w:r>
        <w:rPr>
          <w:rFonts w:hint="eastAsia" w:ascii="宋体" w:hAnsi="宋体" w:eastAsia="宋体" w:cs="宋体"/>
          <w:bCs/>
          <w:color w:val="auto"/>
          <w:sz w:val="21"/>
          <w:szCs w:val="21"/>
        </w:rPr>
        <w:t>”，使其有机结合、优势互补。</w:t>
      </w:r>
    </w:p>
    <w:p w14:paraId="448D77DE">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（4）管理制度建设：</w:t>
      </w:r>
      <w:r>
        <w:rPr>
          <w:rFonts w:hint="eastAsia" w:ascii="宋体" w:hAnsi="宋体" w:eastAsia="宋体" w:cs="宋体"/>
          <w:bCs/>
          <w:color w:val="auto"/>
          <w:sz w:val="21"/>
          <w:szCs w:val="21"/>
          <w:lang w:val="en-US" w:eastAsia="zh-CN"/>
        </w:rPr>
        <w:t>社工站</w:t>
      </w:r>
      <w:r>
        <w:rPr>
          <w:rFonts w:hint="eastAsia" w:ascii="宋体" w:hAnsi="宋体" w:eastAsia="宋体" w:cs="宋体"/>
          <w:bCs/>
          <w:color w:val="auto"/>
          <w:sz w:val="21"/>
          <w:szCs w:val="21"/>
        </w:rPr>
        <w:t>应当建立《运营管理制度》、《财务管理制度》、《人力资源管理制度》、《社区公众参与的监督评议制度》、《志愿者（义工）管理制度》、《服务管理制度》、《固定资产管理制度》、《服务项目管理制度》、《安全卫生与危机管理制度》、《社区信息管理制度》、《项目信息上报制度》、《文件及档案管理制度》等相关制度。</w:t>
      </w:r>
    </w:p>
    <w:p w14:paraId="386AB990">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（5）项目费用及支付方式：</w:t>
      </w:r>
    </w:p>
    <w:p w14:paraId="425EB1E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①项目费用：</w:t>
      </w:r>
      <w:r>
        <w:rPr>
          <w:rFonts w:hint="eastAsia" w:ascii="宋体" w:hAnsi="宋体" w:eastAsia="宋体" w:cs="宋体"/>
          <w:bCs/>
          <w:color w:val="auto"/>
          <w:sz w:val="21"/>
          <w:szCs w:val="21"/>
          <w:highlight w:val="none"/>
        </w:rPr>
        <w:t>本类</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个子项目资金总额为</w:t>
      </w:r>
      <w:r>
        <w:rPr>
          <w:rFonts w:hint="eastAsia" w:ascii="宋体" w:hAnsi="宋体" w:eastAsia="宋体" w:cs="宋体"/>
          <w:bCs/>
          <w:color w:val="auto"/>
          <w:sz w:val="21"/>
          <w:szCs w:val="21"/>
          <w:highlight w:val="none"/>
          <w:lang w:val="en-US" w:eastAsia="zh-CN"/>
        </w:rPr>
        <w:t>506.25</w:t>
      </w:r>
      <w:r>
        <w:rPr>
          <w:rFonts w:hint="eastAsia" w:ascii="宋体" w:hAnsi="宋体" w:eastAsia="宋体" w:cs="宋体"/>
          <w:bCs/>
          <w:color w:val="auto"/>
          <w:sz w:val="21"/>
          <w:szCs w:val="21"/>
          <w:highlight w:val="none"/>
        </w:rPr>
        <w:t>万元，按照每个</w:t>
      </w:r>
      <w:r>
        <w:rPr>
          <w:rFonts w:hint="eastAsia" w:ascii="宋体" w:hAnsi="宋体" w:eastAsia="宋体" w:cs="宋体"/>
          <w:bCs/>
          <w:color w:val="auto"/>
          <w:sz w:val="21"/>
          <w:szCs w:val="21"/>
          <w:highlight w:val="none"/>
          <w:lang w:val="en-US" w:eastAsia="zh-CN"/>
        </w:rPr>
        <w:t>社工站所在辖区大小和居民实际居住量，确定社工站配备人员数，</w:t>
      </w:r>
      <w:r>
        <w:rPr>
          <w:rFonts w:hint="eastAsia" w:ascii="宋体" w:hAnsi="宋体" w:eastAsia="宋体" w:cs="宋体"/>
          <w:bCs/>
          <w:color w:val="auto"/>
          <w:sz w:val="21"/>
          <w:szCs w:val="21"/>
          <w:highlight w:val="none"/>
        </w:rPr>
        <w:t>一年</w:t>
      </w:r>
      <w:r>
        <w:rPr>
          <w:rFonts w:hint="eastAsia" w:ascii="宋体" w:hAnsi="宋体" w:eastAsia="宋体" w:cs="宋体"/>
          <w:bCs/>
          <w:color w:val="auto"/>
          <w:sz w:val="21"/>
          <w:szCs w:val="21"/>
          <w:highlight w:val="none"/>
          <w:lang w:eastAsia="zh-CN"/>
        </w:rPr>
        <w:t>每人</w:t>
      </w:r>
      <w:r>
        <w:rPr>
          <w:rFonts w:hint="eastAsia" w:ascii="宋体" w:hAnsi="宋体" w:eastAsia="宋体" w:cs="宋体"/>
          <w:bCs/>
          <w:color w:val="auto"/>
          <w:sz w:val="21"/>
          <w:szCs w:val="21"/>
          <w:highlight w:val="none"/>
          <w:lang w:val="en-US" w:eastAsia="zh-CN"/>
        </w:rPr>
        <w:t>6.75万</w:t>
      </w:r>
      <w:r>
        <w:rPr>
          <w:rFonts w:hint="eastAsia" w:ascii="宋体" w:hAnsi="宋体" w:eastAsia="宋体" w:cs="宋体"/>
          <w:bCs/>
          <w:color w:val="auto"/>
          <w:sz w:val="21"/>
          <w:szCs w:val="21"/>
          <w:highlight w:val="none"/>
        </w:rPr>
        <w:t>元运营经费的标准，由区财政全额负担。</w:t>
      </w:r>
      <w:r>
        <w:rPr>
          <w:rFonts w:hint="eastAsia" w:ascii="宋体" w:hAnsi="宋体" w:eastAsia="宋体" w:cs="宋体"/>
          <w:color w:val="auto"/>
          <w:sz w:val="21"/>
          <w:szCs w:val="21"/>
          <w:highlight w:val="none"/>
        </w:rPr>
        <w:t>该费用主要用于办公经费、人员薪酬、督导培训、服务活动、项目管理等项目运营支出，需专款专用，不得挪作他用。</w:t>
      </w:r>
    </w:p>
    <w:p w14:paraId="6EEDA6B7">
      <w:pPr>
        <w:spacing w:line="360" w:lineRule="auto"/>
        <w:ind w:firstLine="420" w:firstLineChars="200"/>
        <w:rPr>
          <w:rFonts w:hint="eastAsia" w:ascii="宋体" w:hAnsi="宋体" w:eastAsia="宋体" w:cs="宋体"/>
          <w:color w:val="auto"/>
          <w:spacing w:val="-2"/>
          <w:sz w:val="21"/>
          <w:szCs w:val="21"/>
        </w:rPr>
      </w:pPr>
      <w:r>
        <w:rPr>
          <w:rFonts w:hint="eastAsia" w:ascii="宋体" w:hAnsi="宋体" w:eastAsia="宋体" w:cs="宋体"/>
          <w:color w:val="auto"/>
          <w:sz w:val="21"/>
          <w:szCs w:val="21"/>
        </w:rPr>
        <w:t>②支付方式：</w:t>
      </w:r>
      <w:r>
        <w:rPr>
          <w:rFonts w:hint="eastAsia" w:ascii="宋体" w:hAnsi="宋体" w:eastAsia="宋体" w:cs="宋体"/>
          <w:bCs/>
          <w:color w:val="auto"/>
          <w:sz w:val="21"/>
          <w:szCs w:val="21"/>
        </w:rPr>
        <w:t>按协商签订的项目合同约定进行拨付。</w:t>
      </w:r>
    </w:p>
    <w:p w14:paraId="5A81D021">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5F30A1B6">
      <w:pPr>
        <w:spacing w:line="360" w:lineRule="auto"/>
        <w:ind w:firstLine="645"/>
        <w:rPr>
          <w:rFonts w:hint="eastAsia" w:ascii="宋体" w:hAnsi="宋体" w:eastAsia="宋体" w:cs="宋体"/>
          <w:b/>
          <w:color w:val="auto"/>
          <w:spacing w:val="-2"/>
          <w:sz w:val="21"/>
          <w:szCs w:val="21"/>
          <w:lang w:val="en-US" w:eastAsia="zh-CN"/>
        </w:rPr>
      </w:pPr>
      <w:r>
        <w:rPr>
          <w:rFonts w:hint="eastAsia" w:ascii="宋体" w:hAnsi="宋体" w:eastAsia="宋体" w:cs="宋体"/>
          <w:b/>
          <w:color w:val="auto"/>
          <w:spacing w:val="-2"/>
          <w:sz w:val="21"/>
          <w:szCs w:val="21"/>
          <w:lang w:val="en-US" w:eastAsia="zh-CN"/>
        </w:rPr>
        <w:t>1、“第三方评估”服务项目</w:t>
      </w:r>
    </w:p>
    <w:p w14:paraId="6A2351C1">
      <w:pPr>
        <w:tabs>
          <w:tab w:val="center" w:pos="4153"/>
        </w:tabs>
        <w:spacing w:line="360" w:lineRule="auto"/>
        <w:ind w:firstLine="414" w:firstLineChars="200"/>
        <w:rPr>
          <w:rFonts w:hint="eastAsia" w:ascii="宋体" w:hAnsi="宋体" w:eastAsia="宋体" w:cs="宋体"/>
          <w:color w:val="auto"/>
          <w:sz w:val="21"/>
          <w:szCs w:val="21"/>
        </w:rPr>
      </w:pPr>
      <w:r>
        <w:rPr>
          <w:rFonts w:hint="eastAsia" w:ascii="宋体" w:hAnsi="宋体" w:eastAsia="宋体" w:cs="宋体"/>
          <w:b/>
          <w:color w:val="auto"/>
          <w:spacing w:val="-2"/>
          <w:sz w:val="21"/>
          <w:szCs w:val="21"/>
        </w:rPr>
        <w:t>（1）服务对象：</w:t>
      </w:r>
      <w:r>
        <w:rPr>
          <w:rFonts w:hint="eastAsia" w:ascii="宋体" w:hAnsi="宋体" w:eastAsia="宋体" w:cs="宋体"/>
          <w:color w:val="auto"/>
          <w:sz w:val="21"/>
          <w:szCs w:val="21"/>
          <w:highlight w:val="none"/>
        </w:rPr>
        <w:t>郑东</w:t>
      </w:r>
      <w:r>
        <w:rPr>
          <w:rFonts w:hint="eastAsia" w:ascii="宋体" w:hAnsi="宋体" w:eastAsia="宋体" w:cs="宋体"/>
          <w:color w:val="auto"/>
          <w:sz w:val="21"/>
          <w:szCs w:val="21"/>
        </w:rPr>
        <w:t>新区政府购买的</w:t>
      </w:r>
      <w:r>
        <w:rPr>
          <w:rFonts w:hint="eastAsia" w:ascii="宋体" w:hAnsi="宋体" w:eastAsia="宋体" w:cs="宋体"/>
          <w:color w:val="auto"/>
          <w:sz w:val="21"/>
          <w:szCs w:val="21"/>
          <w:lang w:eastAsia="zh-CN"/>
        </w:rPr>
        <w:t>社会工作服务项目社工</w:t>
      </w:r>
      <w:r>
        <w:rPr>
          <w:rFonts w:hint="eastAsia" w:ascii="宋体" w:hAnsi="宋体" w:eastAsia="宋体" w:cs="宋体"/>
          <w:color w:val="auto"/>
          <w:sz w:val="21"/>
          <w:szCs w:val="21"/>
        </w:rPr>
        <w:t>，郑东新区政府购买社工服务的中标社工机构，郑东新区注册的社工机构。</w:t>
      </w:r>
    </w:p>
    <w:p w14:paraId="21F38FDA">
      <w:pPr>
        <w:tabs>
          <w:tab w:val="center" w:pos="4153"/>
        </w:tabs>
        <w:spacing w:line="360" w:lineRule="auto"/>
        <w:ind w:firstLine="414" w:firstLineChars="200"/>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（2）服务内容：</w:t>
      </w:r>
    </w:p>
    <w:p w14:paraId="4AA13F0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①中标机构必须按合同规定开展年中的过程评估、年度的绩效评估工作，分别出具评估报告并提出相关合理性建议，探索、归纳、总结东区评估服务体系，提供科学合理的政府购买社工服务评估制度。</w:t>
      </w:r>
    </w:p>
    <w:p w14:paraId="113D551E">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②财务评估的主要服务内容为财务指导、监管和评审服务，中标机构必须核定社工机构财务人员资质，检查社工机构财务制度是否合规合法，对社工机构财务人员进行专业培训和指导，对社工机构的财务进行监管，对郑东新区所有中标社工机构进行年中、年度财务评估审计。</w:t>
      </w:r>
    </w:p>
    <w:p w14:paraId="24DDC1E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③在项目试用期间对各项目进行走访调研，完成试用期各相关方满意度和社会评价，并出具相关报告，项目中期和末期通过专业评估分别出具相关报告。</w:t>
      </w:r>
    </w:p>
    <w:p w14:paraId="3B125775">
      <w:pPr>
        <w:numPr>
          <w:ilvl w:val="0"/>
          <w:numId w:val="17"/>
        </w:num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人力资源配置：</w:t>
      </w:r>
    </w:p>
    <w:p w14:paraId="13D0F690">
      <w:pPr>
        <w:numPr>
          <w:ilvl w:val="0"/>
          <w:numId w:val="0"/>
        </w:numPr>
        <w:spacing w:line="360" w:lineRule="auto"/>
        <w:ind w:firstLine="420" w:firstLineChars="200"/>
        <w:rPr>
          <w:rFonts w:hint="eastAsia" w:ascii="宋体" w:hAnsi="宋体" w:eastAsia="宋体" w:cs="宋体"/>
          <w:b/>
          <w:color w:val="auto"/>
          <w:spacing w:val="-2"/>
          <w:sz w:val="21"/>
          <w:szCs w:val="21"/>
        </w:rPr>
      </w:pPr>
      <w:r>
        <w:rPr>
          <w:rFonts w:hint="eastAsia" w:ascii="宋体" w:hAnsi="宋体" w:eastAsia="宋体" w:cs="宋体"/>
          <w:bCs/>
          <w:color w:val="auto"/>
          <w:kern w:val="0"/>
          <w:sz w:val="21"/>
          <w:szCs w:val="21"/>
        </w:rPr>
        <w:t>社工服务评估组应配置专业的社会工作评估团队，要求团队成员具备行业认可的资质；财务评估组应配置专业的财务评估和审计团队，要求项目负责人和工作人员具备注册会计师或项目经理的资质。</w:t>
      </w:r>
    </w:p>
    <w:p w14:paraId="503FCD07">
      <w:p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（4）管理制度建设：</w:t>
      </w:r>
    </w:p>
    <w:p w14:paraId="5F39B151">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kern w:val="0"/>
          <w:sz w:val="21"/>
          <w:szCs w:val="21"/>
        </w:rPr>
        <w:t>本项目应当建立《财务管理制度》、《服务项目管理制度》、《项目信息上报制度》、《文件及档案管理制度》等相关制度。</w:t>
      </w:r>
    </w:p>
    <w:p w14:paraId="03291260">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（5）项目费用及支付方式：</w:t>
      </w:r>
    </w:p>
    <w:p w14:paraId="3B2FD641">
      <w:pPr>
        <w:numPr>
          <w:ilvl w:val="0"/>
          <w:numId w:val="0"/>
        </w:numPr>
        <w:spacing w:line="360" w:lineRule="auto"/>
        <w:ind w:firstLine="420" w:firstLineChars="200"/>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①项目费</w:t>
      </w:r>
      <w:r>
        <w:rPr>
          <w:rFonts w:hint="eastAsia" w:ascii="宋体" w:hAnsi="宋体" w:eastAsia="宋体" w:cs="宋体"/>
          <w:bCs/>
          <w:color w:val="auto"/>
          <w:kern w:val="0"/>
          <w:sz w:val="21"/>
          <w:szCs w:val="21"/>
          <w:highlight w:val="none"/>
        </w:rPr>
        <w:t>用：按照</w:t>
      </w:r>
      <w:r>
        <w:rPr>
          <w:rFonts w:hint="eastAsia" w:ascii="宋体" w:hAnsi="宋体" w:eastAsia="宋体" w:cs="宋体"/>
          <w:bCs/>
          <w:color w:val="auto"/>
          <w:kern w:val="0"/>
          <w:sz w:val="21"/>
          <w:szCs w:val="21"/>
          <w:highlight w:val="none"/>
          <w:lang w:val="en-US" w:eastAsia="zh-CN"/>
        </w:rPr>
        <w:t>12</w:t>
      </w:r>
      <w:r>
        <w:rPr>
          <w:rFonts w:hint="eastAsia" w:ascii="宋体" w:hAnsi="宋体" w:eastAsia="宋体" w:cs="宋体"/>
          <w:bCs/>
          <w:color w:val="auto"/>
          <w:kern w:val="0"/>
          <w:sz w:val="21"/>
          <w:szCs w:val="21"/>
          <w:highlight w:val="none"/>
        </w:rPr>
        <w:t>万元的运营</w:t>
      </w:r>
      <w:r>
        <w:rPr>
          <w:rFonts w:hint="eastAsia" w:ascii="宋体" w:hAnsi="宋体" w:eastAsia="宋体" w:cs="宋体"/>
          <w:bCs/>
          <w:color w:val="auto"/>
          <w:kern w:val="0"/>
          <w:sz w:val="21"/>
          <w:szCs w:val="21"/>
        </w:rPr>
        <w:t>经费标准，由区财政全额负担。该费用主要用于办公经费、人员薪酬、服务活动、项目管理等项目运营支出，需专款专用，不得挪作他用。</w:t>
      </w:r>
    </w:p>
    <w:p w14:paraId="05EB69B6">
      <w:pPr>
        <w:numPr>
          <w:ilvl w:val="0"/>
          <w:numId w:val="0"/>
        </w:numPr>
        <w:spacing w:line="360" w:lineRule="auto"/>
        <w:ind w:firstLine="420" w:firstLineChars="200"/>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rPr>
        <w:t>②支付方式：按协商签订的项目合同约定进行拨付。</w:t>
      </w:r>
    </w:p>
    <w:p w14:paraId="364C0B26">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三、项目服务期限及试用期</w:t>
      </w:r>
    </w:p>
    <w:p w14:paraId="61B1959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w:t>
      </w:r>
      <w:r>
        <w:rPr>
          <w:rFonts w:hint="eastAsia" w:ascii="宋体" w:hAnsi="宋体" w:eastAsia="宋体" w:cs="宋体"/>
          <w:color w:val="auto"/>
          <w:sz w:val="21"/>
          <w:szCs w:val="21"/>
          <w:highlight w:val="none"/>
        </w:rPr>
        <w:t>服务周期为自合同签订之日起1年。</w:t>
      </w:r>
    </w:p>
    <w:p w14:paraId="0AAA5ED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（二）中标机构社工服务试用期为</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个月，自合同签订之日起算。</w:t>
      </w:r>
    </w:p>
    <w:p w14:paraId="78CA3E99">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四、项目评估</w:t>
      </w:r>
    </w:p>
    <w:p w14:paraId="5FF88D8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本次政府购买专业社工服务项目需进行试用期满意度调研，中期评估和末期评估，确保项目顺利推进和服务成效。</w:t>
      </w:r>
    </w:p>
    <w:p w14:paraId="56B742BF">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五、其它有关要求</w:t>
      </w:r>
    </w:p>
    <w:p w14:paraId="73A8378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（一）社工服务提供方应本着服务至上、诚信为本的宗旨，委派身体健康并符合合同要求的社工为辖区居民提供优质的服务，同时需对社工进行日常的监督、管理和指导</w:t>
      </w:r>
      <w:r>
        <w:rPr>
          <w:rFonts w:hint="eastAsia" w:ascii="宋体" w:hAnsi="宋体" w:eastAsia="宋体" w:cs="宋体"/>
          <w:color w:val="auto"/>
          <w:spacing w:val="-2"/>
          <w:kern w:val="0"/>
          <w:sz w:val="21"/>
          <w:szCs w:val="21"/>
          <w:highlight w:val="none"/>
        </w:rPr>
        <w:t>。</w:t>
      </w:r>
      <w:r>
        <w:rPr>
          <w:rFonts w:hint="eastAsia" w:ascii="宋体" w:hAnsi="宋体" w:eastAsia="宋体" w:cs="宋体"/>
          <w:color w:val="auto"/>
          <w:sz w:val="21"/>
          <w:szCs w:val="21"/>
          <w:highlight w:val="none"/>
        </w:rPr>
        <w:t xml:space="preserve">           </w:t>
      </w:r>
    </w:p>
    <w:p w14:paraId="2D23BB9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（二）社工服务提供方应对委派的社工及相关工作人员进行项目培训，确保所有人员能胜任项目工作。</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将定期对项目人员进行考核，对考核不合格的，有权要求</w:t>
      </w:r>
      <w:r>
        <w:rPr>
          <w:rFonts w:hint="eastAsia" w:ascii="宋体" w:hAnsi="宋体" w:eastAsia="宋体" w:cs="宋体"/>
          <w:bCs/>
          <w:color w:val="auto"/>
          <w:sz w:val="21"/>
          <w:szCs w:val="21"/>
          <w:highlight w:val="none"/>
        </w:rPr>
        <w:t>社工服务提供方予以调换。</w:t>
      </w:r>
    </w:p>
    <w:p w14:paraId="460C148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（三）社工服务提供方应定期向</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如实反映项目的执行进度及成效。在项目实施中期及末期及时对项目进行自评并提供详实的自评报告给</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w:t>
      </w:r>
    </w:p>
    <w:p w14:paraId="4786B7B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（四）社工服务提供方应配合</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做好项目的抽查及评估工作。</w:t>
      </w:r>
    </w:p>
    <w:p w14:paraId="30989F9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1"/>
          <w:szCs w:val="21"/>
          <w:highlight w:val="none"/>
        </w:rPr>
        <w:t>（五）社工服务提供方应按照区有关规定使用项目资助资金，做到专款专用，并接受</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及其它相关部门的监督。</w:t>
      </w:r>
    </w:p>
    <w:p w14:paraId="1C7F852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p>
    <w:p w14:paraId="3BAF02C4">
      <w:pPr>
        <w:tabs>
          <w:tab w:val="left" w:pos="420"/>
        </w:tabs>
        <w:wordWrap/>
        <w:spacing w:line="360" w:lineRule="auto"/>
        <w:ind w:firstLine="0" w:firstLineChars="0"/>
        <w:jc w:val="right"/>
        <w:rPr>
          <w:rFonts w:hint="eastAsia" w:ascii="宋体" w:hAnsi="宋体" w:eastAsia="宋体" w:cs="宋体"/>
          <w:color w:val="000000"/>
          <w:kern w:val="2"/>
          <w:sz w:val="24"/>
          <w:szCs w:val="24"/>
          <w:lang w:val="en-US" w:eastAsia="zh-CN" w:bidi="ar-SA"/>
        </w:rPr>
      </w:pPr>
    </w:p>
    <w:p w14:paraId="0DA42E84">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286C25C6">
      <w:pPr>
        <w:spacing w:line="360" w:lineRule="auto"/>
        <w:rPr>
          <w:rFonts w:hint="eastAsia" w:ascii="宋体" w:hAnsi="宋体" w:eastAsia="宋体" w:cs="宋体"/>
          <w:color w:val="000000"/>
          <w:kern w:val="2"/>
          <w:sz w:val="24"/>
          <w:szCs w:val="24"/>
          <w:lang w:val="en-US" w:eastAsia="zh-CN" w:bidi="ar-SA"/>
        </w:rPr>
        <w:sectPr>
          <w:headerReference r:id="rId8" w:type="default"/>
          <w:footerReference r:id="rId9" w:type="default"/>
          <w:pgSz w:w="11906" w:h="16838"/>
          <w:pgMar w:top="1417" w:right="1701" w:bottom="1417" w:left="1701" w:header="851" w:footer="992" w:gutter="0"/>
          <w:pgNumType w:fmt="numberInDash"/>
          <w:cols w:space="720" w:num="1"/>
          <w:docGrid w:type="lines" w:linePitch="312" w:charSpace="0"/>
        </w:sectPr>
      </w:pPr>
    </w:p>
    <w:p w14:paraId="172E9255">
      <w:pPr>
        <w:spacing w:line="360" w:lineRule="auto"/>
        <w:rPr>
          <w:rFonts w:hint="eastAsia" w:ascii="宋体" w:hAnsi="宋体" w:eastAsia="宋体" w:cs="宋体"/>
          <w:b/>
          <w:w w:val="90"/>
          <w:sz w:val="32"/>
          <w:szCs w:val="32"/>
        </w:rPr>
      </w:pPr>
      <w:r>
        <w:rPr>
          <w:rFonts w:hint="eastAsia" w:ascii="宋体" w:hAnsi="宋体" w:eastAsia="宋体" w:cs="宋体"/>
          <w:b/>
          <w:w w:val="90"/>
          <w:sz w:val="32"/>
          <w:szCs w:val="32"/>
        </w:rPr>
        <w:t>附件2：</w:t>
      </w:r>
    </w:p>
    <w:p w14:paraId="5D9F91ED">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ascii="宋体" w:hAnsi="宋体" w:eastAsia="宋体" w:cs="宋体"/>
          <w:b/>
          <w:w w:val="90"/>
          <w:sz w:val="32"/>
          <w:szCs w:val="32"/>
        </w:rPr>
      </w:pPr>
      <w:r>
        <w:rPr>
          <w:rFonts w:hint="eastAsia" w:ascii="宋体" w:hAnsi="宋体" w:eastAsia="宋体" w:cs="宋体"/>
          <w:b/>
          <w:w w:val="90"/>
          <w:sz w:val="32"/>
          <w:szCs w:val="32"/>
        </w:rPr>
        <w:t>郑东新区政府购买专业社会工作服务目标任务与指标</w:t>
      </w:r>
    </w:p>
    <w:p w14:paraId="16268D99">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一、</w:t>
      </w:r>
      <w:r>
        <w:rPr>
          <w:rFonts w:hint="eastAsia" w:ascii="宋体" w:hAnsi="宋体" w:eastAsia="宋体" w:cs="宋体"/>
          <w:b/>
          <w:bCs/>
          <w:color w:val="000000"/>
          <w:spacing w:val="-2"/>
          <w:sz w:val="21"/>
          <w:szCs w:val="21"/>
        </w:rPr>
        <w:t>郑东新区办事处（社区）社会工作服务站项目</w:t>
      </w:r>
    </w:p>
    <w:p w14:paraId="500097AF">
      <w:pPr>
        <w:pStyle w:val="2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宋体"/>
          <w:kern w:val="2"/>
          <w:sz w:val="21"/>
          <w:szCs w:val="21"/>
          <w:shd w:val="clear" w:color="auto" w:fill="FFFFFF"/>
        </w:rPr>
      </w:pPr>
      <w:r>
        <w:rPr>
          <w:rFonts w:hint="eastAsia" w:ascii="宋体" w:hAnsi="宋体" w:eastAsia="宋体" w:cs="宋体"/>
          <w:bCs/>
          <w:sz w:val="21"/>
          <w:szCs w:val="21"/>
          <w:shd w:val="clear" w:color="auto" w:fill="FFFFFF"/>
        </w:rPr>
        <w:t>（一）目标任务：</w:t>
      </w:r>
    </w:p>
    <w:p w14:paraId="5E8646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bookmarkStart w:id="275" w:name="OLE_LINK33"/>
      <w:r>
        <w:rPr>
          <w:rFonts w:hint="eastAsia" w:ascii="宋体" w:hAnsi="宋体" w:eastAsia="宋体" w:cs="宋体"/>
          <w:sz w:val="21"/>
          <w:szCs w:val="21"/>
          <w:shd w:val="clear" w:color="auto" w:fill="FFFFFF"/>
        </w:rPr>
        <w:t>1.运用社工专业工作方法协助社区居民委员会整合社区治理资源，服务辖区民政服务对象及居民，认真践行“民政为民、民政爱民”理念，提升基层民政经办能力，优化便民利民服务，打通服务群众的“最后一公里”。</w:t>
      </w:r>
    </w:p>
    <w:p w14:paraId="0127FA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2.组织策划社区志愿服务项目，引导社区居民参与社区志愿服务，协助社区党组织和社区居民自治组织开展社区志愿者动员、招募、培训、使用、登记注册、服务记录与证明等工作。</w:t>
      </w:r>
    </w:p>
    <w:p w14:paraId="209F1310">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sectPr>
          <w:footerReference r:id="rId10" w:type="default"/>
          <w:pgSz w:w="11906" w:h="16838"/>
          <w:pgMar w:top="1985" w:right="1531" w:bottom="1985" w:left="1531" w:header="851" w:footer="992" w:gutter="0"/>
          <w:pgNumType w:fmt="numberInDash"/>
          <w:cols w:space="720" w:num="1"/>
          <w:docGrid w:type="lines" w:linePitch="312" w:charSpace="0"/>
        </w:sectPr>
      </w:pPr>
      <w:r>
        <w:rPr>
          <w:rFonts w:hint="eastAsia" w:ascii="宋体" w:hAnsi="宋体" w:eastAsia="宋体" w:cs="宋体"/>
          <w:sz w:val="21"/>
          <w:szCs w:val="21"/>
          <w:shd w:val="clear" w:color="auto" w:fill="FFFFFF"/>
        </w:rPr>
        <w:t>3.为社区内有需求的老人、儿童、妇女、农民工等人群提供生活照料、情感关怀、安全教育、能力提升、社会融入等服务，开展社区文化、教育、娱乐活动，丰富社区居民的精神文化生活。</w:t>
      </w:r>
      <w:bookmarkEnd w:id="275"/>
    </w:p>
    <w:p w14:paraId="787F5022">
      <w:pPr>
        <w:spacing w:line="360" w:lineRule="auto"/>
        <w:rPr>
          <w:rFonts w:hint="eastAsia" w:ascii="宋体" w:hAnsi="宋体" w:eastAsia="宋体" w:cs="宋体"/>
          <w:bCs/>
          <w:szCs w:val="21"/>
        </w:rPr>
      </w:pPr>
      <w:r>
        <w:rPr>
          <w:rFonts w:hint="eastAsia" w:ascii="宋体" w:hAnsi="宋体" w:eastAsia="宋体" w:cs="宋体"/>
          <w:bCs/>
          <w:szCs w:val="21"/>
        </w:rPr>
        <w:t>（二）服务内容：</w:t>
      </w:r>
    </w:p>
    <w:tbl>
      <w:tblPr>
        <w:tblStyle w:val="26"/>
        <w:tblW w:w="9649" w:type="dxa"/>
        <w:jc w:val="center"/>
        <w:tblLayout w:type="fixed"/>
        <w:tblCellMar>
          <w:top w:w="0" w:type="dxa"/>
          <w:left w:w="108" w:type="dxa"/>
          <w:bottom w:w="0" w:type="dxa"/>
          <w:right w:w="108" w:type="dxa"/>
        </w:tblCellMar>
      </w:tblPr>
      <w:tblGrid>
        <w:gridCol w:w="1495"/>
        <w:gridCol w:w="1650"/>
        <w:gridCol w:w="6504"/>
      </w:tblGrid>
      <w:tr w14:paraId="4494004E">
        <w:tblPrEx>
          <w:tblCellMar>
            <w:top w:w="0" w:type="dxa"/>
            <w:left w:w="108" w:type="dxa"/>
            <w:bottom w:w="0" w:type="dxa"/>
            <w:right w:w="108" w:type="dxa"/>
          </w:tblCellMar>
        </w:tblPrEx>
        <w:trPr>
          <w:trHeight w:val="516" w:hRule="atLeast"/>
          <w:jc w:val="center"/>
        </w:trPr>
        <w:tc>
          <w:tcPr>
            <w:tcW w:w="9649" w:type="dxa"/>
            <w:gridSpan w:val="3"/>
            <w:tcBorders>
              <w:top w:val="single" w:color="000000" w:sz="4" w:space="0"/>
              <w:left w:val="single" w:color="000000" w:sz="4" w:space="0"/>
              <w:bottom w:val="single" w:color="000000" w:sz="4" w:space="0"/>
              <w:right w:val="single" w:color="000000" w:sz="4" w:space="0"/>
            </w:tcBorders>
            <w:noWrap w:val="0"/>
            <w:vAlign w:val="center"/>
          </w:tcPr>
          <w:p w14:paraId="792489C5">
            <w:pPr>
              <w:widowControl/>
              <w:spacing w:line="360"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社会工作服务站服务领域及内容</w:t>
            </w:r>
          </w:p>
        </w:tc>
      </w:tr>
      <w:tr w14:paraId="40CB3354">
        <w:tblPrEx>
          <w:tblCellMar>
            <w:top w:w="0" w:type="dxa"/>
            <w:left w:w="108" w:type="dxa"/>
            <w:bottom w:w="0" w:type="dxa"/>
            <w:right w:w="108" w:type="dxa"/>
          </w:tblCellMar>
        </w:tblPrEx>
        <w:trPr>
          <w:trHeight w:val="312" w:hRule="atLeast"/>
          <w:jc w:val="center"/>
        </w:trPr>
        <w:tc>
          <w:tcPr>
            <w:tcW w:w="1495" w:type="dxa"/>
            <w:tcBorders>
              <w:top w:val="single" w:color="000000" w:sz="4" w:space="0"/>
              <w:left w:val="single" w:color="000000" w:sz="4" w:space="0"/>
              <w:bottom w:val="single" w:color="000000" w:sz="4" w:space="0"/>
              <w:right w:val="single" w:color="000000" w:sz="4" w:space="0"/>
            </w:tcBorders>
            <w:noWrap w:val="0"/>
            <w:vAlign w:val="center"/>
          </w:tcPr>
          <w:p w14:paraId="6C0BC22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服务领域</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F0C77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服务内容</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B8A16F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具体服务内容</w:t>
            </w:r>
          </w:p>
        </w:tc>
      </w:tr>
      <w:tr w14:paraId="02389F1B">
        <w:tblPrEx>
          <w:tblCellMar>
            <w:top w:w="0" w:type="dxa"/>
            <w:left w:w="108" w:type="dxa"/>
            <w:bottom w:w="0" w:type="dxa"/>
            <w:right w:w="108" w:type="dxa"/>
          </w:tblCellMar>
        </w:tblPrEx>
        <w:trPr>
          <w:trHeight w:val="70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B6BE41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（一）社会救助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60E0F6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政策宣传</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78A63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宣传社会救助申请的资格条件、申报程序及审批流程、社会救助的主要类型和内容、救助标准和动态管理等政策制度。</w:t>
            </w:r>
          </w:p>
        </w:tc>
      </w:tr>
      <w:tr w14:paraId="22702140">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C23F4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E7B8DD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识别对象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3E680A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通过融入村居、入户调查、邻里访问，协助评估社会救助申请对象的身体状况、财产状况、居住条件和其他实际生活状况，精准识别救助服务对象。</w:t>
            </w:r>
          </w:p>
        </w:tc>
      </w:tr>
      <w:tr w14:paraId="3D57B3C6">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F1D4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525E21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服务建档</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FBA683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协助开展低保对象、特困人员、医疗救助、教育救助、住房救助、就业救助、临时救助、法律援助对象等社会救助对象建档工作。</w:t>
            </w:r>
          </w:p>
        </w:tc>
      </w:tr>
      <w:tr w14:paraId="640F2DDC">
        <w:tblPrEx>
          <w:tblCellMar>
            <w:top w:w="0" w:type="dxa"/>
            <w:left w:w="108" w:type="dxa"/>
            <w:bottom w:w="0" w:type="dxa"/>
            <w:right w:w="108" w:type="dxa"/>
          </w:tblCellMar>
        </w:tblPrEx>
        <w:trPr>
          <w:trHeight w:val="14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7545F">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96572B3">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资源链接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0CDE39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符合条件的服务对象申请有关社会救助政策（低保金、特困人员供养、残疾人补贴、城乡医疗救助基金、教育救助、公共租赁住房、危房改造、就业救助、临时救助、法律援助）；链接企业、基金会、社会团体、社会服务机构等社会资源等。</w:t>
            </w:r>
          </w:p>
        </w:tc>
      </w:tr>
      <w:tr w14:paraId="4A20FB5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E75D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9ADAB5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心理疏导</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9AC523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评估和诊断社会救助对象的问题和需求，提供心理支持，缓解个人及其家庭成员的心理焦虑和精神压力等。</w:t>
            </w:r>
          </w:p>
        </w:tc>
      </w:tr>
      <w:tr w14:paraId="65B04EB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417D9">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64590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能力提升</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24CE9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转变观念，挖掘服务对象的优势和资源；风险防控，培养服务对象应对风险能力；技能培训，协助服务对象实现就业创业。</w:t>
            </w:r>
          </w:p>
        </w:tc>
      </w:tr>
      <w:tr w14:paraId="5F34C712">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8D7E1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C6D8DD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社会融入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652F3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引导服务对象参与社区活动/社区公共事务，建立邻里互助小组/社区支持网络。</w:t>
            </w:r>
          </w:p>
        </w:tc>
      </w:tr>
      <w:tr w14:paraId="6B464F64">
        <w:tblPrEx>
          <w:tblCellMar>
            <w:top w:w="0" w:type="dxa"/>
            <w:left w:w="108" w:type="dxa"/>
            <w:bottom w:w="0" w:type="dxa"/>
            <w:right w:w="108" w:type="dxa"/>
          </w:tblCellMar>
        </w:tblPrEx>
        <w:trPr>
          <w:trHeight w:val="212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F0208">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8C9C7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生活无着流浪乞讨人员救助服务（救助管理机构）</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AFA9F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进入救助管理机构的流浪乞讨人员和庇护对象提供咨询接待、引导、转介及心理辅导、行为矫治、文化娱乐等服务。为受助人员及其他滞留在机构人员建立服务档案，帮助寻找失散亲人重归家庭。协助救助管理机构开展街面巡查，及时发现、劝导、护送流浪乞讨人员，使其得到及时救助。协助救助管理机构开展数据动态管理和政策宣传，链接社会资源开展有关服务。</w:t>
            </w:r>
          </w:p>
        </w:tc>
      </w:tr>
      <w:tr w14:paraId="5B103A9C">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88AF47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（二）养老服务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1671852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健康服务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62197DA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提供与老人身心健康直接相关的预防、康复、治疗等方面的服务，包括健康风险评估、老年健康知识宣传推广、老年健康咨询等；为老人开展健康照顾的有关服务，包括出行协助、生活照料、信息服务等。</w:t>
            </w:r>
          </w:p>
        </w:tc>
      </w:tr>
      <w:tr w14:paraId="7E5C41D8">
        <w:tblPrEx>
          <w:tblCellMar>
            <w:top w:w="0" w:type="dxa"/>
            <w:left w:w="108" w:type="dxa"/>
            <w:bottom w:w="0" w:type="dxa"/>
            <w:right w:w="108" w:type="dxa"/>
          </w:tblCellMar>
        </w:tblPrEx>
        <w:trPr>
          <w:trHeight w:val="12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CC84DA">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83199E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6601FF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评估老人身体状况、居住环境、经济状况等，摸底排查特殊困难老人生活状况，确立风险等级。协助符合条件的老人申请最低生活保障、特困人员供养、医疗救助、住房救助等社会救助政策。链接爱心慈善资金、志愿服务等社会资源为特殊困难老人提供援助。</w:t>
            </w:r>
          </w:p>
        </w:tc>
      </w:tr>
      <w:tr w14:paraId="64D8704E">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67018D">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69C127">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精神慰藉</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E77EFF6">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专业人士对老人做认知和情绪问题评估，识别和诊断老人认知与情绪方面的问题。协助专业人士对患有抑郁症、痴呆症、谵妄和焦虑症等认知和情绪问题提供心理辅导。在精神上关怀老年人，帮助老年人适应角色转变，重新界定生命价值和人生意义。</w:t>
            </w:r>
          </w:p>
        </w:tc>
      </w:tr>
      <w:tr w14:paraId="015E3CB0">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6EF4B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874A43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社会支持网络建立</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20D50F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举办各类康娱小组/交流活动，丰富老年人精神文化生活。推动建立老年人互助小组/学习小组/ 建立组员支持网络。建立照顾者支持体系，为老人照顾者提供喘息服务。开展爱老社区倡导，传承中华民族尊老敬老的美德。</w:t>
            </w:r>
          </w:p>
        </w:tc>
      </w:tr>
      <w:tr w14:paraId="4A40CF7C">
        <w:tblPrEx>
          <w:tblCellMar>
            <w:top w:w="0" w:type="dxa"/>
            <w:left w:w="108" w:type="dxa"/>
            <w:bottom w:w="0" w:type="dxa"/>
            <w:right w:w="108" w:type="dxa"/>
          </w:tblCellMar>
        </w:tblPrEx>
        <w:trPr>
          <w:trHeight w:val="234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7D70C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3674A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权益保障</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96B2D5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与有关部门和专业人士共同维护和保障老年人的财产处置和婚姻自由等合法权益不受侵犯。排查老年人有可能遭遇的风险，包括受虐待、被遗弃或疏于照顾等特殊问题，经发现后及时开展危机介入服务。协助老年人开展养老规划，帮助和引导符合条件的老年人申请和享受来自街道（乡镇）、村（居）和养老机构的有关服务和政策支持。开展社区宣传和社区教育，防止老人遭遇不公平对待或社会歧视。</w:t>
            </w:r>
          </w:p>
        </w:tc>
      </w:tr>
      <w:tr w14:paraId="27607515">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807FA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7C638D5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临终关怀</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6803C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生命教育，协助老人达成未了心愿，包括妥善安排遗嘱、器官捐赠等法律事宜，引导老年人及其家属建立理性的生死观。协助医护人员做好临终期老年人的疼痛和症状管理，包括音乐治疗、宠物治疗、艺术治疗。协助有需要的老人及其家属提供经济援助，缓解家庭经济压力。 动态评估老人及其家属的情绪变化，提供心理辅导和情感支持。开展丧亲后续服务，包括告别事宜、亲人离世后的哀伤辅导等。</w:t>
            </w:r>
          </w:p>
        </w:tc>
      </w:tr>
      <w:tr w14:paraId="1FF040AD">
        <w:tblPrEx>
          <w:tblCellMar>
            <w:top w:w="0" w:type="dxa"/>
            <w:left w:w="108" w:type="dxa"/>
            <w:bottom w:w="0" w:type="dxa"/>
            <w:right w:w="108" w:type="dxa"/>
          </w:tblCellMar>
        </w:tblPrEx>
        <w:trPr>
          <w:trHeight w:val="44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0BD7F9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（三） 儿童福利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25F0C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救助保护</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1D7DFB6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协助开展家庭随访，评估儿童成长和生活中面临的问题和需求，识别困境儿童并确 保其得到妥善照料。及时发现和报告遭受或疑似遭受家庭暴力或其他受虐行为，协同相关部门做好风险排查。链接社会资源为遭遇家庭暴力、虐待等问题的孩子提供临时庇护、调查取证、医疗救助、法律援助、心理疏导等服务。为困境儿童提供物质援助和关爱服务。</w:t>
            </w:r>
          </w:p>
        </w:tc>
      </w:tr>
      <w:tr w14:paraId="25435394">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BBE3B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6E5D4B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家庭教育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FC53A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面向儿童的父母和家庭普及科学育儿理念。开展儿童监护法制宣传和家庭暴力预防教育。指导儿童监护人履行抚养义务和监护责任。调适亲子关系、代际关系建设和谐家庭。增进家庭情感联结和亲情交流。</w:t>
            </w:r>
          </w:p>
        </w:tc>
      </w:tr>
      <w:tr w14:paraId="53EEEB1D">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E62AF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3E14F5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社会关爱</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297F67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协助学校和社区开展儿童安全教育。提供儿童心理健康教育和心理支持。开展儿童社会化引导促进社会融入。建立儿童友好社区，帮助儿童健康成长。</w:t>
            </w:r>
          </w:p>
        </w:tc>
      </w:tr>
      <w:tr w14:paraId="74B613DD">
        <w:tblPrEx>
          <w:tblCellMar>
            <w:top w:w="0" w:type="dxa"/>
            <w:left w:w="108" w:type="dxa"/>
            <w:bottom w:w="0" w:type="dxa"/>
            <w:right w:w="108" w:type="dxa"/>
          </w:tblCellMar>
        </w:tblPrEx>
        <w:trPr>
          <w:trHeight w:val="1872"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AEBD47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（四）社区治理</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DA75BC9">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社区公共服务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3211A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盘活公共服务空间，形成社区居民休闲娱乐和参与公共事务的场所。开展就业政策咨询，鼓励引导就业人员适应市场需求投身经济建设。提供社区福利服务，关注社区弱势群体，协助解决困难。开展精神卫生服务，营造健康的社区心理支持环境。推动环境卫生治理，倡导健康文明的生活方式以及良好的卫生习惯。预防社区突发事件，保障社区治安有序。</w:t>
            </w:r>
          </w:p>
        </w:tc>
      </w:tr>
      <w:tr w14:paraId="30153BA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D766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4748D8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社区社会组织培育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2A3042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挖掘社区骨干和社区资源，培育和发展各类社区社会组织，培育社区内生服务力量，促进社区居民自我服务。</w:t>
            </w:r>
          </w:p>
        </w:tc>
      </w:tr>
      <w:tr w14:paraId="6FB7FEFF">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F02E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F6627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社区志愿队伍建设</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C053EAE">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指导社区志愿服务站点建设，推动建立志愿服务队伍，依托全国志愿服务信息系统做好志愿者的招募、注册、登记、培训、使用、激励和管理工作。</w:t>
            </w:r>
          </w:p>
        </w:tc>
      </w:tr>
      <w:tr w14:paraId="27AA3D5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5E60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1787B7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居民自治</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F955C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引导居（村）民参与居（村）务管理，创新基层协商议事形式和活动载体，提升居（村）民自我管理、自我服务的意识和能力。</w:t>
            </w:r>
          </w:p>
        </w:tc>
      </w:tr>
      <w:tr w14:paraId="50BA02FE">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899CC6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（五） 社会事务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0A88F4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婚姻家庭服务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3B4FE3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婚姻政策法规、婚俗改革宣传，加强婚恋观、婚育观教育；提供家庭行为学习及家庭心理健康教育；开展婚姻家庭辅导，预防发生家庭暴力等事件；为遭遇家庭暴力的成员及遭遇重大变故的家庭提供危机介入和帮助。</w:t>
            </w:r>
          </w:p>
        </w:tc>
      </w:tr>
      <w:tr w14:paraId="0F5A3E41">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E27B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9E62A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殡葬服务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FE0B75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开展殡葬政策法规宣传，倡导绿色殡葬理念、节地生态安葬方式。向辖区居民提供治丧需求服务，协助对接殡葬服务机构，打通服务群众最后“一公里”，建立服务档案。</w:t>
            </w:r>
          </w:p>
        </w:tc>
      </w:tr>
      <w:tr w14:paraId="101FF5B7">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79C8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BF0F96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残疾人服务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A6F131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入户排查残疾人及其家庭成员情况，评估其服务需求。对残疾人及其家庭开展心理辅导和能力提升服务。对有需要帮助的残疾人及其家庭链接社会资源提供经济援助。对有意愿且符合就业条件的残疾人及其家庭提供技能培训创造就业机会。开展残疾人有关政策宣传，协助残疾人及其家庭申请有关政策，如协助符合条件的残疾人申请残疾人两项补贴。开展社区宣传及公众教育，营造尊重、平等、接纳残疾人的社区进步文化。</w:t>
            </w:r>
          </w:p>
        </w:tc>
      </w:tr>
      <w:tr w14:paraId="148E82F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465DC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39315D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流浪乞讨救助服务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AEFE99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为生活无着的流浪乞讨人员特别是返乡和易走失人员提供心理疏导、教育矫治等服务。</w:t>
            </w:r>
          </w:p>
        </w:tc>
      </w:tr>
    </w:tbl>
    <w:p w14:paraId="63B07065">
      <w:pPr>
        <w:spacing w:line="360" w:lineRule="auto"/>
        <w:rPr>
          <w:rFonts w:hint="eastAsia" w:ascii="宋体" w:hAnsi="宋体" w:eastAsia="宋体" w:cs="宋体"/>
          <w:bCs/>
          <w:szCs w:val="21"/>
        </w:rPr>
        <w:sectPr>
          <w:headerReference r:id="rId11" w:type="default"/>
          <w:footerReference r:id="rId12" w:type="default"/>
          <w:pgSz w:w="11906" w:h="16838"/>
          <w:pgMar w:top="1418" w:right="1418" w:bottom="1418" w:left="1418" w:header="851" w:footer="992" w:gutter="0"/>
          <w:pgNumType w:fmt="numberInDash"/>
          <w:cols w:space="720" w:num="1"/>
          <w:docGrid w:type="lines" w:linePitch="312" w:charSpace="0"/>
        </w:sectPr>
      </w:pPr>
    </w:p>
    <w:p w14:paraId="772B4292">
      <w:pPr>
        <w:numPr>
          <w:ilvl w:val="0"/>
          <w:numId w:val="18"/>
        </w:num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rPr>
        <w:t>服务指标：</w:t>
      </w:r>
    </w:p>
    <w:tbl>
      <w:tblPr>
        <w:tblStyle w:val="26"/>
        <w:tblpPr w:leftFromText="180" w:rightFromText="180" w:vertAnchor="text" w:horzAnchor="page" w:tblpX="1158" w:tblpY="1039"/>
        <w:tblOverlap w:val="never"/>
        <w:tblW w:w="14296" w:type="dxa"/>
        <w:tblInd w:w="0" w:type="dxa"/>
        <w:shd w:val="clear" w:color="auto" w:fill="auto"/>
        <w:tblLayout w:type="fixed"/>
        <w:tblCellMar>
          <w:top w:w="0" w:type="dxa"/>
          <w:left w:w="0" w:type="dxa"/>
          <w:bottom w:w="0" w:type="dxa"/>
          <w:right w:w="0" w:type="dxa"/>
        </w:tblCellMar>
      </w:tblPr>
      <w:tblGrid>
        <w:gridCol w:w="547"/>
        <w:gridCol w:w="527"/>
        <w:gridCol w:w="577"/>
        <w:gridCol w:w="538"/>
        <w:gridCol w:w="1"/>
        <w:gridCol w:w="787"/>
        <w:gridCol w:w="539"/>
        <w:gridCol w:w="516"/>
        <w:gridCol w:w="990"/>
        <w:gridCol w:w="537"/>
        <w:gridCol w:w="2"/>
        <w:gridCol w:w="458"/>
        <w:gridCol w:w="495"/>
        <w:gridCol w:w="2"/>
        <w:gridCol w:w="516"/>
        <w:gridCol w:w="527"/>
        <w:gridCol w:w="524"/>
        <w:gridCol w:w="3"/>
        <w:gridCol w:w="536"/>
        <w:gridCol w:w="3"/>
        <w:gridCol w:w="570"/>
        <w:gridCol w:w="3"/>
        <w:gridCol w:w="536"/>
        <w:gridCol w:w="3"/>
        <w:gridCol w:w="501"/>
        <w:gridCol w:w="3"/>
        <w:gridCol w:w="410"/>
        <w:gridCol w:w="385"/>
        <w:gridCol w:w="421"/>
        <w:gridCol w:w="446"/>
        <w:gridCol w:w="431"/>
        <w:gridCol w:w="3"/>
        <w:gridCol w:w="434"/>
        <w:gridCol w:w="483"/>
        <w:gridCol w:w="477"/>
        <w:gridCol w:w="565"/>
      </w:tblGrid>
      <w:tr w14:paraId="54D89301">
        <w:tblPrEx>
          <w:shd w:val="clear" w:color="auto" w:fill="auto"/>
          <w:tblCellMar>
            <w:top w:w="0" w:type="dxa"/>
            <w:left w:w="0" w:type="dxa"/>
            <w:bottom w:w="0" w:type="dxa"/>
            <w:right w:w="0" w:type="dxa"/>
          </w:tblCellMar>
        </w:tblPrEx>
        <w:trPr>
          <w:trHeight w:val="480" w:hRule="atLeast"/>
        </w:trPr>
        <w:tc>
          <w:tcPr>
            <w:tcW w:w="14296" w:type="dxa"/>
            <w:gridSpan w:val="36"/>
            <w:tcBorders>
              <w:top w:val="nil"/>
              <w:left w:val="nil"/>
              <w:bottom w:val="nil"/>
              <w:right w:val="nil"/>
            </w:tcBorders>
            <w:shd w:val="clear" w:color="auto" w:fill="auto"/>
            <w:noWrap/>
            <w:tcMar>
              <w:top w:w="15" w:type="dxa"/>
              <w:left w:w="15" w:type="dxa"/>
              <w:right w:w="15" w:type="dxa"/>
            </w:tcMar>
            <w:vAlign w:val="center"/>
          </w:tcPr>
          <w:p w14:paraId="41DA31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郑东新区社会工作服务站工作内容明细表</w:t>
            </w:r>
          </w:p>
        </w:tc>
      </w:tr>
      <w:tr w14:paraId="251726FB">
        <w:tblPrEx>
          <w:tblCellMar>
            <w:top w:w="0" w:type="dxa"/>
            <w:left w:w="0" w:type="dxa"/>
            <w:bottom w:w="0" w:type="dxa"/>
            <w:right w:w="0" w:type="dxa"/>
          </w:tblCellMar>
        </w:tblPrEx>
        <w:trPr>
          <w:trHeight w:val="6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71B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服务类别</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3C3C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便民服务</w:t>
            </w:r>
          </w:p>
        </w:tc>
        <w:tc>
          <w:tcPr>
            <w:tcW w:w="337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8BBB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专业服务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B645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节庆日</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服务</w:t>
            </w:r>
          </w:p>
        </w:tc>
        <w:tc>
          <w:tcPr>
            <w:tcW w:w="156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E5F3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6145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活动筹备</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F7A0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档案整理</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2A6F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日常宣传</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7E08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场地管理</w:t>
            </w:r>
          </w:p>
        </w:tc>
        <w:tc>
          <w:tcPr>
            <w:tcW w:w="209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9882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沟通汇报</w:t>
            </w:r>
          </w:p>
        </w:tc>
        <w:tc>
          <w:tcPr>
            <w:tcW w:w="139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73A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督导学习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F925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总计</w:t>
            </w:r>
          </w:p>
        </w:tc>
      </w:tr>
      <w:tr w14:paraId="0CFD7B49">
        <w:tblPrEx>
          <w:tblCellMar>
            <w:top w:w="0" w:type="dxa"/>
            <w:left w:w="0" w:type="dxa"/>
            <w:bottom w:w="0" w:type="dxa"/>
            <w:right w:w="0" w:type="dxa"/>
          </w:tblCellMar>
        </w:tblPrEx>
        <w:trPr>
          <w:trHeight w:val="17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413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工作服务事项</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4216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义诊</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237B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义剪</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5DE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义修</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42BD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探访</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FE6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个案</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A402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小组</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BC9E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社区服务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0EC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社工服务宣传</w:t>
            </w:r>
          </w:p>
        </w:tc>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3C0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24节气</w:t>
            </w:r>
          </w:p>
        </w:tc>
        <w:tc>
          <w:tcPr>
            <w:tcW w:w="4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AA5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重要节日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DFBA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日常活动</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1EE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公益服务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0A63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社区社会组织交流会</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EB25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策划、资源链接、招募、物资</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DF95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服务资料、东区智慧社工系统</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C6F6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新闻稿、视频</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F83E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场馆运营</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1B99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项目例会</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A45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社区例会</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38DF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街道例会</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0846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东区例会</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2395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居民议事会</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CEFC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内部督导</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0A31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外部督导</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8284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培训学习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521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6309980F">
        <w:tblPrEx>
          <w:tblCellMar>
            <w:top w:w="0" w:type="dxa"/>
            <w:left w:w="0" w:type="dxa"/>
            <w:bottom w:w="0" w:type="dxa"/>
            <w:right w:w="0" w:type="dxa"/>
          </w:tblCellMar>
        </w:tblPrEx>
        <w:trPr>
          <w:trHeight w:val="22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7ECA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频次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B14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114D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8F6E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2763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每位服务对象每月至少探访2次；每月民政服务时间不低于总工作时间的60%</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2092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四人项目全年8个；二人项目全年4个</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603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每项目每两月1个</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7774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①</w:t>
            </w:r>
            <w:r>
              <w:rPr>
                <w:rStyle w:val="80"/>
                <w:rFonts w:hint="eastAsia" w:ascii="宋体" w:hAnsi="宋体" w:eastAsia="宋体" w:cs="宋体"/>
                <w:sz w:val="21"/>
                <w:szCs w:val="21"/>
                <w:lang w:val="en-US" w:eastAsia="zh-CN" w:bidi="ar"/>
              </w:rPr>
              <w:t>民政政策宣传每月4次</w:t>
            </w:r>
            <w:r>
              <w:rPr>
                <w:rStyle w:val="80"/>
                <w:rFonts w:hint="eastAsia" w:ascii="宋体" w:hAnsi="宋体" w:eastAsia="宋体" w:cs="宋体"/>
                <w:sz w:val="21"/>
                <w:szCs w:val="21"/>
                <w:lang w:val="en-US" w:eastAsia="zh-CN" w:bidi="ar"/>
              </w:rPr>
              <w:br w:type="textWrapping"/>
            </w:r>
            <w:r>
              <w:rPr>
                <w:rStyle w:val="81"/>
                <w:rFonts w:hint="eastAsia" w:ascii="宋体" w:hAnsi="宋体" w:eastAsia="宋体" w:cs="宋体"/>
                <w:sz w:val="21"/>
                <w:szCs w:val="21"/>
                <w:lang w:val="en-US" w:eastAsia="zh-CN" w:bidi="ar"/>
              </w:rPr>
              <w:t>②</w:t>
            </w:r>
            <w:r>
              <w:rPr>
                <w:rStyle w:val="80"/>
                <w:rFonts w:hint="eastAsia" w:ascii="宋体" w:hAnsi="宋体" w:eastAsia="宋体" w:cs="宋体"/>
                <w:sz w:val="21"/>
                <w:szCs w:val="21"/>
                <w:lang w:val="en-US" w:eastAsia="zh-CN" w:bidi="ar"/>
              </w:rPr>
              <w:t>村规民约、居民公约、居民议事制度宣传每月1次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D72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8841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每月约4次</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13F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每支队伍每月至少活动1次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796E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每月由社区社会组织参与的公益服务2次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9E80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8B4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3D48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62C9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385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每月约22次</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2C34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859D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4F29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085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715D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A849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126D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D57C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C81A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33B12CF3">
        <w:tblPrEx>
          <w:tblCellMar>
            <w:top w:w="0" w:type="dxa"/>
            <w:left w:w="0" w:type="dxa"/>
            <w:bottom w:w="0" w:type="dxa"/>
            <w:right w:w="0" w:type="dxa"/>
          </w:tblCellMar>
        </w:tblPrEx>
        <w:trPr>
          <w:trHeight w:val="1480" w:hRule="atLeast"/>
        </w:trPr>
        <w:tc>
          <w:tcPr>
            <w:tcW w:w="14296" w:type="dxa"/>
            <w:gridSpan w:val="36"/>
            <w:tcBorders>
              <w:top w:val="nil"/>
              <w:left w:val="nil"/>
              <w:bottom w:val="nil"/>
              <w:right w:val="nil"/>
            </w:tcBorders>
            <w:shd w:val="clear" w:color="auto" w:fill="auto"/>
            <w:tcMar>
              <w:top w:w="15" w:type="dxa"/>
              <w:left w:w="15" w:type="dxa"/>
              <w:right w:w="15" w:type="dxa"/>
            </w:tcMar>
            <w:vAlign w:val="center"/>
          </w:tcPr>
          <w:p w14:paraId="33032CDA">
            <w:pPr>
              <w:keepNext w:val="0"/>
              <w:keepLines w:val="0"/>
              <w:widowControl/>
              <w:suppressLineNumbers w:val="0"/>
              <w:spacing w:line="360" w:lineRule="auto"/>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1.便民服务不限于列出的3类，但应不少于3类；</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2.不属于个人承担的工作内容为四人项目通用内容，两人项目减半；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3.乡村社工站以专业服务和节庆日服务为主要内容；</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4.每个社工站社区社会组织16支，总成员数300人以上;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5.便民服务、专业服务、节庆日服务、社区社会组织服务将纳入每月社工效能考核。</w:t>
            </w:r>
          </w:p>
        </w:tc>
      </w:tr>
    </w:tbl>
    <w:p w14:paraId="5DB045F6">
      <w:pPr>
        <w:spacing w:line="360" w:lineRule="auto"/>
        <w:rPr>
          <w:rFonts w:hint="eastAsia" w:ascii="宋体" w:hAnsi="宋体" w:eastAsia="宋体" w:cs="宋体"/>
          <w:color w:val="000000"/>
          <w:kern w:val="2"/>
          <w:sz w:val="24"/>
          <w:szCs w:val="24"/>
          <w:lang w:val="en-US" w:eastAsia="zh-CN" w:bidi="ar-SA"/>
        </w:rPr>
      </w:pPr>
    </w:p>
    <w:p w14:paraId="60F90357">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3E5098CB">
      <w:pPr>
        <w:spacing w:line="360" w:lineRule="auto"/>
        <w:rPr>
          <w:rFonts w:hint="eastAsia" w:ascii="宋体" w:hAnsi="宋体" w:eastAsia="宋体" w:cs="宋体"/>
          <w:color w:val="000000"/>
          <w:kern w:val="2"/>
          <w:sz w:val="24"/>
          <w:szCs w:val="24"/>
          <w:lang w:val="en-US" w:eastAsia="zh-CN" w:bidi="ar-SA"/>
        </w:rPr>
        <w:sectPr>
          <w:pgSz w:w="16838" w:h="11906" w:orient="landscape"/>
          <w:pgMar w:top="1701" w:right="1417" w:bottom="1701" w:left="1417" w:header="851" w:footer="992" w:gutter="0"/>
          <w:pgNumType w:fmt="numberInDash"/>
          <w:cols w:space="720" w:num="1"/>
          <w:docGrid w:type="lines" w:linePitch="312" w:charSpace="0"/>
        </w:sectPr>
      </w:pPr>
    </w:p>
    <w:p w14:paraId="431D6314">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二、“第三方评估”服务项目</w:t>
      </w:r>
    </w:p>
    <w:p w14:paraId="07C6EAAD">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（一）目标任务：</w:t>
      </w:r>
    </w:p>
    <w:p w14:paraId="3E4B6996">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由专业评估机构、行业管理组织、专家、专业的会计和审计人员等通过对岗位社工、项目社工和机构负责人进行中期评估和末期评估，对其服务开展情况从第三方角度予以监督和评估，以增进社工的专业服务技巧，提升专业社工服务质量，促进其规范运作，确保政府购买服务的资金用到实处。</w:t>
      </w:r>
    </w:p>
    <w:p w14:paraId="39C3EC9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bCs/>
          <w:kern w:val="2"/>
          <w:sz w:val="21"/>
          <w:szCs w:val="21"/>
          <w:lang w:val="en-US"/>
        </w:rPr>
      </w:pPr>
      <w:r>
        <w:rPr>
          <w:rFonts w:hint="eastAsia" w:ascii="宋体" w:hAnsi="宋体" w:eastAsia="宋体" w:cs="宋体"/>
          <w:bCs/>
          <w:kern w:val="2"/>
          <w:sz w:val="21"/>
          <w:szCs w:val="21"/>
          <w:lang w:val="en-US"/>
        </w:rPr>
        <w:t>（二）服务指标:</w:t>
      </w:r>
    </w:p>
    <w:p w14:paraId="15F395C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1.建立4-5人的专业评估团队，包含本土专家、资深社工、会计与审计人员等，对政府购买社会工作服务项目进行监督和评估，提升服务质量，促进其规范运作。</w:t>
      </w:r>
    </w:p>
    <w:p w14:paraId="34840582">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2.</w:t>
      </w:r>
      <w:r>
        <w:rPr>
          <w:rFonts w:hint="eastAsia" w:ascii="宋体" w:hAnsi="宋体" w:eastAsia="宋体" w:cs="宋体"/>
          <w:sz w:val="21"/>
          <w:szCs w:val="21"/>
        </w:rPr>
        <w:t>在合同周期内，定期对各项目社工进行走访调研，完成各相关方满意度和社会评价，对所有项目社工进行定期考核，并出具相关报告，为督导和培训项目提供可参考的依据。</w:t>
      </w:r>
    </w:p>
    <w:p w14:paraId="2F589F87">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3.制定项目评估标准和评估细则，对每个岗位和项目一年开展两次评估工作，包括中期评估和末期评估，每个岗位和项目撰写评估报告2份。</w:t>
      </w:r>
    </w:p>
    <w:p w14:paraId="6B903005">
      <w:pPr>
        <w:spacing w:line="360" w:lineRule="auto"/>
        <w:ind w:firstLine="420" w:firstLineChars="200"/>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4.对所有项目进行年中、年度财务评估审计，并出具报告。</w:t>
      </w:r>
    </w:p>
    <w:p w14:paraId="68F46105">
      <w:pPr>
        <w:spacing w:line="360" w:lineRule="auto"/>
        <w:rPr>
          <w:rFonts w:hint="eastAsia" w:ascii="宋体" w:hAnsi="宋体" w:eastAsia="宋体" w:cs="宋体"/>
          <w:color w:val="000000"/>
          <w:kern w:val="2"/>
          <w:sz w:val="24"/>
          <w:szCs w:val="24"/>
          <w:lang w:val="en-US" w:eastAsia="zh-CN" w:bidi="ar-SA"/>
        </w:rPr>
      </w:pPr>
    </w:p>
    <w:p w14:paraId="337FFACB">
      <w:pPr>
        <w:spacing w:line="360" w:lineRule="auto"/>
        <w:rPr>
          <w:rFonts w:hint="eastAsia" w:ascii="宋体" w:hAnsi="宋体" w:eastAsia="宋体" w:cs="宋体"/>
          <w:color w:val="000000"/>
          <w:kern w:val="2"/>
          <w:sz w:val="24"/>
          <w:szCs w:val="24"/>
          <w:lang w:val="en-US" w:eastAsia="zh-CN" w:bidi="ar-SA"/>
        </w:rPr>
      </w:pPr>
    </w:p>
    <w:p w14:paraId="1F5EB2A1">
      <w:pPr>
        <w:spacing w:line="360" w:lineRule="auto"/>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tbl>
      <w:tblPr>
        <w:tblStyle w:val="26"/>
        <w:tblW w:w="84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5"/>
        <w:gridCol w:w="1546"/>
        <w:gridCol w:w="3989"/>
        <w:gridCol w:w="1375"/>
        <w:gridCol w:w="755"/>
      </w:tblGrid>
      <w:tr w14:paraId="07EDB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4" w:hRule="atLeast"/>
        </w:trPr>
        <w:tc>
          <w:tcPr>
            <w:tcW w:w="8480" w:type="dxa"/>
            <w:gridSpan w:val="5"/>
            <w:tcBorders>
              <w:top w:val="nil"/>
              <w:left w:val="nil"/>
              <w:bottom w:val="nil"/>
              <w:right w:val="nil"/>
            </w:tcBorders>
            <w:shd w:val="clear" w:color="auto" w:fill="auto"/>
            <w:noWrap/>
            <w:vAlign w:val="center"/>
          </w:tcPr>
          <w:p w14:paraId="31851D39">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cs="宋体"/>
                <w:b/>
                <w:bCs/>
                <w:i w:val="0"/>
                <w:iCs w:val="0"/>
                <w:color w:val="000000"/>
                <w:kern w:val="0"/>
                <w:sz w:val="28"/>
                <w:szCs w:val="28"/>
                <w:u w:val="none"/>
                <w:lang w:val="en-US" w:eastAsia="zh-CN" w:bidi="ar"/>
              </w:rPr>
              <w:t>附件三：</w:t>
            </w:r>
          </w:p>
          <w:p w14:paraId="36B7F79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8"/>
                <w:szCs w:val="28"/>
                <w:u w:val="none"/>
                <w:lang w:val="en-US" w:eastAsia="zh-CN" w:bidi="ar"/>
              </w:rPr>
              <w:t>2024年项目分配表</w:t>
            </w:r>
          </w:p>
        </w:tc>
      </w:tr>
      <w:tr w14:paraId="65A1C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5EC88">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包段</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7410">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办事处</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C3C1">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项目名称</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D23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最高限价（万元）</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811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305B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E3D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A1F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6591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“第三方评估”服务项目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30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A23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r w14:paraId="29F02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46F558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7B68C9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1B567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万安街社区社工站、黄河南路社区社工站、鑫苑花园社区社工站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2C24BD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11192">
            <w:pPr>
              <w:spacing w:line="360" w:lineRule="auto"/>
              <w:jc w:val="center"/>
              <w:rPr>
                <w:rFonts w:hint="eastAsia" w:ascii="宋体" w:hAnsi="宋体" w:eastAsia="宋体" w:cs="宋体"/>
                <w:i w:val="0"/>
                <w:iCs w:val="0"/>
                <w:color w:val="000000"/>
                <w:sz w:val="21"/>
                <w:szCs w:val="21"/>
                <w:u w:val="none"/>
              </w:rPr>
            </w:pPr>
          </w:p>
        </w:tc>
      </w:tr>
      <w:tr w14:paraId="543EA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1746F42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AD828E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D4FC28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A05C88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4738">
            <w:pPr>
              <w:spacing w:line="360" w:lineRule="auto"/>
              <w:jc w:val="center"/>
              <w:rPr>
                <w:rFonts w:hint="eastAsia" w:ascii="宋体" w:hAnsi="宋体" w:eastAsia="宋体" w:cs="宋体"/>
                <w:i w:val="0"/>
                <w:iCs w:val="0"/>
                <w:color w:val="000000"/>
                <w:sz w:val="21"/>
                <w:szCs w:val="21"/>
                <w:u w:val="none"/>
              </w:rPr>
            </w:pPr>
          </w:p>
        </w:tc>
      </w:tr>
      <w:tr w14:paraId="31A4D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81177AF">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1DF521C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FD7061E">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D34BED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BB26">
            <w:pPr>
              <w:spacing w:line="360" w:lineRule="auto"/>
              <w:jc w:val="center"/>
              <w:rPr>
                <w:rFonts w:hint="eastAsia" w:ascii="宋体" w:hAnsi="宋体" w:eastAsia="宋体" w:cs="宋体"/>
                <w:i w:val="0"/>
                <w:iCs w:val="0"/>
                <w:color w:val="000000"/>
                <w:sz w:val="21"/>
                <w:szCs w:val="21"/>
                <w:u w:val="none"/>
              </w:rPr>
            </w:pPr>
          </w:p>
        </w:tc>
      </w:tr>
      <w:tr w14:paraId="6F8CA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06C0D7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0EEFAAA">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DBE0C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0BF1974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63AD">
            <w:pPr>
              <w:spacing w:line="360" w:lineRule="auto"/>
              <w:jc w:val="center"/>
              <w:rPr>
                <w:rFonts w:hint="eastAsia" w:ascii="宋体" w:hAnsi="宋体" w:eastAsia="宋体" w:cs="宋体"/>
                <w:i w:val="0"/>
                <w:iCs w:val="0"/>
                <w:color w:val="000000"/>
                <w:sz w:val="21"/>
                <w:szCs w:val="21"/>
                <w:u w:val="none"/>
              </w:rPr>
            </w:pPr>
          </w:p>
        </w:tc>
      </w:tr>
      <w:tr w14:paraId="734E5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3A0B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4935F1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72B02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心怡路社区社工站、正弘山社区社工站、翡翠社区社工站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71D9C7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14003">
            <w:pPr>
              <w:spacing w:line="360" w:lineRule="auto"/>
              <w:jc w:val="center"/>
              <w:rPr>
                <w:rFonts w:hint="eastAsia" w:ascii="宋体" w:hAnsi="宋体" w:eastAsia="宋体" w:cs="宋体"/>
                <w:i w:val="0"/>
                <w:iCs w:val="0"/>
                <w:color w:val="000000"/>
                <w:sz w:val="21"/>
                <w:szCs w:val="21"/>
                <w:u w:val="none"/>
              </w:rPr>
            </w:pPr>
          </w:p>
        </w:tc>
      </w:tr>
      <w:tr w14:paraId="5B04A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C761">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F0995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03FC64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533460A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C9C4">
            <w:pPr>
              <w:spacing w:line="360" w:lineRule="auto"/>
              <w:jc w:val="center"/>
              <w:rPr>
                <w:rFonts w:hint="eastAsia" w:ascii="宋体" w:hAnsi="宋体" w:eastAsia="宋体" w:cs="宋体"/>
                <w:i w:val="0"/>
                <w:iCs w:val="0"/>
                <w:color w:val="000000"/>
                <w:sz w:val="21"/>
                <w:szCs w:val="21"/>
                <w:u w:val="none"/>
              </w:rPr>
            </w:pPr>
          </w:p>
        </w:tc>
      </w:tr>
      <w:tr w14:paraId="4BAEA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BFC2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B2A11A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6204E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8CF2F9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AAA3">
            <w:pPr>
              <w:spacing w:line="360" w:lineRule="auto"/>
              <w:jc w:val="center"/>
              <w:rPr>
                <w:rFonts w:hint="eastAsia" w:ascii="宋体" w:hAnsi="宋体" w:eastAsia="宋体" w:cs="宋体"/>
                <w:i w:val="0"/>
                <w:iCs w:val="0"/>
                <w:color w:val="000000"/>
                <w:sz w:val="21"/>
                <w:szCs w:val="21"/>
                <w:u w:val="none"/>
              </w:rPr>
            </w:pPr>
          </w:p>
        </w:tc>
      </w:tr>
      <w:tr w14:paraId="51A3B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60A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B847F4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C4DECE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212F7A5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047C">
            <w:pPr>
              <w:spacing w:line="360" w:lineRule="auto"/>
              <w:jc w:val="center"/>
              <w:rPr>
                <w:rFonts w:hint="eastAsia" w:ascii="宋体" w:hAnsi="宋体" w:eastAsia="宋体" w:cs="宋体"/>
                <w:i w:val="0"/>
                <w:iCs w:val="0"/>
                <w:color w:val="000000"/>
                <w:sz w:val="21"/>
                <w:szCs w:val="21"/>
                <w:u w:val="none"/>
              </w:rPr>
            </w:pPr>
          </w:p>
        </w:tc>
      </w:tr>
      <w:tr w14:paraId="78B09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D6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5A8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龙子湖街道办事处、博学路办事处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E3F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知启街社区社工站、河大社区社工站、龙子湖南路社区社工站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FA4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F26E0">
            <w:pPr>
              <w:spacing w:line="360" w:lineRule="auto"/>
              <w:jc w:val="center"/>
              <w:rPr>
                <w:rFonts w:hint="eastAsia" w:ascii="宋体" w:hAnsi="宋体" w:eastAsia="宋体" w:cs="宋体"/>
                <w:i w:val="0"/>
                <w:iCs w:val="0"/>
                <w:color w:val="000000"/>
                <w:sz w:val="21"/>
                <w:szCs w:val="21"/>
                <w:u w:val="none"/>
              </w:rPr>
            </w:pPr>
          </w:p>
        </w:tc>
      </w:tr>
      <w:tr w14:paraId="346FF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17AD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B86C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44F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621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284D">
            <w:pPr>
              <w:spacing w:line="360" w:lineRule="auto"/>
              <w:jc w:val="center"/>
              <w:rPr>
                <w:rFonts w:hint="eastAsia" w:ascii="宋体" w:hAnsi="宋体" w:eastAsia="宋体" w:cs="宋体"/>
                <w:i w:val="0"/>
                <w:iCs w:val="0"/>
                <w:color w:val="000000"/>
                <w:sz w:val="21"/>
                <w:szCs w:val="21"/>
                <w:u w:val="none"/>
              </w:rPr>
            </w:pPr>
          </w:p>
        </w:tc>
      </w:tr>
      <w:tr w14:paraId="318AC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1FC4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7998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CA017">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856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D507">
            <w:pPr>
              <w:spacing w:line="360" w:lineRule="auto"/>
              <w:jc w:val="center"/>
              <w:rPr>
                <w:rFonts w:hint="eastAsia" w:ascii="宋体" w:hAnsi="宋体" w:eastAsia="宋体" w:cs="宋体"/>
                <w:i w:val="0"/>
                <w:iCs w:val="0"/>
                <w:color w:val="000000"/>
                <w:sz w:val="21"/>
                <w:szCs w:val="21"/>
                <w:u w:val="none"/>
              </w:rPr>
            </w:pPr>
          </w:p>
        </w:tc>
      </w:tr>
      <w:tr w14:paraId="30305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EAD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128A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B2E3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84E68">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438A">
            <w:pPr>
              <w:spacing w:line="360" w:lineRule="auto"/>
              <w:jc w:val="center"/>
              <w:rPr>
                <w:rFonts w:hint="eastAsia" w:ascii="宋体" w:hAnsi="宋体" w:eastAsia="宋体" w:cs="宋体"/>
                <w:i w:val="0"/>
                <w:iCs w:val="0"/>
                <w:color w:val="000000"/>
                <w:sz w:val="21"/>
                <w:szCs w:val="21"/>
                <w:u w:val="none"/>
              </w:rPr>
            </w:pPr>
          </w:p>
        </w:tc>
      </w:tr>
      <w:tr w14:paraId="1BF72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86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E</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E99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866F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天时路社区社工站、联盟新城社区社工站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169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46686">
            <w:pPr>
              <w:spacing w:line="360" w:lineRule="auto"/>
              <w:jc w:val="center"/>
              <w:rPr>
                <w:rFonts w:hint="eastAsia" w:ascii="宋体" w:hAnsi="宋体" w:eastAsia="宋体" w:cs="宋体"/>
                <w:i w:val="0"/>
                <w:iCs w:val="0"/>
                <w:color w:val="000000"/>
                <w:sz w:val="21"/>
                <w:szCs w:val="21"/>
                <w:u w:val="none"/>
              </w:rPr>
            </w:pPr>
          </w:p>
        </w:tc>
      </w:tr>
      <w:tr w14:paraId="5AA8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C8E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29C7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2BF8B">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1A2C9">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568B">
            <w:pPr>
              <w:spacing w:line="360" w:lineRule="auto"/>
              <w:jc w:val="center"/>
              <w:rPr>
                <w:rFonts w:hint="eastAsia" w:ascii="宋体" w:hAnsi="宋体" w:eastAsia="宋体" w:cs="宋体"/>
                <w:i w:val="0"/>
                <w:iCs w:val="0"/>
                <w:color w:val="000000"/>
                <w:sz w:val="21"/>
                <w:szCs w:val="21"/>
                <w:u w:val="none"/>
              </w:rPr>
            </w:pPr>
          </w:p>
        </w:tc>
      </w:tr>
      <w:tr w14:paraId="59849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8D4F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6E50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71028">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565A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D1CE5">
            <w:pPr>
              <w:spacing w:line="360" w:lineRule="auto"/>
              <w:jc w:val="center"/>
              <w:rPr>
                <w:rFonts w:hint="eastAsia" w:ascii="宋体" w:hAnsi="宋体" w:eastAsia="宋体" w:cs="宋体"/>
                <w:i w:val="0"/>
                <w:iCs w:val="0"/>
                <w:color w:val="000000"/>
                <w:sz w:val="21"/>
                <w:szCs w:val="21"/>
                <w:u w:val="none"/>
              </w:rPr>
            </w:pPr>
          </w:p>
        </w:tc>
      </w:tr>
      <w:tr w14:paraId="5C018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85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F</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2819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龙源路办事处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9AEA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如意东路社区社工站、龙源嘉苑社区社工站、馨悦苑社区社工站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5C6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DCFA">
            <w:pPr>
              <w:spacing w:line="360" w:lineRule="auto"/>
              <w:jc w:val="center"/>
              <w:rPr>
                <w:rFonts w:hint="eastAsia" w:ascii="宋体" w:hAnsi="宋体" w:eastAsia="宋体" w:cs="宋体"/>
                <w:i w:val="0"/>
                <w:iCs w:val="0"/>
                <w:color w:val="000000"/>
                <w:sz w:val="21"/>
                <w:szCs w:val="21"/>
                <w:u w:val="none"/>
              </w:rPr>
            </w:pPr>
          </w:p>
        </w:tc>
      </w:tr>
      <w:tr w14:paraId="1CCFF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D70D">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8F28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16C4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54EB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4C6A8">
            <w:pPr>
              <w:spacing w:line="360" w:lineRule="auto"/>
              <w:jc w:val="center"/>
              <w:rPr>
                <w:rFonts w:hint="eastAsia" w:ascii="宋体" w:hAnsi="宋体" w:eastAsia="宋体" w:cs="宋体"/>
                <w:i w:val="0"/>
                <w:iCs w:val="0"/>
                <w:color w:val="000000"/>
                <w:sz w:val="21"/>
                <w:szCs w:val="21"/>
                <w:u w:val="none"/>
              </w:rPr>
            </w:pPr>
          </w:p>
        </w:tc>
      </w:tr>
      <w:tr w14:paraId="424C4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B471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5E4D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A91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D854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A7970">
            <w:pPr>
              <w:spacing w:line="360" w:lineRule="auto"/>
              <w:jc w:val="center"/>
              <w:rPr>
                <w:rFonts w:hint="eastAsia" w:ascii="宋体" w:hAnsi="宋体" w:eastAsia="宋体" w:cs="宋体"/>
                <w:i w:val="0"/>
                <w:iCs w:val="0"/>
                <w:color w:val="000000"/>
                <w:sz w:val="21"/>
                <w:szCs w:val="21"/>
                <w:u w:val="none"/>
              </w:rPr>
            </w:pPr>
          </w:p>
        </w:tc>
      </w:tr>
      <w:tr w14:paraId="469A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275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7DA3F">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57CD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CF7B7">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2C28C">
            <w:pPr>
              <w:spacing w:line="360" w:lineRule="auto"/>
              <w:jc w:val="center"/>
              <w:rPr>
                <w:rFonts w:hint="eastAsia" w:ascii="宋体" w:hAnsi="宋体" w:eastAsia="宋体" w:cs="宋体"/>
                <w:i w:val="0"/>
                <w:iCs w:val="0"/>
                <w:color w:val="000000"/>
                <w:sz w:val="21"/>
                <w:szCs w:val="21"/>
                <w:u w:val="none"/>
              </w:rPr>
            </w:pPr>
          </w:p>
        </w:tc>
      </w:tr>
      <w:tr w14:paraId="52807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7D0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E994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博学路办事处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B9B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龙之梦社区社工站、相济路社区社工站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CE14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120B">
            <w:pPr>
              <w:spacing w:line="360" w:lineRule="auto"/>
              <w:jc w:val="center"/>
              <w:rPr>
                <w:rFonts w:hint="eastAsia" w:ascii="宋体" w:hAnsi="宋体" w:eastAsia="宋体" w:cs="宋体"/>
                <w:i w:val="0"/>
                <w:iCs w:val="0"/>
                <w:color w:val="000000"/>
                <w:sz w:val="21"/>
                <w:szCs w:val="21"/>
                <w:u w:val="none"/>
              </w:rPr>
            </w:pPr>
          </w:p>
        </w:tc>
      </w:tr>
      <w:tr w14:paraId="2E09B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5631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2F2B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5F1E3">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3E0D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475BF">
            <w:pPr>
              <w:spacing w:line="360" w:lineRule="auto"/>
              <w:jc w:val="center"/>
              <w:rPr>
                <w:rFonts w:hint="eastAsia" w:ascii="宋体" w:hAnsi="宋体" w:eastAsia="宋体" w:cs="宋体"/>
                <w:i w:val="0"/>
                <w:iCs w:val="0"/>
                <w:color w:val="000000"/>
                <w:sz w:val="21"/>
                <w:szCs w:val="21"/>
                <w:u w:val="none"/>
              </w:rPr>
            </w:pPr>
          </w:p>
        </w:tc>
      </w:tr>
      <w:tr w14:paraId="4BA31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8B7E">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FC60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9B9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FF1C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501E0">
            <w:pPr>
              <w:spacing w:line="360" w:lineRule="auto"/>
              <w:jc w:val="center"/>
              <w:rPr>
                <w:rFonts w:hint="eastAsia" w:ascii="宋体" w:hAnsi="宋体" w:eastAsia="宋体" w:cs="宋体"/>
                <w:i w:val="0"/>
                <w:iCs w:val="0"/>
                <w:color w:val="000000"/>
                <w:sz w:val="21"/>
                <w:szCs w:val="21"/>
                <w:u w:val="none"/>
              </w:rPr>
            </w:pPr>
          </w:p>
        </w:tc>
      </w:tr>
      <w:tr w14:paraId="752E7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3C6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H</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5B8578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博学路办事处  </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E3355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学理路社区社工站、明理路社区社工站、后贾东街社区社工站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3DC6BF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76EC2">
            <w:pPr>
              <w:spacing w:line="360" w:lineRule="auto"/>
              <w:jc w:val="center"/>
              <w:rPr>
                <w:rFonts w:hint="eastAsia" w:ascii="宋体" w:hAnsi="宋体" w:eastAsia="宋体" w:cs="宋体"/>
                <w:i w:val="0"/>
                <w:iCs w:val="0"/>
                <w:color w:val="000000"/>
                <w:sz w:val="21"/>
                <w:szCs w:val="21"/>
                <w:u w:val="none"/>
              </w:rPr>
            </w:pPr>
          </w:p>
        </w:tc>
      </w:tr>
      <w:tr w14:paraId="73DFC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9E64">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9881B7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76BC52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4C903C3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B48C">
            <w:pPr>
              <w:spacing w:line="360" w:lineRule="auto"/>
              <w:jc w:val="center"/>
              <w:rPr>
                <w:rFonts w:hint="eastAsia" w:ascii="宋体" w:hAnsi="宋体" w:eastAsia="宋体" w:cs="宋体"/>
                <w:i w:val="0"/>
                <w:iCs w:val="0"/>
                <w:color w:val="000000"/>
                <w:sz w:val="21"/>
                <w:szCs w:val="21"/>
                <w:u w:val="none"/>
              </w:rPr>
            </w:pPr>
          </w:p>
        </w:tc>
      </w:tr>
      <w:tr w14:paraId="7A6AB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851D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85B0CF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B7630F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04DF583">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447C">
            <w:pPr>
              <w:spacing w:line="360" w:lineRule="auto"/>
              <w:jc w:val="center"/>
              <w:rPr>
                <w:rFonts w:hint="eastAsia" w:ascii="宋体" w:hAnsi="宋体" w:eastAsia="宋体" w:cs="宋体"/>
                <w:i w:val="0"/>
                <w:iCs w:val="0"/>
                <w:color w:val="000000"/>
                <w:sz w:val="21"/>
                <w:szCs w:val="21"/>
                <w:u w:val="none"/>
              </w:rPr>
            </w:pPr>
          </w:p>
        </w:tc>
      </w:tr>
      <w:tr w14:paraId="4621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568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01C72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EF7F23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FC00C3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2611">
            <w:pPr>
              <w:spacing w:line="360" w:lineRule="auto"/>
              <w:jc w:val="center"/>
              <w:rPr>
                <w:rFonts w:hint="eastAsia" w:ascii="宋体" w:hAnsi="宋体" w:eastAsia="宋体" w:cs="宋体"/>
                <w:i w:val="0"/>
                <w:iCs w:val="0"/>
                <w:color w:val="000000"/>
                <w:sz w:val="21"/>
                <w:szCs w:val="21"/>
                <w:u w:val="none"/>
              </w:rPr>
            </w:pPr>
          </w:p>
        </w:tc>
      </w:tr>
      <w:tr w14:paraId="720AB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D43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745C35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13C883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3D57C2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9947B">
            <w:pPr>
              <w:spacing w:line="360" w:lineRule="auto"/>
              <w:jc w:val="center"/>
              <w:rPr>
                <w:rFonts w:hint="eastAsia" w:ascii="宋体" w:hAnsi="宋体" w:eastAsia="宋体" w:cs="宋体"/>
                <w:i w:val="0"/>
                <w:iCs w:val="0"/>
                <w:color w:val="000000"/>
                <w:sz w:val="21"/>
                <w:szCs w:val="21"/>
                <w:u w:val="none"/>
              </w:rPr>
            </w:pPr>
          </w:p>
        </w:tc>
      </w:tr>
      <w:tr w14:paraId="4DC45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EC6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I</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C95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商都路办事处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圃田</w:t>
            </w:r>
            <w:r>
              <w:rPr>
                <w:rFonts w:hint="eastAsia" w:ascii="宋体" w:hAnsi="宋体" w:cs="宋体"/>
                <w:i w:val="0"/>
                <w:iCs w:val="0"/>
                <w:color w:val="000000"/>
                <w:kern w:val="0"/>
                <w:sz w:val="21"/>
                <w:szCs w:val="21"/>
                <w:u w:val="none"/>
                <w:lang w:val="en-US" w:eastAsia="zh-CN" w:bidi="ar"/>
              </w:rPr>
              <w:t>乡</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3D0C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普惠社区社工站、</w:t>
            </w:r>
            <w:bookmarkStart w:id="276" w:name="OLE_LINK32"/>
            <w:r>
              <w:rPr>
                <w:rFonts w:hint="eastAsia" w:ascii="宋体" w:hAnsi="宋体" w:eastAsia="宋体" w:cs="宋体"/>
                <w:i w:val="0"/>
                <w:iCs w:val="0"/>
                <w:color w:val="000000"/>
                <w:kern w:val="0"/>
                <w:sz w:val="21"/>
                <w:szCs w:val="21"/>
                <w:u w:val="none"/>
                <w:lang w:val="en-US" w:eastAsia="zh-CN" w:bidi="ar"/>
              </w:rPr>
              <w:t>圃田</w:t>
            </w:r>
            <w:bookmarkEnd w:id="276"/>
            <w:r>
              <w:rPr>
                <w:rFonts w:hint="eastAsia" w:ascii="宋体" w:hAnsi="宋体" w:eastAsia="宋体" w:cs="宋体"/>
                <w:i w:val="0"/>
                <w:iCs w:val="0"/>
                <w:color w:val="000000"/>
                <w:kern w:val="0"/>
                <w:sz w:val="21"/>
                <w:szCs w:val="21"/>
                <w:u w:val="none"/>
                <w:lang w:val="en-US" w:eastAsia="zh-CN" w:bidi="ar"/>
              </w:rPr>
              <w:t xml:space="preserve">嘉苑社区社工站          </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E7C7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AB68E">
            <w:pPr>
              <w:spacing w:line="360" w:lineRule="auto"/>
              <w:jc w:val="center"/>
              <w:rPr>
                <w:rFonts w:hint="eastAsia" w:ascii="宋体" w:hAnsi="宋体" w:eastAsia="宋体" w:cs="宋体"/>
                <w:i w:val="0"/>
                <w:iCs w:val="0"/>
                <w:color w:val="000000"/>
                <w:sz w:val="21"/>
                <w:szCs w:val="21"/>
                <w:u w:val="none"/>
              </w:rPr>
            </w:pPr>
          </w:p>
        </w:tc>
      </w:tr>
      <w:tr w14:paraId="3695D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A08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16D8D">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50D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6BA1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6CEF">
            <w:pPr>
              <w:spacing w:line="360" w:lineRule="auto"/>
              <w:jc w:val="center"/>
              <w:rPr>
                <w:rFonts w:hint="eastAsia" w:ascii="宋体" w:hAnsi="宋体" w:eastAsia="宋体" w:cs="宋体"/>
                <w:i w:val="0"/>
                <w:iCs w:val="0"/>
                <w:color w:val="000000"/>
                <w:sz w:val="21"/>
                <w:szCs w:val="21"/>
                <w:u w:val="none"/>
              </w:rPr>
            </w:pPr>
          </w:p>
        </w:tc>
      </w:tr>
      <w:tr w14:paraId="065FE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50A33">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0AEC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C39F9">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982EF">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5558">
            <w:pPr>
              <w:spacing w:line="360" w:lineRule="auto"/>
              <w:jc w:val="center"/>
              <w:rPr>
                <w:rFonts w:hint="eastAsia" w:ascii="宋体" w:hAnsi="宋体" w:eastAsia="宋体" w:cs="宋体"/>
                <w:i w:val="0"/>
                <w:iCs w:val="0"/>
                <w:color w:val="000000"/>
                <w:sz w:val="21"/>
                <w:szCs w:val="21"/>
                <w:u w:val="none"/>
              </w:rPr>
            </w:pPr>
          </w:p>
        </w:tc>
      </w:tr>
      <w:tr w14:paraId="485B1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769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J</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2C56F5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金光路办事处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白沙镇</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045A930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白沙社工站、贾陈社区社工站          </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EC0C4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1785">
            <w:pPr>
              <w:spacing w:line="360" w:lineRule="auto"/>
              <w:jc w:val="center"/>
              <w:rPr>
                <w:rFonts w:hint="eastAsia" w:ascii="宋体" w:hAnsi="宋体" w:eastAsia="宋体" w:cs="宋体"/>
                <w:i w:val="0"/>
                <w:iCs w:val="0"/>
                <w:color w:val="000000"/>
                <w:sz w:val="21"/>
                <w:szCs w:val="21"/>
                <w:u w:val="none"/>
              </w:rPr>
            </w:pPr>
          </w:p>
        </w:tc>
      </w:tr>
      <w:tr w14:paraId="53F0C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49D9C">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47694F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128491AC">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F12D0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BDE3">
            <w:pPr>
              <w:spacing w:line="360" w:lineRule="auto"/>
              <w:jc w:val="center"/>
              <w:rPr>
                <w:rFonts w:hint="eastAsia" w:ascii="宋体" w:hAnsi="宋体" w:eastAsia="宋体" w:cs="宋体"/>
                <w:i w:val="0"/>
                <w:iCs w:val="0"/>
                <w:color w:val="000000"/>
                <w:sz w:val="21"/>
                <w:szCs w:val="21"/>
                <w:u w:val="none"/>
              </w:rPr>
            </w:pPr>
          </w:p>
        </w:tc>
      </w:tr>
      <w:tr w14:paraId="6CD60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7C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245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豫兴路办事处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8C3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杨桥办事处、豫兴路办事处</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1C4B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95CE">
            <w:pPr>
              <w:spacing w:line="360" w:lineRule="auto"/>
              <w:jc w:val="center"/>
              <w:rPr>
                <w:rFonts w:hint="eastAsia" w:ascii="宋体" w:hAnsi="宋体" w:eastAsia="宋体" w:cs="宋体"/>
                <w:i w:val="0"/>
                <w:iCs w:val="0"/>
                <w:color w:val="000000"/>
                <w:sz w:val="21"/>
                <w:szCs w:val="21"/>
                <w:u w:val="none"/>
              </w:rPr>
            </w:pPr>
          </w:p>
        </w:tc>
      </w:tr>
      <w:tr w14:paraId="4CBDD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ED12">
            <w:pPr>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8EAE0">
            <w:pPr>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59A71">
            <w:pPr>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A5A75">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7752">
            <w:pPr>
              <w:jc w:val="center"/>
              <w:rPr>
                <w:rFonts w:hint="eastAsia" w:ascii="宋体" w:hAnsi="宋体" w:eastAsia="宋体" w:cs="宋体"/>
                <w:i w:val="0"/>
                <w:iCs w:val="0"/>
                <w:color w:val="000000"/>
                <w:sz w:val="21"/>
                <w:szCs w:val="21"/>
                <w:u w:val="none"/>
              </w:rPr>
            </w:pPr>
          </w:p>
        </w:tc>
      </w:tr>
    </w:tbl>
    <w:p w14:paraId="45F859F7">
      <w:pPr>
        <w:rPr>
          <w:rFonts w:hint="eastAsia" w:ascii="宋体" w:hAnsi="宋体" w:eastAsia="宋体" w:cs="宋体"/>
          <w:color w:val="000000"/>
          <w:kern w:val="2"/>
          <w:sz w:val="24"/>
          <w:szCs w:val="24"/>
          <w:lang w:val="en-US" w:eastAsia="zh-CN" w:bidi="ar-SA"/>
        </w:rPr>
      </w:pPr>
    </w:p>
    <w:p w14:paraId="7D71E7AD">
      <w:pPr>
        <w:rPr>
          <w:rFonts w:hint="eastAsia" w:ascii="宋体" w:hAnsi="宋体" w:eastAsia="宋体" w:cs="宋体"/>
          <w:color w:val="000000"/>
          <w:kern w:val="2"/>
          <w:sz w:val="24"/>
          <w:szCs w:val="24"/>
          <w:lang w:val="en-US" w:eastAsia="zh-CN" w:bidi="ar-SA"/>
        </w:rPr>
      </w:pPr>
    </w:p>
    <w:p w14:paraId="6372652E">
      <w:pPr>
        <w:rPr>
          <w:rFonts w:hint="eastAsia" w:ascii="宋体" w:hAnsi="宋体" w:eastAsia="宋体" w:cs="宋体"/>
          <w:color w:val="000000"/>
          <w:kern w:val="2"/>
          <w:sz w:val="24"/>
          <w:szCs w:val="24"/>
          <w:lang w:val="en-US" w:eastAsia="zh-CN" w:bidi="ar-SA"/>
        </w:rPr>
      </w:pPr>
    </w:p>
    <w:p w14:paraId="110287A9">
      <w:pPr>
        <w:rPr>
          <w:rFonts w:hint="eastAsia" w:ascii="宋体" w:hAnsi="宋体" w:eastAsia="宋体" w:cs="宋体"/>
          <w:color w:val="000000"/>
          <w:kern w:val="2"/>
          <w:sz w:val="24"/>
          <w:szCs w:val="24"/>
          <w:lang w:val="en-US" w:eastAsia="zh-CN" w:bidi="ar-SA"/>
        </w:rPr>
      </w:pPr>
    </w:p>
    <w:p w14:paraId="37E4E861">
      <w:pPr>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p w14:paraId="2473D117">
      <w:pPr>
        <w:rPr>
          <w:rFonts w:hint="eastAsia" w:ascii="宋体" w:hAnsi="宋体" w:eastAsia="宋体" w:cs="宋体"/>
          <w:color w:val="000000"/>
          <w:kern w:val="2"/>
          <w:sz w:val="24"/>
          <w:szCs w:val="24"/>
          <w:lang w:val="en-US" w:eastAsia="zh-CN" w:bidi="ar-SA"/>
        </w:rPr>
      </w:pPr>
    </w:p>
    <w:bookmarkEnd w:id="269"/>
    <w:bookmarkEnd w:id="270"/>
    <w:bookmarkEnd w:id="271"/>
    <w:bookmarkEnd w:id="272"/>
    <w:bookmarkEnd w:id="273"/>
    <w:p w14:paraId="3DBE4382">
      <w:pPr>
        <w:pStyle w:val="3"/>
        <w:spacing w:line="600" w:lineRule="auto"/>
        <w:ind w:right="420" w:rightChars="200"/>
        <w:jc w:val="center"/>
        <w:rPr>
          <w:rFonts w:ascii="宋体" w:hAnsi="宋体" w:cs="宋体"/>
          <w:szCs w:val="32"/>
        </w:rPr>
      </w:pPr>
      <w:bookmarkStart w:id="277" w:name="_Toc22735"/>
      <w:bookmarkStart w:id="278" w:name="_Toc30449"/>
      <w:bookmarkStart w:id="279" w:name="_Toc5859"/>
      <w:bookmarkStart w:id="280" w:name="_Toc267581291"/>
      <w:bookmarkStart w:id="281" w:name="_Toc267581731"/>
      <w:bookmarkStart w:id="282" w:name="_Toc184635137"/>
      <w:r>
        <w:rPr>
          <w:rFonts w:hint="eastAsia" w:ascii="宋体" w:hAnsi="宋体" w:cs="宋体"/>
          <w:szCs w:val="32"/>
        </w:rPr>
        <w:t>第六章 投标文件格式</w:t>
      </w:r>
      <w:bookmarkEnd w:id="277"/>
      <w:bookmarkEnd w:id="278"/>
      <w:bookmarkEnd w:id="279"/>
    </w:p>
    <w:p w14:paraId="3E64C4FE">
      <w:pPr>
        <w:tabs>
          <w:tab w:val="center" w:pos="4739"/>
        </w:tabs>
        <w:ind w:left="180"/>
        <w:jc w:val="right"/>
        <w:rPr>
          <w:rFonts w:ascii="宋体" w:hAnsi="宋体" w:cs="宋体"/>
          <w:b/>
          <w:bCs/>
          <w:sz w:val="28"/>
          <w:szCs w:val="28"/>
        </w:rPr>
      </w:pPr>
    </w:p>
    <w:p w14:paraId="53B1A827">
      <w:pPr>
        <w:tabs>
          <w:tab w:val="center" w:pos="4739"/>
        </w:tabs>
        <w:ind w:left="180"/>
        <w:rPr>
          <w:rFonts w:ascii="宋体" w:hAnsi="宋体" w:cs="宋体"/>
          <w:sz w:val="24"/>
        </w:rPr>
      </w:pPr>
    </w:p>
    <w:p w14:paraId="1AF41A37">
      <w:pPr>
        <w:tabs>
          <w:tab w:val="center" w:pos="4739"/>
        </w:tabs>
        <w:ind w:left="180"/>
        <w:rPr>
          <w:rFonts w:ascii="宋体" w:hAnsi="宋体" w:cs="宋体"/>
          <w:sz w:val="24"/>
        </w:rPr>
      </w:pPr>
    </w:p>
    <w:p w14:paraId="5006040C">
      <w:pPr>
        <w:tabs>
          <w:tab w:val="center" w:pos="4739"/>
        </w:tabs>
        <w:ind w:left="180"/>
        <w:rPr>
          <w:rFonts w:ascii="宋体" w:hAnsi="宋体" w:cs="宋体"/>
          <w:sz w:val="24"/>
        </w:rPr>
      </w:pPr>
    </w:p>
    <w:p w14:paraId="3810702D">
      <w:pPr>
        <w:tabs>
          <w:tab w:val="center" w:pos="4739"/>
        </w:tabs>
        <w:rPr>
          <w:rFonts w:hint="default" w:ascii="宋体" w:hAnsi="宋体" w:cs="宋体"/>
          <w:b/>
          <w:sz w:val="52"/>
          <w:szCs w:val="52"/>
          <w:lang w:val="en-US"/>
        </w:rPr>
      </w:pPr>
      <w:r>
        <w:rPr>
          <w:rFonts w:hint="eastAsia" w:ascii="宋体" w:hAnsi="宋体" w:cs="宋体"/>
          <w:b/>
          <w:sz w:val="36"/>
          <w:szCs w:val="36"/>
          <w:u w:val="none"/>
          <w:lang w:eastAsia="zh-CN"/>
        </w:rPr>
        <w:t>项目名称</w:t>
      </w:r>
      <w:r>
        <w:rPr>
          <w:rFonts w:hint="eastAsia" w:ascii="宋体" w:hAnsi="宋体" w:cs="宋体"/>
          <w:b/>
          <w:sz w:val="36"/>
          <w:szCs w:val="36"/>
          <w:u w:val="single"/>
          <w:lang w:eastAsia="zh-CN"/>
        </w:rPr>
        <w:t>：</w:t>
      </w:r>
      <w:r>
        <w:rPr>
          <w:rFonts w:hint="eastAsia" w:ascii="宋体" w:hAnsi="宋体" w:cs="宋体"/>
          <w:b/>
          <w:sz w:val="36"/>
          <w:szCs w:val="36"/>
          <w:u w:val="single"/>
          <w:lang w:val="en-US" w:eastAsia="zh-CN"/>
        </w:rPr>
        <w:t xml:space="preserve">                                  </w:t>
      </w:r>
    </w:p>
    <w:p w14:paraId="7949CC99">
      <w:pPr>
        <w:tabs>
          <w:tab w:val="center" w:pos="4739"/>
        </w:tabs>
        <w:jc w:val="center"/>
        <w:rPr>
          <w:rFonts w:ascii="宋体" w:hAnsi="宋体" w:cs="宋体"/>
          <w:b/>
          <w:sz w:val="52"/>
          <w:szCs w:val="52"/>
        </w:rPr>
      </w:pPr>
      <w:r>
        <w:rPr>
          <w:rFonts w:hint="eastAsia" w:ascii="宋体" w:hAnsi="宋体" w:cs="宋体"/>
          <w:b/>
          <w:sz w:val="52"/>
          <w:szCs w:val="52"/>
        </w:rPr>
        <w:t>投 标 文 件</w:t>
      </w:r>
    </w:p>
    <w:p w14:paraId="015B84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sz w:val="30"/>
          <w:szCs w:val="30"/>
          <w:highlight w:val="none"/>
          <w:lang w:eastAsia="zh-CN"/>
        </w:rPr>
      </w:pPr>
    </w:p>
    <w:p w14:paraId="02CC3D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0"/>
          <w:szCs w:val="30"/>
          <w:highlight w:val="none"/>
          <w:lang w:eastAsia="zh-CN"/>
        </w:rPr>
      </w:pPr>
      <w:r>
        <w:rPr>
          <w:rFonts w:hint="eastAsia" w:ascii="宋体" w:hAnsi="宋体" w:cs="宋体"/>
          <w:b/>
          <w:bCs/>
          <w:sz w:val="30"/>
          <w:szCs w:val="30"/>
          <w:highlight w:val="none"/>
          <w:lang w:eastAsia="zh-CN"/>
        </w:rPr>
        <w:t>（</w:t>
      </w:r>
      <w:r>
        <w:rPr>
          <w:rFonts w:hint="eastAsia" w:ascii="宋体" w:hAnsi="宋体" w:cs="宋体"/>
          <w:b/>
          <w:bCs/>
          <w:sz w:val="30"/>
          <w:szCs w:val="30"/>
          <w:highlight w:val="none"/>
          <w:u w:val="single"/>
          <w:lang w:val="en-US" w:eastAsia="zh-CN"/>
        </w:rPr>
        <w:t xml:space="preserve">   </w:t>
      </w:r>
      <w:r>
        <w:rPr>
          <w:rFonts w:hint="eastAsia" w:ascii="宋体" w:hAnsi="宋体" w:cs="宋体"/>
          <w:b/>
          <w:bCs/>
          <w:sz w:val="30"/>
          <w:szCs w:val="30"/>
          <w:highlight w:val="none"/>
          <w:lang w:eastAsia="zh-CN"/>
        </w:rPr>
        <w:t>包）</w:t>
      </w:r>
    </w:p>
    <w:p w14:paraId="6DD1909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bCs/>
          <w:sz w:val="30"/>
          <w:szCs w:val="30"/>
          <w:highlight w:val="none"/>
        </w:rPr>
      </w:pPr>
      <w:r>
        <w:rPr>
          <w:rFonts w:hint="eastAsia" w:ascii="宋体" w:hAnsi="宋体" w:cs="宋体"/>
          <w:b/>
          <w:bCs/>
          <w:sz w:val="30"/>
          <w:szCs w:val="30"/>
          <w:highlight w:val="none"/>
        </w:rPr>
        <w:t>项目编号：</w:t>
      </w:r>
    </w:p>
    <w:p w14:paraId="379E59B2">
      <w:pPr>
        <w:tabs>
          <w:tab w:val="center" w:pos="4739"/>
        </w:tabs>
        <w:ind w:left="180"/>
        <w:rPr>
          <w:rFonts w:ascii="宋体" w:hAnsi="宋体" w:cs="宋体"/>
          <w:sz w:val="24"/>
        </w:rPr>
      </w:pPr>
    </w:p>
    <w:p w14:paraId="173053EA">
      <w:pPr>
        <w:tabs>
          <w:tab w:val="center" w:pos="4739"/>
        </w:tabs>
        <w:ind w:left="180"/>
        <w:rPr>
          <w:rFonts w:ascii="宋体" w:hAnsi="宋体" w:cs="宋体"/>
          <w:sz w:val="24"/>
        </w:rPr>
      </w:pPr>
    </w:p>
    <w:p w14:paraId="7CE33162">
      <w:pPr>
        <w:tabs>
          <w:tab w:val="center" w:pos="4739"/>
        </w:tabs>
        <w:ind w:left="180"/>
        <w:rPr>
          <w:rFonts w:ascii="宋体" w:hAnsi="宋体" w:cs="宋体"/>
          <w:sz w:val="24"/>
        </w:rPr>
      </w:pPr>
    </w:p>
    <w:p w14:paraId="678A06C8">
      <w:pPr>
        <w:tabs>
          <w:tab w:val="center" w:pos="4739"/>
        </w:tabs>
        <w:ind w:left="180"/>
        <w:rPr>
          <w:rFonts w:ascii="宋体" w:hAnsi="宋体" w:cs="宋体"/>
          <w:sz w:val="24"/>
        </w:rPr>
      </w:pPr>
    </w:p>
    <w:p w14:paraId="18DB544B">
      <w:pPr>
        <w:tabs>
          <w:tab w:val="center" w:pos="4739"/>
        </w:tabs>
        <w:ind w:left="180"/>
        <w:rPr>
          <w:rFonts w:ascii="宋体" w:hAnsi="宋体" w:cs="宋体"/>
          <w:sz w:val="24"/>
        </w:rPr>
      </w:pPr>
    </w:p>
    <w:p w14:paraId="5AD45649">
      <w:pPr>
        <w:tabs>
          <w:tab w:val="center" w:pos="4739"/>
        </w:tabs>
        <w:ind w:left="180"/>
        <w:rPr>
          <w:rFonts w:ascii="宋体" w:hAnsi="宋体" w:cs="宋体"/>
          <w:sz w:val="24"/>
        </w:rPr>
      </w:pPr>
    </w:p>
    <w:p w14:paraId="451B4F6A">
      <w:pPr>
        <w:tabs>
          <w:tab w:val="center" w:pos="4739"/>
        </w:tabs>
        <w:ind w:left="180"/>
        <w:rPr>
          <w:rFonts w:ascii="宋体" w:hAnsi="宋体" w:cs="宋体"/>
          <w:sz w:val="24"/>
        </w:rPr>
      </w:pPr>
    </w:p>
    <w:p w14:paraId="66D25D89">
      <w:pPr>
        <w:tabs>
          <w:tab w:val="center" w:pos="4739"/>
        </w:tabs>
        <w:ind w:left="180"/>
        <w:rPr>
          <w:rFonts w:ascii="宋体" w:hAnsi="宋体" w:cs="宋体"/>
          <w:sz w:val="24"/>
        </w:rPr>
      </w:pPr>
    </w:p>
    <w:p w14:paraId="1F5B8666">
      <w:pPr>
        <w:tabs>
          <w:tab w:val="center" w:pos="4739"/>
        </w:tabs>
        <w:ind w:left="180"/>
        <w:rPr>
          <w:rFonts w:ascii="宋体" w:hAnsi="宋体" w:cs="宋体"/>
          <w:sz w:val="24"/>
        </w:rPr>
      </w:pPr>
    </w:p>
    <w:p w14:paraId="0DCB4217">
      <w:pPr>
        <w:tabs>
          <w:tab w:val="center" w:pos="4739"/>
        </w:tabs>
        <w:ind w:left="180"/>
        <w:rPr>
          <w:rFonts w:ascii="宋体" w:hAnsi="宋体" w:cs="宋体"/>
          <w:sz w:val="24"/>
        </w:rPr>
      </w:pPr>
    </w:p>
    <w:p w14:paraId="5D4C99A2">
      <w:pPr>
        <w:tabs>
          <w:tab w:val="center" w:pos="4739"/>
        </w:tabs>
        <w:ind w:left="180"/>
        <w:rPr>
          <w:rFonts w:ascii="宋体" w:hAnsi="宋体" w:cs="宋体"/>
          <w:b/>
        </w:rPr>
      </w:pPr>
    </w:p>
    <w:p w14:paraId="6E51D838">
      <w:pPr>
        <w:tabs>
          <w:tab w:val="center" w:pos="4739"/>
        </w:tabs>
        <w:spacing w:line="360" w:lineRule="auto"/>
        <w:ind w:left="180" w:firstLine="1304" w:firstLineChars="464"/>
        <w:jc w:val="left"/>
        <w:rPr>
          <w:rFonts w:ascii="宋体" w:hAnsi="宋体" w:cs="宋体"/>
          <w:b/>
          <w:sz w:val="28"/>
          <w:szCs w:val="28"/>
        </w:rPr>
      </w:pPr>
      <w:r>
        <w:rPr>
          <w:rFonts w:hint="eastAsia" w:ascii="宋体" w:hAnsi="宋体" w:cs="宋体"/>
          <w:b/>
          <w:sz w:val="28"/>
          <w:szCs w:val="28"/>
          <w:lang w:eastAsia="zh-CN"/>
        </w:rPr>
        <w:t>供应商名称</w:t>
      </w:r>
      <w:r>
        <w:rPr>
          <w:rFonts w:hint="eastAsia" w:ascii="宋体" w:hAnsi="宋体" w:cs="宋体"/>
          <w:b/>
          <w:sz w:val="28"/>
          <w:szCs w:val="28"/>
        </w:rPr>
        <w:t>:</w:t>
      </w:r>
      <w:r>
        <w:rPr>
          <w:rFonts w:hint="eastAsia" w:ascii="宋体" w:hAnsi="宋体" w:cs="宋体"/>
          <w:b/>
          <w:sz w:val="28"/>
          <w:szCs w:val="28"/>
          <w:u w:val="single"/>
        </w:rPr>
        <w:t xml:space="preserve">                         </w:t>
      </w:r>
      <w:r>
        <w:rPr>
          <w:rFonts w:hint="eastAsia" w:ascii="宋体" w:hAnsi="宋体" w:cs="宋体"/>
          <w:b/>
          <w:sz w:val="28"/>
          <w:szCs w:val="28"/>
        </w:rPr>
        <w:t>(盖单位章)</w:t>
      </w:r>
    </w:p>
    <w:p w14:paraId="59F9E84B">
      <w:pPr>
        <w:tabs>
          <w:tab w:val="center" w:pos="4739"/>
        </w:tabs>
        <w:spacing w:line="360" w:lineRule="auto"/>
        <w:ind w:left="180" w:firstLine="1304" w:firstLineChars="464"/>
        <w:rPr>
          <w:rFonts w:ascii="宋体" w:hAnsi="宋体" w:cs="宋体"/>
          <w:b/>
          <w:sz w:val="28"/>
          <w:szCs w:val="28"/>
        </w:rPr>
      </w:pPr>
      <w:r>
        <w:rPr>
          <w:rFonts w:hint="eastAsia" w:ascii="宋体" w:hAnsi="宋体" w:cs="宋体"/>
          <w:b/>
          <w:sz w:val="28"/>
          <w:szCs w:val="28"/>
        </w:rPr>
        <w:t>法定代表人或其委托代理人（签字</w:t>
      </w:r>
      <w:r>
        <w:rPr>
          <w:rFonts w:hint="eastAsia" w:ascii="宋体" w:hAnsi="宋体" w:cs="宋体"/>
          <w:b/>
          <w:sz w:val="28"/>
          <w:szCs w:val="28"/>
          <w:lang w:eastAsia="zh-CN"/>
        </w:rPr>
        <w:t>或盖章</w:t>
      </w:r>
      <w:r>
        <w:rPr>
          <w:rFonts w:hint="eastAsia" w:ascii="宋体" w:hAnsi="宋体" w:cs="宋体"/>
          <w:b/>
          <w:sz w:val="28"/>
          <w:szCs w:val="28"/>
        </w:rPr>
        <w:t>）:</w:t>
      </w:r>
      <w:r>
        <w:rPr>
          <w:rFonts w:hint="eastAsia" w:ascii="宋体" w:hAnsi="宋体" w:cs="宋体"/>
          <w:b/>
          <w:sz w:val="28"/>
          <w:szCs w:val="28"/>
          <w:u w:val="single"/>
        </w:rPr>
        <w:t xml:space="preserve">            </w:t>
      </w:r>
    </w:p>
    <w:p w14:paraId="03C962CC">
      <w:pPr>
        <w:spacing w:line="360" w:lineRule="auto"/>
        <w:ind w:firstLine="2249" w:firstLineChars="800"/>
        <w:jc w:val="both"/>
        <w:rPr>
          <w:rFonts w:ascii="宋体" w:hAnsi="宋体" w:cs="宋体"/>
          <w:b/>
          <w:sz w:val="28"/>
          <w:szCs w:val="28"/>
        </w:rPr>
      </w:pPr>
      <w:r>
        <w:rPr>
          <w:rFonts w:hint="eastAsia" w:ascii="宋体" w:hAnsi="宋体" w:cs="宋体"/>
          <w:b/>
          <w:sz w:val="28"/>
          <w:szCs w:val="28"/>
          <w:u w:val="single"/>
        </w:rPr>
        <w:t xml:space="preserve">      </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rPr>
        <w:t>月</w:t>
      </w:r>
      <w:r>
        <w:rPr>
          <w:rFonts w:hint="eastAsia" w:ascii="宋体" w:hAnsi="宋体" w:cs="宋体"/>
          <w:b/>
          <w:sz w:val="28"/>
          <w:szCs w:val="28"/>
          <w:u w:val="single"/>
        </w:rPr>
        <w:t xml:space="preserve">       </w:t>
      </w:r>
      <w:r>
        <w:rPr>
          <w:rFonts w:hint="eastAsia" w:ascii="宋体" w:hAnsi="宋体" w:cs="宋体"/>
          <w:b/>
          <w:sz w:val="28"/>
          <w:szCs w:val="28"/>
        </w:rPr>
        <w:t>日</w:t>
      </w:r>
    </w:p>
    <w:p w14:paraId="73B9D0D6">
      <w:pPr>
        <w:rPr>
          <w:rFonts w:hAnsi="宋体"/>
          <w:b/>
          <w:sz w:val="28"/>
          <w:szCs w:val="28"/>
        </w:rPr>
      </w:pPr>
      <w:r>
        <w:rPr>
          <w:rFonts w:hAnsi="宋体"/>
          <w:b/>
          <w:sz w:val="28"/>
          <w:szCs w:val="28"/>
        </w:rPr>
        <w:br w:type="page"/>
      </w:r>
    </w:p>
    <w:p w14:paraId="0BD66E3B"/>
    <w:p w14:paraId="0CC67D9E">
      <w:pPr>
        <w:pStyle w:val="4"/>
        <w:jc w:val="center"/>
        <w:rPr>
          <w:rFonts w:ascii="宋体" w:hAnsi="宋体" w:cs="宋体"/>
          <w:sz w:val="28"/>
          <w:szCs w:val="28"/>
        </w:rPr>
      </w:pPr>
      <w:bookmarkStart w:id="283" w:name="_Toc17785"/>
      <w:bookmarkStart w:id="284" w:name="_Toc9381"/>
      <w:bookmarkStart w:id="285" w:name="_Toc6174"/>
      <w:bookmarkStart w:id="286" w:name="_Toc16590"/>
      <w:r>
        <w:rPr>
          <w:rFonts w:hint="eastAsia" w:ascii="宋体" w:hAnsi="宋体" w:cs="宋体"/>
          <w:sz w:val="28"/>
          <w:szCs w:val="28"/>
        </w:rPr>
        <w:t>目  录</w:t>
      </w:r>
      <w:bookmarkEnd w:id="280"/>
      <w:bookmarkEnd w:id="281"/>
      <w:bookmarkEnd w:id="282"/>
      <w:bookmarkEnd w:id="283"/>
      <w:bookmarkEnd w:id="284"/>
      <w:bookmarkEnd w:id="285"/>
      <w:bookmarkEnd w:id="286"/>
    </w:p>
    <w:p w14:paraId="2DC08615">
      <w:pPr>
        <w:spacing w:line="360" w:lineRule="auto"/>
        <w:jc w:val="center"/>
        <w:rPr>
          <w:rFonts w:ascii="宋体" w:hAnsi="宋体" w:cs="宋体"/>
        </w:rPr>
      </w:pPr>
      <w:r>
        <w:rPr>
          <w:rFonts w:hint="eastAsia" w:ascii="宋体" w:hAnsi="宋体" w:cs="宋体"/>
        </w:rPr>
        <w:t>（格式自拟）</w:t>
      </w:r>
    </w:p>
    <w:p w14:paraId="56E8E8D6">
      <w:pPr>
        <w:spacing w:line="360" w:lineRule="auto"/>
        <w:ind w:firstLine="420" w:firstLineChars="200"/>
        <w:rPr>
          <w:rFonts w:ascii="宋体" w:hAnsi="宋体" w:cs="宋体"/>
          <w:szCs w:val="21"/>
        </w:rPr>
      </w:pPr>
    </w:p>
    <w:p w14:paraId="769163CA">
      <w:pPr>
        <w:spacing w:line="360" w:lineRule="auto"/>
        <w:ind w:firstLine="1077" w:firstLineChars="513"/>
        <w:rPr>
          <w:rFonts w:ascii="宋体" w:hAnsi="宋体" w:cs="宋体"/>
          <w:szCs w:val="21"/>
        </w:rPr>
      </w:pPr>
    </w:p>
    <w:p w14:paraId="59FD8C03">
      <w:pPr>
        <w:spacing w:line="600" w:lineRule="exact"/>
        <w:ind w:left="850" w:leftChars="405"/>
        <w:rPr>
          <w:rFonts w:ascii="宋体" w:hAnsi="宋体" w:cs="宋体"/>
          <w:b/>
          <w:sz w:val="24"/>
        </w:rPr>
      </w:pPr>
      <w:r>
        <w:rPr>
          <w:rFonts w:hint="eastAsia" w:ascii="宋体" w:hAnsi="宋体" w:cs="宋体"/>
          <w:b/>
          <w:sz w:val="24"/>
        </w:rPr>
        <w:t>投标文件编制过程中应按本章提供的格式填报。</w:t>
      </w:r>
    </w:p>
    <w:p w14:paraId="2524B7B3">
      <w:pPr>
        <w:spacing w:line="600" w:lineRule="exact"/>
        <w:ind w:left="850" w:leftChars="405"/>
        <w:rPr>
          <w:rFonts w:ascii="宋体" w:hAnsi="宋体" w:cs="宋体"/>
          <w:b/>
          <w:sz w:val="24"/>
        </w:rPr>
      </w:pPr>
      <w:r>
        <w:rPr>
          <w:rFonts w:hint="eastAsia" w:ascii="宋体" w:hAnsi="宋体" w:cs="宋体"/>
          <w:b/>
          <w:sz w:val="24"/>
        </w:rPr>
        <w:t>如有本章未提供的格式，投标人可自行编制。</w:t>
      </w:r>
    </w:p>
    <w:p w14:paraId="41995BF7">
      <w:pPr>
        <w:spacing w:line="360" w:lineRule="auto"/>
        <w:ind w:firstLine="1077" w:firstLineChars="513"/>
        <w:rPr>
          <w:rFonts w:ascii="宋体" w:hAnsi="宋体" w:cs="宋体"/>
          <w:szCs w:val="21"/>
        </w:rPr>
      </w:pPr>
    </w:p>
    <w:p w14:paraId="75F05E8A">
      <w:pPr>
        <w:spacing w:line="360" w:lineRule="auto"/>
        <w:ind w:firstLine="1077" w:firstLineChars="513"/>
        <w:rPr>
          <w:rFonts w:ascii="宋体" w:hAnsi="宋体" w:cs="宋体"/>
          <w:szCs w:val="21"/>
        </w:rPr>
      </w:pPr>
    </w:p>
    <w:p w14:paraId="229416C3">
      <w:pPr>
        <w:spacing w:line="360" w:lineRule="auto"/>
        <w:ind w:firstLine="1077" w:firstLineChars="513"/>
        <w:rPr>
          <w:rFonts w:ascii="宋体" w:hAnsi="宋体" w:cs="宋体"/>
          <w:szCs w:val="21"/>
        </w:rPr>
      </w:pPr>
    </w:p>
    <w:p w14:paraId="58971E08">
      <w:pPr>
        <w:spacing w:line="360" w:lineRule="auto"/>
        <w:ind w:firstLine="1077" w:firstLineChars="513"/>
        <w:rPr>
          <w:rFonts w:ascii="宋体" w:hAnsi="宋体" w:cs="宋体"/>
          <w:szCs w:val="21"/>
        </w:rPr>
      </w:pPr>
    </w:p>
    <w:p w14:paraId="5B9C25D6">
      <w:pPr>
        <w:spacing w:line="360" w:lineRule="auto"/>
        <w:ind w:firstLine="1077" w:firstLineChars="513"/>
        <w:rPr>
          <w:rFonts w:ascii="宋体" w:hAnsi="宋体" w:cs="宋体"/>
          <w:szCs w:val="21"/>
        </w:rPr>
      </w:pPr>
    </w:p>
    <w:p w14:paraId="47CE95E0">
      <w:pPr>
        <w:pStyle w:val="9"/>
        <w:rPr>
          <w:rFonts w:ascii="宋体" w:hAnsi="宋体" w:eastAsia="宋体" w:cs="宋体"/>
        </w:rPr>
      </w:pPr>
    </w:p>
    <w:p w14:paraId="339AA2AC">
      <w:pPr>
        <w:spacing w:line="360" w:lineRule="auto"/>
        <w:ind w:firstLine="1077" w:firstLineChars="513"/>
        <w:rPr>
          <w:rFonts w:ascii="宋体" w:hAnsi="宋体" w:cs="宋体"/>
          <w:szCs w:val="21"/>
        </w:rPr>
      </w:pPr>
    </w:p>
    <w:p w14:paraId="25E998D6">
      <w:pPr>
        <w:pStyle w:val="24"/>
        <w:rPr>
          <w:rFonts w:ascii="宋体" w:hAnsi="宋体" w:cs="宋体"/>
          <w:szCs w:val="21"/>
        </w:rPr>
      </w:pPr>
    </w:p>
    <w:p w14:paraId="3A4DA99E">
      <w:pPr>
        <w:pStyle w:val="25"/>
        <w:rPr>
          <w:rFonts w:ascii="宋体" w:hAnsi="宋体" w:cs="宋体"/>
          <w:szCs w:val="21"/>
        </w:rPr>
      </w:pPr>
    </w:p>
    <w:p w14:paraId="4204B18B">
      <w:pPr>
        <w:rPr>
          <w:rFonts w:ascii="宋体" w:hAnsi="宋体" w:cs="宋体"/>
          <w:szCs w:val="21"/>
        </w:rPr>
      </w:pPr>
    </w:p>
    <w:p w14:paraId="52CEF5D7">
      <w:pPr>
        <w:pStyle w:val="24"/>
        <w:rPr>
          <w:rFonts w:ascii="宋体" w:hAnsi="宋体" w:cs="宋体"/>
          <w:szCs w:val="21"/>
        </w:rPr>
      </w:pPr>
    </w:p>
    <w:p w14:paraId="45506CC4">
      <w:pPr>
        <w:pStyle w:val="25"/>
        <w:rPr>
          <w:rFonts w:ascii="宋体" w:hAnsi="宋体" w:cs="宋体"/>
          <w:szCs w:val="21"/>
        </w:rPr>
      </w:pPr>
    </w:p>
    <w:p w14:paraId="3A9D15AE">
      <w:pPr>
        <w:rPr>
          <w:rFonts w:ascii="宋体" w:hAnsi="宋体" w:cs="宋体"/>
          <w:szCs w:val="21"/>
        </w:rPr>
      </w:pPr>
    </w:p>
    <w:p w14:paraId="12443AAC">
      <w:pPr>
        <w:pStyle w:val="24"/>
      </w:pPr>
    </w:p>
    <w:p w14:paraId="2D71BE7F">
      <w:pPr>
        <w:spacing w:line="360" w:lineRule="auto"/>
        <w:ind w:firstLine="1077" w:firstLineChars="513"/>
        <w:rPr>
          <w:rFonts w:ascii="宋体" w:hAnsi="宋体" w:cs="宋体"/>
          <w:szCs w:val="21"/>
        </w:rPr>
      </w:pPr>
    </w:p>
    <w:p w14:paraId="41ECDF3E">
      <w:pPr>
        <w:spacing w:line="360" w:lineRule="auto"/>
        <w:ind w:firstLine="1077" w:firstLineChars="513"/>
        <w:rPr>
          <w:rFonts w:ascii="宋体" w:hAnsi="宋体" w:cs="宋体"/>
          <w:szCs w:val="21"/>
        </w:rPr>
      </w:pPr>
    </w:p>
    <w:p w14:paraId="07D2010E">
      <w:pPr>
        <w:spacing w:line="360" w:lineRule="auto"/>
        <w:ind w:firstLine="1077" w:firstLineChars="513"/>
        <w:rPr>
          <w:rFonts w:ascii="宋体" w:hAnsi="宋体" w:cs="宋体"/>
          <w:szCs w:val="21"/>
        </w:rPr>
      </w:pPr>
    </w:p>
    <w:p w14:paraId="04EA6F2C">
      <w:pPr>
        <w:spacing w:line="360" w:lineRule="auto"/>
        <w:ind w:firstLine="1077" w:firstLineChars="513"/>
        <w:rPr>
          <w:rFonts w:ascii="宋体" w:hAnsi="宋体" w:cs="宋体"/>
          <w:szCs w:val="21"/>
        </w:rPr>
      </w:pPr>
    </w:p>
    <w:p w14:paraId="67359DB0">
      <w:pPr>
        <w:spacing w:line="360" w:lineRule="auto"/>
        <w:ind w:firstLine="1077" w:firstLineChars="513"/>
        <w:rPr>
          <w:rFonts w:ascii="宋体" w:hAnsi="宋体" w:cs="宋体"/>
          <w:szCs w:val="21"/>
        </w:rPr>
      </w:pPr>
    </w:p>
    <w:p w14:paraId="14D1F002">
      <w:pPr>
        <w:spacing w:line="360" w:lineRule="auto"/>
        <w:ind w:firstLine="1077" w:firstLineChars="513"/>
        <w:rPr>
          <w:rFonts w:ascii="宋体" w:hAnsi="宋体" w:cs="宋体"/>
          <w:szCs w:val="21"/>
        </w:rPr>
      </w:pPr>
    </w:p>
    <w:p w14:paraId="36160699">
      <w:pPr>
        <w:pStyle w:val="9"/>
        <w:rPr>
          <w:rFonts w:ascii="宋体" w:hAnsi="宋体" w:cs="宋体"/>
          <w:szCs w:val="21"/>
        </w:rPr>
      </w:pPr>
    </w:p>
    <w:p w14:paraId="1A779EC2">
      <w:pPr>
        <w:pStyle w:val="4"/>
        <w:jc w:val="center"/>
        <w:rPr>
          <w:rFonts w:ascii="宋体" w:hAnsi="宋体" w:cs="宋体"/>
        </w:rPr>
      </w:pPr>
      <w:bookmarkStart w:id="287" w:name="_Toc3713"/>
      <w:bookmarkStart w:id="288" w:name="_Toc3565"/>
      <w:bookmarkStart w:id="289" w:name="_Toc67"/>
      <w:bookmarkStart w:id="290" w:name="_Toc184635138"/>
      <w:bookmarkStart w:id="291" w:name="_Toc24813"/>
      <w:r>
        <w:rPr>
          <w:rFonts w:hint="eastAsia" w:ascii="宋体" w:hAnsi="宋体" w:cs="宋体"/>
        </w:rPr>
        <w:t>一、投标函</w:t>
      </w:r>
      <w:bookmarkEnd w:id="287"/>
      <w:bookmarkEnd w:id="288"/>
      <w:bookmarkEnd w:id="289"/>
      <w:bookmarkEnd w:id="290"/>
      <w:bookmarkEnd w:id="291"/>
    </w:p>
    <w:p w14:paraId="63AAEBBA">
      <w:pPr>
        <w:spacing w:line="360" w:lineRule="auto"/>
        <w:rPr>
          <w:rFonts w:ascii="宋体" w:hAnsi="宋体" w:cs="宋体"/>
          <w:szCs w:val="21"/>
        </w:rPr>
      </w:pPr>
      <w:r>
        <w:rPr>
          <w:rFonts w:hint="eastAsia" w:ascii="宋体" w:hAnsi="宋体" w:cs="宋体"/>
          <w:szCs w:val="21"/>
        </w:rPr>
        <w:t>致：</w:t>
      </w:r>
      <w:r>
        <w:rPr>
          <w:rFonts w:hint="eastAsia" w:ascii="宋体" w:hAnsi="宋体" w:cs="宋体"/>
          <w:szCs w:val="21"/>
          <w:u w:val="single"/>
        </w:rPr>
        <w:t xml:space="preserve">     （</w:t>
      </w:r>
      <w:r>
        <w:rPr>
          <w:rFonts w:hint="eastAsia" w:ascii="宋体" w:hAnsi="宋体" w:cs="宋体"/>
          <w:szCs w:val="21"/>
          <w:u w:val="single"/>
          <w:lang w:eastAsia="zh-CN"/>
        </w:rPr>
        <w:t>采购人</w:t>
      </w:r>
      <w:r>
        <w:rPr>
          <w:rFonts w:hint="eastAsia" w:ascii="宋体" w:hAnsi="宋体" w:cs="宋体"/>
          <w:szCs w:val="21"/>
          <w:u w:val="single"/>
        </w:rPr>
        <w:t xml:space="preserve">名称）       </w:t>
      </w:r>
    </w:p>
    <w:p w14:paraId="3CBBEDF0">
      <w:pPr>
        <w:spacing w:line="360" w:lineRule="auto"/>
        <w:ind w:firstLine="420" w:firstLineChars="200"/>
        <w:rPr>
          <w:rFonts w:ascii="宋体" w:hAnsi="宋体" w:cs="宋体"/>
          <w:szCs w:val="21"/>
        </w:rPr>
      </w:pPr>
      <w:r>
        <w:rPr>
          <w:rFonts w:hint="eastAsia" w:ascii="宋体" w:hAnsi="宋体" w:cs="宋体"/>
          <w:szCs w:val="21"/>
        </w:rPr>
        <w:t>根据贵方为</w:t>
      </w:r>
      <w:r>
        <w:rPr>
          <w:rFonts w:hint="eastAsia" w:ascii="宋体" w:hAnsi="宋体" w:cs="宋体"/>
          <w:szCs w:val="21"/>
          <w:u w:val="single"/>
        </w:rPr>
        <w:t xml:space="preserve">                               </w:t>
      </w:r>
      <w:r>
        <w:rPr>
          <w:rFonts w:hint="eastAsia" w:ascii="宋体" w:hAnsi="宋体" w:cs="宋体"/>
          <w:szCs w:val="21"/>
        </w:rPr>
        <w:t>项目</w:t>
      </w:r>
      <w:r>
        <w:rPr>
          <w:rFonts w:hint="eastAsia" w:ascii="宋体" w:hAnsi="宋体" w:cs="宋体"/>
          <w:szCs w:val="21"/>
          <w:lang w:eastAsia="zh-CN"/>
        </w:rPr>
        <w:t>（</w:t>
      </w:r>
      <w:r>
        <w:rPr>
          <w:rFonts w:hint="eastAsia" w:ascii="宋体" w:hAnsi="宋体" w:cs="宋体"/>
          <w:szCs w:val="21"/>
          <w:lang w:val="en-US" w:eastAsia="zh-CN"/>
        </w:rPr>
        <w:t xml:space="preserve">    包</w:t>
      </w:r>
      <w:r>
        <w:rPr>
          <w:rFonts w:hint="eastAsia" w:ascii="宋体" w:hAnsi="宋体" w:cs="宋体"/>
          <w:szCs w:val="21"/>
          <w:lang w:eastAsia="zh-CN"/>
        </w:rPr>
        <w:t>）</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 xml:space="preserve">）招标文件，签字代表 </w:t>
      </w:r>
      <w:r>
        <w:rPr>
          <w:rFonts w:hint="eastAsia" w:ascii="宋体" w:hAnsi="宋体" w:cs="宋体"/>
          <w:szCs w:val="21"/>
          <w:u w:val="single"/>
        </w:rPr>
        <w:t xml:space="preserve">（姓名、职务） </w:t>
      </w:r>
      <w:r>
        <w:rPr>
          <w:rFonts w:hint="eastAsia" w:ascii="宋体" w:hAnsi="宋体" w:cs="宋体"/>
          <w:szCs w:val="21"/>
        </w:rPr>
        <w:t>经正式授权并代表</w:t>
      </w:r>
      <w:r>
        <w:rPr>
          <w:rFonts w:hint="eastAsia" w:ascii="宋体" w:hAnsi="宋体" w:cs="宋体"/>
          <w:szCs w:val="21"/>
          <w:u w:val="single"/>
        </w:rPr>
        <w:t xml:space="preserve">   （</w:t>
      </w:r>
      <w:r>
        <w:rPr>
          <w:rFonts w:hint="eastAsia" w:ascii="宋体" w:hAnsi="宋体" w:cs="宋体"/>
          <w:szCs w:val="21"/>
          <w:u w:val="single"/>
          <w:lang w:eastAsia="zh-CN"/>
        </w:rPr>
        <w:t>供应商名称</w:t>
      </w:r>
      <w:r>
        <w:rPr>
          <w:rFonts w:hint="eastAsia" w:ascii="宋体" w:hAnsi="宋体" w:cs="宋体"/>
          <w:szCs w:val="21"/>
          <w:u w:val="single"/>
        </w:rPr>
        <w:t xml:space="preserve">）    </w:t>
      </w:r>
      <w:r>
        <w:rPr>
          <w:rFonts w:hint="eastAsia" w:ascii="宋体" w:hAnsi="宋体" w:cs="宋体"/>
          <w:szCs w:val="21"/>
        </w:rPr>
        <w:t>提交投标文件，并对之负法律责任。</w:t>
      </w:r>
    </w:p>
    <w:p w14:paraId="26387E53">
      <w:pPr>
        <w:spacing w:line="360" w:lineRule="auto"/>
        <w:ind w:firstLine="420" w:firstLineChars="200"/>
        <w:rPr>
          <w:rFonts w:ascii="宋体" w:hAnsi="宋体" w:cs="宋体"/>
          <w:szCs w:val="21"/>
        </w:rPr>
      </w:pPr>
      <w:r>
        <w:rPr>
          <w:rFonts w:hint="eastAsia" w:ascii="宋体" w:hAnsi="宋体" w:cs="宋体"/>
          <w:szCs w:val="21"/>
        </w:rPr>
        <w:t>据此函，签字代表宣布同意如下：</w:t>
      </w:r>
    </w:p>
    <w:p w14:paraId="50F31BE8">
      <w:pPr>
        <w:spacing w:line="360" w:lineRule="auto"/>
        <w:ind w:firstLine="420" w:firstLineChars="200"/>
        <w:rPr>
          <w:rFonts w:ascii="宋体" w:hAnsi="宋体" w:cs="宋体"/>
          <w:szCs w:val="21"/>
        </w:rPr>
      </w:pPr>
      <w:r>
        <w:rPr>
          <w:rFonts w:hint="eastAsia" w:ascii="宋体" w:hAnsi="宋体" w:cs="宋体"/>
          <w:szCs w:val="21"/>
        </w:rPr>
        <w:t>1.本次项目投标报价（总价）为人民币</w:t>
      </w:r>
      <w:r>
        <w:rPr>
          <w:rFonts w:hint="eastAsia" w:ascii="宋体" w:hAnsi="宋体" w:cs="宋体"/>
          <w:szCs w:val="21"/>
          <w:u w:val="single"/>
        </w:rPr>
        <w:t xml:space="preserve">大写：            （小写：           ） </w:t>
      </w:r>
      <w:r>
        <w:rPr>
          <w:rFonts w:hint="eastAsia" w:ascii="宋体" w:hAnsi="宋体" w:cs="宋体"/>
          <w:szCs w:val="21"/>
        </w:rPr>
        <w:t>。</w:t>
      </w:r>
    </w:p>
    <w:p w14:paraId="418E0D3D">
      <w:pPr>
        <w:spacing w:line="360" w:lineRule="auto"/>
        <w:ind w:firstLine="420" w:firstLineChars="200"/>
        <w:rPr>
          <w:rFonts w:ascii="宋体" w:hAnsi="宋体" w:cs="宋体"/>
          <w:szCs w:val="21"/>
        </w:rPr>
      </w:pPr>
      <w:r>
        <w:rPr>
          <w:rFonts w:hint="eastAsia" w:ascii="宋体" w:hAnsi="宋体" w:cs="宋体"/>
          <w:szCs w:val="21"/>
        </w:rPr>
        <w:t>合同履行期限：</w:t>
      </w:r>
      <w:r>
        <w:rPr>
          <w:rFonts w:hint="eastAsia" w:ascii="宋体" w:hAnsi="宋体" w:cs="宋体"/>
          <w:szCs w:val="21"/>
          <w:u w:val="single"/>
        </w:rPr>
        <w:t xml:space="preserve">                      </w:t>
      </w:r>
      <w:r>
        <w:rPr>
          <w:rFonts w:hint="eastAsia" w:ascii="宋体" w:hAnsi="宋体" w:cs="宋体"/>
          <w:szCs w:val="21"/>
        </w:rPr>
        <w:t>；服务质量：</w:t>
      </w:r>
      <w:r>
        <w:rPr>
          <w:rFonts w:hint="eastAsia" w:ascii="宋体" w:hAnsi="宋体" w:cs="宋体"/>
          <w:szCs w:val="21"/>
          <w:u w:val="single"/>
        </w:rPr>
        <w:t xml:space="preserve">                            </w:t>
      </w:r>
      <w:r>
        <w:rPr>
          <w:rFonts w:hint="eastAsia" w:ascii="宋体" w:hAnsi="宋体" w:cs="宋体"/>
          <w:szCs w:val="21"/>
        </w:rPr>
        <w:t>。</w:t>
      </w:r>
    </w:p>
    <w:p w14:paraId="078FAC14">
      <w:pPr>
        <w:spacing w:line="360" w:lineRule="auto"/>
        <w:ind w:firstLine="420" w:firstLineChars="200"/>
        <w:rPr>
          <w:rFonts w:ascii="宋体" w:hAnsi="宋体" w:cs="宋体"/>
          <w:szCs w:val="21"/>
        </w:rPr>
      </w:pPr>
      <w:r>
        <w:rPr>
          <w:rFonts w:hint="eastAsia" w:ascii="宋体" w:hAnsi="宋体" w:cs="宋体"/>
          <w:szCs w:val="21"/>
        </w:rPr>
        <w:t>2.我方已详细审查全部招标文件，包括修改文件（如有的话）以及全部参考资料和有关附件，我方完全接受招标文件中所规定的合同条款及其他部分的全部内容。</w:t>
      </w:r>
    </w:p>
    <w:p w14:paraId="29A8CD5E">
      <w:pPr>
        <w:spacing w:line="360" w:lineRule="auto"/>
        <w:ind w:firstLine="420" w:firstLineChars="200"/>
        <w:rPr>
          <w:rFonts w:ascii="宋体" w:hAnsi="宋体" w:cs="宋体"/>
          <w:szCs w:val="21"/>
        </w:rPr>
      </w:pPr>
      <w:r>
        <w:rPr>
          <w:rFonts w:hint="eastAsia" w:ascii="宋体" w:hAnsi="宋体" w:cs="宋体"/>
          <w:szCs w:val="21"/>
        </w:rPr>
        <w:t>3.投标有效期为</w:t>
      </w:r>
      <w:r>
        <w:rPr>
          <w:rFonts w:hint="eastAsia" w:ascii="宋体" w:hAnsi="宋体" w:cs="宋体"/>
          <w:szCs w:val="21"/>
          <w:u w:val="single"/>
        </w:rPr>
        <w:t>自投标截止之日起</w:t>
      </w:r>
      <w:r>
        <w:rPr>
          <w:rFonts w:hint="eastAsia" w:ascii="宋体" w:hAnsi="宋体" w:cs="宋体"/>
          <w:szCs w:val="21"/>
          <w:u w:val="single"/>
          <w:lang w:val="en-US" w:eastAsia="zh-CN"/>
        </w:rPr>
        <w:t>60</w:t>
      </w:r>
      <w:r>
        <w:rPr>
          <w:rFonts w:hint="eastAsia" w:ascii="宋体" w:hAnsi="宋体" w:cs="宋体"/>
          <w:szCs w:val="21"/>
          <w:u w:val="single"/>
        </w:rPr>
        <w:t>日历天</w:t>
      </w:r>
      <w:r>
        <w:rPr>
          <w:rFonts w:hint="eastAsia" w:ascii="宋体" w:hAnsi="宋体" w:cs="宋体"/>
          <w:szCs w:val="21"/>
        </w:rPr>
        <w:t>；在此有效期内，我方将严格遵守投标文件的承诺，本投标文件对我方具有约束力，并可随时被接受中标。</w:t>
      </w:r>
    </w:p>
    <w:p w14:paraId="09997638">
      <w:pPr>
        <w:spacing w:line="360" w:lineRule="auto"/>
        <w:ind w:firstLine="420" w:firstLineChars="200"/>
        <w:rPr>
          <w:rFonts w:ascii="宋体" w:hAnsi="宋体" w:cs="宋体"/>
          <w:szCs w:val="21"/>
        </w:rPr>
      </w:pPr>
      <w:r>
        <w:rPr>
          <w:rFonts w:hint="eastAsia" w:ascii="宋体" w:hAnsi="宋体" w:cs="宋体"/>
          <w:szCs w:val="21"/>
        </w:rPr>
        <w:t>4我方理解，贵方不一定接受最低报价或任何贵方可能收到的投标文件，同时理解贵方不承担我方的任何投标费用。</w:t>
      </w:r>
    </w:p>
    <w:p w14:paraId="7B84C60E">
      <w:pPr>
        <w:numPr>
          <w:ilvl w:val="0"/>
          <w:numId w:val="19"/>
        </w:numPr>
        <w:spacing w:line="360" w:lineRule="auto"/>
        <w:ind w:firstLine="420" w:firstLineChars="200"/>
        <w:rPr>
          <w:rFonts w:ascii="宋体" w:hAnsi="宋体" w:cs="宋体"/>
          <w:szCs w:val="21"/>
        </w:rPr>
      </w:pPr>
      <w:r>
        <w:rPr>
          <w:rFonts w:hint="eastAsia" w:ascii="宋体" w:hAnsi="宋体" w:cs="宋体"/>
          <w:szCs w:val="21"/>
        </w:rPr>
        <w:t>如果我方中标，我方保证按合同条款中规定的内容执行；我方保证投标服务质量符合国家相关标准、规范要求，满足本次项目要求。</w:t>
      </w:r>
    </w:p>
    <w:p w14:paraId="637AC810">
      <w:pPr>
        <w:spacing w:line="360" w:lineRule="auto"/>
        <w:ind w:firstLine="420" w:firstLineChars="200"/>
        <w:rPr>
          <w:rFonts w:ascii="宋体" w:hAnsi="宋体" w:cs="宋体"/>
          <w:szCs w:val="21"/>
        </w:rPr>
      </w:pPr>
      <w:r>
        <w:rPr>
          <w:rFonts w:hint="eastAsia" w:ascii="宋体" w:hAnsi="宋体" w:cs="宋体"/>
          <w:szCs w:val="21"/>
        </w:rPr>
        <w:t>6. 如我方中标按照招标文件规定足额递交履约担保金和招标代理服务费。</w:t>
      </w:r>
    </w:p>
    <w:p w14:paraId="728381F4">
      <w:pPr>
        <w:spacing w:line="360" w:lineRule="auto"/>
        <w:ind w:right="-210" w:rightChars="-100" w:firstLine="420" w:firstLineChars="200"/>
        <w:rPr>
          <w:rFonts w:ascii="宋体" w:hAnsi="宋体" w:cs="宋体"/>
          <w:szCs w:val="21"/>
        </w:rPr>
      </w:pPr>
      <w:r>
        <w:rPr>
          <w:rFonts w:hint="eastAsia" w:ascii="宋体" w:hAnsi="宋体" w:cs="宋体"/>
          <w:szCs w:val="21"/>
        </w:rPr>
        <w:t>7.我方在此声明，所递交的投标文件及有关资料内容完整、真实和准确，我方愿承担因资料问题造成的一切后果。</w:t>
      </w:r>
    </w:p>
    <w:p w14:paraId="3969D6B2">
      <w:pPr>
        <w:spacing w:line="360" w:lineRule="auto"/>
        <w:ind w:right="-210" w:rightChars="-100" w:firstLine="420" w:firstLineChars="200"/>
        <w:rPr>
          <w:rFonts w:ascii="宋体" w:hAnsi="宋体" w:cs="宋体"/>
          <w:szCs w:val="21"/>
        </w:rPr>
      </w:pPr>
      <w:r>
        <w:rPr>
          <w:rFonts w:hint="eastAsia" w:ascii="宋体" w:hAnsi="宋体" w:cs="宋体"/>
          <w:szCs w:val="21"/>
        </w:rPr>
        <w:t>8. 来往信函请联系（E-mail）:</w:t>
      </w:r>
      <w:r>
        <w:rPr>
          <w:rFonts w:hint="eastAsia" w:ascii="宋体" w:hAnsi="宋体" w:cs="宋体"/>
          <w:szCs w:val="21"/>
          <w:u w:val="single"/>
        </w:rPr>
        <w:t xml:space="preserve">               </w:t>
      </w:r>
      <w:r>
        <w:rPr>
          <w:rFonts w:hint="eastAsia" w:ascii="宋体" w:hAnsi="宋体" w:cs="宋体"/>
          <w:szCs w:val="21"/>
        </w:rPr>
        <w:t>(必填单位常用的业务联系邮箱，任何与</w:t>
      </w:r>
      <w:r>
        <w:rPr>
          <w:rFonts w:hint="eastAsia" w:ascii="宋体" w:hAnsi="宋体" w:cs="宋体"/>
          <w:szCs w:val="21"/>
          <w:lang w:eastAsia="zh-CN"/>
        </w:rPr>
        <w:t>采购人</w:t>
      </w:r>
      <w:r>
        <w:rPr>
          <w:rFonts w:hint="eastAsia" w:ascii="宋体" w:hAnsi="宋体" w:cs="宋体"/>
          <w:szCs w:val="21"/>
        </w:rPr>
        <w:t>有关的信息发至该邮箱视为已发送)</w:t>
      </w:r>
    </w:p>
    <w:p w14:paraId="56FD3CFA">
      <w:pPr>
        <w:spacing w:line="360" w:lineRule="auto"/>
        <w:ind w:left="283" w:leftChars="135"/>
        <w:jc w:val="left"/>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5FCB3D98">
      <w:pPr>
        <w:spacing w:line="360" w:lineRule="auto"/>
        <w:ind w:left="283" w:leftChars="135"/>
        <w:jc w:val="left"/>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5D3475EC">
      <w:pPr>
        <w:spacing w:line="360" w:lineRule="auto"/>
        <w:ind w:firstLine="315" w:firstLineChars="150"/>
        <w:rPr>
          <w:rFonts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14:paraId="2CEAC796">
      <w:pPr>
        <w:spacing w:line="360" w:lineRule="auto"/>
        <w:ind w:firstLine="315" w:firstLineChars="150"/>
        <w:rPr>
          <w:rFonts w:ascii="宋体" w:hAnsi="宋体" w:cs="宋体"/>
          <w:szCs w:val="21"/>
        </w:rPr>
      </w:pPr>
      <w:r>
        <w:rPr>
          <w:rFonts w:hint="eastAsia" w:ascii="宋体" w:hAnsi="宋体" w:cs="宋体"/>
          <w:szCs w:val="21"/>
        </w:rPr>
        <w:t>电话：</w:t>
      </w:r>
      <w:r>
        <w:rPr>
          <w:rFonts w:hint="eastAsia" w:ascii="宋体" w:hAnsi="宋体" w:cs="宋体"/>
          <w:szCs w:val="21"/>
          <w:u w:val="single"/>
        </w:rPr>
        <w:t xml:space="preserve">                     </w:t>
      </w:r>
    </w:p>
    <w:p w14:paraId="41078365">
      <w:pPr>
        <w:spacing w:line="360" w:lineRule="auto"/>
        <w:ind w:firstLine="315" w:firstLineChars="15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CDCEE01">
      <w:r>
        <w:rPr>
          <w:rFonts w:ascii="宋体" w:hAnsi="宋体" w:eastAsia="宋体" w:cs="宋体"/>
        </w:rPr>
        <w:br w:type="page"/>
      </w:r>
    </w:p>
    <w:p w14:paraId="36ACACB0">
      <w:pPr>
        <w:pStyle w:val="4"/>
        <w:jc w:val="center"/>
        <w:rPr>
          <w:rFonts w:ascii="宋体" w:hAnsi="宋体" w:cs="宋体"/>
        </w:rPr>
      </w:pPr>
      <w:bookmarkStart w:id="292" w:name="_Toc22503"/>
      <w:bookmarkStart w:id="293" w:name="_Toc27486"/>
      <w:bookmarkStart w:id="294" w:name="_Toc23773"/>
      <w:bookmarkStart w:id="295" w:name="_Toc22038"/>
      <w:bookmarkStart w:id="296" w:name="_Toc430020800"/>
      <w:r>
        <w:rPr>
          <w:rFonts w:hint="eastAsia" w:ascii="宋体" w:hAnsi="宋体" w:cs="宋体"/>
        </w:rPr>
        <w:t>二、开标一览表</w:t>
      </w:r>
      <w:bookmarkEnd w:id="292"/>
      <w:bookmarkEnd w:id="293"/>
      <w:bookmarkEnd w:id="294"/>
      <w:bookmarkEnd w:id="295"/>
      <w:bookmarkEnd w:id="296"/>
    </w:p>
    <w:p w14:paraId="386DE412">
      <w:pPr>
        <w:rPr>
          <w:rFonts w:ascii="宋体" w:hAnsi="宋体" w:cs="宋体"/>
        </w:rPr>
      </w:pPr>
    </w:p>
    <w:p w14:paraId="4B622D50">
      <w:pPr>
        <w:rPr>
          <w:rFonts w:ascii="宋体" w:hAnsi="宋体" w:cs="宋体"/>
        </w:rPr>
      </w:pPr>
      <w:r>
        <w:rPr>
          <w:rFonts w:hint="eastAsia" w:ascii="宋体" w:hAnsi="宋体" w:cs="宋体"/>
        </w:rPr>
        <w:t>项目编号：                                              货币单位：元（人民币）</w:t>
      </w:r>
    </w:p>
    <w:tbl>
      <w:tblPr>
        <w:tblStyle w:val="2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6761"/>
      </w:tblGrid>
      <w:tr w14:paraId="4BD7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215E54C6">
            <w:pPr>
              <w:jc w:val="center"/>
              <w:rPr>
                <w:rFonts w:hint="eastAsia" w:ascii="宋体" w:hAnsi="宋体" w:eastAsia="宋体" w:cs="宋体"/>
                <w:szCs w:val="21"/>
                <w:lang w:eastAsia="zh-CN"/>
              </w:rPr>
            </w:pPr>
            <w:bookmarkStart w:id="297" w:name="OLE_LINK110"/>
            <w:r>
              <w:rPr>
                <w:rFonts w:hint="eastAsia" w:ascii="宋体" w:hAnsi="宋体" w:cs="宋体"/>
                <w:szCs w:val="21"/>
              </w:rPr>
              <w:t>项目名称</w:t>
            </w:r>
            <w:r>
              <w:rPr>
                <w:rFonts w:hint="eastAsia" w:ascii="宋体" w:hAnsi="宋体" w:cs="宋体"/>
                <w:szCs w:val="21"/>
                <w:lang w:eastAsia="zh-CN"/>
              </w:rPr>
              <w:t>及包号</w:t>
            </w:r>
            <w:bookmarkEnd w:id="297"/>
          </w:p>
        </w:tc>
        <w:tc>
          <w:tcPr>
            <w:tcW w:w="6761" w:type="dxa"/>
            <w:vAlign w:val="center"/>
          </w:tcPr>
          <w:p w14:paraId="6EC58081">
            <w:pPr>
              <w:jc w:val="center"/>
              <w:rPr>
                <w:rFonts w:ascii="宋体" w:hAnsi="宋体" w:cs="宋体"/>
                <w:szCs w:val="21"/>
              </w:rPr>
            </w:pPr>
          </w:p>
        </w:tc>
      </w:tr>
      <w:tr w14:paraId="2626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1D94BE94">
            <w:pPr>
              <w:jc w:val="center"/>
              <w:rPr>
                <w:rFonts w:hint="eastAsia" w:ascii="宋体" w:hAnsi="宋体" w:eastAsia="宋体" w:cs="宋体"/>
                <w:szCs w:val="21"/>
                <w:lang w:eastAsia="zh-CN"/>
              </w:rPr>
            </w:pPr>
            <w:r>
              <w:rPr>
                <w:rFonts w:hint="eastAsia" w:ascii="宋体" w:hAnsi="宋体" w:cs="宋体"/>
                <w:szCs w:val="21"/>
                <w:lang w:eastAsia="zh-CN"/>
              </w:rPr>
              <w:t>供应商名称</w:t>
            </w:r>
          </w:p>
        </w:tc>
        <w:tc>
          <w:tcPr>
            <w:tcW w:w="6761" w:type="dxa"/>
            <w:vAlign w:val="center"/>
          </w:tcPr>
          <w:p w14:paraId="0320E245">
            <w:pPr>
              <w:jc w:val="center"/>
              <w:rPr>
                <w:rFonts w:ascii="宋体" w:hAnsi="宋体" w:cs="宋体"/>
                <w:szCs w:val="21"/>
              </w:rPr>
            </w:pPr>
          </w:p>
        </w:tc>
      </w:tr>
      <w:tr w14:paraId="415B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3555BE1D">
            <w:pPr>
              <w:jc w:val="center"/>
              <w:rPr>
                <w:rFonts w:ascii="宋体" w:hAnsi="宋体" w:cs="宋体"/>
                <w:szCs w:val="21"/>
              </w:rPr>
            </w:pPr>
            <w:r>
              <w:rPr>
                <w:rFonts w:hint="eastAsia" w:ascii="宋体" w:hAnsi="宋体" w:cs="宋体"/>
                <w:szCs w:val="21"/>
              </w:rPr>
              <w:t>投标报价</w:t>
            </w:r>
          </w:p>
        </w:tc>
        <w:tc>
          <w:tcPr>
            <w:tcW w:w="6761" w:type="dxa"/>
            <w:vAlign w:val="center"/>
          </w:tcPr>
          <w:p w14:paraId="790999FD">
            <w:pPr>
              <w:pStyle w:val="11"/>
              <w:spacing w:line="520" w:lineRule="exact"/>
              <w:ind w:firstLine="0"/>
              <w:jc w:val="left"/>
              <w:rPr>
                <w:rFonts w:hint="eastAsia" w:ascii="宋体" w:hAnsi="宋体" w:eastAsia="宋体" w:cs="宋体"/>
                <w:bCs/>
                <w:sz w:val="21"/>
                <w:szCs w:val="21"/>
                <w:lang w:eastAsia="zh-CN"/>
              </w:rPr>
            </w:pPr>
            <w:r>
              <w:rPr>
                <w:rFonts w:hint="eastAsia" w:ascii="宋体" w:hAnsi="宋体" w:cs="宋体"/>
                <w:bCs/>
                <w:sz w:val="21"/>
                <w:szCs w:val="21"/>
              </w:rPr>
              <w:t>大写：</w:t>
            </w:r>
            <w:r>
              <w:rPr>
                <w:rFonts w:hint="eastAsia" w:ascii="宋体" w:hAnsi="宋体" w:cs="宋体"/>
                <w:bCs/>
                <w:sz w:val="21"/>
                <w:szCs w:val="21"/>
                <w:u w:val="single"/>
              </w:rPr>
              <w:t xml:space="preserve">           </w:t>
            </w:r>
            <w:r>
              <w:rPr>
                <w:rFonts w:hint="eastAsia" w:ascii="宋体" w:hAnsi="宋体" w:cs="宋体"/>
                <w:bCs/>
                <w:sz w:val="21"/>
                <w:szCs w:val="21"/>
                <w:lang w:eastAsia="zh-CN"/>
              </w:rPr>
              <w:t>（元）</w:t>
            </w:r>
          </w:p>
          <w:p w14:paraId="4A4384D4">
            <w:pPr>
              <w:rPr>
                <w:rFonts w:ascii="宋体" w:hAnsi="宋体" w:cs="宋体"/>
                <w:szCs w:val="21"/>
              </w:rPr>
            </w:pPr>
            <w:r>
              <w:rPr>
                <w:rFonts w:hint="eastAsia" w:ascii="宋体" w:hAnsi="宋体" w:cs="宋体"/>
                <w:bCs/>
                <w:szCs w:val="21"/>
              </w:rPr>
              <w:t>小写：</w:t>
            </w:r>
            <w:r>
              <w:rPr>
                <w:rFonts w:hint="eastAsia" w:ascii="宋体" w:hAnsi="宋体" w:cs="宋体"/>
                <w:bCs/>
                <w:szCs w:val="21"/>
                <w:u w:val="single"/>
              </w:rPr>
              <w:t xml:space="preserve">           </w:t>
            </w:r>
            <w:r>
              <w:rPr>
                <w:rFonts w:hint="eastAsia" w:ascii="宋体" w:hAnsi="宋体" w:cs="宋体"/>
                <w:bCs/>
                <w:sz w:val="21"/>
                <w:szCs w:val="21"/>
                <w:lang w:eastAsia="zh-CN"/>
              </w:rPr>
              <w:t>（元）</w:t>
            </w:r>
          </w:p>
        </w:tc>
      </w:tr>
      <w:tr w14:paraId="23EF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6C19E642">
            <w:pPr>
              <w:jc w:val="center"/>
              <w:rPr>
                <w:rFonts w:hint="eastAsia" w:ascii="宋体" w:hAnsi="宋体" w:cs="宋体"/>
                <w:szCs w:val="21"/>
              </w:rPr>
            </w:pPr>
            <w:bookmarkStart w:id="298" w:name="OLE_LINK85"/>
            <w:r>
              <w:rPr>
                <w:rFonts w:hint="eastAsia" w:ascii="宋体" w:hAnsi="宋体" w:cs="宋体"/>
                <w:szCs w:val="21"/>
                <w:lang w:eastAsia="zh-CN"/>
              </w:rPr>
              <w:t>服务</w:t>
            </w:r>
            <w:r>
              <w:rPr>
                <w:rFonts w:hint="eastAsia" w:ascii="宋体" w:hAnsi="宋体" w:cs="宋体"/>
                <w:szCs w:val="21"/>
              </w:rPr>
              <w:t>内容</w:t>
            </w:r>
            <w:bookmarkEnd w:id="298"/>
          </w:p>
        </w:tc>
        <w:tc>
          <w:tcPr>
            <w:tcW w:w="6761" w:type="dxa"/>
            <w:vAlign w:val="center"/>
          </w:tcPr>
          <w:p w14:paraId="62CDD11B">
            <w:pPr>
              <w:rPr>
                <w:rFonts w:hint="eastAsia" w:ascii="宋体" w:hAnsi="宋体" w:cs="宋体"/>
                <w:bCs/>
                <w:szCs w:val="21"/>
              </w:rPr>
            </w:pPr>
          </w:p>
        </w:tc>
      </w:tr>
      <w:tr w14:paraId="3682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75A2B750">
            <w:pPr>
              <w:jc w:val="center"/>
              <w:rPr>
                <w:rFonts w:ascii="宋体" w:hAnsi="宋体" w:cs="宋体"/>
                <w:szCs w:val="21"/>
              </w:rPr>
            </w:pPr>
            <w:bookmarkStart w:id="299" w:name="OLE_LINK86"/>
            <w:r>
              <w:rPr>
                <w:rFonts w:hint="eastAsia" w:ascii="宋体" w:hAnsi="宋体" w:cs="宋体"/>
                <w:szCs w:val="21"/>
              </w:rPr>
              <w:t>合同履行期限</w:t>
            </w:r>
            <w:bookmarkEnd w:id="299"/>
          </w:p>
        </w:tc>
        <w:tc>
          <w:tcPr>
            <w:tcW w:w="6761" w:type="dxa"/>
            <w:vAlign w:val="center"/>
          </w:tcPr>
          <w:p w14:paraId="2E9960E2">
            <w:pPr>
              <w:jc w:val="center"/>
              <w:rPr>
                <w:rFonts w:ascii="宋体" w:hAnsi="宋体" w:cs="宋体"/>
                <w:szCs w:val="21"/>
              </w:rPr>
            </w:pPr>
          </w:p>
        </w:tc>
      </w:tr>
      <w:tr w14:paraId="02CA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D76D849">
            <w:pPr>
              <w:jc w:val="center"/>
              <w:rPr>
                <w:rFonts w:ascii="宋体" w:hAnsi="宋体" w:cs="宋体"/>
                <w:szCs w:val="21"/>
              </w:rPr>
            </w:pPr>
            <w:bookmarkStart w:id="300" w:name="OLE_LINK87"/>
            <w:r>
              <w:rPr>
                <w:rFonts w:hint="eastAsia" w:ascii="宋体" w:hAnsi="宋体" w:cs="宋体"/>
                <w:szCs w:val="21"/>
              </w:rPr>
              <w:t>服务质量</w:t>
            </w:r>
            <w:bookmarkEnd w:id="300"/>
          </w:p>
        </w:tc>
        <w:tc>
          <w:tcPr>
            <w:tcW w:w="6761" w:type="dxa"/>
            <w:vAlign w:val="center"/>
          </w:tcPr>
          <w:p w14:paraId="78D98010">
            <w:pPr>
              <w:jc w:val="center"/>
              <w:rPr>
                <w:rFonts w:ascii="宋体" w:hAnsi="宋体" w:cs="宋体"/>
                <w:szCs w:val="21"/>
              </w:rPr>
            </w:pPr>
          </w:p>
        </w:tc>
      </w:tr>
      <w:tr w14:paraId="014D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E1C5306">
            <w:pPr>
              <w:jc w:val="center"/>
              <w:rPr>
                <w:rFonts w:hint="eastAsia" w:ascii="宋体" w:hAnsi="宋体" w:eastAsia="宋体" w:cs="宋体"/>
                <w:szCs w:val="21"/>
                <w:lang w:eastAsia="zh-CN"/>
              </w:rPr>
            </w:pPr>
            <w:bookmarkStart w:id="301" w:name="OLE_LINK88"/>
            <w:r>
              <w:rPr>
                <w:rFonts w:hint="eastAsia" w:ascii="宋体" w:hAnsi="宋体" w:cs="宋体"/>
                <w:szCs w:val="21"/>
                <w:lang w:eastAsia="zh-CN"/>
              </w:rPr>
              <w:t>试用期</w:t>
            </w:r>
            <w:bookmarkEnd w:id="301"/>
          </w:p>
        </w:tc>
        <w:tc>
          <w:tcPr>
            <w:tcW w:w="6761" w:type="dxa"/>
            <w:vAlign w:val="center"/>
          </w:tcPr>
          <w:p w14:paraId="52D5279A">
            <w:pPr>
              <w:jc w:val="center"/>
              <w:rPr>
                <w:rFonts w:ascii="宋体" w:hAnsi="宋体" w:cs="宋体"/>
                <w:szCs w:val="21"/>
              </w:rPr>
            </w:pPr>
          </w:p>
        </w:tc>
      </w:tr>
      <w:tr w14:paraId="6C9A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52F0D116">
            <w:pPr>
              <w:jc w:val="center"/>
              <w:rPr>
                <w:rFonts w:ascii="宋体" w:hAnsi="宋体" w:cs="宋体"/>
                <w:szCs w:val="21"/>
              </w:rPr>
            </w:pPr>
            <w:bookmarkStart w:id="302" w:name="OLE_LINK89"/>
            <w:r>
              <w:rPr>
                <w:rFonts w:hint="eastAsia" w:ascii="宋体" w:hAnsi="宋体" w:cs="宋体"/>
                <w:szCs w:val="21"/>
              </w:rPr>
              <w:t>投标有效期</w:t>
            </w:r>
            <w:bookmarkEnd w:id="302"/>
          </w:p>
        </w:tc>
        <w:tc>
          <w:tcPr>
            <w:tcW w:w="6761" w:type="dxa"/>
            <w:vAlign w:val="center"/>
          </w:tcPr>
          <w:p w14:paraId="02FD2F4E">
            <w:pPr>
              <w:jc w:val="center"/>
              <w:rPr>
                <w:rFonts w:ascii="宋体" w:hAnsi="宋体" w:cs="宋体"/>
                <w:szCs w:val="21"/>
              </w:rPr>
            </w:pPr>
          </w:p>
        </w:tc>
      </w:tr>
      <w:tr w14:paraId="50DF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2167" w:type="dxa"/>
            <w:vAlign w:val="center"/>
          </w:tcPr>
          <w:p w14:paraId="03D2E8AC">
            <w:pPr>
              <w:jc w:val="center"/>
              <w:rPr>
                <w:rFonts w:ascii="宋体" w:hAnsi="宋体" w:cs="宋体"/>
                <w:szCs w:val="21"/>
              </w:rPr>
            </w:pPr>
            <w:bookmarkStart w:id="303" w:name="OLE_LINK90"/>
            <w:r>
              <w:rPr>
                <w:rFonts w:hint="eastAsia" w:ascii="宋体" w:hAnsi="宋体" w:cs="宋体"/>
                <w:szCs w:val="21"/>
              </w:rPr>
              <w:t>备  注</w:t>
            </w:r>
            <w:bookmarkEnd w:id="303"/>
          </w:p>
        </w:tc>
        <w:tc>
          <w:tcPr>
            <w:tcW w:w="6761" w:type="dxa"/>
            <w:vAlign w:val="center"/>
          </w:tcPr>
          <w:p w14:paraId="389D3B54">
            <w:pPr>
              <w:jc w:val="center"/>
              <w:rPr>
                <w:rFonts w:ascii="宋体" w:hAnsi="宋体" w:cs="宋体"/>
                <w:szCs w:val="21"/>
              </w:rPr>
            </w:pPr>
          </w:p>
        </w:tc>
      </w:tr>
    </w:tbl>
    <w:p w14:paraId="63D107AB">
      <w:pPr>
        <w:spacing w:line="360" w:lineRule="auto"/>
        <w:ind w:right="1440"/>
        <w:rPr>
          <w:rFonts w:ascii="宋体" w:hAnsi="宋体" w:cs="宋体"/>
          <w:szCs w:val="21"/>
        </w:rPr>
      </w:pPr>
    </w:p>
    <w:p w14:paraId="534C7BAB">
      <w:pPr>
        <w:spacing w:line="36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C4B99D2">
      <w:pPr>
        <w:spacing w:line="360" w:lineRule="auto"/>
        <w:ind w:right="1440"/>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328723ED">
      <w:pPr>
        <w:spacing w:line="36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FF10867">
      <w:pPr>
        <w:pStyle w:val="24"/>
        <w:ind w:firstLine="280"/>
      </w:pPr>
    </w:p>
    <w:p w14:paraId="60248EA1">
      <w:pPr>
        <w:pStyle w:val="24"/>
        <w:ind w:firstLine="0" w:firstLineChars="0"/>
      </w:pPr>
    </w:p>
    <w:p w14:paraId="41F70A41">
      <w:pPr>
        <w:pStyle w:val="24"/>
        <w:ind w:firstLine="0" w:firstLineChars="0"/>
      </w:pPr>
    </w:p>
    <w:p w14:paraId="6278B76C">
      <w:pPr>
        <w:pStyle w:val="24"/>
        <w:ind w:firstLine="0" w:firstLineChars="0"/>
      </w:pPr>
    </w:p>
    <w:p w14:paraId="7E477522">
      <w:pPr>
        <w:pStyle w:val="13"/>
        <w:ind w:left="0" w:firstLine="0"/>
        <w:jc w:val="left"/>
        <w:rPr>
          <w:rFonts w:hAnsi="宋体" w:eastAsia="宋体" w:cs="宋体"/>
          <w:sz w:val="24"/>
          <w:szCs w:val="24"/>
        </w:rPr>
      </w:pPr>
      <w:bookmarkStart w:id="304" w:name="_Toc184635140"/>
    </w:p>
    <w:p w14:paraId="4B634C2F">
      <w:pPr>
        <w:pStyle w:val="4"/>
        <w:spacing w:line="480" w:lineRule="auto"/>
        <w:jc w:val="center"/>
        <w:rPr>
          <w:rFonts w:ascii="宋体" w:hAnsi="宋体" w:cs="宋体"/>
        </w:rPr>
      </w:pPr>
      <w:bookmarkStart w:id="305" w:name="_Toc5078"/>
      <w:bookmarkStart w:id="306" w:name="_Toc25747"/>
      <w:bookmarkStart w:id="307" w:name="_Toc428775652"/>
      <w:bookmarkStart w:id="308" w:name="_Toc21351"/>
      <w:bookmarkStart w:id="309" w:name="_Toc10805"/>
      <w:bookmarkStart w:id="310" w:name="_Toc430020803"/>
      <w:bookmarkStart w:id="311" w:name="_Toc428882016"/>
      <w:bookmarkStart w:id="312" w:name="_Toc430020804"/>
      <w:bookmarkStart w:id="313" w:name="_Toc428775653"/>
      <w:r>
        <w:rPr>
          <w:rFonts w:hint="eastAsia" w:ascii="宋体" w:hAnsi="宋体" w:cs="宋体"/>
        </w:rPr>
        <w:t>三、资格证明文件</w:t>
      </w:r>
      <w:bookmarkEnd w:id="305"/>
      <w:bookmarkEnd w:id="306"/>
      <w:bookmarkEnd w:id="307"/>
      <w:bookmarkEnd w:id="308"/>
      <w:bookmarkEnd w:id="309"/>
      <w:bookmarkEnd w:id="310"/>
    </w:p>
    <w:p w14:paraId="092AD0B1">
      <w:pPr>
        <w:rPr>
          <w:rFonts w:ascii="宋体" w:hAnsi="宋体" w:cs="宋体"/>
        </w:rPr>
      </w:pPr>
    </w:p>
    <w:p w14:paraId="39AF2F98">
      <w:pPr>
        <w:jc w:val="center"/>
        <w:rPr>
          <w:rFonts w:ascii="宋体" w:hAnsi="宋体" w:cs="宋体"/>
          <w:b/>
        </w:rPr>
      </w:pPr>
      <w:r>
        <w:rPr>
          <w:rFonts w:hint="eastAsia" w:ascii="宋体" w:hAnsi="宋体" w:cs="宋体"/>
          <w:b/>
        </w:rPr>
        <w:t>（一）法定代表人身份证明</w:t>
      </w:r>
      <w:bookmarkEnd w:id="311"/>
      <w:bookmarkEnd w:id="312"/>
      <w:bookmarkEnd w:id="313"/>
    </w:p>
    <w:p w14:paraId="79092294">
      <w:pPr>
        <w:autoSpaceDE w:val="0"/>
        <w:autoSpaceDN w:val="0"/>
        <w:adjustRightInd w:val="0"/>
        <w:spacing w:line="420" w:lineRule="exact"/>
        <w:jc w:val="center"/>
        <w:rPr>
          <w:rFonts w:ascii="宋体" w:hAnsi="宋体" w:cs="宋体"/>
          <w:kern w:val="0"/>
          <w:sz w:val="28"/>
          <w:szCs w:val="28"/>
        </w:rPr>
      </w:pPr>
    </w:p>
    <w:p w14:paraId="78A0EE2A">
      <w:pPr>
        <w:autoSpaceDE w:val="0"/>
        <w:autoSpaceDN w:val="0"/>
        <w:adjustRightInd w:val="0"/>
        <w:spacing w:line="420" w:lineRule="exact"/>
        <w:jc w:val="center"/>
        <w:rPr>
          <w:rFonts w:ascii="宋体" w:hAnsi="宋体" w:cs="宋体"/>
          <w:kern w:val="0"/>
          <w:sz w:val="28"/>
          <w:szCs w:val="28"/>
        </w:rPr>
      </w:pPr>
    </w:p>
    <w:p w14:paraId="669B4874">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p>
    <w:p w14:paraId="7988A12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单位性质：</w:t>
      </w:r>
      <w:r>
        <w:rPr>
          <w:rFonts w:hint="eastAsia" w:ascii="宋体" w:hAnsi="宋体" w:cs="宋体"/>
          <w:kern w:val="0"/>
          <w:szCs w:val="21"/>
          <w:u w:val="single"/>
        </w:rPr>
        <w:t xml:space="preserve">                            </w:t>
      </w:r>
    </w:p>
    <w:p w14:paraId="7553C439">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地    址：</w:t>
      </w:r>
      <w:r>
        <w:rPr>
          <w:rFonts w:hint="eastAsia" w:ascii="宋体" w:hAnsi="宋体" w:cs="宋体"/>
          <w:kern w:val="0"/>
          <w:szCs w:val="21"/>
          <w:u w:val="single"/>
        </w:rPr>
        <w:t xml:space="preserve">                            </w:t>
      </w:r>
    </w:p>
    <w:p w14:paraId="7F4F6684">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成立时间：</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233B21F6">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3198FDE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性别：</w:t>
      </w:r>
      <w:r>
        <w:rPr>
          <w:rFonts w:hint="eastAsia" w:ascii="宋体" w:hAnsi="宋体" w:cs="宋体"/>
          <w:kern w:val="0"/>
          <w:szCs w:val="21"/>
          <w:u w:val="single"/>
        </w:rPr>
        <w:t xml:space="preserve">         </w:t>
      </w:r>
      <w:r>
        <w:rPr>
          <w:rFonts w:hint="eastAsia" w:ascii="宋体" w:hAnsi="宋体" w:cs="宋体"/>
          <w:kern w:val="0"/>
          <w:szCs w:val="21"/>
        </w:rPr>
        <w:t>年龄：</w:t>
      </w:r>
      <w:r>
        <w:rPr>
          <w:rFonts w:hint="eastAsia" w:ascii="宋体" w:hAnsi="宋体" w:cs="宋体"/>
          <w:kern w:val="0"/>
          <w:szCs w:val="21"/>
          <w:u w:val="single"/>
        </w:rPr>
        <w:t xml:space="preserve">          </w:t>
      </w:r>
      <w:r>
        <w:rPr>
          <w:rFonts w:hint="eastAsia" w:ascii="宋体" w:hAnsi="宋体" w:cs="宋体"/>
          <w:kern w:val="0"/>
          <w:szCs w:val="21"/>
        </w:rPr>
        <w:t>职务：</w:t>
      </w:r>
      <w:r>
        <w:rPr>
          <w:rFonts w:hint="eastAsia" w:ascii="宋体" w:hAnsi="宋体" w:cs="宋体"/>
          <w:kern w:val="0"/>
          <w:szCs w:val="21"/>
          <w:u w:val="single"/>
        </w:rPr>
        <w:t xml:space="preserve">          </w:t>
      </w:r>
    </w:p>
    <w:p w14:paraId="008222BB">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kern w:val="0"/>
          <w:szCs w:val="21"/>
          <w:lang w:eastAsia="zh-CN"/>
        </w:rPr>
        <w:t>供应商名称</w:t>
      </w:r>
      <w:r>
        <w:rPr>
          <w:rFonts w:hint="eastAsia" w:ascii="宋体" w:hAnsi="宋体" w:cs="宋体"/>
          <w:kern w:val="0"/>
          <w:szCs w:val="21"/>
        </w:rPr>
        <w:t>）的法定代表人。</w:t>
      </w:r>
    </w:p>
    <w:p w14:paraId="2549F552">
      <w:pPr>
        <w:autoSpaceDE w:val="0"/>
        <w:autoSpaceDN w:val="0"/>
        <w:adjustRightInd w:val="0"/>
        <w:spacing w:line="420" w:lineRule="exact"/>
        <w:ind w:firstLine="420" w:firstLineChars="200"/>
        <w:jc w:val="left"/>
        <w:rPr>
          <w:rFonts w:ascii="宋体" w:hAnsi="宋体" w:cs="宋体"/>
          <w:kern w:val="0"/>
          <w:szCs w:val="21"/>
        </w:rPr>
      </w:pPr>
    </w:p>
    <w:p w14:paraId="1BE0217F">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特此证明。</w:t>
      </w:r>
    </w:p>
    <w:p w14:paraId="15B1CE83">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附：法定代表人身份证正反面复印件</w:t>
      </w:r>
    </w:p>
    <w:p w14:paraId="7A49AA83">
      <w:pPr>
        <w:pStyle w:val="9"/>
        <w:rPr>
          <w:rFonts w:ascii="宋体" w:hAnsi="宋体" w:eastAsia="宋体" w:cs="宋体"/>
        </w:rPr>
      </w:pPr>
    </w:p>
    <w:p w14:paraId="46BACE8F">
      <w:pPr>
        <w:autoSpaceDE w:val="0"/>
        <w:autoSpaceDN w:val="0"/>
        <w:adjustRightInd w:val="0"/>
        <w:spacing w:line="420" w:lineRule="exact"/>
        <w:ind w:firstLine="420" w:firstLineChars="200"/>
        <w:jc w:val="left"/>
        <w:rPr>
          <w:rFonts w:ascii="宋体" w:hAnsi="宋体" w:cs="宋体"/>
          <w:kern w:val="0"/>
          <w:szCs w:val="21"/>
        </w:rPr>
      </w:pPr>
    </w:p>
    <w:p w14:paraId="2B54F5EB">
      <w:pPr>
        <w:spacing w:line="480" w:lineRule="auto"/>
        <w:ind w:right="104" w:firstLine="3307" w:firstLineChars="1575"/>
        <w:rPr>
          <w:rFonts w:ascii="宋体" w:hAnsi="宋体" w:cs="宋体"/>
          <w:szCs w:val="21"/>
        </w:rPr>
      </w:pPr>
      <w:bookmarkStart w:id="314" w:name="_Toc271787732"/>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75FA8D2">
      <w:pPr>
        <w:spacing w:line="480" w:lineRule="auto"/>
        <w:ind w:right="1440" w:firstLine="3307" w:firstLineChars="1575"/>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1BB0061">
      <w:pPr>
        <w:rPr>
          <w:rFonts w:ascii="宋体" w:hAnsi="宋体" w:cs="宋体"/>
        </w:rPr>
      </w:pPr>
    </w:p>
    <w:p w14:paraId="76697904">
      <w:pPr>
        <w:rPr>
          <w:rFonts w:ascii="宋体" w:hAnsi="宋体" w:cs="宋体"/>
        </w:rPr>
      </w:pPr>
    </w:p>
    <w:p w14:paraId="5AFEDF13">
      <w:pPr>
        <w:rPr>
          <w:rFonts w:ascii="宋体" w:hAnsi="宋体" w:cs="宋体"/>
        </w:rPr>
      </w:pPr>
    </w:p>
    <w:p w14:paraId="3F129734">
      <w:pPr>
        <w:rPr>
          <w:rFonts w:ascii="宋体" w:hAnsi="宋体" w:cs="宋体"/>
        </w:rPr>
      </w:pPr>
    </w:p>
    <w:p w14:paraId="747D5666">
      <w:pPr>
        <w:rPr>
          <w:rFonts w:ascii="宋体" w:hAnsi="宋体" w:cs="宋体"/>
        </w:rPr>
      </w:pPr>
    </w:p>
    <w:p w14:paraId="233CE1BC">
      <w:pPr>
        <w:rPr>
          <w:rFonts w:ascii="宋体" w:hAnsi="宋体" w:cs="宋体"/>
        </w:rPr>
      </w:pPr>
    </w:p>
    <w:p w14:paraId="07770EAC">
      <w:pPr>
        <w:rPr>
          <w:rFonts w:ascii="宋体" w:hAnsi="宋体" w:cs="宋体"/>
        </w:rPr>
      </w:pPr>
    </w:p>
    <w:p w14:paraId="6109F7B5">
      <w:pPr>
        <w:rPr>
          <w:rFonts w:ascii="宋体" w:hAnsi="宋体" w:cs="宋体"/>
        </w:rPr>
      </w:pPr>
    </w:p>
    <w:p w14:paraId="19400101">
      <w:pPr>
        <w:rPr>
          <w:rFonts w:ascii="宋体" w:hAnsi="宋体" w:cs="宋体"/>
        </w:rPr>
      </w:pPr>
    </w:p>
    <w:p w14:paraId="18930BED">
      <w:pPr>
        <w:rPr>
          <w:rFonts w:ascii="宋体" w:hAnsi="宋体" w:cs="宋体"/>
        </w:rPr>
      </w:pPr>
    </w:p>
    <w:p w14:paraId="77C64672">
      <w:pPr>
        <w:rPr>
          <w:rFonts w:ascii="宋体" w:hAnsi="宋体" w:cs="宋体"/>
        </w:rPr>
      </w:pPr>
    </w:p>
    <w:p w14:paraId="71FACF5B">
      <w:pPr>
        <w:rPr>
          <w:rFonts w:ascii="宋体" w:hAnsi="宋体" w:cs="宋体"/>
        </w:rPr>
      </w:pPr>
    </w:p>
    <w:p w14:paraId="048F3B62">
      <w:pPr>
        <w:rPr>
          <w:rFonts w:ascii="宋体" w:hAnsi="宋体" w:cs="宋体"/>
        </w:rPr>
      </w:pPr>
    </w:p>
    <w:p w14:paraId="15514352">
      <w:pPr>
        <w:rPr>
          <w:rFonts w:ascii="宋体" w:hAnsi="宋体" w:cs="宋体"/>
        </w:rPr>
      </w:pPr>
    </w:p>
    <w:p w14:paraId="203C92E3">
      <w:r>
        <w:br w:type="page"/>
      </w:r>
    </w:p>
    <w:p w14:paraId="60AF56F8">
      <w:pPr>
        <w:jc w:val="center"/>
        <w:rPr>
          <w:rFonts w:ascii="宋体" w:hAnsi="宋体" w:cs="宋体"/>
          <w:b/>
          <w:kern w:val="0"/>
        </w:rPr>
      </w:pPr>
      <w:bookmarkStart w:id="315" w:name="_Toc428775655"/>
      <w:r>
        <w:rPr>
          <w:rFonts w:hint="eastAsia" w:ascii="宋体" w:hAnsi="宋体" w:cs="宋体"/>
          <w:b/>
          <w:kern w:val="0"/>
        </w:rPr>
        <w:t>（二）授权委托书</w:t>
      </w:r>
      <w:bookmarkEnd w:id="314"/>
      <w:bookmarkEnd w:id="315"/>
    </w:p>
    <w:p w14:paraId="5AF801B2">
      <w:pPr>
        <w:autoSpaceDE w:val="0"/>
        <w:autoSpaceDN w:val="0"/>
        <w:adjustRightInd w:val="0"/>
        <w:spacing w:line="360" w:lineRule="auto"/>
        <w:ind w:firstLine="420" w:firstLineChars="200"/>
        <w:jc w:val="left"/>
        <w:rPr>
          <w:rFonts w:ascii="宋体" w:hAnsi="宋体" w:cs="宋体"/>
          <w:kern w:val="0"/>
          <w:szCs w:val="21"/>
        </w:rPr>
      </w:pPr>
    </w:p>
    <w:p w14:paraId="464B42D4">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 我</w:t>
      </w:r>
      <w:r>
        <w:rPr>
          <w:rFonts w:hint="eastAsia" w:ascii="宋体" w:hAnsi="宋体" w:cs="宋体"/>
          <w:kern w:val="0"/>
          <w:szCs w:val="21"/>
          <w:u w:val="single"/>
        </w:rPr>
        <w:t xml:space="preserve">       </w:t>
      </w:r>
      <w:r>
        <w:rPr>
          <w:rFonts w:hint="eastAsia" w:ascii="宋体" w:hAnsi="宋体" w:cs="宋体"/>
          <w:kern w:val="0"/>
          <w:szCs w:val="21"/>
        </w:rPr>
        <w:t xml:space="preserve">系 </w:t>
      </w:r>
      <w:r>
        <w:rPr>
          <w:rFonts w:hint="eastAsia" w:ascii="宋体" w:hAnsi="宋体" w:cs="宋体"/>
          <w:kern w:val="0"/>
          <w:szCs w:val="21"/>
          <w:u w:val="single"/>
        </w:rPr>
        <w:t xml:space="preserve">         </w:t>
      </w:r>
      <w:r>
        <w:rPr>
          <w:rFonts w:hint="eastAsia" w:ascii="宋体" w:hAnsi="宋体" w:cs="宋体"/>
          <w:kern w:val="0"/>
          <w:szCs w:val="21"/>
        </w:rPr>
        <w:t>的法定代表人，现授权委托</w:t>
      </w:r>
      <w:r>
        <w:rPr>
          <w:rFonts w:hint="eastAsia" w:ascii="宋体" w:hAnsi="宋体" w:cs="宋体"/>
          <w:kern w:val="0"/>
          <w:szCs w:val="21"/>
          <w:u w:val="single"/>
        </w:rPr>
        <w:t xml:space="preserve">      </w:t>
      </w:r>
      <w:r>
        <w:rPr>
          <w:rFonts w:hint="eastAsia" w:ascii="宋体" w:hAnsi="宋体" w:cs="宋体"/>
          <w:kern w:val="0"/>
          <w:szCs w:val="21"/>
        </w:rPr>
        <w:t>（身份证号：</w:t>
      </w:r>
      <w:r>
        <w:rPr>
          <w:rFonts w:hint="eastAsia" w:ascii="宋体" w:hAnsi="宋体" w:cs="宋体"/>
          <w:kern w:val="0"/>
          <w:szCs w:val="21"/>
          <w:u w:val="single"/>
        </w:rPr>
        <w:t xml:space="preserve">              </w:t>
      </w:r>
      <w:r>
        <w:rPr>
          <w:rFonts w:hint="eastAsia" w:ascii="宋体" w:hAnsi="宋体" w:cs="宋体"/>
          <w:kern w:val="0"/>
          <w:szCs w:val="21"/>
        </w:rPr>
        <w:t>，联系电话：</w:t>
      </w:r>
      <w:r>
        <w:rPr>
          <w:rFonts w:hint="eastAsia" w:ascii="宋体" w:hAnsi="宋体" w:cs="宋体"/>
          <w:kern w:val="0"/>
          <w:szCs w:val="21"/>
          <w:u w:val="single"/>
        </w:rPr>
        <w:t xml:space="preserve">               </w:t>
      </w:r>
      <w:r>
        <w:rPr>
          <w:rFonts w:hint="eastAsia" w:ascii="宋体" w:hAnsi="宋体" w:cs="宋体"/>
          <w:kern w:val="0"/>
          <w:szCs w:val="21"/>
        </w:rPr>
        <w:t>）为我公司处理</w:t>
      </w:r>
      <w:r>
        <w:rPr>
          <w:rFonts w:hint="eastAsia" w:ascii="宋体" w:hAnsi="宋体" w:cs="宋体"/>
          <w:kern w:val="0"/>
          <w:szCs w:val="21"/>
          <w:u w:val="single"/>
        </w:rPr>
        <w:t xml:space="preserve">            （项目名称）</w:t>
      </w:r>
      <w:r>
        <w:rPr>
          <w:rFonts w:hint="eastAsia" w:ascii="宋体" w:hAnsi="宋体" w:cs="宋体"/>
          <w:kern w:val="0"/>
          <w:szCs w:val="21"/>
        </w:rPr>
        <w:t>投标事宜的授权委托人，该项委托权不得转让，委托期限：</w:t>
      </w:r>
      <w:r>
        <w:rPr>
          <w:rFonts w:hint="eastAsia" w:ascii="宋体" w:hAnsi="宋体" w:cs="宋体"/>
          <w:kern w:val="0"/>
          <w:szCs w:val="21"/>
          <w:u w:val="single"/>
        </w:rPr>
        <w:t xml:space="preserve">                      </w:t>
      </w:r>
      <w:r>
        <w:rPr>
          <w:rFonts w:hint="eastAsia" w:ascii="宋体" w:hAnsi="宋体" w:cs="宋体"/>
          <w:kern w:val="0"/>
          <w:szCs w:val="21"/>
        </w:rPr>
        <w:t>。</w:t>
      </w:r>
    </w:p>
    <w:p w14:paraId="72A169B6">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我承诺：该授权委托人系我单位在职人员，所提供的资料中如有虚假内容，愿意被否决或中标无效处理，并作为不良失信行为接受行政监管部门处罚。其参加本项目的投标活动，有权当场作出承诺及对投标书作出技术性补充，在开标、评标过程中所签署的一切文件和处理与之有关的一切事务，我均予以承认。</w:t>
      </w:r>
    </w:p>
    <w:p w14:paraId="264C1E77">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附：法定代表人及委托代理人身份证正反面复印件</w:t>
      </w:r>
    </w:p>
    <w:p w14:paraId="4FB6FC06">
      <w:pPr>
        <w:wordWrap w:val="0"/>
        <w:autoSpaceDE w:val="0"/>
        <w:autoSpaceDN w:val="0"/>
        <w:adjustRightInd w:val="0"/>
        <w:spacing w:line="360" w:lineRule="auto"/>
        <w:ind w:firstLine="420" w:firstLineChars="200"/>
        <w:jc w:val="right"/>
        <w:rPr>
          <w:rFonts w:ascii="宋体" w:hAnsi="宋体" w:cs="宋体"/>
          <w:kern w:val="0"/>
          <w:szCs w:val="21"/>
        </w:rPr>
      </w:pPr>
    </w:p>
    <w:p w14:paraId="6AD2A692">
      <w:pPr>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szCs w:val="21"/>
        </w:rPr>
        <w:t>盖单位章</w:t>
      </w:r>
      <w:r>
        <w:rPr>
          <w:rFonts w:hint="eastAsia" w:ascii="宋体" w:hAnsi="宋体" w:cs="宋体"/>
          <w:kern w:val="0"/>
          <w:szCs w:val="21"/>
        </w:rPr>
        <w:t>）</w:t>
      </w:r>
    </w:p>
    <w:p w14:paraId="0BFDF39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法定代表人：</w:t>
      </w:r>
      <w:r>
        <w:rPr>
          <w:rFonts w:hint="eastAsia" w:ascii="宋体" w:hAnsi="宋体" w:cs="宋体"/>
          <w:kern w:val="0"/>
          <w:szCs w:val="21"/>
          <w:u w:val="single"/>
        </w:rPr>
        <w:t xml:space="preserve">                             </w:t>
      </w:r>
      <w:r>
        <w:rPr>
          <w:rFonts w:hint="eastAsia" w:ascii="宋体" w:hAnsi="宋体" w:cs="宋体"/>
          <w:kern w:val="0"/>
          <w:szCs w:val="21"/>
        </w:rPr>
        <w:t>（签字）</w:t>
      </w:r>
    </w:p>
    <w:p w14:paraId="7FD5F473">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3880657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委托代理人：</w:t>
      </w:r>
      <w:r>
        <w:rPr>
          <w:rFonts w:hint="eastAsia" w:ascii="宋体" w:hAnsi="宋体" w:cs="宋体"/>
          <w:kern w:val="0"/>
          <w:szCs w:val="21"/>
          <w:u w:val="single"/>
        </w:rPr>
        <w:t xml:space="preserve">                             </w:t>
      </w:r>
      <w:r>
        <w:rPr>
          <w:rFonts w:hint="eastAsia" w:ascii="宋体" w:hAnsi="宋体" w:cs="宋体"/>
          <w:kern w:val="0"/>
          <w:szCs w:val="21"/>
        </w:rPr>
        <w:t>（签字）</w:t>
      </w:r>
    </w:p>
    <w:p w14:paraId="397C7F44">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5D0404D9">
      <w:pPr>
        <w:wordWrap w:val="0"/>
        <w:autoSpaceDE w:val="0"/>
        <w:autoSpaceDN w:val="0"/>
        <w:adjustRightInd w:val="0"/>
        <w:spacing w:line="360" w:lineRule="auto"/>
        <w:ind w:firstLine="420" w:firstLineChars="200"/>
        <w:jc w:val="right"/>
        <w:rPr>
          <w:rFonts w:ascii="宋体" w:hAnsi="宋体" w:cs="宋体"/>
          <w:kern w:val="0"/>
          <w:szCs w:val="21"/>
        </w:rPr>
      </w:pPr>
    </w:p>
    <w:p w14:paraId="34E44797">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日      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日    </w:t>
      </w:r>
    </w:p>
    <w:p w14:paraId="6BBCA83D">
      <w:pPr>
        <w:rPr>
          <w:rFonts w:ascii="宋体" w:hAnsi="宋体" w:cs="宋体"/>
        </w:rPr>
      </w:pPr>
    </w:p>
    <w:p w14:paraId="7C3319E9">
      <w:pPr>
        <w:rPr>
          <w:rFonts w:ascii="宋体" w:hAnsi="宋体" w:cs="宋体"/>
        </w:rPr>
      </w:pPr>
    </w:p>
    <w:p w14:paraId="216B4107">
      <w:pPr>
        <w:rPr>
          <w:rFonts w:ascii="宋体" w:hAnsi="宋体" w:cs="宋体"/>
        </w:rPr>
      </w:pPr>
    </w:p>
    <w:p w14:paraId="45931AF6">
      <w:pPr>
        <w:rPr>
          <w:rFonts w:ascii="宋体" w:hAnsi="宋体" w:cs="宋体"/>
        </w:rPr>
      </w:pPr>
    </w:p>
    <w:p w14:paraId="00F27641">
      <w:pPr>
        <w:pStyle w:val="9"/>
        <w:rPr>
          <w:rFonts w:ascii="宋体" w:hAnsi="宋体" w:eastAsia="宋体" w:cs="宋体"/>
        </w:rPr>
      </w:pPr>
    </w:p>
    <w:p w14:paraId="383A68D8">
      <w:pPr>
        <w:rPr>
          <w:rFonts w:ascii="宋体" w:hAnsi="宋体" w:cs="宋体"/>
        </w:rPr>
      </w:pPr>
    </w:p>
    <w:p w14:paraId="4BC4BB90">
      <w:pPr>
        <w:rPr>
          <w:rFonts w:ascii="宋体" w:hAnsi="宋体" w:cs="宋体"/>
        </w:rPr>
      </w:pPr>
    </w:p>
    <w:p w14:paraId="0B895C7D">
      <w:pPr>
        <w:rPr>
          <w:rFonts w:ascii="宋体" w:hAnsi="宋体" w:cs="宋体"/>
        </w:rPr>
      </w:pPr>
    </w:p>
    <w:p w14:paraId="3D39F71B">
      <w:pPr>
        <w:rPr>
          <w:rFonts w:ascii="宋体" w:hAnsi="宋体" w:cs="宋体"/>
        </w:rPr>
      </w:pPr>
    </w:p>
    <w:p w14:paraId="54218E36">
      <w:pPr>
        <w:rPr>
          <w:rFonts w:ascii="宋体" w:hAnsi="宋体" w:cs="宋体"/>
        </w:rPr>
      </w:pPr>
    </w:p>
    <w:p w14:paraId="36E448F4">
      <w:pPr>
        <w:pStyle w:val="9"/>
        <w:rPr>
          <w:rFonts w:ascii="宋体" w:hAnsi="宋体" w:eastAsia="宋体" w:cs="宋体"/>
        </w:rPr>
      </w:pPr>
    </w:p>
    <w:p w14:paraId="02A7208C">
      <w:pPr>
        <w:pStyle w:val="9"/>
        <w:rPr>
          <w:rFonts w:ascii="宋体" w:hAnsi="宋体" w:eastAsia="宋体" w:cs="宋体"/>
        </w:rPr>
      </w:pPr>
    </w:p>
    <w:p w14:paraId="52B4A376">
      <w:pPr>
        <w:rPr>
          <w:rFonts w:ascii="宋体" w:hAnsi="宋体" w:cs="宋体"/>
        </w:rPr>
      </w:pPr>
      <w:r>
        <w:rPr>
          <w:rFonts w:ascii="宋体" w:hAnsi="宋体" w:cs="宋体"/>
        </w:rPr>
        <w:br w:type="page"/>
      </w:r>
    </w:p>
    <w:p w14:paraId="2734AA35">
      <w:pPr>
        <w:spacing w:line="360" w:lineRule="auto"/>
        <w:jc w:val="center"/>
        <w:rPr>
          <w:rFonts w:ascii="宋体" w:hAnsi="宋体" w:cs="宋体"/>
          <w:b/>
        </w:rPr>
      </w:pPr>
      <w:bookmarkStart w:id="316" w:name="_Toc428775656"/>
      <w:bookmarkStart w:id="317" w:name="_Toc430020805"/>
      <w:bookmarkStart w:id="318" w:name="_Toc428882017"/>
      <w:r>
        <w:rPr>
          <w:rFonts w:hint="eastAsia" w:ascii="宋体" w:hAnsi="宋体" w:cs="宋体"/>
          <w:b/>
        </w:rPr>
        <w:t>（三）</w:t>
      </w:r>
      <w:bookmarkEnd w:id="316"/>
      <w:bookmarkEnd w:id="317"/>
      <w:bookmarkEnd w:id="318"/>
      <w:r>
        <w:rPr>
          <w:rFonts w:hint="eastAsia" w:ascii="宋体" w:hAnsi="宋体" w:cs="宋体"/>
          <w:b/>
        </w:rPr>
        <w:t>投标人基本情况表</w:t>
      </w:r>
    </w:p>
    <w:tbl>
      <w:tblPr>
        <w:tblStyle w:val="26"/>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1108"/>
        <w:gridCol w:w="1331"/>
        <w:gridCol w:w="1332"/>
        <w:gridCol w:w="1332"/>
        <w:gridCol w:w="1332"/>
        <w:gridCol w:w="1332"/>
      </w:tblGrid>
      <w:tr w14:paraId="60E5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470C463C">
            <w:pPr>
              <w:autoSpaceDE w:val="0"/>
              <w:autoSpaceDN w:val="0"/>
              <w:adjustRightInd w:val="0"/>
              <w:spacing w:line="42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供应商名称</w:t>
            </w:r>
          </w:p>
        </w:tc>
        <w:tc>
          <w:tcPr>
            <w:tcW w:w="7767" w:type="dxa"/>
            <w:gridSpan w:val="6"/>
            <w:vAlign w:val="center"/>
          </w:tcPr>
          <w:p w14:paraId="1B74D84A">
            <w:pPr>
              <w:autoSpaceDE w:val="0"/>
              <w:autoSpaceDN w:val="0"/>
              <w:adjustRightInd w:val="0"/>
              <w:spacing w:line="420" w:lineRule="exact"/>
              <w:jc w:val="center"/>
              <w:rPr>
                <w:rFonts w:ascii="宋体" w:hAnsi="宋体" w:cs="宋体"/>
                <w:kern w:val="0"/>
                <w:szCs w:val="21"/>
              </w:rPr>
            </w:pPr>
          </w:p>
        </w:tc>
      </w:tr>
      <w:tr w14:paraId="27A4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66E69C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注册地址</w:t>
            </w:r>
          </w:p>
        </w:tc>
        <w:tc>
          <w:tcPr>
            <w:tcW w:w="3771" w:type="dxa"/>
            <w:gridSpan w:val="3"/>
            <w:vAlign w:val="center"/>
          </w:tcPr>
          <w:p w14:paraId="3A6555F5">
            <w:pPr>
              <w:autoSpaceDE w:val="0"/>
              <w:autoSpaceDN w:val="0"/>
              <w:adjustRightInd w:val="0"/>
              <w:spacing w:line="420" w:lineRule="exact"/>
              <w:jc w:val="center"/>
              <w:rPr>
                <w:rFonts w:ascii="宋体" w:hAnsi="宋体" w:cs="宋体"/>
                <w:kern w:val="0"/>
                <w:szCs w:val="21"/>
              </w:rPr>
            </w:pPr>
          </w:p>
        </w:tc>
        <w:tc>
          <w:tcPr>
            <w:tcW w:w="1332" w:type="dxa"/>
            <w:vAlign w:val="center"/>
          </w:tcPr>
          <w:p w14:paraId="7D9E0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邮政编码</w:t>
            </w:r>
          </w:p>
        </w:tc>
        <w:tc>
          <w:tcPr>
            <w:tcW w:w="2664" w:type="dxa"/>
            <w:gridSpan w:val="2"/>
            <w:vAlign w:val="center"/>
          </w:tcPr>
          <w:p w14:paraId="2F9AA101">
            <w:pPr>
              <w:autoSpaceDE w:val="0"/>
              <w:autoSpaceDN w:val="0"/>
              <w:adjustRightInd w:val="0"/>
              <w:spacing w:line="420" w:lineRule="exact"/>
              <w:jc w:val="center"/>
              <w:rPr>
                <w:rFonts w:ascii="宋体" w:hAnsi="宋体" w:cs="宋体"/>
                <w:kern w:val="0"/>
                <w:szCs w:val="21"/>
              </w:rPr>
            </w:pPr>
          </w:p>
        </w:tc>
      </w:tr>
      <w:tr w14:paraId="6A14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1553" w:type="dxa"/>
            <w:vMerge w:val="restart"/>
            <w:vAlign w:val="center"/>
          </w:tcPr>
          <w:p w14:paraId="3E77F00D">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联系方式</w:t>
            </w:r>
          </w:p>
        </w:tc>
        <w:tc>
          <w:tcPr>
            <w:tcW w:w="1108" w:type="dxa"/>
            <w:vAlign w:val="center"/>
          </w:tcPr>
          <w:p w14:paraId="7F50D3D1">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联系人</w:t>
            </w:r>
          </w:p>
        </w:tc>
        <w:tc>
          <w:tcPr>
            <w:tcW w:w="2663" w:type="dxa"/>
            <w:gridSpan w:val="2"/>
            <w:vAlign w:val="center"/>
          </w:tcPr>
          <w:p w14:paraId="111E069F">
            <w:pPr>
              <w:autoSpaceDE w:val="0"/>
              <w:autoSpaceDN w:val="0"/>
              <w:adjustRightInd w:val="0"/>
              <w:spacing w:line="420" w:lineRule="exact"/>
              <w:jc w:val="center"/>
              <w:rPr>
                <w:rFonts w:ascii="宋体" w:hAnsi="宋体" w:cs="宋体"/>
                <w:kern w:val="0"/>
                <w:szCs w:val="21"/>
              </w:rPr>
            </w:pPr>
          </w:p>
        </w:tc>
        <w:tc>
          <w:tcPr>
            <w:tcW w:w="1332" w:type="dxa"/>
            <w:vAlign w:val="center"/>
          </w:tcPr>
          <w:p w14:paraId="5994E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 话</w:t>
            </w:r>
          </w:p>
        </w:tc>
        <w:tc>
          <w:tcPr>
            <w:tcW w:w="2664" w:type="dxa"/>
            <w:gridSpan w:val="2"/>
            <w:vAlign w:val="center"/>
          </w:tcPr>
          <w:p w14:paraId="3774D42B">
            <w:pPr>
              <w:autoSpaceDE w:val="0"/>
              <w:autoSpaceDN w:val="0"/>
              <w:adjustRightInd w:val="0"/>
              <w:spacing w:line="420" w:lineRule="exact"/>
              <w:jc w:val="center"/>
              <w:rPr>
                <w:rFonts w:ascii="宋体" w:hAnsi="宋体" w:cs="宋体"/>
                <w:kern w:val="0"/>
                <w:szCs w:val="21"/>
              </w:rPr>
            </w:pPr>
          </w:p>
        </w:tc>
      </w:tr>
      <w:tr w14:paraId="033C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553" w:type="dxa"/>
            <w:vMerge w:val="continue"/>
            <w:vAlign w:val="center"/>
          </w:tcPr>
          <w:p w14:paraId="16566B6B">
            <w:pPr>
              <w:autoSpaceDE w:val="0"/>
              <w:autoSpaceDN w:val="0"/>
              <w:adjustRightInd w:val="0"/>
              <w:spacing w:line="420" w:lineRule="exact"/>
              <w:jc w:val="center"/>
              <w:rPr>
                <w:rFonts w:ascii="宋体" w:hAnsi="宋体" w:cs="宋体"/>
                <w:kern w:val="0"/>
                <w:szCs w:val="21"/>
              </w:rPr>
            </w:pPr>
          </w:p>
        </w:tc>
        <w:tc>
          <w:tcPr>
            <w:tcW w:w="1108" w:type="dxa"/>
            <w:vAlign w:val="center"/>
          </w:tcPr>
          <w:p w14:paraId="2BC74A22">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传  真</w:t>
            </w:r>
          </w:p>
        </w:tc>
        <w:tc>
          <w:tcPr>
            <w:tcW w:w="2663" w:type="dxa"/>
            <w:gridSpan w:val="2"/>
            <w:vAlign w:val="center"/>
          </w:tcPr>
          <w:p w14:paraId="5B51E9FD">
            <w:pPr>
              <w:autoSpaceDE w:val="0"/>
              <w:autoSpaceDN w:val="0"/>
              <w:adjustRightInd w:val="0"/>
              <w:spacing w:line="420" w:lineRule="exact"/>
              <w:jc w:val="center"/>
              <w:rPr>
                <w:rFonts w:ascii="宋体" w:hAnsi="宋体" w:cs="宋体"/>
                <w:kern w:val="0"/>
                <w:szCs w:val="21"/>
              </w:rPr>
            </w:pPr>
          </w:p>
        </w:tc>
        <w:tc>
          <w:tcPr>
            <w:tcW w:w="1332" w:type="dxa"/>
            <w:vAlign w:val="center"/>
          </w:tcPr>
          <w:p w14:paraId="502E138A">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网 址</w:t>
            </w:r>
          </w:p>
        </w:tc>
        <w:tc>
          <w:tcPr>
            <w:tcW w:w="2664" w:type="dxa"/>
            <w:gridSpan w:val="2"/>
            <w:vAlign w:val="center"/>
          </w:tcPr>
          <w:p w14:paraId="073F8460">
            <w:pPr>
              <w:autoSpaceDE w:val="0"/>
              <w:autoSpaceDN w:val="0"/>
              <w:adjustRightInd w:val="0"/>
              <w:spacing w:line="420" w:lineRule="exact"/>
              <w:jc w:val="center"/>
              <w:rPr>
                <w:rFonts w:ascii="宋体" w:hAnsi="宋体" w:cs="宋体"/>
                <w:kern w:val="0"/>
                <w:szCs w:val="21"/>
              </w:rPr>
            </w:pPr>
          </w:p>
        </w:tc>
      </w:tr>
      <w:tr w14:paraId="6CA6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BD9C00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法定代表人</w:t>
            </w:r>
          </w:p>
        </w:tc>
        <w:tc>
          <w:tcPr>
            <w:tcW w:w="1108" w:type="dxa"/>
            <w:vAlign w:val="center"/>
          </w:tcPr>
          <w:p w14:paraId="7A90920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25BE4E35">
            <w:pPr>
              <w:autoSpaceDE w:val="0"/>
              <w:autoSpaceDN w:val="0"/>
              <w:adjustRightInd w:val="0"/>
              <w:spacing w:line="420" w:lineRule="exact"/>
              <w:jc w:val="center"/>
              <w:rPr>
                <w:rFonts w:ascii="宋体" w:hAnsi="宋体" w:cs="宋体"/>
                <w:kern w:val="0"/>
                <w:szCs w:val="21"/>
              </w:rPr>
            </w:pPr>
          </w:p>
        </w:tc>
        <w:tc>
          <w:tcPr>
            <w:tcW w:w="1332" w:type="dxa"/>
            <w:vAlign w:val="center"/>
          </w:tcPr>
          <w:p w14:paraId="6A78F93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602C8529">
            <w:pPr>
              <w:autoSpaceDE w:val="0"/>
              <w:autoSpaceDN w:val="0"/>
              <w:adjustRightInd w:val="0"/>
              <w:spacing w:line="420" w:lineRule="exact"/>
              <w:jc w:val="center"/>
              <w:rPr>
                <w:rFonts w:ascii="宋体" w:hAnsi="宋体" w:cs="宋体"/>
                <w:kern w:val="0"/>
                <w:szCs w:val="21"/>
              </w:rPr>
            </w:pPr>
          </w:p>
        </w:tc>
        <w:tc>
          <w:tcPr>
            <w:tcW w:w="1332" w:type="dxa"/>
            <w:vAlign w:val="center"/>
          </w:tcPr>
          <w:p w14:paraId="44A204C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089028B3">
            <w:pPr>
              <w:autoSpaceDE w:val="0"/>
              <w:autoSpaceDN w:val="0"/>
              <w:adjustRightInd w:val="0"/>
              <w:spacing w:line="420" w:lineRule="exact"/>
              <w:jc w:val="center"/>
              <w:rPr>
                <w:rFonts w:ascii="宋体" w:hAnsi="宋体" w:cs="宋体"/>
                <w:kern w:val="0"/>
                <w:szCs w:val="21"/>
              </w:rPr>
            </w:pPr>
          </w:p>
        </w:tc>
      </w:tr>
      <w:tr w14:paraId="463DD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329D626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授权委托人</w:t>
            </w:r>
          </w:p>
        </w:tc>
        <w:tc>
          <w:tcPr>
            <w:tcW w:w="1108" w:type="dxa"/>
            <w:vAlign w:val="center"/>
          </w:tcPr>
          <w:p w14:paraId="77BAF7C4">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521D3770">
            <w:pPr>
              <w:autoSpaceDE w:val="0"/>
              <w:autoSpaceDN w:val="0"/>
              <w:adjustRightInd w:val="0"/>
              <w:spacing w:line="420" w:lineRule="exact"/>
              <w:jc w:val="center"/>
              <w:rPr>
                <w:rFonts w:ascii="宋体" w:hAnsi="宋体" w:cs="宋体"/>
                <w:kern w:val="0"/>
                <w:szCs w:val="21"/>
              </w:rPr>
            </w:pPr>
          </w:p>
        </w:tc>
        <w:tc>
          <w:tcPr>
            <w:tcW w:w="1332" w:type="dxa"/>
            <w:vAlign w:val="center"/>
          </w:tcPr>
          <w:p w14:paraId="1B39F85E">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3A9E7FD2">
            <w:pPr>
              <w:autoSpaceDE w:val="0"/>
              <w:autoSpaceDN w:val="0"/>
              <w:adjustRightInd w:val="0"/>
              <w:spacing w:line="420" w:lineRule="exact"/>
              <w:jc w:val="center"/>
              <w:rPr>
                <w:rFonts w:ascii="宋体" w:hAnsi="宋体" w:cs="宋体"/>
                <w:kern w:val="0"/>
                <w:szCs w:val="21"/>
              </w:rPr>
            </w:pPr>
          </w:p>
        </w:tc>
        <w:tc>
          <w:tcPr>
            <w:tcW w:w="1332" w:type="dxa"/>
            <w:vAlign w:val="center"/>
          </w:tcPr>
          <w:p w14:paraId="70A16519">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65D59C07">
            <w:pPr>
              <w:autoSpaceDE w:val="0"/>
              <w:autoSpaceDN w:val="0"/>
              <w:adjustRightInd w:val="0"/>
              <w:spacing w:line="420" w:lineRule="exact"/>
              <w:jc w:val="center"/>
              <w:rPr>
                <w:rFonts w:ascii="宋体" w:hAnsi="宋体" w:cs="宋体"/>
                <w:kern w:val="0"/>
                <w:szCs w:val="21"/>
              </w:rPr>
            </w:pPr>
          </w:p>
        </w:tc>
      </w:tr>
      <w:tr w14:paraId="008A5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0FBC594B">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成立时间</w:t>
            </w:r>
          </w:p>
        </w:tc>
        <w:tc>
          <w:tcPr>
            <w:tcW w:w="3771" w:type="dxa"/>
            <w:gridSpan w:val="3"/>
            <w:vAlign w:val="center"/>
          </w:tcPr>
          <w:p w14:paraId="05213F4F">
            <w:pPr>
              <w:autoSpaceDE w:val="0"/>
              <w:autoSpaceDN w:val="0"/>
              <w:adjustRightInd w:val="0"/>
              <w:spacing w:line="420" w:lineRule="exact"/>
              <w:jc w:val="center"/>
              <w:rPr>
                <w:rFonts w:ascii="宋体" w:hAnsi="宋体" w:cs="宋体"/>
                <w:kern w:val="0"/>
                <w:szCs w:val="21"/>
              </w:rPr>
            </w:pPr>
          </w:p>
        </w:tc>
        <w:tc>
          <w:tcPr>
            <w:tcW w:w="3996" w:type="dxa"/>
            <w:gridSpan w:val="3"/>
            <w:vAlign w:val="center"/>
          </w:tcPr>
          <w:p w14:paraId="63E091B8">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员工总人数：</w:t>
            </w:r>
          </w:p>
        </w:tc>
      </w:tr>
      <w:tr w14:paraId="5A9A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5" w:hRule="atLeast"/>
          <w:jc w:val="center"/>
        </w:trPr>
        <w:tc>
          <w:tcPr>
            <w:tcW w:w="1553" w:type="dxa"/>
            <w:vAlign w:val="center"/>
          </w:tcPr>
          <w:p w14:paraId="373A0400">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开户银行及</w:t>
            </w:r>
          </w:p>
          <w:p w14:paraId="5A868933">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账号</w:t>
            </w:r>
          </w:p>
        </w:tc>
        <w:tc>
          <w:tcPr>
            <w:tcW w:w="7767" w:type="dxa"/>
            <w:gridSpan w:val="6"/>
            <w:vAlign w:val="center"/>
          </w:tcPr>
          <w:p w14:paraId="4D876D5E">
            <w:pPr>
              <w:autoSpaceDE w:val="0"/>
              <w:autoSpaceDN w:val="0"/>
              <w:adjustRightInd w:val="0"/>
              <w:spacing w:line="420" w:lineRule="exact"/>
              <w:jc w:val="center"/>
              <w:rPr>
                <w:rFonts w:ascii="宋体" w:hAnsi="宋体" w:cs="宋体"/>
                <w:kern w:val="0"/>
                <w:szCs w:val="21"/>
              </w:rPr>
            </w:pPr>
          </w:p>
        </w:tc>
      </w:tr>
      <w:tr w14:paraId="59D0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553" w:type="dxa"/>
            <w:vAlign w:val="center"/>
          </w:tcPr>
          <w:p w14:paraId="5451478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单位概况</w:t>
            </w:r>
          </w:p>
        </w:tc>
        <w:tc>
          <w:tcPr>
            <w:tcW w:w="7767" w:type="dxa"/>
            <w:gridSpan w:val="6"/>
            <w:vAlign w:val="center"/>
          </w:tcPr>
          <w:p w14:paraId="7A4B7792">
            <w:pPr>
              <w:autoSpaceDE w:val="0"/>
              <w:autoSpaceDN w:val="0"/>
              <w:adjustRightInd w:val="0"/>
              <w:spacing w:line="420" w:lineRule="exact"/>
              <w:jc w:val="center"/>
              <w:rPr>
                <w:rFonts w:ascii="宋体" w:hAnsi="宋体" w:cs="宋体"/>
                <w:kern w:val="0"/>
                <w:szCs w:val="21"/>
              </w:rPr>
            </w:pPr>
          </w:p>
        </w:tc>
      </w:tr>
      <w:tr w14:paraId="71FC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1553" w:type="dxa"/>
            <w:vAlign w:val="center"/>
          </w:tcPr>
          <w:p w14:paraId="5B85330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主要项目情况</w:t>
            </w:r>
          </w:p>
        </w:tc>
        <w:tc>
          <w:tcPr>
            <w:tcW w:w="7767" w:type="dxa"/>
            <w:gridSpan w:val="6"/>
            <w:vAlign w:val="center"/>
          </w:tcPr>
          <w:p w14:paraId="2CCDEFE6">
            <w:pPr>
              <w:autoSpaceDE w:val="0"/>
              <w:autoSpaceDN w:val="0"/>
              <w:adjustRightInd w:val="0"/>
              <w:spacing w:line="420" w:lineRule="exact"/>
              <w:jc w:val="center"/>
              <w:rPr>
                <w:rFonts w:ascii="宋体" w:hAnsi="宋体" w:cs="宋体"/>
                <w:kern w:val="0"/>
                <w:szCs w:val="21"/>
              </w:rPr>
            </w:pPr>
          </w:p>
        </w:tc>
      </w:tr>
      <w:tr w14:paraId="113B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553" w:type="dxa"/>
            <w:vAlign w:val="center"/>
          </w:tcPr>
          <w:p w14:paraId="0802F1A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备注</w:t>
            </w:r>
          </w:p>
        </w:tc>
        <w:tc>
          <w:tcPr>
            <w:tcW w:w="7767" w:type="dxa"/>
            <w:gridSpan w:val="6"/>
            <w:vAlign w:val="center"/>
          </w:tcPr>
          <w:p w14:paraId="1F191D07">
            <w:pPr>
              <w:autoSpaceDE w:val="0"/>
              <w:autoSpaceDN w:val="0"/>
              <w:adjustRightInd w:val="0"/>
              <w:spacing w:line="420" w:lineRule="exact"/>
              <w:jc w:val="center"/>
              <w:rPr>
                <w:rFonts w:ascii="宋体" w:hAnsi="宋体" w:cs="宋体"/>
                <w:kern w:val="0"/>
                <w:szCs w:val="21"/>
              </w:rPr>
            </w:pPr>
          </w:p>
        </w:tc>
      </w:tr>
    </w:tbl>
    <w:p w14:paraId="7261677C">
      <w:pPr>
        <w:rPr>
          <w:rFonts w:ascii="宋体" w:hAnsi="宋体" w:cs="宋体"/>
          <w:b/>
        </w:rPr>
      </w:pPr>
    </w:p>
    <w:p w14:paraId="20A2A96D">
      <w:pPr>
        <w:spacing w:line="500" w:lineRule="exact"/>
        <w:rPr>
          <w:rFonts w:ascii="宋体" w:hAnsi="宋体" w:cs="宋体"/>
          <w:szCs w:val="21"/>
        </w:rPr>
      </w:pPr>
      <w:bookmarkStart w:id="319" w:name="_Toc480942357"/>
      <w:bookmarkStart w:id="320" w:name="_Ref467988471"/>
      <w:bookmarkStart w:id="321" w:name="_Ref467990100"/>
      <w:bookmarkStart w:id="322" w:name="_Toc181348191"/>
      <w:bookmarkStart w:id="323" w:name="_Toc428775658"/>
      <w:bookmarkStart w:id="324" w:name="_Ref467990101"/>
      <w:bookmarkStart w:id="325" w:name="_Toc520125062"/>
      <w:bookmarkStart w:id="326" w:name="_Toc520356228"/>
      <w:bookmarkStart w:id="327" w:name="_Toc248025939"/>
      <w:bookmarkStart w:id="328" w:name="_Ref467990058"/>
      <w:bookmarkStart w:id="329" w:name="_Ref467988485"/>
      <w:bookmarkStart w:id="330" w:name="_Toc275431246"/>
      <w:bookmarkStart w:id="331" w:name="_Ref467988479"/>
      <w:bookmarkStart w:id="332" w:name="_Toc137651756"/>
      <w:bookmarkStart w:id="333" w:name="_Toc520356229"/>
      <w:bookmarkStart w:id="334" w:name="_Toc480942358"/>
      <w:bookmarkStart w:id="335" w:name="_Toc520125061"/>
      <w:bookmarkStart w:id="336" w:name="_Ref467990064"/>
      <w:bookmarkStart w:id="337" w:name="_Toc181344381"/>
      <w:bookmarkStart w:id="338" w:name="_Toc179456578"/>
      <w:bookmarkStart w:id="339" w:name="_Toc181344375"/>
      <w:bookmarkStart w:id="340" w:name="_Toc248025933"/>
      <w:bookmarkStart w:id="341" w:name="_Toc275431240"/>
      <w:bookmarkStart w:id="342" w:name="_Toc181348185"/>
      <w:r>
        <w:rPr>
          <w:rFonts w:hint="eastAsia" w:ascii="宋体" w:hAnsi="宋体" w:cs="宋体"/>
          <w:szCs w:val="21"/>
        </w:rPr>
        <w:t>备注：本表后应附有效的营业执照（副本）等资格证明文件；</w:t>
      </w:r>
    </w:p>
    <w:p w14:paraId="560D6B3F">
      <w:pPr>
        <w:rPr>
          <w:rFonts w:hint="default" w:ascii="宋体" w:hAnsi="宋体" w:eastAsia="宋体" w:cs="宋体"/>
          <w:lang w:val="en-US" w:eastAsia="zh-CN"/>
        </w:rPr>
      </w:pPr>
      <w:r>
        <w:rPr>
          <w:rFonts w:hint="eastAsia" w:ascii="宋体" w:hAnsi="宋体" w:cs="宋体"/>
          <w:lang w:eastAsia="zh-CN"/>
        </w:rPr>
        <w:t>根据</w:t>
      </w:r>
      <w:r>
        <w:rPr>
          <w:rFonts w:hint="eastAsia" w:ascii="宋体" w:hAnsi="宋体" w:cs="宋体"/>
        </w:rPr>
        <w:t xml:space="preserve">第二章 </w:t>
      </w:r>
      <w:r>
        <w:rPr>
          <w:rFonts w:hint="eastAsia" w:ascii="宋体" w:hAnsi="宋体" w:cs="宋体"/>
          <w:lang w:eastAsia="zh-CN"/>
        </w:rPr>
        <w:t>供应商须知第</w:t>
      </w:r>
      <w:r>
        <w:rPr>
          <w:rFonts w:hint="eastAsia" w:ascii="宋体" w:hAnsi="宋体" w:cs="宋体"/>
          <w:lang w:val="en-US" w:eastAsia="zh-CN"/>
        </w:rPr>
        <w:t>1.4.1供应商资格要求，提供相应资料。</w:t>
      </w:r>
    </w:p>
    <w:p w14:paraId="50548951">
      <w:pPr>
        <w:rPr>
          <w:rFonts w:ascii="宋体" w:hAnsi="宋体" w:cs="宋体"/>
        </w:rPr>
      </w:pPr>
    </w:p>
    <w:p w14:paraId="14DF5035">
      <w:pPr>
        <w:pStyle w:val="9"/>
        <w:rPr>
          <w:rFonts w:ascii="宋体" w:hAnsi="宋体" w:eastAsia="宋体" w:cs="宋体"/>
        </w:rPr>
      </w:pPr>
    </w:p>
    <w:p w14:paraId="0CA7176E">
      <w:pPr>
        <w:pStyle w:val="20"/>
        <w:ind w:left="0" w:leftChars="0" w:firstLine="0" w:firstLineChars="0"/>
        <w:rPr>
          <w:rFonts w:ascii="宋体" w:eastAsia="宋体" w:cs="宋体"/>
        </w:rPr>
      </w:pPr>
    </w:p>
    <w:p w14:paraId="056A8E35">
      <w:pPr>
        <w:pStyle w:val="20"/>
        <w:ind w:left="0" w:leftChars="0" w:firstLine="0" w:firstLineChars="0"/>
        <w:rPr>
          <w:rFonts w:ascii="宋体" w:eastAsia="宋体" w:cs="宋体"/>
        </w:rPr>
      </w:pP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14:paraId="4369FCC5">
      <w:pPr>
        <w:jc w:val="both"/>
        <w:rPr>
          <w:rFonts w:ascii="宋体" w:hAnsi="宋体" w:cs="宋体"/>
          <w:b/>
        </w:rPr>
      </w:pPr>
      <w:bookmarkStart w:id="343" w:name="_Toc430020808"/>
      <w:bookmarkStart w:id="344" w:name="_Toc428775699"/>
      <w:bookmarkStart w:id="345" w:name="_Toc428882020"/>
    </w:p>
    <w:p w14:paraId="6A2CC89D">
      <w:pPr>
        <w:pStyle w:val="9"/>
        <w:rPr>
          <w:rFonts w:ascii="宋体" w:hAnsi="宋体" w:cs="宋体"/>
          <w:b/>
        </w:rPr>
      </w:pPr>
    </w:p>
    <w:p w14:paraId="6CD7A86B">
      <w:pPr>
        <w:rPr>
          <w:rFonts w:ascii="宋体" w:hAnsi="宋体" w:cs="宋体"/>
          <w:b/>
        </w:rPr>
      </w:pPr>
      <w:r>
        <w:rPr>
          <w:rFonts w:ascii="宋体" w:hAnsi="宋体" w:cs="宋体"/>
          <w:b/>
        </w:rPr>
        <w:br w:type="page"/>
      </w:r>
      <w:bookmarkEnd w:id="338"/>
      <w:bookmarkEnd w:id="339"/>
      <w:bookmarkEnd w:id="340"/>
      <w:bookmarkEnd w:id="341"/>
      <w:bookmarkEnd w:id="342"/>
      <w:bookmarkEnd w:id="343"/>
      <w:bookmarkEnd w:id="344"/>
      <w:bookmarkEnd w:id="345"/>
    </w:p>
    <w:p w14:paraId="436B6B63">
      <w:pPr>
        <w:numPr>
          <w:ilvl w:val="0"/>
          <w:numId w:val="20"/>
        </w:numPr>
        <w:spacing w:line="360" w:lineRule="auto"/>
        <w:jc w:val="center"/>
        <w:rPr>
          <w:rFonts w:hint="eastAsia" w:ascii="宋体" w:hAnsi="宋体" w:cs="宋体"/>
          <w:b/>
          <w:lang w:eastAsia="zh-CN"/>
        </w:rPr>
      </w:pPr>
      <w:bookmarkStart w:id="346" w:name="_Toc430020810"/>
      <w:bookmarkStart w:id="347" w:name="_Toc9644"/>
      <w:bookmarkStart w:id="348" w:name="_Toc7542"/>
      <w:bookmarkStart w:id="349" w:name="_Toc15582"/>
      <w:r>
        <w:rPr>
          <w:rFonts w:hint="eastAsia" w:ascii="宋体" w:hAnsi="宋体" w:cs="宋体"/>
          <w:b/>
          <w:lang w:eastAsia="zh-CN"/>
        </w:rPr>
        <w:t>资格承诺声明函</w:t>
      </w:r>
    </w:p>
    <w:p w14:paraId="47ECD9DA">
      <w:pPr>
        <w:pStyle w:val="10"/>
        <w:numPr>
          <w:ilvl w:val="0"/>
          <w:numId w:val="0"/>
        </w:numPr>
        <w:rPr>
          <w:rFonts w:hint="eastAsia"/>
          <w:lang w:eastAsia="zh-CN"/>
        </w:rPr>
      </w:pPr>
    </w:p>
    <w:p w14:paraId="1792212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u w:val="single"/>
          <w:lang w:val="en-US" w:eastAsia="zh-CN" w:bidi="ar-SA"/>
        </w:rPr>
        <w:t>致(本项目采购单位)及 XXX 公共资源交易中心</w:t>
      </w:r>
      <w:r>
        <w:rPr>
          <w:rFonts w:hint="eastAsia" w:ascii="宋体" w:hAnsi="宋体" w:eastAsia="宋体" w:cs="宋体"/>
          <w:kern w:val="2"/>
          <w:sz w:val="21"/>
          <w:szCs w:val="21"/>
          <w:lang w:val="en-US" w:eastAsia="zh-CN" w:bidi="ar-SA"/>
        </w:rPr>
        <w:t>:</w:t>
      </w:r>
    </w:p>
    <w:p w14:paraId="58869E09">
      <w:pPr>
        <w:pStyle w:val="9"/>
        <w:keepNext w:val="0"/>
        <w:keepLines w:val="0"/>
        <w:pageBreakBefore w:val="0"/>
        <w:widowControl w:val="0"/>
        <w:numPr>
          <w:ilvl w:val="0"/>
          <w:numId w:val="0"/>
        </w:numPr>
        <w:kinsoku w:val="0"/>
        <w:wordWrap w:val="0"/>
        <w:overflowPunct w:val="0"/>
        <w:topLinePunct w:val="0"/>
        <w:autoSpaceDE w:val="0"/>
        <w:autoSpaceDN w:val="0"/>
        <w:bidi w:val="0"/>
        <w:adjustRightInd/>
        <w:snapToGrid/>
        <w:ind w:firstLine="420" w:firstLineChars="20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我单位自愿参加本次政府采购活动,严格遵守《中华人民共和国政府采购法》及相关法律法规,依法诚信经营,依法遵守本次政府采购活动的各项规定。我单位郑重承诺声明如下:   </w:t>
      </w: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一、我单位全称为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注册地点为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统一社会信用代码为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法定代表人(单位负责人)为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，联系方式为</w:t>
      </w:r>
      <w:r>
        <w:rPr>
          <w:rFonts w:hint="eastAsia" w:ascii="宋体" w:hAnsi="宋体" w:eastAsia="宋体" w:cs="宋体"/>
          <w:kern w:val="2"/>
          <w:sz w:val="21"/>
          <w:szCs w:val="21"/>
          <w:u w:val="single"/>
          <w:lang w:val="en-US" w:eastAsia="zh-CN" w:bidi="ar-SA"/>
        </w:rPr>
        <w:t xml:space="preserve">              。</w:t>
      </w:r>
    </w:p>
    <w:p w14:paraId="2AD8B23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二、我单位具有独立承担民事责任的能力。</w:t>
      </w:r>
    </w:p>
    <w:p w14:paraId="07ECFD10">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三、我单位具有良好的商业信誉和健全的财务会计制度。 </w:t>
      </w:r>
    </w:p>
    <w:p w14:paraId="5AE89827">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四、我单位具有履行合同所必需的设备和专业技术能力。</w:t>
      </w:r>
    </w:p>
    <w:p w14:paraId="1A4BDF6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五、我单位有依法缴纳税收和社会保障资金的良好记录。</w:t>
      </w:r>
    </w:p>
    <w:p w14:paraId="3F85E08F">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六、我单位参加政府采购活动前三年内,在经营活动中没有重大违法记录。(重大违法记录,是指供应商因违法经营受到刑事处罚或者责令停产停业、吊销许可证或者执照、较大数额罚款等行政处罚.) </w:t>
      </w:r>
    </w:p>
    <w:p w14:paraId="2072ED8D">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七、我单位具备法律、行政法规规定的其他条件。 </w:t>
      </w:r>
    </w:p>
    <w:p w14:paraId="0C5E0FC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我单位保证上述声明的事项都是真实的,符合《中华人民共和国政府采购法》规定的供应商资格条件.如有弄虚作假,我单位愿意按照“提供虚假材料谋取中标、成交”承担相应的法律责任,同意将违背承诺行为作为失信行为记录到社会信用信息平台,并承担因此所造成的一切损失。 </w:t>
      </w:r>
    </w:p>
    <w:p w14:paraId="7D928224">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承诺单位(盖章):</w:t>
      </w:r>
    </w:p>
    <w:p w14:paraId="7C39AC6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法定代表人或授权代表(签名或盖章):</w:t>
      </w:r>
    </w:p>
    <w:p w14:paraId="027D3FB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日期:    年    月    日</w:t>
      </w:r>
    </w:p>
    <w:p w14:paraId="058D753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注:1.投标人须在投标文件中按此模板提供承诺函,未提供视为未实质性响应招标文件要求,按无效投标处理.</w:t>
      </w:r>
    </w:p>
    <w:p w14:paraId="62251C6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2.投标人的法定代表人或者授权代表的签字或盖章应真实、有效.</w:t>
      </w:r>
    </w:p>
    <w:p w14:paraId="0A915A8D">
      <w:pP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br w:type="page"/>
      </w:r>
    </w:p>
    <w:bookmarkEnd w:id="346"/>
    <w:p w14:paraId="2F448393">
      <w:pPr>
        <w:keepNext w:val="0"/>
        <w:keepLines w:val="0"/>
        <w:pageBreakBefore w:val="0"/>
        <w:widowControl w:val="0"/>
        <w:numPr>
          <w:ilvl w:val="0"/>
          <w:numId w:val="0"/>
        </w:numPr>
        <w:kinsoku/>
        <w:wordWrap/>
        <w:overflowPunct/>
        <w:topLinePunct w:val="0"/>
        <w:autoSpaceDE/>
        <w:autoSpaceDN/>
        <w:bidi w:val="0"/>
        <w:adjustRightInd w:val="0"/>
        <w:snapToGrid/>
        <w:spacing w:after="156" w:afterLines="50"/>
        <w:jc w:val="center"/>
        <w:textAlignment w:val="auto"/>
        <w:outlineLvl w:val="2"/>
        <w:rPr>
          <w:rFonts w:hint="eastAsia" w:ascii="宋体" w:hAnsi="宋体" w:eastAsia="宋体" w:cs="TimesNewRomanPSMT"/>
          <w:b/>
          <w:color w:val="auto"/>
          <w:kern w:val="0"/>
          <w:sz w:val="24"/>
          <w:highlight w:val="none"/>
          <w:lang w:val="en-US" w:eastAsia="zh-CN"/>
        </w:rPr>
      </w:pPr>
      <w:bookmarkStart w:id="350" w:name="_Toc144974871"/>
      <w:bookmarkStart w:id="351" w:name="_Toc246996369"/>
      <w:bookmarkStart w:id="352" w:name="_Toc296602614"/>
      <w:bookmarkStart w:id="353" w:name="_Toc246997112"/>
      <w:bookmarkStart w:id="354" w:name="_Toc16190"/>
      <w:bookmarkStart w:id="355" w:name="_Toc247085887"/>
      <w:bookmarkStart w:id="356" w:name="_Toc152042592"/>
      <w:bookmarkStart w:id="357" w:name="_Toc179632823"/>
      <w:bookmarkStart w:id="358" w:name="_Toc30450"/>
      <w:bookmarkStart w:id="359" w:name="_Toc152045803"/>
      <w:bookmarkStart w:id="360" w:name="_Toc2616"/>
      <w:bookmarkStart w:id="361" w:name="_Toc28537"/>
      <w:r>
        <w:rPr>
          <w:rFonts w:hint="eastAsia" w:ascii="宋体" w:hAnsi="宋体" w:cs="TimesNewRomanPSMT"/>
          <w:b/>
          <w:color w:val="auto"/>
          <w:kern w:val="0"/>
          <w:sz w:val="24"/>
          <w:highlight w:val="none"/>
          <w:lang w:val="en-US" w:eastAsia="zh-CN"/>
        </w:rPr>
        <w:t>四</w:t>
      </w:r>
      <w:r>
        <w:rPr>
          <w:rFonts w:hint="eastAsia" w:ascii="宋体" w:hAnsi="宋体" w:eastAsia="宋体" w:cs="TimesNewRomanPSMT"/>
          <w:b/>
          <w:color w:val="auto"/>
          <w:kern w:val="0"/>
          <w:sz w:val="24"/>
          <w:highlight w:val="none"/>
          <w:lang w:val="en-US" w:eastAsia="zh-CN"/>
        </w:rPr>
        <w:t>、</w:t>
      </w:r>
      <w:bookmarkEnd w:id="350"/>
      <w:bookmarkEnd w:id="351"/>
      <w:bookmarkEnd w:id="352"/>
      <w:bookmarkEnd w:id="353"/>
      <w:bookmarkEnd w:id="354"/>
      <w:bookmarkEnd w:id="355"/>
      <w:bookmarkEnd w:id="356"/>
      <w:bookmarkEnd w:id="357"/>
      <w:bookmarkEnd w:id="358"/>
      <w:bookmarkEnd w:id="359"/>
      <w:bookmarkStart w:id="362" w:name="OLE_LINK28"/>
      <w:r>
        <w:rPr>
          <w:rFonts w:hint="eastAsia" w:ascii="宋体" w:hAnsi="宋体" w:eastAsia="宋体" w:cs="TimesNewRomanPSMT"/>
          <w:b/>
          <w:color w:val="auto"/>
          <w:kern w:val="0"/>
          <w:sz w:val="24"/>
          <w:highlight w:val="none"/>
          <w:lang w:val="en-US" w:eastAsia="zh-CN"/>
        </w:rPr>
        <w:t>拟派驻本项目人员情况一览表</w:t>
      </w:r>
      <w:bookmarkEnd w:id="360"/>
      <w:bookmarkEnd w:id="362"/>
    </w:p>
    <w:tbl>
      <w:tblPr>
        <w:tblStyle w:val="26"/>
        <w:tblpPr w:leftFromText="180" w:rightFromText="180" w:vertAnchor="text" w:horzAnchor="page" w:tblpXSpec="center" w:tblpY="348"/>
        <w:tblOverlap w:val="never"/>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1"/>
        <w:gridCol w:w="1272"/>
        <w:gridCol w:w="1190"/>
        <w:gridCol w:w="1186"/>
        <w:gridCol w:w="1060"/>
        <w:gridCol w:w="1227"/>
        <w:gridCol w:w="1528"/>
        <w:gridCol w:w="1043"/>
      </w:tblGrid>
      <w:tr w14:paraId="1656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9" w:hRule="atLeast"/>
          <w:jc w:val="center"/>
        </w:trPr>
        <w:tc>
          <w:tcPr>
            <w:tcW w:w="701" w:type="dxa"/>
            <w:noWrap w:val="0"/>
            <w:vAlign w:val="center"/>
          </w:tcPr>
          <w:p w14:paraId="138ECF50">
            <w:pPr>
              <w:adjustRightInd w:val="0"/>
              <w:jc w:val="center"/>
              <w:rPr>
                <w:rFonts w:hint="eastAsia" w:eastAsia="宋体"/>
                <w:sz w:val="21"/>
                <w:szCs w:val="21"/>
                <w:lang w:val="en-US" w:eastAsia="zh-CN"/>
              </w:rPr>
            </w:pPr>
            <w:bookmarkStart w:id="363" w:name="_Toc283814574"/>
            <w:bookmarkStart w:id="364" w:name="_Toc344550923"/>
            <w:bookmarkStart w:id="365" w:name="_Toc26387"/>
            <w:bookmarkStart w:id="366" w:name="_Toc334013867"/>
            <w:bookmarkStart w:id="367" w:name="_Toc306874014"/>
            <w:bookmarkStart w:id="368" w:name="_Toc333969562"/>
            <w:bookmarkStart w:id="369" w:name="_Toc25570"/>
            <w:r>
              <w:rPr>
                <w:rFonts w:hint="eastAsia"/>
                <w:sz w:val="21"/>
                <w:szCs w:val="21"/>
                <w:lang w:val="en-US" w:eastAsia="zh-CN"/>
              </w:rPr>
              <w:t>序号</w:t>
            </w:r>
          </w:p>
        </w:tc>
        <w:tc>
          <w:tcPr>
            <w:tcW w:w="1272" w:type="dxa"/>
            <w:noWrap w:val="0"/>
            <w:vAlign w:val="center"/>
          </w:tcPr>
          <w:p w14:paraId="14ACBC29">
            <w:pPr>
              <w:adjustRightInd w:val="0"/>
              <w:jc w:val="center"/>
              <w:rPr>
                <w:sz w:val="21"/>
                <w:szCs w:val="21"/>
              </w:rPr>
            </w:pPr>
            <w:r>
              <w:rPr>
                <w:sz w:val="21"/>
                <w:szCs w:val="21"/>
              </w:rPr>
              <w:t>姓名</w:t>
            </w:r>
          </w:p>
        </w:tc>
        <w:tc>
          <w:tcPr>
            <w:tcW w:w="1190" w:type="dxa"/>
            <w:noWrap w:val="0"/>
            <w:vAlign w:val="center"/>
          </w:tcPr>
          <w:p w14:paraId="407BDBC3">
            <w:pPr>
              <w:adjustRightInd w:val="0"/>
              <w:jc w:val="center"/>
              <w:rPr>
                <w:rFonts w:hint="eastAsia" w:eastAsia="宋体"/>
                <w:sz w:val="21"/>
                <w:szCs w:val="21"/>
                <w:lang w:eastAsia="zh-CN"/>
              </w:rPr>
            </w:pPr>
            <w:r>
              <w:rPr>
                <w:rFonts w:hint="eastAsia"/>
                <w:sz w:val="21"/>
                <w:szCs w:val="21"/>
                <w:lang w:val="en-US" w:eastAsia="zh-CN"/>
              </w:rPr>
              <w:t>年龄</w:t>
            </w:r>
          </w:p>
        </w:tc>
        <w:tc>
          <w:tcPr>
            <w:tcW w:w="1186" w:type="dxa"/>
            <w:noWrap w:val="0"/>
            <w:vAlign w:val="center"/>
          </w:tcPr>
          <w:p w14:paraId="5481CC29">
            <w:pPr>
              <w:adjustRightInd w:val="0"/>
              <w:jc w:val="center"/>
              <w:rPr>
                <w:rFonts w:hint="eastAsia" w:eastAsia="宋体"/>
                <w:sz w:val="21"/>
                <w:szCs w:val="21"/>
                <w:lang w:eastAsia="zh-CN"/>
              </w:rPr>
            </w:pPr>
            <w:r>
              <w:rPr>
                <w:rFonts w:hint="eastAsia" w:ascii="宋体" w:hAnsi="宋体" w:eastAsia="宋体"/>
                <w:sz w:val="21"/>
                <w:szCs w:val="21"/>
              </w:rPr>
              <w:t>资格证书及证件号</w:t>
            </w:r>
          </w:p>
        </w:tc>
        <w:tc>
          <w:tcPr>
            <w:tcW w:w="1060" w:type="dxa"/>
            <w:noWrap w:val="0"/>
            <w:vAlign w:val="center"/>
          </w:tcPr>
          <w:p w14:paraId="0D48E0E6">
            <w:pPr>
              <w:adjustRightInd w:val="0"/>
              <w:jc w:val="center"/>
              <w:rPr>
                <w:rFonts w:hint="default" w:eastAsia="宋体"/>
                <w:sz w:val="21"/>
                <w:szCs w:val="21"/>
                <w:lang w:val="en-US" w:eastAsia="zh-CN"/>
              </w:rPr>
            </w:pPr>
            <w:r>
              <w:rPr>
                <w:rFonts w:hint="eastAsia"/>
                <w:sz w:val="21"/>
                <w:szCs w:val="21"/>
                <w:lang w:val="en-US" w:eastAsia="zh-CN"/>
              </w:rPr>
              <w:t>从业时间</w:t>
            </w:r>
          </w:p>
        </w:tc>
        <w:tc>
          <w:tcPr>
            <w:tcW w:w="1227" w:type="dxa"/>
            <w:noWrap w:val="0"/>
            <w:vAlign w:val="center"/>
          </w:tcPr>
          <w:p w14:paraId="474EF316">
            <w:pPr>
              <w:adjustRightInd w:val="0"/>
              <w:jc w:val="center"/>
              <w:rPr>
                <w:rFonts w:hint="eastAsia"/>
                <w:sz w:val="21"/>
                <w:szCs w:val="21"/>
              </w:rPr>
            </w:pPr>
            <w:r>
              <w:rPr>
                <w:rFonts w:hint="eastAsia" w:ascii="宋体" w:hAnsi="宋体" w:eastAsia="宋体"/>
                <w:sz w:val="21"/>
                <w:szCs w:val="21"/>
              </w:rPr>
              <w:t>拟担任职务</w:t>
            </w:r>
          </w:p>
        </w:tc>
        <w:tc>
          <w:tcPr>
            <w:tcW w:w="1528" w:type="dxa"/>
            <w:noWrap w:val="0"/>
            <w:vAlign w:val="center"/>
          </w:tcPr>
          <w:p w14:paraId="018BB869">
            <w:pPr>
              <w:adjustRightInd w:val="0"/>
              <w:jc w:val="center"/>
              <w:rPr>
                <w:rFonts w:hint="eastAsia"/>
                <w:sz w:val="21"/>
                <w:szCs w:val="21"/>
              </w:rPr>
            </w:pPr>
            <w:r>
              <w:rPr>
                <w:rFonts w:hint="eastAsia" w:ascii="宋体" w:hAnsi="宋体" w:eastAsia="宋体"/>
                <w:sz w:val="21"/>
                <w:szCs w:val="21"/>
              </w:rPr>
              <w:t>主要业绩及擅长领域</w:t>
            </w:r>
          </w:p>
        </w:tc>
        <w:tc>
          <w:tcPr>
            <w:tcW w:w="1043" w:type="dxa"/>
            <w:noWrap w:val="0"/>
            <w:vAlign w:val="center"/>
          </w:tcPr>
          <w:p w14:paraId="3149C4AE">
            <w:pPr>
              <w:adjustRightInd w:val="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备注</w:t>
            </w:r>
          </w:p>
        </w:tc>
      </w:tr>
      <w:tr w14:paraId="2FE1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EE81616">
            <w:pPr>
              <w:adjustRightInd w:val="0"/>
              <w:jc w:val="center"/>
              <w:rPr>
                <w:sz w:val="21"/>
                <w:szCs w:val="21"/>
              </w:rPr>
            </w:pPr>
          </w:p>
        </w:tc>
        <w:tc>
          <w:tcPr>
            <w:tcW w:w="1272" w:type="dxa"/>
            <w:noWrap w:val="0"/>
            <w:vAlign w:val="center"/>
          </w:tcPr>
          <w:p w14:paraId="628E2C8E">
            <w:pPr>
              <w:adjustRightInd w:val="0"/>
              <w:jc w:val="center"/>
              <w:rPr>
                <w:sz w:val="21"/>
                <w:szCs w:val="21"/>
              </w:rPr>
            </w:pPr>
          </w:p>
        </w:tc>
        <w:tc>
          <w:tcPr>
            <w:tcW w:w="1190" w:type="dxa"/>
            <w:noWrap w:val="0"/>
            <w:vAlign w:val="center"/>
          </w:tcPr>
          <w:p w14:paraId="57ECA7FF">
            <w:pPr>
              <w:adjustRightInd w:val="0"/>
              <w:jc w:val="center"/>
              <w:rPr>
                <w:sz w:val="21"/>
                <w:szCs w:val="21"/>
              </w:rPr>
            </w:pPr>
          </w:p>
        </w:tc>
        <w:tc>
          <w:tcPr>
            <w:tcW w:w="1186" w:type="dxa"/>
            <w:noWrap w:val="0"/>
            <w:vAlign w:val="center"/>
          </w:tcPr>
          <w:p w14:paraId="7444FFBB">
            <w:pPr>
              <w:adjustRightInd w:val="0"/>
              <w:jc w:val="center"/>
              <w:rPr>
                <w:sz w:val="21"/>
                <w:szCs w:val="21"/>
              </w:rPr>
            </w:pPr>
          </w:p>
        </w:tc>
        <w:tc>
          <w:tcPr>
            <w:tcW w:w="1060" w:type="dxa"/>
            <w:noWrap w:val="0"/>
            <w:vAlign w:val="center"/>
          </w:tcPr>
          <w:p w14:paraId="427BAC42">
            <w:pPr>
              <w:adjustRightInd w:val="0"/>
              <w:jc w:val="center"/>
              <w:rPr>
                <w:sz w:val="21"/>
                <w:szCs w:val="21"/>
              </w:rPr>
            </w:pPr>
          </w:p>
        </w:tc>
        <w:tc>
          <w:tcPr>
            <w:tcW w:w="1227" w:type="dxa"/>
            <w:noWrap w:val="0"/>
            <w:vAlign w:val="center"/>
          </w:tcPr>
          <w:p w14:paraId="6AA9D366">
            <w:pPr>
              <w:adjustRightInd w:val="0"/>
              <w:jc w:val="center"/>
              <w:rPr>
                <w:sz w:val="21"/>
                <w:szCs w:val="21"/>
              </w:rPr>
            </w:pPr>
          </w:p>
        </w:tc>
        <w:tc>
          <w:tcPr>
            <w:tcW w:w="1528" w:type="dxa"/>
            <w:noWrap w:val="0"/>
            <w:vAlign w:val="center"/>
          </w:tcPr>
          <w:p w14:paraId="4F9984B3">
            <w:pPr>
              <w:adjustRightInd w:val="0"/>
              <w:jc w:val="center"/>
              <w:rPr>
                <w:sz w:val="21"/>
                <w:szCs w:val="21"/>
              </w:rPr>
            </w:pPr>
          </w:p>
        </w:tc>
        <w:tc>
          <w:tcPr>
            <w:tcW w:w="1043" w:type="dxa"/>
            <w:noWrap w:val="0"/>
            <w:vAlign w:val="center"/>
          </w:tcPr>
          <w:p w14:paraId="6C4BE105">
            <w:pPr>
              <w:adjustRightInd w:val="0"/>
              <w:jc w:val="center"/>
              <w:rPr>
                <w:sz w:val="21"/>
                <w:szCs w:val="21"/>
              </w:rPr>
            </w:pPr>
          </w:p>
        </w:tc>
      </w:tr>
      <w:tr w14:paraId="36B1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758CB8D">
            <w:pPr>
              <w:adjustRightInd w:val="0"/>
              <w:jc w:val="center"/>
              <w:rPr>
                <w:sz w:val="21"/>
                <w:szCs w:val="21"/>
              </w:rPr>
            </w:pPr>
          </w:p>
        </w:tc>
        <w:tc>
          <w:tcPr>
            <w:tcW w:w="1272" w:type="dxa"/>
            <w:noWrap w:val="0"/>
            <w:vAlign w:val="center"/>
          </w:tcPr>
          <w:p w14:paraId="7B57B3E5">
            <w:pPr>
              <w:adjustRightInd w:val="0"/>
              <w:jc w:val="center"/>
              <w:rPr>
                <w:sz w:val="21"/>
                <w:szCs w:val="21"/>
              </w:rPr>
            </w:pPr>
          </w:p>
        </w:tc>
        <w:tc>
          <w:tcPr>
            <w:tcW w:w="1190" w:type="dxa"/>
            <w:noWrap w:val="0"/>
            <w:vAlign w:val="center"/>
          </w:tcPr>
          <w:p w14:paraId="0B1A3218">
            <w:pPr>
              <w:adjustRightInd w:val="0"/>
              <w:jc w:val="center"/>
              <w:rPr>
                <w:sz w:val="21"/>
                <w:szCs w:val="21"/>
              </w:rPr>
            </w:pPr>
          </w:p>
        </w:tc>
        <w:tc>
          <w:tcPr>
            <w:tcW w:w="1186" w:type="dxa"/>
            <w:noWrap w:val="0"/>
            <w:vAlign w:val="center"/>
          </w:tcPr>
          <w:p w14:paraId="272E3A99">
            <w:pPr>
              <w:adjustRightInd w:val="0"/>
              <w:jc w:val="center"/>
              <w:rPr>
                <w:sz w:val="21"/>
                <w:szCs w:val="21"/>
              </w:rPr>
            </w:pPr>
          </w:p>
        </w:tc>
        <w:tc>
          <w:tcPr>
            <w:tcW w:w="1060" w:type="dxa"/>
            <w:noWrap w:val="0"/>
            <w:vAlign w:val="center"/>
          </w:tcPr>
          <w:p w14:paraId="56875B43">
            <w:pPr>
              <w:adjustRightInd w:val="0"/>
              <w:jc w:val="center"/>
              <w:rPr>
                <w:sz w:val="21"/>
                <w:szCs w:val="21"/>
              </w:rPr>
            </w:pPr>
          </w:p>
        </w:tc>
        <w:tc>
          <w:tcPr>
            <w:tcW w:w="1227" w:type="dxa"/>
            <w:noWrap w:val="0"/>
            <w:vAlign w:val="center"/>
          </w:tcPr>
          <w:p w14:paraId="310FE077">
            <w:pPr>
              <w:adjustRightInd w:val="0"/>
              <w:jc w:val="center"/>
              <w:rPr>
                <w:sz w:val="21"/>
                <w:szCs w:val="21"/>
              </w:rPr>
            </w:pPr>
          </w:p>
        </w:tc>
        <w:tc>
          <w:tcPr>
            <w:tcW w:w="1528" w:type="dxa"/>
            <w:noWrap w:val="0"/>
            <w:vAlign w:val="center"/>
          </w:tcPr>
          <w:p w14:paraId="7364C83A">
            <w:pPr>
              <w:adjustRightInd w:val="0"/>
              <w:jc w:val="center"/>
              <w:rPr>
                <w:sz w:val="21"/>
                <w:szCs w:val="21"/>
              </w:rPr>
            </w:pPr>
          </w:p>
        </w:tc>
        <w:tc>
          <w:tcPr>
            <w:tcW w:w="1043" w:type="dxa"/>
            <w:noWrap w:val="0"/>
            <w:vAlign w:val="center"/>
          </w:tcPr>
          <w:p w14:paraId="52828913">
            <w:pPr>
              <w:adjustRightInd w:val="0"/>
              <w:jc w:val="center"/>
              <w:rPr>
                <w:sz w:val="21"/>
                <w:szCs w:val="21"/>
              </w:rPr>
            </w:pPr>
          </w:p>
        </w:tc>
      </w:tr>
      <w:tr w14:paraId="1A6B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FED7988">
            <w:pPr>
              <w:adjustRightInd w:val="0"/>
              <w:jc w:val="center"/>
              <w:rPr>
                <w:sz w:val="21"/>
                <w:szCs w:val="21"/>
              </w:rPr>
            </w:pPr>
          </w:p>
        </w:tc>
        <w:tc>
          <w:tcPr>
            <w:tcW w:w="1272" w:type="dxa"/>
            <w:noWrap w:val="0"/>
            <w:vAlign w:val="center"/>
          </w:tcPr>
          <w:p w14:paraId="0E49EC7A">
            <w:pPr>
              <w:adjustRightInd w:val="0"/>
              <w:jc w:val="center"/>
              <w:rPr>
                <w:sz w:val="21"/>
                <w:szCs w:val="21"/>
              </w:rPr>
            </w:pPr>
          </w:p>
        </w:tc>
        <w:tc>
          <w:tcPr>
            <w:tcW w:w="1190" w:type="dxa"/>
            <w:noWrap w:val="0"/>
            <w:vAlign w:val="center"/>
          </w:tcPr>
          <w:p w14:paraId="3BB48AC1">
            <w:pPr>
              <w:adjustRightInd w:val="0"/>
              <w:jc w:val="center"/>
              <w:rPr>
                <w:sz w:val="21"/>
                <w:szCs w:val="21"/>
              </w:rPr>
            </w:pPr>
          </w:p>
        </w:tc>
        <w:tc>
          <w:tcPr>
            <w:tcW w:w="1186" w:type="dxa"/>
            <w:noWrap w:val="0"/>
            <w:vAlign w:val="center"/>
          </w:tcPr>
          <w:p w14:paraId="05194C7D">
            <w:pPr>
              <w:adjustRightInd w:val="0"/>
              <w:jc w:val="center"/>
              <w:rPr>
                <w:sz w:val="21"/>
                <w:szCs w:val="21"/>
              </w:rPr>
            </w:pPr>
          </w:p>
        </w:tc>
        <w:tc>
          <w:tcPr>
            <w:tcW w:w="1060" w:type="dxa"/>
            <w:noWrap w:val="0"/>
            <w:vAlign w:val="center"/>
          </w:tcPr>
          <w:p w14:paraId="68763811">
            <w:pPr>
              <w:adjustRightInd w:val="0"/>
              <w:jc w:val="center"/>
              <w:rPr>
                <w:sz w:val="21"/>
                <w:szCs w:val="21"/>
              </w:rPr>
            </w:pPr>
          </w:p>
        </w:tc>
        <w:tc>
          <w:tcPr>
            <w:tcW w:w="1227" w:type="dxa"/>
            <w:noWrap w:val="0"/>
            <w:vAlign w:val="center"/>
          </w:tcPr>
          <w:p w14:paraId="1599988D">
            <w:pPr>
              <w:adjustRightInd w:val="0"/>
              <w:jc w:val="center"/>
              <w:rPr>
                <w:sz w:val="21"/>
                <w:szCs w:val="21"/>
              </w:rPr>
            </w:pPr>
          </w:p>
        </w:tc>
        <w:tc>
          <w:tcPr>
            <w:tcW w:w="1528" w:type="dxa"/>
            <w:noWrap w:val="0"/>
            <w:vAlign w:val="center"/>
          </w:tcPr>
          <w:p w14:paraId="17BA6437">
            <w:pPr>
              <w:adjustRightInd w:val="0"/>
              <w:jc w:val="center"/>
              <w:rPr>
                <w:sz w:val="21"/>
                <w:szCs w:val="21"/>
              </w:rPr>
            </w:pPr>
          </w:p>
        </w:tc>
        <w:tc>
          <w:tcPr>
            <w:tcW w:w="1043" w:type="dxa"/>
            <w:noWrap w:val="0"/>
            <w:vAlign w:val="center"/>
          </w:tcPr>
          <w:p w14:paraId="3BCA6A80">
            <w:pPr>
              <w:adjustRightInd w:val="0"/>
              <w:jc w:val="center"/>
              <w:rPr>
                <w:sz w:val="21"/>
                <w:szCs w:val="21"/>
              </w:rPr>
            </w:pPr>
          </w:p>
        </w:tc>
      </w:tr>
      <w:tr w14:paraId="2F88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4744FD14">
            <w:pPr>
              <w:adjustRightInd w:val="0"/>
              <w:jc w:val="center"/>
              <w:rPr>
                <w:sz w:val="21"/>
                <w:szCs w:val="21"/>
              </w:rPr>
            </w:pPr>
          </w:p>
        </w:tc>
        <w:tc>
          <w:tcPr>
            <w:tcW w:w="1272" w:type="dxa"/>
            <w:noWrap w:val="0"/>
            <w:vAlign w:val="center"/>
          </w:tcPr>
          <w:p w14:paraId="1327B06C">
            <w:pPr>
              <w:adjustRightInd w:val="0"/>
              <w:jc w:val="center"/>
              <w:rPr>
                <w:sz w:val="21"/>
                <w:szCs w:val="21"/>
              </w:rPr>
            </w:pPr>
          </w:p>
        </w:tc>
        <w:tc>
          <w:tcPr>
            <w:tcW w:w="1190" w:type="dxa"/>
            <w:noWrap w:val="0"/>
            <w:vAlign w:val="center"/>
          </w:tcPr>
          <w:p w14:paraId="1E529234">
            <w:pPr>
              <w:adjustRightInd w:val="0"/>
              <w:jc w:val="center"/>
              <w:rPr>
                <w:sz w:val="21"/>
                <w:szCs w:val="21"/>
              </w:rPr>
            </w:pPr>
          </w:p>
        </w:tc>
        <w:tc>
          <w:tcPr>
            <w:tcW w:w="1186" w:type="dxa"/>
            <w:noWrap w:val="0"/>
            <w:vAlign w:val="center"/>
          </w:tcPr>
          <w:p w14:paraId="3F67EAF1">
            <w:pPr>
              <w:adjustRightInd w:val="0"/>
              <w:jc w:val="center"/>
              <w:rPr>
                <w:sz w:val="21"/>
                <w:szCs w:val="21"/>
              </w:rPr>
            </w:pPr>
          </w:p>
        </w:tc>
        <w:tc>
          <w:tcPr>
            <w:tcW w:w="1060" w:type="dxa"/>
            <w:noWrap w:val="0"/>
            <w:vAlign w:val="center"/>
          </w:tcPr>
          <w:p w14:paraId="77EB162D">
            <w:pPr>
              <w:adjustRightInd w:val="0"/>
              <w:jc w:val="center"/>
              <w:rPr>
                <w:sz w:val="21"/>
                <w:szCs w:val="21"/>
              </w:rPr>
            </w:pPr>
          </w:p>
        </w:tc>
        <w:tc>
          <w:tcPr>
            <w:tcW w:w="1227" w:type="dxa"/>
            <w:noWrap w:val="0"/>
            <w:vAlign w:val="center"/>
          </w:tcPr>
          <w:p w14:paraId="16236BEF">
            <w:pPr>
              <w:adjustRightInd w:val="0"/>
              <w:jc w:val="center"/>
              <w:rPr>
                <w:sz w:val="21"/>
                <w:szCs w:val="21"/>
              </w:rPr>
            </w:pPr>
          </w:p>
        </w:tc>
        <w:tc>
          <w:tcPr>
            <w:tcW w:w="1528" w:type="dxa"/>
            <w:noWrap w:val="0"/>
            <w:vAlign w:val="center"/>
          </w:tcPr>
          <w:p w14:paraId="233AFB32">
            <w:pPr>
              <w:adjustRightInd w:val="0"/>
              <w:jc w:val="center"/>
              <w:rPr>
                <w:sz w:val="21"/>
                <w:szCs w:val="21"/>
              </w:rPr>
            </w:pPr>
          </w:p>
        </w:tc>
        <w:tc>
          <w:tcPr>
            <w:tcW w:w="1043" w:type="dxa"/>
            <w:noWrap w:val="0"/>
            <w:vAlign w:val="center"/>
          </w:tcPr>
          <w:p w14:paraId="69FDD8CF">
            <w:pPr>
              <w:adjustRightInd w:val="0"/>
              <w:jc w:val="center"/>
              <w:rPr>
                <w:sz w:val="21"/>
                <w:szCs w:val="21"/>
              </w:rPr>
            </w:pPr>
          </w:p>
        </w:tc>
      </w:tr>
      <w:tr w14:paraId="40AE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9EFCC1C">
            <w:pPr>
              <w:adjustRightInd w:val="0"/>
              <w:jc w:val="center"/>
              <w:rPr>
                <w:sz w:val="21"/>
                <w:szCs w:val="21"/>
              </w:rPr>
            </w:pPr>
          </w:p>
        </w:tc>
        <w:tc>
          <w:tcPr>
            <w:tcW w:w="1272" w:type="dxa"/>
            <w:noWrap w:val="0"/>
            <w:vAlign w:val="center"/>
          </w:tcPr>
          <w:p w14:paraId="301ABB40">
            <w:pPr>
              <w:adjustRightInd w:val="0"/>
              <w:jc w:val="center"/>
              <w:rPr>
                <w:sz w:val="21"/>
                <w:szCs w:val="21"/>
              </w:rPr>
            </w:pPr>
          </w:p>
        </w:tc>
        <w:tc>
          <w:tcPr>
            <w:tcW w:w="1190" w:type="dxa"/>
            <w:noWrap w:val="0"/>
            <w:vAlign w:val="center"/>
          </w:tcPr>
          <w:p w14:paraId="5D606492">
            <w:pPr>
              <w:adjustRightInd w:val="0"/>
              <w:jc w:val="center"/>
              <w:rPr>
                <w:sz w:val="21"/>
                <w:szCs w:val="21"/>
              </w:rPr>
            </w:pPr>
          </w:p>
        </w:tc>
        <w:tc>
          <w:tcPr>
            <w:tcW w:w="1186" w:type="dxa"/>
            <w:noWrap w:val="0"/>
            <w:vAlign w:val="center"/>
          </w:tcPr>
          <w:p w14:paraId="1634402B">
            <w:pPr>
              <w:adjustRightInd w:val="0"/>
              <w:jc w:val="center"/>
              <w:rPr>
                <w:sz w:val="21"/>
                <w:szCs w:val="21"/>
              </w:rPr>
            </w:pPr>
          </w:p>
        </w:tc>
        <w:tc>
          <w:tcPr>
            <w:tcW w:w="1060" w:type="dxa"/>
            <w:noWrap w:val="0"/>
            <w:vAlign w:val="center"/>
          </w:tcPr>
          <w:p w14:paraId="6A4F2ACF">
            <w:pPr>
              <w:adjustRightInd w:val="0"/>
              <w:jc w:val="center"/>
              <w:rPr>
                <w:sz w:val="21"/>
                <w:szCs w:val="21"/>
              </w:rPr>
            </w:pPr>
          </w:p>
        </w:tc>
        <w:tc>
          <w:tcPr>
            <w:tcW w:w="1227" w:type="dxa"/>
            <w:noWrap w:val="0"/>
            <w:vAlign w:val="center"/>
          </w:tcPr>
          <w:p w14:paraId="066BE6D7">
            <w:pPr>
              <w:adjustRightInd w:val="0"/>
              <w:jc w:val="center"/>
              <w:rPr>
                <w:sz w:val="21"/>
                <w:szCs w:val="21"/>
              </w:rPr>
            </w:pPr>
          </w:p>
        </w:tc>
        <w:tc>
          <w:tcPr>
            <w:tcW w:w="1528" w:type="dxa"/>
            <w:noWrap w:val="0"/>
            <w:vAlign w:val="center"/>
          </w:tcPr>
          <w:p w14:paraId="34E21A23">
            <w:pPr>
              <w:adjustRightInd w:val="0"/>
              <w:jc w:val="center"/>
              <w:rPr>
                <w:sz w:val="21"/>
                <w:szCs w:val="21"/>
              </w:rPr>
            </w:pPr>
          </w:p>
        </w:tc>
        <w:tc>
          <w:tcPr>
            <w:tcW w:w="1043" w:type="dxa"/>
            <w:noWrap w:val="0"/>
            <w:vAlign w:val="center"/>
          </w:tcPr>
          <w:p w14:paraId="62D6C459">
            <w:pPr>
              <w:adjustRightInd w:val="0"/>
              <w:jc w:val="center"/>
              <w:rPr>
                <w:sz w:val="21"/>
                <w:szCs w:val="21"/>
              </w:rPr>
            </w:pPr>
          </w:p>
        </w:tc>
      </w:tr>
      <w:tr w14:paraId="2F22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C806CD1">
            <w:pPr>
              <w:adjustRightInd w:val="0"/>
              <w:jc w:val="center"/>
              <w:rPr>
                <w:sz w:val="21"/>
                <w:szCs w:val="21"/>
              </w:rPr>
            </w:pPr>
          </w:p>
        </w:tc>
        <w:tc>
          <w:tcPr>
            <w:tcW w:w="1272" w:type="dxa"/>
            <w:noWrap w:val="0"/>
            <w:vAlign w:val="center"/>
          </w:tcPr>
          <w:p w14:paraId="1AE4723C">
            <w:pPr>
              <w:adjustRightInd w:val="0"/>
              <w:jc w:val="center"/>
              <w:rPr>
                <w:sz w:val="21"/>
                <w:szCs w:val="21"/>
              </w:rPr>
            </w:pPr>
          </w:p>
        </w:tc>
        <w:tc>
          <w:tcPr>
            <w:tcW w:w="1190" w:type="dxa"/>
            <w:noWrap w:val="0"/>
            <w:vAlign w:val="center"/>
          </w:tcPr>
          <w:p w14:paraId="22D101C8">
            <w:pPr>
              <w:adjustRightInd w:val="0"/>
              <w:jc w:val="center"/>
              <w:rPr>
                <w:sz w:val="21"/>
                <w:szCs w:val="21"/>
              </w:rPr>
            </w:pPr>
          </w:p>
        </w:tc>
        <w:tc>
          <w:tcPr>
            <w:tcW w:w="1186" w:type="dxa"/>
            <w:noWrap w:val="0"/>
            <w:vAlign w:val="center"/>
          </w:tcPr>
          <w:p w14:paraId="1631D9B1">
            <w:pPr>
              <w:adjustRightInd w:val="0"/>
              <w:jc w:val="center"/>
              <w:rPr>
                <w:sz w:val="21"/>
                <w:szCs w:val="21"/>
              </w:rPr>
            </w:pPr>
          </w:p>
        </w:tc>
        <w:tc>
          <w:tcPr>
            <w:tcW w:w="1060" w:type="dxa"/>
            <w:noWrap w:val="0"/>
            <w:vAlign w:val="center"/>
          </w:tcPr>
          <w:p w14:paraId="4FBC3639">
            <w:pPr>
              <w:adjustRightInd w:val="0"/>
              <w:jc w:val="center"/>
              <w:rPr>
                <w:sz w:val="21"/>
                <w:szCs w:val="21"/>
              </w:rPr>
            </w:pPr>
          </w:p>
        </w:tc>
        <w:tc>
          <w:tcPr>
            <w:tcW w:w="1227" w:type="dxa"/>
            <w:noWrap w:val="0"/>
            <w:vAlign w:val="center"/>
          </w:tcPr>
          <w:p w14:paraId="139A0019">
            <w:pPr>
              <w:adjustRightInd w:val="0"/>
              <w:jc w:val="center"/>
              <w:rPr>
                <w:sz w:val="21"/>
                <w:szCs w:val="21"/>
              </w:rPr>
            </w:pPr>
          </w:p>
        </w:tc>
        <w:tc>
          <w:tcPr>
            <w:tcW w:w="1528" w:type="dxa"/>
            <w:noWrap w:val="0"/>
            <w:vAlign w:val="center"/>
          </w:tcPr>
          <w:p w14:paraId="02D41047">
            <w:pPr>
              <w:adjustRightInd w:val="0"/>
              <w:jc w:val="center"/>
              <w:rPr>
                <w:sz w:val="21"/>
                <w:szCs w:val="21"/>
              </w:rPr>
            </w:pPr>
          </w:p>
        </w:tc>
        <w:tc>
          <w:tcPr>
            <w:tcW w:w="1043" w:type="dxa"/>
            <w:noWrap w:val="0"/>
            <w:vAlign w:val="center"/>
          </w:tcPr>
          <w:p w14:paraId="205CE235">
            <w:pPr>
              <w:adjustRightInd w:val="0"/>
              <w:jc w:val="center"/>
              <w:rPr>
                <w:sz w:val="21"/>
                <w:szCs w:val="21"/>
              </w:rPr>
            </w:pPr>
          </w:p>
        </w:tc>
      </w:tr>
      <w:tr w14:paraId="59F7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FE3A502">
            <w:pPr>
              <w:adjustRightInd w:val="0"/>
              <w:jc w:val="center"/>
              <w:rPr>
                <w:sz w:val="21"/>
                <w:szCs w:val="21"/>
              </w:rPr>
            </w:pPr>
          </w:p>
        </w:tc>
        <w:tc>
          <w:tcPr>
            <w:tcW w:w="1272" w:type="dxa"/>
            <w:noWrap w:val="0"/>
            <w:vAlign w:val="center"/>
          </w:tcPr>
          <w:p w14:paraId="153014DD">
            <w:pPr>
              <w:adjustRightInd w:val="0"/>
              <w:jc w:val="center"/>
              <w:rPr>
                <w:sz w:val="21"/>
                <w:szCs w:val="21"/>
              </w:rPr>
            </w:pPr>
          </w:p>
        </w:tc>
        <w:tc>
          <w:tcPr>
            <w:tcW w:w="1190" w:type="dxa"/>
            <w:noWrap w:val="0"/>
            <w:vAlign w:val="center"/>
          </w:tcPr>
          <w:p w14:paraId="52559AA1">
            <w:pPr>
              <w:adjustRightInd w:val="0"/>
              <w:jc w:val="center"/>
              <w:rPr>
                <w:sz w:val="21"/>
                <w:szCs w:val="21"/>
              </w:rPr>
            </w:pPr>
          </w:p>
        </w:tc>
        <w:tc>
          <w:tcPr>
            <w:tcW w:w="1186" w:type="dxa"/>
            <w:noWrap w:val="0"/>
            <w:vAlign w:val="center"/>
          </w:tcPr>
          <w:p w14:paraId="20325068">
            <w:pPr>
              <w:adjustRightInd w:val="0"/>
              <w:jc w:val="center"/>
              <w:rPr>
                <w:sz w:val="21"/>
                <w:szCs w:val="21"/>
              </w:rPr>
            </w:pPr>
          </w:p>
        </w:tc>
        <w:tc>
          <w:tcPr>
            <w:tcW w:w="1060" w:type="dxa"/>
            <w:noWrap w:val="0"/>
            <w:vAlign w:val="center"/>
          </w:tcPr>
          <w:p w14:paraId="78A60668">
            <w:pPr>
              <w:adjustRightInd w:val="0"/>
              <w:jc w:val="center"/>
              <w:rPr>
                <w:sz w:val="21"/>
                <w:szCs w:val="21"/>
              </w:rPr>
            </w:pPr>
          </w:p>
        </w:tc>
        <w:tc>
          <w:tcPr>
            <w:tcW w:w="1227" w:type="dxa"/>
            <w:noWrap w:val="0"/>
            <w:vAlign w:val="center"/>
          </w:tcPr>
          <w:p w14:paraId="0E79E292">
            <w:pPr>
              <w:adjustRightInd w:val="0"/>
              <w:jc w:val="center"/>
              <w:rPr>
                <w:sz w:val="21"/>
                <w:szCs w:val="21"/>
              </w:rPr>
            </w:pPr>
          </w:p>
        </w:tc>
        <w:tc>
          <w:tcPr>
            <w:tcW w:w="1528" w:type="dxa"/>
            <w:noWrap w:val="0"/>
            <w:vAlign w:val="center"/>
          </w:tcPr>
          <w:p w14:paraId="58F2E46F">
            <w:pPr>
              <w:adjustRightInd w:val="0"/>
              <w:jc w:val="center"/>
              <w:rPr>
                <w:sz w:val="21"/>
                <w:szCs w:val="21"/>
              </w:rPr>
            </w:pPr>
          </w:p>
        </w:tc>
        <w:tc>
          <w:tcPr>
            <w:tcW w:w="1043" w:type="dxa"/>
            <w:noWrap w:val="0"/>
            <w:vAlign w:val="center"/>
          </w:tcPr>
          <w:p w14:paraId="670683FE">
            <w:pPr>
              <w:adjustRightInd w:val="0"/>
              <w:jc w:val="center"/>
              <w:rPr>
                <w:sz w:val="21"/>
                <w:szCs w:val="21"/>
              </w:rPr>
            </w:pPr>
          </w:p>
        </w:tc>
      </w:tr>
      <w:tr w14:paraId="48C3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56D3F48">
            <w:pPr>
              <w:adjustRightInd w:val="0"/>
              <w:jc w:val="center"/>
              <w:rPr>
                <w:sz w:val="21"/>
                <w:szCs w:val="21"/>
              </w:rPr>
            </w:pPr>
          </w:p>
        </w:tc>
        <w:tc>
          <w:tcPr>
            <w:tcW w:w="1272" w:type="dxa"/>
            <w:noWrap w:val="0"/>
            <w:vAlign w:val="center"/>
          </w:tcPr>
          <w:p w14:paraId="2517C1AC">
            <w:pPr>
              <w:adjustRightInd w:val="0"/>
              <w:jc w:val="center"/>
              <w:rPr>
                <w:sz w:val="21"/>
                <w:szCs w:val="21"/>
              </w:rPr>
            </w:pPr>
          </w:p>
        </w:tc>
        <w:tc>
          <w:tcPr>
            <w:tcW w:w="1190" w:type="dxa"/>
            <w:noWrap w:val="0"/>
            <w:vAlign w:val="center"/>
          </w:tcPr>
          <w:p w14:paraId="03A29AE0">
            <w:pPr>
              <w:adjustRightInd w:val="0"/>
              <w:jc w:val="center"/>
              <w:rPr>
                <w:sz w:val="21"/>
                <w:szCs w:val="21"/>
              </w:rPr>
            </w:pPr>
          </w:p>
        </w:tc>
        <w:tc>
          <w:tcPr>
            <w:tcW w:w="1186" w:type="dxa"/>
            <w:noWrap w:val="0"/>
            <w:vAlign w:val="center"/>
          </w:tcPr>
          <w:p w14:paraId="0E6B470C">
            <w:pPr>
              <w:adjustRightInd w:val="0"/>
              <w:jc w:val="center"/>
              <w:rPr>
                <w:sz w:val="21"/>
                <w:szCs w:val="21"/>
              </w:rPr>
            </w:pPr>
          </w:p>
        </w:tc>
        <w:tc>
          <w:tcPr>
            <w:tcW w:w="1060" w:type="dxa"/>
            <w:noWrap w:val="0"/>
            <w:vAlign w:val="center"/>
          </w:tcPr>
          <w:p w14:paraId="61344F38">
            <w:pPr>
              <w:adjustRightInd w:val="0"/>
              <w:jc w:val="center"/>
              <w:rPr>
                <w:sz w:val="21"/>
                <w:szCs w:val="21"/>
              </w:rPr>
            </w:pPr>
          </w:p>
        </w:tc>
        <w:tc>
          <w:tcPr>
            <w:tcW w:w="1227" w:type="dxa"/>
            <w:noWrap w:val="0"/>
            <w:vAlign w:val="center"/>
          </w:tcPr>
          <w:p w14:paraId="38B478A0">
            <w:pPr>
              <w:adjustRightInd w:val="0"/>
              <w:jc w:val="center"/>
              <w:rPr>
                <w:sz w:val="21"/>
                <w:szCs w:val="21"/>
              </w:rPr>
            </w:pPr>
          </w:p>
        </w:tc>
        <w:tc>
          <w:tcPr>
            <w:tcW w:w="1528" w:type="dxa"/>
            <w:noWrap w:val="0"/>
            <w:vAlign w:val="center"/>
          </w:tcPr>
          <w:p w14:paraId="50320C58">
            <w:pPr>
              <w:adjustRightInd w:val="0"/>
              <w:jc w:val="center"/>
              <w:rPr>
                <w:sz w:val="21"/>
                <w:szCs w:val="21"/>
              </w:rPr>
            </w:pPr>
          </w:p>
        </w:tc>
        <w:tc>
          <w:tcPr>
            <w:tcW w:w="1043" w:type="dxa"/>
            <w:noWrap w:val="0"/>
            <w:vAlign w:val="center"/>
          </w:tcPr>
          <w:p w14:paraId="1D780FBE">
            <w:pPr>
              <w:adjustRightInd w:val="0"/>
              <w:jc w:val="center"/>
              <w:rPr>
                <w:sz w:val="21"/>
                <w:szCs w:val="21"/>
              </w:rPr>
            </w:pPr>
          </w:p>
        </w:tc>
      </w:tr>
      <w:tr w14:paraId="4548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25DDAC6">
            <w:pPr>
              <w:adjustRightInd w:val="0"/>
              <w:jc w:val="center"/>
              <w:rPr>
                <w:sz w:val="21"/>
                <w:szCs w:val="21"/>
              </w:rPr>
            </w:pPr>
          </w:p>
        </w:tc>
        <w:tc>
          <w:tcPr>
            <w:tcW w:w="1272" w:type="dxa"/>
            <w:noWrap w:val="0"/>
            <w:vAlign w:val="center"/>
          </w:tcPr>
          <w:p w14:paraId="472CB1BE">
            <w:pPr>
              <w:adjustRightInd w:val="0"/>
              <w:jc w:val="center"/>
              <w:rPr>
                <w:sz w:val="21"/>
                <w:szCs w:val="21"/>
              </w:rPr>
            </w:pPr>
          </w:p>
        </w:tc>
        <w:tc>
          <w:tcPr>
            <w:tcW w:w="1190" w:type="dxa"/>
            <w:noWrap w:val="0"/>
            <w:vAlign w:val="center"/>
          </w:tcPr>
          <w:p w14:paraId="24F2FFC2">
            <w:pPr>
              <w:adjustRightInd w:val="0"/>
              <w:jc w:val="center"/>
              <w:rPr>
                <w:sz w:val="21"/>
                <w:szCs w:val="21"/>
              </w:rPr>
            </w:pPr>
          </w:p>
        </w:tc>
        <w:tc>
          <w:tcPr>
            <w:tcW w:w="1186" w:type="dxa"/>
            <w:noWrap w:val="0"/>
            <w:vAlign w:val="center"/>
          </w:tcPr>
          <w:p w14:paraId="5BD09570">
            <w:pPr>
              <w:adjustRightInd w:val="0"/>
              <w:jc w:val="center"/>
              <w:rPr>
                <w:sz w:val="21"/>
                <w:szCs w:val="21"/>
              </w:rPr>
            </w:pPr>
          </w:p>
        </w:tc>
        <w:tc>
          <w:tcPr>
            <w:tcW w:w="1060" w:type="dxa"/>
            <w:noWrap w:val="0"/>
            <w:vAlign w:val="center"/>
          </w:tcPr>
          <w:p w14:paraId="6E5ADBCF">
            <w:pPr>
              <w:adjustRightInd w:val="0"/>
              <w:jc w:val="center"/>
              <w:rPr>
                <w:sz w:val="21"/>
                <w:szCs w:val="21"/>
              </w:rPr>
            </w:pPr>
          </w:p>
        </w:tc>
        <w:tc>
          <w:tcPr>
            <w:tcW w:w="1227" w:type="dxa"/>
            <w:noWrap w:val="0"/>
            <w:vAlign w:val="center"/>
          </w:tcPr>
          <w:p w14:paraId="3D5721DB">
            <w:pPr>
              <w:adjustRightInd w:val="0"/>
              <w:jc w:val="center"/>
              <w:rPr>
                <w:sz w:val="21"/>
                <w:szCs w:val="21"/>
              </w:rPr>
            </w:pPr>
          </w:p>
        </w:tc>
        <w:tc>
          <w:tcPr>
            <w:tcW w:w="1528" w:type="dxa"/>
            <w:noWrap w:val="0"/>
            <w:vAlign w:val="center"/>
          </w:tcPr>
          <w:p w14:paraId="6188AE25">
            <w:pPr>
              <w:adjustRightInd w:val="0"/>
              <w:jc w:val="center"/>
              <w:rPr>
                <w:sz w:val="21"/>
                <w:szCs w:val="21"/>
              </w:rPr>
            </w:pPr>
          </w:p>
        </w:tc>
        <w:tc>
          <w:tcPr>
            <w:tcW w:w="1043" w:type="dxa"/>
            <w:noWrap w:val="0"/>
            <w:vAlign w:val="center"/>
          </w:tcPr>
          <w:p w14:paraId="2D0866FA">
            <w:pPr>
              <w:adjustRightInd w:val="0"/>
              <w:jc w:val="center"/>
              <w:rPr>
                <w:sz w:val="21"/>
                <w:szCs w:val="21"/>
              </w:rPr>
            </w:pPr>
          </w:p>
        </w:tc>
      </w:tr>
      <w:tr w14:paraId="765B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DFC44FA">
            <w:pPr>
              <w:adjustRightInd w:val="0"/>
              <w:jc w:val="center"/>
              <w:rPr>
                <w:sz w:val="21"/>
                <w:szCs w:val="21"/>
              </w:rPr>
            </w:pPr>
          </w:p>
        </w:tc>
        <w:tc>
          <w:tcPr>
            <w:tcW w:w="1272" w:type="dxa"/>
            <w:noWrap w:val="0"/>
            <w:vAlign w:val="center"/>
          </w:tcPr>
          <w:p w14:paraId="1AF9D4A3">
            <w:pPr>
              <w:adjustRightInd w:val="0"/>
              <w:jc w:val="center"/>
              <w:rPr>
                <w:sz w:val="21"/>
                <w:szCs w:val="21"/>
              </w:rPr>
            </w:pPr>
          </w:p>
        </w:tc>
        <w:tc>
          <w:tcPr>
            <w:tcW w:w="1190" w:type="dxa"/>
            <w:noWrap w:val="0"/>
            <w:vAlign w:val="center"/>
          </w:tcPr>
          <w:p w14:paraId="5C6B8D0E">
            <w:pPr>
              <w:adjustRightInd w:val="0"/>
              <w:jc w:val="center"/>
              <w:rPr>
                <w:sz w:val="21"/>
                <w:szCs w:val="21"/>
              </w:rPr>
            </w:pPr>
          </w:p>
        </w:tc>
        <w:tc>
          <w:tcPr>
            <w:tcW w:w="1186" w:type="dxa"/>
            <w:noWrap w:val="0"/>
            <w:vAlign w:val="center"/>
          </w:tcPr>
          <w:p w14:paraId="0066E509">
            <w:pPr>
              <w:adjustRightInd w:val="0"/>
              <w:jc w:val="center"/>
              <w:rPr>
                <w:sz w:val="21"/>
                <w:szCs w:val="21"/>
              </w:rPr>
            </w:pPr>
          </w:p>
        </w:tc>
        <w:tc>
          <w:tcPr>
            <w:tcW w:w="1060" w:type="dxa"/>
            <w:noWrap w:val="0"/>
            <w:vAlign w:val="center"/>
          </w:tcPr>
          <w:p w14:paraId="1DB0DA5B">
            <w:pPr>
              <w:adjustRightInd w:val="0"/>
              <w:jc w:val="center"/>
              <w:rPr>
                <w:sz w:val="21"/>
                <w:szCs w:val="21"/>
              </w:rPr>
            </w:pPr>
          </w:p>
        </w:tc>
        <w:tc>
          <w:tcPr>
            <w:tcW w:w="1227" w:type="dxa"/>
            <w:noWrap w:val="0"/>
            <w:vAlign w:val="center"/>
          </w:tcPr>
          <w:p w14:paraId="5E56EAD2">
            <w:pPr>
              <w:adjustRightInd w:val="0"/>
              <w:jc w:val="center"/>
              <w:rPr>
                <w:sz w:val="21"/>
                <w:szCs w:val="21"/>
              </w:rPr>
            </w:pPr>
          </w:p>
        </w:tc>
        <w:tc>
          <w:tcPr>
            <w:tcW w:w="1528" w:type="dxa"/>
            <w:noWrap w:val="0"/>
            <w:vAlign w:val="center"/>
          </w:tcPr>
          <w:p w14:paraId="7F292664">
            <w:pPr>
              <w:adjustRightInd w:val="0"/>
              <w:jc w:val="center"/>
              <w:rPr>
                <w:sz w:val="21"/>
                <w:szCs w:val="21"/>
              </w:rPr>
            </w:pPr>
          </w:p>
        </w:tc>
        <w:tc>
          <w:tcPr>
            <w:tcW w:w="1043" w:type="dxa"/>
            <w:noWrap w:val="0"/>
            <w:vAlign w:val="center"/>
          </w:tcPr>
          <w:p w14:paraId="1D116A7B">
            <w:pPr>
              <w:adjustRightInd w:val="0"/>
              <w:jc w:val="center"/>
              <w:rPr>
                <w:sz w:val="21"/>
                <w:szCs w:val="21"/>
              </w:rPr>
            </w:pPr>
          </w:p>
        </w:tc>
      </w:tr>
      <w:tr w14:paraId="4EB4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0A7BC81">
            <w:pPr>
              <w:adjustRightInd w:val="0"/>
              <w:jc w:val="center"/>
              <w:rPr>
                <w:sz w:val="21"/>
                <w:szCs w:val="21"/>
              </w:rPr>
            </w:pPr>
          </w:p>
        </w:tc>
        <w:tc>
          <w:tcPr>
            <w:tcW w:w="1272" w:type="dxa"/>
            <w:noWrap w:val="0"/>
            <w:vAlign w:val="center"/>
          </w:tcPr>
          <w:p w14:paraId="2A160BB1">
            <w:pPr>
              <w:adjustRightInd w:val="0"/>
              <w:jc w:val="center"/>
              <w:rPr>
                <w:sz w:val="21"/>
                <w:szCs w:val="21"/>
              </w:rPr>
            </w:pPr>
          </w:p>
        </w:tc>
        <w:tc>
          <w:tcPr>
            <w:tcW w:w="1190" w:type="dxa"/>
            <w:noWrap w:val="0"/>
            <w:vAlign w:val="center"/>
          </w:tcPr>
          <w:p w14:paraId="659F02FC">
            <w:pPr>
              <w:adjustRightInd w:val="0"/>
              <w:jc w:val="center"/>
              <w:rPr>
                <w:sz w:val="21"/>
                <w:szCs w:val="21"/>
              </w:rPr>
            </w:pPr>
          </w:p>
        </w:tc>
        <w:tc>
          <w:tcPr>
            <w:tcW w:w="1186" w:type="dxa"/>
            <w:noWrap w:val="0"/>
            <w:vAlign w:val="center"/>
          </w:tcPr>
          <w:p w14:paraId="7D4982CF">
            <w:pPr>
              <w:adjustRightInd w:val="0"/>
              <w:jc w:val="center"/>
              <w:rPr>
                <w:sz w:val="21"/>
                <w:szCs w:val="21"/>
              </w:rPr>
            </w:pPr>
          </w:p>
        </w:tc>
        <w:tc>
          <w:tcPr>
            <w:tcW w:w="1060" w:type="dxa"/>
            <w:noWrap w:val="0"/>
            <w:vAlign w:val="center"/>
          </w:tcPr>
          <w:p w14:paraId="60847457">
            <w:pPr>
              <w:adjustRightInd w:val="0"/>
              <w:jc w:val="center"/>
              <w:rPr>
                <w:sz w:val="21"/>
                <w:szCs w:val="21"/>
              </w:rPr>
            </w:pPr>
          </w:p>
        </w:tc>
        <w:tc>
          <w:tcPr>
            <w:tcW w:w="1227" w:type="dxa"/>
            <w:noWrap w:val="0"/>
            <w:vAlign w:val="center"/>
          </w:tcPr>
          <w:p w14:paraId="0680A890">
            <w:pPr>
              <w:adjustRightInd w:val="0"/>
              <w:jc w:val="center"/>
              <w:rPr>
                <w:sz w:val="21"/>
                <w:szCs w:val="21"/>
              </w:rPr>
            </w:pPr>
          </w:p>
        </w:tc>
        <w:tc>
          <w:tcPr>
            <w:tcW w:w="1528" w:type="dxa"/>
            <w:noWrap w:val="0"/>
            <w:vAlign w:val="center"/>
          </w:tcPr>
          <w:p w14:paraId="0686469B">
            <w:pPr>
              <w:adjustRightInd w:val="0"/>
              <w:jc w:val="center"/>
              <w:rPr>
                <w:sz w:val="21"/>
                <w:szCs w:val="21"/>
              </w:rPr>
            </w:pPr>
          </w:p>
        </w:tc>
        <w:tc>
          <w:tcPr>
            <w:tcW w:w="1043" w:type="dxa"/>
            <w:noWrap w:val="0"/>
            <w:vAlign w:val="center"/>
          </w:tcPr>
          <w:p w14:paraId="07D31BDE">
            <w:pPr>
              <w:adjustRightInd w:val="0"/>
              <w:jc w:val="center"/>
              <w:rPr>
                <w:sz w:val="21"/>
                <w:szCs w:val="21"/>
              </w:rPr>
            </w:pPr>
          </w:p>
        </w:tc>
      </w:tr>
      <w:tr w14:paraId="3D9E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D3E1D62">
            <w:pPr>
              <w:adjustRightInd w:val="0"/>
              <w:jc w:val="center"/>
              <w:rPr>
                <w:sz w:val="21"/>
                <w:szCs w:val="21"/>
              </w:rPr>
            </w:pPr>
          </w:p>
        </w:tc>
        <w:tc>
          <w:tcPr>
            <w:tcW w:w="1272" w:type="dxa"/>
            <w:noWrap w:val="0"/>
            <w:vAlign w:val="center"/>
          </w:tcPr>
          <w:p w14:paraId="6EA3AB0D">
            <w:pPr>
              <w:adjustRightInd w:val="0"/>
              <w:jc w:val="center"/>
              <w:rPr>
                <w:sz w:val="21"/>
                <w:szCs w:val="21"/>
              </w:rPr>
            </w:pPr>
          </w:p>
        </w:tc>
        <w:tc>
          <w:tcPr>
            <w:tcW w:w="1190" w:type="dxa"/>
            <w:noWrap w:val="0"/>
            <w:vAlign w:val="center"/>
          </w:tcPr>
          <w:p w14:paraId="581DCDB9">
            <w:pPr>
              <w:adjustRightInd w:val="0"/>
              <w:jc w:val="center"/>
              <w:rPr>
                <w:sz w:val="21"/>
                <w:szCs w:val="21"/>
              </w:rPr>
            </w:pPr>
          </w:p>
        </w:tc>
        <w:tc>
          <w:tcPr>
            <w:tcW w:w="1186" w:type="dxa"/>
            <w:noWrap w:val="0"/>
            <w:vAlign w:val="center"/>
          </w:tcPr>
          <w:p w14:paraId="57812346">
            <w:pPr>
              <w:adjustRightInd w:val="0"/>
              <w:jc w:val="center"/>
              <w:rPr>
                <w:sz w:val="21"/>
                <w:szCs w:val="21"/>
              </w:rPr>
            </w:pPr>
          </w:p>
        </w:tc>
        <w:tc>
          <w:tcPr>
            <w:tcW w:w="1060" w:type="dxa"/>
            <w:noWrap w:val="0"/>
            <w:vAlign w:val="center"/>
          </w:tcPr>
          <w:p w14:paraId="2737C265">
            <w:pPr>
              <w:adjustRightInd w:val="0"/>
              <w:jc w:val="center"/>
              <w:rPr>
                <w:sz w:val="21"/>
                <w:szCs w:val="21"/>
              </w:rPr>
            </w:pPr>
          </w:p>
        </w:tc>
        <w:tc>
          <w:tcPr>
            <w:tcW w:w="1227" w:type="dxa"/>
            <w:noWrap w:val="0"/>
            <w:vAlign w:val="center"/>
          </w:tcPr>
          <w:p w14:paraId="137B6560">
            <w:pPr>
              <w:adjustRightInd w:val="0"/>
              <w:jc w:val="center"/>
              <w:rPr>
                <w:sz w:val="21"/>
                <w:szCs w:val="21"/>
              </w:rPr>
            </w:pPr>
          </w:p>
        </w:tc>
        <w:tc>
          <w:tcPr>
            <w:tcW w:w="1528" w:type="dxa"/>
            <w:noWrap w:val="0"/>
            <w:vAlign w:val="center"/>
          </w:tcPr>
          <w:p w14:paraId="235B5856">
            <w:pPr>
              <w:adjustRightInd w:val="0"/>
              <w:jc w:val="center"/>
              <w:rPr>
                <w:sz w:val="21"/>
                <w:szCs w:val="21"/>
              </w:rPr>
            </w:pPr>
          </w:p>
        </w:tc>
        <w:tc>
          <w:tcPr>
            <w:tcW w:w="1043" w:type="dxa"/>
            <w:noWrap w:val="0"/>
            <w:vAlign w:val="center"/>
          </w:tcPr>
          <w:p w14:paraId="3DA8E86F">
            <w:pPr>
              <w:adjustRightInd w:val="0"/>
              <w:jc w:val="center"/>
              <w:rPr>
                <w:sz w:val="21"/>
                <w:szCs w:val="21"/>
              </w:rPr>
            </w:pPr>
          </w:p>
        </w:tc>
      </w:tr>
      <w:tr w14:paraId="1D54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8C95C5">
            <w:pPr>
              <w:adjustRightInd w:val="0"/>
              <w:jc w:val="center"/>
              <w:rPr>
                <w:sz w:val="21"/>
                <w:szCs w:val="21"/>
              </w:rPr>
            </w:pPr>
          </w:p>
        </w:tc>
        <w:tc>
          <w:tcPr>
            <w:tcW w:w="1272" w:type="dxa"/>
            <w:noWrap w:val="0"/>
            <w:vAlign w:val="center"/>
          </w:tcPr>
          <w:p w14:paraId="3AD2FAE3">
            <w:pPr>
              <w:adjustRightInd w:val="0"/>
              <w:jc w:val="center"/>
              <w:rPr>
                <w:sz w:val="21"/>
                <w:szCs w:val="21"/>
              </w:rPr>
            </w:pPr>
          </w:p>
        </w:tc>
        <w:tc>
          <w:tcPr>
            <w:tcW w:w="1190" w:type="dxa"/>
            <w:noWrap w:val="0"/>
            <w:vAlign w:val="center"/>
          </w:tcPr>
          <w:p w14:paraId="383E9424">
            <w:pPr>
              <w:adjustRightInd w:val="0"/>
              <w:jc w:val="center"/>
              <w:rPr>
                <w:sz w:val="21"/>
                <w:szCs w:val="21"/>
              </w:rPr>
            </w:pPr>
          </w:p>
        </w:tc>
        <w:tc>
          <w:tcPr>
            <w:tcW w:w="1186" w:type="dxa"/>
            <w:noWrap w:val="0"/>
            <w:vAlign w:val="center"/>
          </w:tcPr>
          <w:p w14:paraId="5D2B8CA5">
            <w:pPr>
              <w:adjustRightInd w:val="0"/>
              <w:jc w:val="center"/>
              <w:rPr>
                <w:sz w:val="21"/>
                <w:szCs w:val="21"/>
              </w:rPr>
            </w:pPr>
          </w:p>
        </w:tc>
        <w:tc>
          <w:tcPr>
            <w:tcW w:w="1060" w:type="dxa"/>
            <w:noWrap w:val="0"/>
            <w:vAlign w:val="center"/>
          </w:tcPr>
          <w:p w14:paraId="24EFBB12">
            <w:pPr>
              <w:adjustRightInd w:val="0"/>
              <w:jc w:val="center"/>
              <w:rPr>
                <w:sz w:val="21"/>
                <w:szCs w:val="21"/>
              </w:rPr>
            </w:pPr>
          </w:p>
        </w:tc>
        <w:tc>
          <w:tcPr>
            <w:tcW w:w="1227" w:type="dxa"/>
            <w:noWrap w:val="0"/>
            <w:vAlign w:val="center"/>
          </w:tcPr>
          <w:p w14:paraId="413EBDB8">
            <w:pPr>
              <w:adjustRightInd w:val="0"/>
              <w:jc w:val="center"/>
              <w:rPr>
                <w:sz w:val="21"/>
                <w:szCs w:val="21"/>
              </w:rPr>
            </w:pPr>
          </w:p>
        </w:tc>
        <w:tc>
          <w:tcPr>
            <w:tcW w:w="1528" w:type="dxa"/>
            <w:noWrap w:val="0"/>
            <w:vAlign w:val="center"/>
          </w:tcPr>
          <w:p w14:paraId="7E985D46">
            <w:pPr>
              <w:adjustRightInd w:val="0"/>
              <w:jc w:val="center"/>
              <w:rPr>
                <w:sz w:val="21"/>
                <w:szCs w:val="21"/>
              </w:rPr>
            </w:pPr>
          </w:p>
        </w:tc>
        <w:tc>
          <w:tcPr>
            <w:tcW w:w="1043" w:type="dxa"/>
            <w:noWrap w:val="0"/>
            <w:vAlign w:val="center"/>
          </w:tcPr>
          <w:p w14:paraId="46105C5F">
            <w:pPr>
              <w:adjustRightInd w:val="0"/>
              <w:jc w:val="center"/>
              <w:rPr>
                <w:sz w:val="21"/>
                <w:szCs w:val="21"/>
              </w:rPr>
            </w:pPr>
          </w:p>
        </w:tc>
      </w:tr>
      <w:tr w14:paraId="4DF1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13557A">
            <w:pPr>
              <w:adjustRightInd w:val="0"/>
              <w:jc w:val="center"/>
              <w:rPr>
                <w:sz w:val="21"/>
                <w:szCs w:val="21"/>
              </w:rPr>
            </w:pPr>
          </w:p>
        </w:tc>
        <w:tc>
          <w:tcPr>
            <w:tcW w:w="1272" w:type="dxa"/>
            <w:noWrap w:val="0"/>
            <w:vAlign w:val="center"/>
          </w:tcPr>
          <w:p w14:paraId="2FD87EF7">
            <w:pPr>
              <w:adjustRightInd w:val="0"/>
              <w:jc w:val="center"/>
              <w:rPr>
                <w:sz w:val="21"/>
                <w:szCs w:val="21"/>
              </w:rPr>
            </w:pPr>
          </w:p>
        </w:tc>
        <w:tc>
          <w:tcPr>
            <w:tcW w:w="1190" w:type="dxa"/>
            <w:noWrap w:val="0"/>
            <w:vAlign w:val="center"/>
          </w:tcPr>
          <w:p w14:paraId="7411CEEA">
            <w:pPr>
              <w:adjustRightInd w:val="0"/>
              <w:jc w:val="center"/>
              <w:rPr>
                <w:sz w:val="21"/>
                <w:szCs w:val="21"/>
              </w:rPr>
            </w:pPr>
          </w:p>
        </w:tc>
        <w:tc>
          <w:tcPr>
            <w:tcW w:w="1186" w:type="dxa"/>
            <w:noWrap w:val="0"/>
            <w:vAlign w:val="center"/>
          </w:tcPr>
          <w:p w14:paraId="0EDA409B">
            <w:pPr>
              <w:adjustRightInd w:val="0"/>
              <w:jc w:val="center"/>
              <w:rPr>
                <w:sz w:val="21"/>
                <w:szCs w:val="21"/>
              </w:rPr>
            </w:pPr>
          </w:p>
        </w:tc>
        <w:tc>
          <w:tcPr>
            <w:tcW w:w="1060" w:type="dxa"/>
            <w:noWrap w:val="0"/>
            <w:vAlign w:val="center"/>
          </w:tcPr>
          <w:p w14:paraId="36532077">
            <w:pPr>
              <w:adjustRightInd w:val="0"/>
              <w:jc w:val="center"/>
              <w:rPr>
                <w:sz w:val="21"/>
                <w:szCs w:val="21"/>
              </w:rPr>
            </w:pPr>
          </w:p>
        </w:tc>
        <w:tc>
          <w:tcPr>
            <w:tcW w:w="1227" w:type="dxa"/>
            <w:noWrap w:val="0"/>
            <w:vAlign w:val="center"/>
          </w:tcPr>
          <w:p w14:paraId="33DE704D">
            <w:pPr>
              <w:adjustRightInd w:val="0"/>
              <w:jc w:val="center"/>
              <w:rPr>
                <w:sz w:val="21"/>
                <w:szCs w:val="21"/>
              </w:rPr>
            </w:pPr>
          </w:p>
        </w:tc>
        <w:tc>
          <w:tcPr>
            <w:tcW w:w="1528" w:type="dxa"/>
            <w:noWrap w:val="0"/>
            <w:vAlign w:val="center"/>
          </w:tcPr>
          <w:p w14:paraId="5326D339">
            <w:pPr>
              <w:adjustRightInd w:val="0"/>
              <w:jc w:val="center"/>
              <w:rPr>
                <w:sz w:val="21"/>
                <w:szCs w:val="21"/>
              </w:rPr>
            </w:pPr>
          </w:p>
        </w:tc>
        <w:tc>
          <w:tcPr>
            <w:tcW w:w="1043" w:type="dxa"/>
            <w:noWrap w:val="0"/>
            <w:vAlign w:val="center"/>
          </w:tcPr>
          <w:p w14:paraId="4FCCCF66">
            <w:pPr>
              <w:adjustRightInd w:val="0"/>
              <w:jc w:val="center"/>
              <w:rPr>
                <w:sz w:val="21"/>
                <w:szCs w:val="21"/>
              </w:rPr>
            </w:pPr>
          </w:p>
        </w:tc>
      </w:tr>
      <w:tr w14:paraId="3456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920AA8">
            <w:pPr>
              <w:adjustRightInd w:val="0"/>
              <w:jc w:val="center"/>
              <w:rPr>
                <w:sz w:val="21"/>
                <w:szCs w:val="21"/>
              </w:rPr>
            </w:pPr>
          </w:p>
        </w:tc>
        <w:tc>
          <w:tcPr>
            <w:tcW w:w="1272" w:type="dxa"/>
            <w:noWrap w:val="0"/>
            <w:vAlign w:val="center"/>
          </w:tcPr>
          <w:p w14:paraId="3F402C15">
            <w:pPr>
              <w:adjustRightInd w:val="0"/>
              <w:jc w:val="center"/>
              <w:rPr>
                <w:sz w:val="21"/>
                <w:szCs w:val="21"/>
              </w:rPr>
            </w:pPr>
          </w:p>
        </w:tc>
        <w:tc>
          <w:tcPr>
            <w:tcW w:w="1190" w:type="dxa"/>
            <w:noWrap w:val="0"/>
            <w:vAlign w:val="center"/>
          </w:tcPr>
          <w:p w14:paraId="74A9FD1D">
            <w:pPr>
              <w:adjustRightInd w:val="0"/>
              <w:jc w:val="center"/>
              <w:rPr>
                <w:sz w:val="21"/>
                <w:szCs w:val="21"/>
              </w:rPr>
            </w:pPr>
          </w:p>
        </w:tc>
        <w:tc>
          <w:tcPr>
            <w:tcW w:w="1186" w:type="dxa"/>
            <w:noWrap w:val="0"/>
            <w:vAlign w:val="center"/>
          </w:tcPr>
          <w:p w14:paraId="56849491">
            <w:pPr>
              <w:adjustRightInd w:val="0"/>
              <w:jc w:val="center"/>
              <w:rPr>
                <w:sz w:val="21"/>
                <w:szCs w:val="21"/>
              </w:rPr>
            </w:pPr>
          </w:p>
        </w:tc>
        <w:tc>
          <w:tcPr>
            <w:tcW w:w="1060" w:type="dxa"/>
            <w:noWrap w:val="0"/>
            <w:vAlign w:val="center"/>
          </w:tcPr>
          <w:p w14:paraId="4FDA0C2D">
            <w:pPr>
              <w:adjustRightInd w:val="0"/>
              <w:jc w:val="center"/>
              <w:rPr>
                <w:sz w:val="21"/>
                <w:szCs w:val="21"/>
              </w:rPr>
            </w:pPr>
          </w:p>
        </w:tc>
        <w:tc>
          <w:tcPr>
            <w:tcW w:w="1227" w:type="dxa"/>
            <w:noWrap w:val="0"/>
            <w:vAlign w:val="center"/>
          </w:tcPr>
          <w:p w14:paraId="0722581D">
            <w:pPr>
              <w:adjustRightInd w:val="0"/>
              <w:jc w:val="center"/>
              <w:rPr>
                <w:sz w:val="21"/>
                <w:szCs w:val="21"/>
              </w:rPr>
            </w:pPr>
          </w:p>
        </w:tc>
        <w:tc>
          <w:tcPr>
            <w:tcW w:w="1528" w:type="dxa"/>
            <w:noWrap w:val="0"/>
            <w:vAlign w:val="center"/>
          </w:tcPr>
          <w:p w14:paraId="2B345080">
            <w:pPr>
              <w:adjustRightInd w:val="0"/>
              <w:jc w:val="center"/>
              <w:rPr>
                <w:sz w:val="21"/>
                <w:szCs w:val="21"/>
              </w:rPr>
            </w:pPr>
          </w:p>
        </w:tc>
        <w:tc>
          <w:tcPr>
            <w:tcW w:w="1043" w:type="dxa"/>
            <w:noWrap w:val="0"/>
            <w:vAlign w:val="center"/>
          </w:tcPr>
          <w:p w14:paraId="5C41C7AB">
            <w:pPr>
              <w:adjustRightInd w:val="0"/>
              <w:jc w:val="center"/>
              <w:rPr>
                <w:sz w:val="21"/>
                <w:szCs w:val="21"/>
              </w:rPr>
            </w:pPr>
          </w:p>
        </w:tc>
      </w:tr>
      <w:tr w14:paraId="4A68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E523A5B">
            <w:pPr>
              <w:adjustRightInd w:val="0"/>
              <w:jc w:val="center"/>
              <w:rPr>
                <w:sz w:val="21"/>
                <w:szCs w:val="21"/>
              </w:rPr>
            </w:pPr>
          </w:p>
        </w:tc>
        <w:tc>
          <w:tcPr>
            <w:tcW w:w="1272" w:type="dxa"/>
            <w:noWrap w:val="0"/>
            <w:vAlign w:val="center"/>
          </w:tcPr>
          <w:p w14:paraId="66FE2366">
            <w:pPr>
              <w:adjustRightInd w:val="0"/>
              <w:jc w:val="center"/>
              <w:rPr>
                <w:sz w:val="21"/>
                <w:szCs w:val="21"/>
              </w:rPr>
            </w:pPr>
          </w:p>
        </w:tc>
        <w:tc>
          <w:tcPr>
            <w:tcW w:w="1190" w:type="dxa"/>
            <w:noWrap w:val="0"/>
            <w:vAlign w:val="center"/>
          </w:tcPr>
          <w:p w14:paraId="0666DB8D">
            <w:pPr>
              <w:adjustRightInd w:val="0"/>
              <w:jc w:val="center"/>
              <w:rPr>
                <w:sz w:val="21"/>
                <w:szCs w:val="21"/>
              </w:rPr>
            </w:pPr>
          </w:p>
        </w:tc>
        <w:tc>
          <w:tcPr>
            <w:tcW w:w="1186" w:type="dxa"/>
            <w:noWrap w:val="0"/>
            <w:vAlign w:val="center"/>
          </w:tcPr>
          <w:p w14:paraId="636DE20B">
            <w:pPr>
              <w:adjustRightInd w:val="0"/>
              <w:jc w:val="center"/>
              <w:rPr>
                <w:sz w:val="21"/>
                <w:szCs w:val="21"/>
              </w:rPr>
            </w:pPr>
          </w:p>
        </w:tc>
        <w:tc>
          <w:tcPr>
            <w:tcW w:w="1060" w:type="dxa"/>
            <w:noWrap w:val="0"/>
            <w:vAlign w:val="center"/>
          </w:tcPr>
          <w:p w14:paraId="1A66C6EF">
            <w:pPr>
              <w:adjustRightInd w:val="0"/>
              <w:jc w:val="center"/>
              <w:rPr>
                <w:sz w:val="21"/>
                <w:szCs w:val="21"/>
              </w:rPr>
            </w:pPr>
          </w:p>
        </w:tc>
        <w:tc>
          <w:tcPr>
            <w:tcW w:w="1227" w:type="dxa"/>
            <w:noWrap w:val="0"/>
            <w:vAlign w:val="center"/>
          </w:tcPr>
          <w:p w14:paraId="715273D2">
            <w:pPr>
              <w:adjustRightInd w:val="0"/>
              <w:jc w:val="center"/>
              <w:rPr>
                <w:sz w:val="21"/>
                <w:szCs w:val="21"/>
              </w:rPr>
            </w:pPr>
          </w:p>
        </w:tc>
        <w:tc>
          <w:tcPr>
            <w:tcW w:w="1528" w:type="dxa"/>
            <w:noWrap w:val="0"/>
            <w:vAlign w:val="center"/>
          </w:tcPr>
          <w:p w14:paraId="1292931C">
            <w:pPr>
              <w:adjustRightInd w:val="0"/>
              <w:jc w:val="center"/>
              <w:rPr>
                <w:sz w:val="21"/>
                <w:szCs w:val="21"/>
              </w:rPr>
            </w:pPr>
          </w:p>
        </w:tc>
        <w:tc>
          <w:tcPr>
            <w:tcW w:w="1043" w:type="dxa"/>
            <w:noWrap w:val="0"/>
            <w:vAlign w:val="center"/>
          </w:tcPr>
          <w:p w14:paraId="3A80A73C">
            <w:pPr>
              <w:adjustRightInd w:val="0"/>
              <w:jc w:val="center"/>
              <w:rPr>
                <w:sz w:val="21"/>
                <w:szCs w:val="21"/>
              </w:rPr>
            </w:pPr>
          </w:p>
        </w:tc>
      </w:tr>
      <w:tr w14:paraId="32C6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05798385">
            <w:pPr>
              <w:adjustRightInd w:val="0"/>
              <w:jc w:val="center"/>
              <w:rPr>
                <w:sz w:val="21"/>
                <w:szCs w:val="21"/>
              </w:rPr>
            </w:pPr>
          </w:p>
        </w:tc>
        <w:tc>
          <w:tcPr>
            <w:tcW w:w="1272" w:type="dxa"/>
            <w:noWrap w:val="0"/>
            <w:vAlign w:val="center"/>
          </w:tcPr>
          <w:p w14:paraId="796E2DC2">
            <w:pPr>
              <w:adjustRightInd w:val="0"/>
              <w:jc w:val="center"/>
              <w:rPr>
                <w:sz w:val="21"/>
                <w:szCs w:val="21"/>
              </w:rPr>
            </w:pPr>
          </w:p>
        </w:tc>
        <w:tc>
          <w:tcPr>
            <w:tcW w:w="1190" w:type="dxa"/>
            <w:noWrap w:val="0"/>
            <w:vAlign w:val="center"/>
          </w:tcPr>
          <w:p w14:paraId="5C759C1D">
            <w:pPr>
              <w:adjustRightInd w:val="0"/>
              <w:jc w:val="center"/>
              <w:rPr>
                <w:sz w:val="21"/>
                <w:szCs w:val="21"/>
              </w:rPr>
            </w:pPr>
          </w:p>
        </w:tc>
        <w:tc>
          <w:tcPr>
            <w:tcW w:w="1186" w:type="dxa"/>
            <w:noWrap w:val="0"/>
            <w:vAlign w:val="center"/>
          </w:tcPr>
          <w:p w14:paraId="5837366B">
            <w:pPr>
              <w:adjustRightInd w:val="0"/>
              <w:jc w:val="center"/>
              <w:rPr>
                <w:sz w:val="21"/>
                <w:szCs w:val="21"/>
              </w:rPr>
            </w:pPr>
          </w:p>
        </w:tc>
        <w:tc>
          <w:tcPr>
            <w:tcW w:w="1060" w:type="dxa"/>
            <w:noWrap w:val="0"/>
            <w:vAlign w:val="center"/>
          </w:tcPr>
          <w:p w14:paraId="38133FE3">
            <w:pPr>
              <w:adjustRightInd w:val="0"/>
              <w:jc w:val="center"/>
              <w:rPr>
                <w:sz w:val="21"/>
                <w:szCs w:val="21"/>
              </w:rPr>
            </w:pPr>
          </w:p>
        </w:tc>
        <w:tc>
          <w:tcPr>
            <w:tcW w:w="1227" w:type="dxa"/>
            <w:noWrap w:val="0"/>
            <w:vAlign w:val="center"/>
          </w:tcPr>
          <w:p w14:paraId="2D807E10">
            <w:pPr>
              <w:adjustRightInd w:val="0"/>
              <w:jc w:val="center"/>
              <w:rPr>
                <w:sz w:val="21"/>
                <w:szCs w:val="21"/>
              </w:rPr>
            </w:pPr>
          </w:p>
        </w:tc>
        <w:tc>
          <w:tcPr>
            <w:tcW w:w="1528" w:type="dxa"/>
            <w:noWrap w:val="0"/>
            <w:vAlign w:val="center"/>
          </w:tcPr>
          <w:p w14:paraId="4575F687">
            <w:pPr>
              <w:adjustRightInd w:val="0"/>
              <w:jc w:val="center"/>
              <w:rPr>
                <w:sz w:val="21"/>
                <w:szCs w:val="21"/>
              </w:rPr>
            </w:pPr>
          </w:p>
        </w:tc>
        <w:tc>
          <w:tcPr>
            <w:tcW w:w="1043" w:type="dxa"/>
            <w:noWrap w:val="0"/>
            <w:vAlign w:val="center"/>
          </w:tcPr>
          <w:p w14:paraId="3297C08A">
            <w:pPr>
              <w:adjustRightInd w:val="0"/>
              <w:jc w:val="center"/>
              <w:rPr>
                <w:sz w:val="21"/>
                <w:szCs w:val="21"/>
              </w:rPr>
            </w:pPr>
          </w:p>
        </w:tc>
      </w:tr>
      <w:tr w14:paraId="4AF5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4769C2">
            <w:pPr>
              <w:adjustRightInd w:val="0"/>
              <w:jc w:val="center"/>
              <w:rPr>
                <w:sz w:val="21"/>
                <w:szCs w:val="21"/>
              </w:rPr>
            </w:pPr>
          </w:p>
        </w:tc>
        <w:tc>
          <w:tcPr>
            <w:tcW w:w="1272" w:type="dxa"/>
            <w:noWrap w:val="0"/>
            <w:vAlign w:val="center"/>
          </w:tcPr>
          <w:p w14:paraId="08341176">
            <w:pPr>
              <w:adjustRightInd w:val="0"/>
              <w:jc w:val="center"/>
              <w:rPr>
                <w:sz w:val="21"/>
                <w:szCs w:val="21"/>
              </w:rPr>
            </w:pPr>
          </w:p>
        </w:tc>
        <w:tc>
          <w:tcPr>
            <w:tcW w:w="1190" w:type="dxa"/>
            <w:noWrap w:val="0"/>
            <w:vAlign w:val="center"/>
          </w:tcPr>
          <w:p w14:paraId="29D28A48">
            <w:pPr>
              <w:adjustRightInd w:val="0"/>
              <w:jc w:val="center"/>
              <w:rPr>
                <w:sz w:val="21"/>
                <w:szCs w:val="21"/>
              </w:rPr>
            </w:pPr>
          </w:p>
        </w:tc>
        <w:tc>
          <w:tcPr>
            <w:tcW w:w="1186" w:type="dxa"/>
            <w:noWrap w:val="0"/>
            <w:vAlign w:val="center"/>
          </w:tcPr>
          <w:p w14:paraId="665F6598">
            <w:pPr>
              <w:adjustRightInd w:val="0"/>
              <w:jc w:val="center"/>
              <w:rPr>
                <w:sz w:val="21"/>
                <w:szCs w:val="21"/>
              </w:rPr>
            </w:pPr>
          </w:p>
        </w:tc>
        <w:tc>
          <w:tcPr>
            <w:tcW w:w="1060" w:type="dxa"/>
            <w:noWrap w:val="0"/>
            <w:vAlign w:val="center"/>
          </w:tcPr>
          <w:p w14:paraId="4FBBDBB5">
            <w:pPr>
              <w:adjustRightInd w:val="0"/>
              <w:jc w:val="center"/>
              <w:rPr>
                <w:sz w:val="21"/>
                <w:szCs w:val="21"/>
              </w:rPr>
            </w:pPr>
          </w:p>
        </w:tc>
        <w:tc>
          <w:tcPr>
            <w:tcW w:w="1227" w:type="dxa"/>
            <w:noWrap w:val="0"/>
            <w:vAlign w:val="center"/>
          </w:tcPr>
          <w:p w14:paraId="318189E2">
            <w:pPr>
              <w:adjustRightInd w:val="0"/>
              <w:jc w:val="center"/>
              <w:rPr>
                <w:sz w:val="21"/>
                <w:szCs w:val="21"/>
              </w:rPr>
            </w:pPr>
          </w:p>
        </w:tc>
        <w:tc>
          <w:tcPr>
            <w:tcW w:w="1528" w:type="dxa"/>
            <w:noWrap w:val="0"/>
            <w:vAlign w:val="center"/>
          </w:tcPr>
          <w:p w14:paraId="6CC2FC49">
            <w:pPr>
              <w:adjustRightInd w:val="0"/>
              <w:jc w:val="center"/>
              <w:rPr>
                <w:sz w:val="21"/>
                <w:szCs w:val="21"/>
              </w:rPr>
            </w:pPr>
          </w:p>
        </w:tc>
        <w:tc>
          <w:tcPr>
            <w:tcW w:w="1043" w:type="dxa"/>
            <w:noWrap w:val="0"/>
            <w:vAlign w:val="center"/>
          </w:tcPr>
          <w:p w14:paraId="30D7EB1A">
            <w:pPr>
              <w:adjustRightInd w:val="0"/>
              <w:jc w:val="center"/>
              <w:rPr>
                <w:sz w:val="21"/>
                <w:szCs w:val="21"/>
              </w:rPr>
            </w:pPr>
          </w:p>
        </w:tc>
      </w:tr>
      <w:bookmarkEnd w:id="363"/>
      <w:bookmarkEnd w:id="364"/>
      <w:bookmarkEnd w:id="365"/>
      <w:bookmarkEnd w:id="366"/>
      <w:bookmarkEnd w:id="367"/>
      <w:bookmarkEnd w:id="368"/>
      <w:bookmarkEnd w:id="369"/>
    </w:tbl>
    <w:p w14:paraId="0621F6F1">
      <w:pPr>
        <w:pStyle w:val="4"/>
        <w:spacing w:line="480" w:lineRule="auto"/>
        <w:jc w:val="left"/>
        <w:rPr>
          <w:rFonts w:hint="eastAsia" w:ascii="宋体" w:hAnsi="宋体" w:cs="TimesNewRomanPSMT"/>
          <w:b w:val="0"/>
          <w:bCs w:val="0"/>
          <w:color w:val="auto"/>
          <w:kern w:val="0"/>
          <w:sz w:val="21"/>
          <w:szCs w:val="21"/>
          <w:highlight w:val="none"/>
          <w:u w:val="single"/>
          <w:lang w:val="en-US" w:eastAsia="zh-CN"/>
        </w:rPr>
      </w:pPr>
      <w:r>
        <w:rPr>
          <w:rFonts w:hint="eastAsia" w:ascii="Times New Roman" w:hAnsi="Times New Roman" w:eastAsia="宋体" w:cs="Times New Roman"/>
          <w:b w:val="0"/>
          <w:bCs w:val="0"/>
          <w:sz w:val="21"/>
          <w:szCs w:val="21"/>
          <w:lang w:eastAsia="zh-CN"/>
        </w:rPr>
        <w:t>注：后附相应证书</w:t>
      </w:r>
      <w:r>
        <w:rPr>
          <w:rFonts w:hint="eastAsia" w:ascii="Times New Roman" w:hAnsi="Times New Roman" w:eastAsia="宋体" w:cs="Times New Roman"/>
          <w:b w:val="0"/>
          <w:bCs w:val="0"/>
          <w:sz w:val="21"/>
          <w:szCs w:val="21"/>
          <w:lang w:val="en-US" w:eastAsia="zh-CN"/>
        </w:rPr>
        <w:t>等资料</w:t>
      </w:r>
      <w:r>
        <w:rPr>
          <w:rFonts w:hint="eastAsia" w:ascii="Times New Roman" w:hAnsi="Times New Roman" w:eastAsia="宋体" w:cs="Times New Roman"/>
          <w:b w:val="0"/>
          <w:bCs w:val="0"/>
          <w:sz w:val="21"/>
          <w:szCs w:val="21"/>
          <w:lang w:eastAsia="zh-CN"/>
        </w:rPr>
        <w:t>复印件</w:t>
      </w:r>
    </w:p>
    <w:p w14:paraId="1F38C064">
      <w:pPr>
        <w:pStyle w:val="2"/>
        <w:rPr>
          <w:rFonts w:hint="eastAsia"/>
          <w:lang w:val="en-US" w:eastAsia="zh-CN"/>
        </w:rPr>
        <w:sectPr>
          <w:pgSz w:w="11906" w:h="16838"/>
          <w:pgMar w:top="1417" w:right="1701" w:bottom="1417" w:left="1701" w:header="851" w:footer="992" w:gutter="0"/>
          <w:pgNumType w:fmt="numberInDash"/>
          <w:cols w:space="720" w:num="1"/>
          <w:docGrid w:type="lines" w:linePitch="312" w:charSpace="0"/>
        </w:sectPr>
      </w:pPr>
    </w:p>
    <w:p w14:paraId="4B1B49B4">
      <w:pPr>
        <w:pStyle w:val="4"/>
        <w:spacing w:line="480" w:lineRule="auto"/>
        <w:jc w:val="center"/>
        <w:rPr>
          <w:rFonts w:ascii="宋体" w:hAnsi="宋体" w:cs="宋体"/>
        </w:rPr>
      </w:pPr>
      <w:r>
        <w:rPr>
          <w:rFonts w:hint="eastAsia" w:ascii="宋体" w:hAnsi="宋体" w:cs="宋体"/>
          <w:lang w:eastAsia="zh-CN"/>
        </w:rPr>
        <w:t>五、</w:t>
      </w:r>
      <w:r>
        <w:rPr>
          <w:rFonts w:hint="eastAsia" w:ascii="宋体" w:hAnsi="宋体" w:cs="宋体"/>
        </w:rPr>
        <w:t>技术部分</w:t>
      </w:r>
      <w:bookmarkEnd w:id="347"/>
      <w:bookmarkEnd w:id="348"/>
      <w:bookmarkEnd w:id="349"/>
      <w:bookmarkEnd w:id="361"/>
    </w:p>
    <w:p w14:paraId="7237C8B2">
      <w:pPr>
        <w:rPr>
          <w:rFonts w:ascii="宋体" w:hAnsi="宋体" w:cs="宋体"/>
        </w:rPr>
      </w:pPr>
    </w:p>
    <w:p w14:paraId="0EC633E6">
      <w:pPr>
        <w:jc w:val="center"/>
        <w:rPr>
          <w:rFonts w:ascii="宋体" w:hAnsi="宋体" w:cs="宋体"/>
        </w:rPr>
      </w:pPr>
      <w:r>
        <w:rPr>
          <w:rFonts w:hint="eastAsia" w:ascii="宋体" w:hAnsi="宋体" w:cs="宋体"/>
        </w:rPr>
        <w:t>（格式自拟）</w:t>
      </w:r>
    </w:p>
    <w:p w14:paraId="4F616CB9">
      <w:pPr>
        <w:rPr>
          <w:rFonts w:ascii="宋体" w:hAnsi="宋体" w:cs="宋体"/>
        </w:rPr>
      </w:pPr>
    </w:p>
    <w:p w14:paraId="0F8339ED">
      <w:pPr>
        <w:pStyle w:val="9"/>
        <w:rPr>
          <w:rFonts w:ascii="宋体" w:hAnsi="宋体" w:eastAsia="宋体" w:cs="宋体"/>
        </w:rPr>
      </w:pPr>
    </w:p>
    <w:p w14:paraId="3235AA1E">
      <w:pPr>
        <w:rPr>
          <w:rFonts w:ascii="宋体" w:hAnsi="宋体" w:cs="宋体"/>
        </w:rPr>
      </w:pPr>
    </w:p>
    <w:p w14:paraId="5BB3139C">
      <w:pPr>
        <w:pStyle w:val="9"/>
        <w:rPr>
          <w:rFonts w:ascii="宋体" w:hAnsi="宋体" w:eastAsia="宋体" w:cs="宋体"/>
        </w:rPr>
      </w:pPr>
    </w:p>
    <w:p w14:paraId="67F06EF4">
      <w:pPr>
        <w:rPr>
          <w:rFonts w:ascii="宋体" w:hAnsi="宋体" w:cs="宋体"/>
        </w:rPr>
      </w:pPr>
    </w:p>
    <w:p w14:paraId="180D14FB">
      <w:pPr>
        <w:pStyle w:val="9"/>
        <w:rPr>
          <w:rFonts w:ascii="宋体" w:hAnsi="宋体" w:eastAsia="宋体" w:cs="宋体"/>
        </w:rPr>
      </w:pPr>
    </w:p>
    <w:p w14:paraId="44C808CC">
      <w:pPr>
        <w:rPr>
          <w:rFonts w:ascii="宋体" w:hAnsi="宋体" w:cs="宋体"/>
        </w:rPr>
      </w:pPr>
    </w:p>
    <w:p w14:paraId="2FF2B7AD">
      <w:pPr>
        <w:pStyle w:val="9"/>
        <w:rPr>
          <w:rFonts w:ascii="宋体" w:hAnsi="宋体" w:eastAsia="宋体" w:cs="宋体"/>
        </w:rPr>
      </w:pPr>
    </w:p>
    <w:p w14:paraId="2D284435">
      <w:pPr>
        <w:rPr>
          <w:rFonts w:ascii="宋体" w:hAnsi="宋体" w:cs="宋体"/>
        </w:rPr>
      </w:pPr>
    </w:p>
    <w:p w14:paraId="2E149E6F">
      <w:pPr>
        <w:pStyle w:val="9"/>
        <w:rPr>
          <w:rFonts w:ascii="宋体" w:hAnsi="宋体" w:eastAsia="宋体" w:cs="宋体"/>
        </w:rPr>
      </w:pPr>
    </w:p>
    <w:p w14:paraId="7EB9C52B">
      <w:pPr>
        <w:rPr>
          <w:rFonts w:ascii="宋体" w:hAnsi="宋体" w:cs="宋体"/>
        </w:rPr>
      </w:pPr>
    </w:p>
    <w:p w14:paraId="7423D3E1">
      <w:pPr>
        <w:pStyle w:val="9"/>
        <w:rPr>
          <w:rFonts w:ascii="宋体" w:hAnsi="宋体" w:eastAsia="宋体" w:cs="宋体"/>
        </w:rPr>
      </w:pPr>
    </w:p>
    <w:p w14:paraId="60B989ED">
      <w:pPr>
        <w:rPr>
          <w:rFonts w:ascii="宋体" w:hAnsi="宋体" w:cs="宋体"/>
        </w:rPr>
      </w:pPr>
    </w:p>
    <w:p w14:paraId="777C5688">
      <w:pPr>
        <w:pStyle w:val="9"/>
        <w:rPr>
          <w:rFonts w:ascii="宋体" w:hAnsi="宋体" w:eastAsia="宋体" w:cs="宋体"/>
        </w:rPr>
      </w:pPr>
    </w:p>
    <w:p w14:paraId="6219150B">
      <w:pPr>
        <w:rPr>
          <w:rFonts w:ascii="宋体" w:hAnsi="宋体" w:cs="宋体"/>
        </w:rPr>
      </w:pPr>
    </w:p>
    <w:p w14:paraId="22D7D4C5">
      <w:pPr>
        <w:pStyle w:val="9"/>
        <w:rPr>
          <w:rFonts w:ascii="宋体" w:hAnsi="宋体" w:eastAsia="宋体" w:cs="宋体"/>
        </w:rPr>
      </w:pPr>
    </w:p>
    <w:p w14:paraId="56E2E30D">
      <w:pPr>
        <w:rPr>
          <w:rFonts w:ascii="宋体" w:hAnsi="宋体" w:eastAsia="宋体" w:cs="宋体"/>
        </w:rPr>
      </w:pPr>
      <w:r>
        <w:rPr>
          <w:rFonts w:ascii="宋体" w:hAnsi="宋体" w:cs="宋体"/>
        </w:rPr>
        <w:br w:type="page"/>
      </w:r>
    </w:p>
    <w:p w14:paraId="0CE44D1C">
      <w:pPr>
        <w:pStyle w:val="4"/>
        <w:spacing w:line="480" w:lineRule="auto"/>
        <w:jc w:val="center"/>
        <w:rPr>
          <w:rFonts w:ascii="宋体" w:hAnsi="宋体" w:cs="宋体"/>
        </w:rPr>
      </w:pPr>
      <w:bookmarkStart w:id="370" w:name="_Toc21300"/>
      <w:bookmarkStart w:id="371" w:name="_Toc4132"/>
      <w:bookmarkStart w:id="372" w:name="_Toc25636"/>
      <w:bookmarkStart w:id="373" w:name="_Toc6167"/>
      <w:r>
        <w:rPr>
          <w:rFonts w:hint="eastAsia" w:ascii="宋体" w:hAnsi="宋体" w:cs="宋体"/>
          <w:lang w:eastAsia="zh-CN"/>
        </w:rPr>
        <w:t>六</w:t>
      </w:r>
      <w:r>
        <w:rPr>
          <w:rFonts w:hint="eastAsia" w:ascii="宋体" w:hAnsi="宋体" w:cs="宋体"/>
        </w:rPr>
        <w:t>、</w:t>
      </w:r>
      <w:bookmarkEnd w:id="370"/>
      <w:bookmarkEnd w:id="371"/>
      <w:r>
        <w:rPr>
          <w:rFonts w:hint="eastAsia" w:ascii="宋体" w:hAnsi="宋体" w:cs="宋体"/>
        </w:rPr>
        <w:t>商务部分</w:t>
      </w:r>
      <w:bookmarkEnd w:id="372"/>
      <w:bookmarkEnd w:id="373"/>
    </w:p>
    <w:p w14:paraId="35ACDEF8">
      <w:pPr>
        <w:rPr>
          <w:rFonts w:ascii="宋体" w:hAnsi="宋体" w:cs="宋体"/>
          <w:szCs w:val="21"/>
        </w:rPr>
      </w:pPr>
    </w:p>
    <w:p w14:paraId="06043D6D">
      <w:pPr>
        <w:jc w:val="center"/>
        <w:rPr>
          <w:rFonts w:ascii="宋体" w:hAnsi="宋体" w:cs="宋体"/>
        </w:rPr>
      </w:pPr>
      <w:r>
        <w:rPr>
          <w:rFonts w:hint="eastAsia" w:ascii="宋体" w:hAnsi="宋体" w:cs="宋体"/>
        </w:rPr>
        <w:t>（格式自拟）</w:t>
      </w:r>
    </w:p>
    <w:p w14:paraId="3111922B">
      <w:pPr>
        <w:rPr>
          <w:rFonts w:ascii="宋体" w:hAnsi="宋体" w:cs="宋体"/>
        </w:rPr>
      </w:pPr>
    </w:p>
    <w:p w14:paraId="0FD53413">
      <w:pPr>
        <w:pStyle w:val="9"/>
        <w:rPr>
          <w:rFonts w:ascii="宋体" w:hAnsi="宋体" w:eastAsia="宋体" w:cs="宋体"/>
          <w:sz w:val="21"/>
          <w:szCs w:val="21"/>
        </w:rPr>
      </w:pPr>
    </w:p>
    <w:p w14:paraId="0A668A60">
      <w:pPr>
        <w:rPr>
          <w:rFonts w:ascii="宋体" w:hAnsi="宋体" w:cs="宋体"/>
        </w:rPr>
      </w:pPr>
    </w:p>
    <w:p w14:paraId="5CF059A4">
      <w:pPr>
        <w:pStyle w:val="45"/>
        <w:rPr>
          <w:rFonts w:ascii="宋体" w:hAnsi="宋体" w:cs="宋体"/>
        </w:rPr>
      </w:pPr>
    </w:p>
    <w:p w14:paraId="68449B5D">
      <w:pPr>
        <w:pStyle w:val="45"/>
        <w:rPr>
          <w:rFonts w:ascii="宋体" w:hAnsi="宋体" w:cs="宋体"/>
        </w:rPr>
      </w:pPr>
    </w:p>
    <w:p w14:paraId="5B232C75">
      <w:pPr>
        <w:pStyle w:val="45"/>
        <w:rPr>
          <w:rFonts w:ascii="宋体" w:hAnsi="宋体" w:cs="宋体"/>
        </w:rPr>
      </w:pPr>
    </w:p>
    <w:p w14:paraId="351BC093">
      <w:pPr>
        <w:pStyle w:val="45"/>
        <w:rPr>
          <w:rFonts w:ascii="宋体" w:hAnsi="宋体" w:cs="宋体"/>
        </w:rPr>
      </w:pPr>
    </w:p>
    <w:p w14:paraId="2A7F7E06">
      <w:pPr>
        <w:pStyle w:val="45"/>
        <w:rPr>
          <w:rFonts w:ascii="宋体" w:hAnsi="宋体" w:cs="宋体"/>
        </w:rPr>
      </w:pPr>
    </w:p>
    <w:p w14:paraId="44E844CC">
      <w:pPr>
        <w:pStyle w:val="45"/>
        <w:rPr>
          <w:rFonts w:ascii="宋体" w:hAnsi="宋体" w:cs="宋体"/>
        </w:rPr>
      </w:pPr>
    </w:p>
    <w:p w14:paraId="4330A684">
      <w:pPr>
        <w:pStyle w:val="45"/>
        <w:rPr>
          <w:rFonts w:ascii="宋体" w:hAnsi="宋体" w:cs="宋体"/>
        </w:rPr>
      </w:pPr>
    </w:p>
    <w:p w14:paraId="09612493">
      <w:pPr>
        <w:pStyle w:val="45"/>
        <w:rPr>
          <w:rFonts w:ascii="宋体" w:hAnsi="宋体" w:cs="宋体"/>
        </w:rPr>
      </w:pPr>
    </w:p>
    <w:p w14:paraId="6DE13B72">
      <w:pPr>
        <w:pStyle w:val="45"/>
        <w:rPr>
          <w:rFonts w:ascii="宋体" w:hAnsi="宋体" w:cs="宋体"/>
        </w:rPr>
      </w:pPr>
    </w:p>
    <w:p w14:paraId="420243A2">
      <w:pPr>
        <w:pStyle w:val="45"/>
        <w:rPr>
          <w:rFonts w:ascii="宋体" w:hAnsi="宋体" w:cs="宋体"/>
        </w:rPr>
      </w:pPr>
    </w:p>
    <w:p w14:paraId="0C0AB920">
      <w:pPr>
        <w:pStyle w:val="45"/>
        <w:rPr>
          <w:rFonts w:ascii="宋体" w:hAnsi="宋体" w:cs="宋体"/>
        </w:rPr>
      </w:pPr>
    </w:p>
    <w:p w14:paraId="4C21B766">
      <w:pPr>
        <w:pStyle w:val="45"/>
        <w:rPr>
          <w:rFonts w:ascii="宋体" w:hAnsi="宋体" w:cs="宋体"/>
        </w:rPr>
      </w:pPr>
    </w:p>
    <w:p w14:paraId="757EB03A">
      <w:pPr>
        <w:pStyle w:val="45"/>
        <w:rPr>
          <w:rFonts w:ascii="宋体" w:hAnsi="宋体" w:cs="宋体"/>
        </w:rPr>
      </w:pPr>
    </w:p>
    <w:p w14:paraId="6D698FF7">
      <w:pPr>
        <w:pStyle w:val="45"/>
        <w:rPr>
          <w:rFonts w:ascii="宋体" w:hAnsi="宋体" w:cs="宋体"/>
        </w:rPr>
      </w:pPr>
    </w:p>
    <w:p w14:paraId="6EB2E8B5">
      <w:pPr>
        <w:pStyle w:val="45"/>
        <w:rPr>
          <w:rFonts w:ascii="宋体" w:hAnsi="宋体" w:cs="宋体"/>
        </w:rPr>
      </w:pPr>
    </w:p>
    <w:p w14:paraId="462DA07C">
      <w:pPr>
        <w:pStyle w:val="45"/>
        <w:rPr>
          <w:rFonts w:ascii="宋体" w:hAnsi="宋体" w:cs="宋体"/>
        </w:rPr>
      </w:pPr>
    </w:p>
    <w:p w14:paraId="5C39703C">
      <w:pPr>
        <w:pStyle w:val="45"/>
        <w:rPr>
          <w:rFonts w:ascii="宋体" w:hAnsi="宋体" w:cs="宋体"/>
        </w:rPr>
      </w:pPr>
    </w:p>
    <w:p w14:paraId="14E80DD8">
      <w:pPr>
        <w:pStyle w:val="45"/>
        <w:rPr>
          <w:rFonts w:ascii="宋体" w:hAnsi="宋体" w:cs="宋体"/>
        </w:rPr>
      </w:pPr>
    </w:p>
    <w:p w14:paraId="125179AD">
      <w:pPr>
        <w:rPr>
          <w:rFonts w:ascii="宋体" w:hAnsi="宋体" w:eastAsia="宋体" w:cs="宋体"/>
        </w:rPr>
      </w:pPr>
      <w:r>
        <w:rPr>
          <w:rFonts w:ascii="宋体" w:hAnsi="宋体" w:cs="宋体"/>
        </w:rPr>
        <w:br w:type="page"/>
      </w:r>
    </w:p>
    <w:p w14:paraId="244F433F">
      <w:pPr>
        <w:pStyle w:val="4"/>
        <w:spacing w:line="480" w:lineRule="auto"/>
        <w:jc w:val="center"/>
        <w:rPr>
          <w:rFonts w:ascii="宋体" w:hAnsi="宋体" w:cs="宋体"/>
        </w:rPr>
      </w:pPr>
      <w:bookmarkStart w:id="374" w:name="_Toc20989"/>
      <w:bookmarkStart w:id="375" w:name="_Toc24001"/>
      <w:bookmarkStart w:id="376" w:name="_Toc29719"/>
      <w:bookmarkStart w:id="377" w:name="_Toc25812"/>
      <w:bookmarkStart w:id="378" w:name="_Toc430020811"/>
      <w:r>
        <w:rPr>
          <w:rFonts w:hint="eastAsia" w:ascii="宋体" w:hAnsi="宋体" w:cs="宋体"/>
          <w:lang w:eastAsia="zh-CN"/>
        </w:rPr>
        <w:t>七</w:t>
      </w:r>
      <w:r>
        <w:rPr>
          <w:rFonts w:hint="eastAsia" w:ascii="宋体" w:hAnsi="宋体" w:cs="宋体"/>
        </w:rPr>
        <w:t>、反商业贿赂承诺书</w:t>
      </w:r>
      <w:bookmarkEnd w:id="374"/>
      <w:bookmarkEnd w:id="375"/>
      <w:bookmarkEnd w:id="376"/>
      <w:bookmarkEnd w:id="377"/>
      <w:bookmarkEnd w:id="378"/>
    </w:p>
    <w:p w14:paraId="7D932C80">
      <w:pPr>
        <w:rPr>
          <w:rFonts w:ascii="宋体" w:hAnsi="宋体" w:cs="宋体"/>
        </w:rPr>
      </w:pPr>
    </w:p>
    <w:p w14:paraId="769BBBC7">
      <w:pPr>
        <w:widowControl/>
        <w:spacing w:line="360" w:lineRule="auto"/>
        <w:rPr>
          <w:rFonts w:ascii="宋体" w:hAnsi="宋体" w:cs="宋体"/>
          <w:szCs w:val="21"/>
        </w:rPr>
      </w:pPr>
      <w:r>
        <w:rPr>
          <w:rFonts w:hint="eastAsia" w:ascii="宋体" w:hAnsi="宋体" w:cs="宋体"/>
          <w:szCs w:val="21"/>
        </w:rPr>
        <w:t xml:space="preserve">我公司承诺：  </w:t>
      </w:r>
    </w:p>
    <w:p w14:paraId="1163519C">
      <w:pPr>
        <w:widowControl/>
        <w:spacing w:line="360" w:lineRule="auto"/>
        <w:ind w:firstLine="420" w:firstLineChars="200"/>
        <w:rPr>
          <w:rFonts w:ascii="宋体" w:hAnsi="宋体" w:cs="宋体"/>
          <w:szCs w:val="21"/>
        </w:rPr>
      </w:pPr>
      <w:r>
        <w:rPr>
          <w:rFonts w:hint="eastAsia" w:ascii="宋体" w:hAnsi="宋体" w:cs="宋体"/>
          <w:szCs w:val="21"/>
        </w:rPr>
        <w:t>在</w:t>
      </w:r>
      <w:r>
        <w:rPr>
          <w:rFonts w:hint="eastAsia" w:ascii="宋体" w:hAnsi="宋体" w:cs="宋体"/>
          <w:szCs w:val="21"/>
          <w:u w:val="single"/>
        </w:rPr>
        <w:t xml:space="preserve">                 （项目名称）</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）招标活动中，我公司保证做到：</w:t>
      </w:r>
    </w:p>
    <w:p w14:paraId="7331BC43">
      <w:pPr>
        <w:spacing w:line="360" w:lineRule="auto"/>
        <w:ind w:firstLine="420" w:firstLineChars="200"/>
        <w:rPr>
          <w:rFonts w:ascii="宋体" w:hAnsi="宋体" w:cs="宋体"/>
          <w:szCs w:val="21"/>
        </w:rPr>
      </w:pPr>
      <w:r>
        <w:rPr>
          <w:rFonts w:hint="eastAsia" w:ascii="宋体" w:hAnsi="宋体" w:cs="宋体"/>
          <w:szCs w:val="21"/>
        </w:rPr>
        <w:t>一、公平竞争参加本次招标活动。</w:t>
      </w:r>
    </w:p>
    <w:p w14:paraId="0706464C">
      <w:pPr>
        <w:spacing w:line="360" w:lineRule="auto"/>
        <w:ind w:firstLine="420" w:firstLineChars="200"/>
        <w:rPr>
          <w:rFonts w:ascii="宋体" w:hAnsi="宋体" w:cs="宋体"/>
          <w:szCs w:val="21"/>
        </w:rPr>
      </w:pPr>
      <w:r>
        <w:rPr>
          <w:rFonts w:hint="eastAsia" w:ascii="宋体" w:hAnsi="宋体" w:cs="宋体"/>
          <w:szCs w:val="21"/>
        </w:rPr>
        <w:t>二、杜绝任何形式的商业贿赂行为。不向国家工作人员、代理机构工作人员、评审专家及其亲属提供礼品礼金、有价证券、购物券、回扣、佣金、咨询费、劳务费、赞助费、宣传费、宴请；不为其报销各种消费凭证，不支付其旅游、娱乐等费用。</w:t>
      </w:r>
    </w:p>
    <w:p w14:paraId="78FC4483">
      <w:pPr>
        <w:spacing w:line="360" w:lineRule="auto"/>
        <w:ind w:firstLine="420" w:firstLineChars="200"/>
        <w:rPr>
          <w:rFonts w:ascii="宋体" w:hAnsi="宋体" w:cs="宋体"/>
          <w:szCs w:val="21"/>
        </w:rPr>
      </w:pPr>
      <w:r>
        <w:rPr>
          <w:rFonts w:hint="eastAsia" w:ascii="宋体" w:hAnsi="宋体" w:cs="宋体"/>
          <w:szCs w:val="21"/>
        </w:rPr>
        <w:t>三、若出现上述行为，我公司及参与投标的工作人员愿意接受按照国家法律法规等有关规定给予的处罚。</w:t>
      </w:r>
    </w:p>
    <w:p w14:paraId="42E3CA00">
      <w:pPr>
        <w:pStyle w:val="9"/>
        <w:rPr>
          <w:rFonts w:ascii="宋体" w:hAnsi="宋体" w:eastAsia="宋体" w:cs="宋体"/>
          <w:szCs w:val="21"/>
        </w:rPr>
      </w:pPr>
    </w:p>
    <w:p w14:paraId="06C5BADF">
      <w:pPr>
        <w:pStyle w:val="9"/>
        <w:rPr>
          <w:rFonts w:ascii="宋体" w:hAnsi="宋体" w:eastAsia="宋体" w:cs="宋体"/>
          <w:szCs w:val="21"/>
        </w:rPr>
      </w:pPr>
    </w:p>
    <w:p w14:paraId="65B25606">
      <w:pPr>
        <w:pStyle w:val="9"/>
        <w:rPr>
          <w:rFonts w:ascii="宋体" w:hAnsi="宋体" w:eastAsia="宋体" w:cs="宋体"/>
          <w:szCs w:val="21"/>
        </w:rPr>
      </w:pPr>
    </w:p>
    <w:p w14:paraId="4D0CDAC0">
      <w:pPr>
        <w:spacing w:line="480" w:lineRule="auto"/>
        <w:ind w:right="1440"/>
        <w:rPr>
          <w:rFonts w:ascii="宋体" w:hAnsi="宋体" w:cs="宋体"/>
          <w:szCs w:val="21"/>
        </w:rPr>
      </w:pPr>
      <w:bookmarkStart w:id="379" w:name="_Hlt520274407"/>
      <w:bookmarkEnd w:id="379"/>
      <w:bookmarkStart w:id="380" w:name="_Hlt520343392"/>
      <w:bookmarkEnd w:id="380"/>
      <w:bookmarkStart w:id="381" w:name="_Hlt520350918"/>
      <w:bookmarkEnd w:id="381"/>
      <w:bookmarkStart w:id="382" w:name="_Hlt520274065"/>
      <w:bookmarkEnd w:id="382"/>
      <w:bookmarkStart w:id="383" w:name="_Hlt520271212"/>
      <w:bookmarkEnd w:id="383"/>
      <w:bookmarkStart w:id="384" w:name="_Hlt520274393"/>
      <w:bookmarkEnd w:id="384"/>
      <w:bookmarkStart w:id="385" w:name="_Hlt520273711"/>
      <w:bookmarkEnd w:id="385"/>
      <w:bookmarkStart w:id="386" w:name="_Hlt520343000"/>
      <w:bookmarkEnd w:id="386"/>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27666216">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C38D2C4">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B907014">
      <w:pPr>
        <w:rPr>
          <w:rFonts w:ascii="宋体" w:hAnsi="宋体" w:cs="宋体"/>
        </w:rPr>
      </w:pPr>
    </w:p>
    <w:p w14:paraId="158C8047">
      <w:pPr>
        <w:rPr>
          <w:rFonts w:ascii="宋体" w:hAnsi="宋体" w:cs="宋体"/>
        </w:rPr>
      </w:pPr>
    </w:p>
    <w:p w14:paraId="39A709D3">
      <w:pPr>
        <w:rPr>
          <w:rFonts w:ascii="宋体" w:hAnsi="宋体" w:cs="宋体"/>
        </w:rPr>
      </w:pPr>
    </w:p>
    <w:p w14:paraId="6D719481">
      <w:pPr>
        <w:rPr>
          <w:rFonts w:ascii="宋体" w:hAnsi="宋体" w:cs="宋体"/>
        </w:rPr>
      </w:pPr>
    </w:p>
    <w:p w14:paraId="664AE3B0">
      <w:pPr>
        <w:rPr>
          <w:rFonts w:ascii="宋体" w:hAnsi="宋体" w:cs="宋体"/>
        </w:rPr>
      </w:pPr>
    </w:p>
    <w:p w14:paraId="6FF44395">
      <w:pPr>
        <w:rPr>
          <w:rFonts w:ascii="宋体" w:hAnsi="宋体" w:cs="宋体"/>
        </w:rPr>
      </w:pPr>
    </w:p>
    <w:p w14:paraId="36D7C709">
      <w:pPr>
        <w:rPr>
          <w:rFonts w:ascii="宋体" w:hAnsi="宋体" w:cs="宋体"/>
        </w:rPr>
      </w:pPr>
    </w:p>
    <w:p w14:paraId="2A2C71DB">
      <w:pPr>
        <w:rPr>
          <w:rFonts w:ascii="宋体" w:hAnsi="宋体" w:cs="宋体"/>
        </w:rPr>
      </w:pPr>
    </w:p>
    <w:p w14:paraId="23C4526F">
      <w:pPr>
        <w:rPr>
          <w:rFonts w:ascii="宋体" w:hAnsi="宋体" w:cs="宋体"/>
        </w:rPr>
      </w:pPr>
    </w:p>
    <w:p w14:paraId="6052133E">
      <w:pPr>
        <w:rPr>
          <w:rFonts w:ascii="宋体" w:hAnsi="宋体" w:cs="宋体"/>
        </w:rPr>
      </w:pPr>
    </w:p>
    <w:p w14:paraId="717A3BCB">
      <w:pPr>
        <w:pStyle w:val="9"/>
        <w:rPr>
          <w:rFonts w:ascii="宋体" w:hAnsi="宋体" w:eastAsia="宋体" w:cs="宋体"/>
        </w:rPr>
      </w:pPr>
    </w:p>
    <w:p w14:paraId="52EF44B4">
      <w:pPr>
        <w:rPr>
          <w:rFonts w:ascii="宋体" w:hAnsi="宋体" w:cs="宋体"/>
        </w:rPr>
      </w:pPr>
    </w:p>
    <w:p w14:paraId="1DFD0480">
      <w:r>
        <w:rPr>
          <w:rFonts w:ascii="宋体" w:hAnsi="宋体" w:cs="宋体"/>
        </w:rPr>
        <w:br w:type="page"/>
      </w:r>
    </w:p>
    <w:bookmarkEnd w:id="304"/>
    <w:p w14:paraId="76AC249A">
      <w:pPr>
        <w:pStyle w:val="4"/>
        <w:spacing w:line="480" w:lineRule="auto"/>
        <w:jc w:val="center"/>
        <w:rPr>
          <w:rFonts w:ascii="宋体" w:hAnsi="宋体" w:cs="宋体"/>
          <w:kern w:val="0"/>
          <w:szCs w:val="21"/>
        </w:rPr>
      </w:pPr>
      <w:bookmarkStart w:id="387" w:name="_Toc1337"/>
      <w:bookmarkStart w:id="388" w:name="_Toc31565"/>
      <w:bookmarkStart w:id="389" w:name="_Toc6458"/>
      <w:bookmarkStart w:id="390" w:name="_Toc23362"/>
      <w:r>
        <w:rPr>
          <w:rFonts w:hint="eastAsia" w:ascii="宋体" w:hAnsi="宋体" w:cs="宋体"/>
          <w:kern w:val="0"/>
          <w:szCs w:val="21"/>
          <w:lang w:eastAsia="zh-CN"/>
        </w:rPr>
        <w:t>八</w:t>
      </w:r>
      <w:r>
        <w:rPr>
          <w:rFonts w:hint="eastAsia" w:ascii="宋体" w:hAnsi="宋体" w:cs="宋体"/>
          <w:kern w:val="0"/>
          <w:szCs w:val="21"/>
        </w:rPr>
        <w:t>、其他资料</w:t>
      </w:r>
      <w:bookmarkEnd w:id="387"/>
      <w:bookmarkEnd w:id="388"/>
      <w:bookmarkEnd w:id="389"/>
      <w:bookmarkEnd w:id="390"/>
    </w:p>
    <w:p w14:paraId="2C314A75">
      <w:pPr>
        <w:spacing w:line="560" w:lineRule="exact"/>
        <w:rPr>
          <w:rFonts w:ascii="宋体" w:hAnsi="宋体" w:cs="宋体"/>
          <w:b/>
          <w:bCs/>
          <w:szCs w:val="21"/>
        </w:rPr>
      </w:pPr>
    </w:p>
    <w:p w14:paraId="039F8A23">
      <w:pPr>
        <w:spacing w:line="560" w:lineRule="exact"/>
        <w:jc w:val="center"/>
        <w:rPr>
          <w:rFonts w:ascii="宋体" w:hAnsi="宋体" w:cs="宋体"/>
          <w:b/>
          <w:bCs/>
          <w:szCs w:val="21"/>
        </w:rPr>
      </w:pPr>
      <w:r>
        <w:rPr>
          <w:rFonts w:hint="eastAsia" w:ascii="宋体" w:hAnsi="宋体" w:cs="宋体"/>
          <w:b/>
          <w:bCs/>
          <w:szCs w:val="21"/>
          <w:lang w:eastAsia="zh-CN"/>
        </w:rPr>
        <w:t>（一）</w:t>
      </w:r>
      <w:r>
        <w:rPr>
          <w:rFonts w:hint="eastAsia" w:ascii="宋体" w:hAnsi="宋体" w:cs="宋体"/>
          <w:b/>
          <w:bCs/>
          <w:szCs w:val="21"/>
        </w:rPr>
        <w:t>资料真实性承诺函</w:t>
      </w:r>
    </w:p>
    <w:p w14:paraId="036A10F7">
      <w:pPr>
        <w:spacing w:line="560" w:lineRule="exact"/>
        <w:jc w:val="center"/>
        <w:rPr>
          <w:rFonts w:ascii="宋体" w:hAnsi="宋体" w:cs="宋体"/>
          <w:b/>
          <w:bCs/>
          <w:szCs w:val="21"/>
        </w:rPr>
      </w:pPr>
    </w:p>
    <w:p w14:paraId="61AB919A">
      <w:pPr>
        <w:spacing w:line="560" w:lineRule="exact"/>
        <w:ind w:firstLine="420" w:firstLineChars="200"/>
        <w:jc w:val="left"/>
        <w:rPr>
          <w:rFonts w:ascii="宋体" w:hAnsi="宋体" w:cs="宋体"/>
          <w:szCs w:val="21"/>
        </w:rPr>
      </w:pPr>
      <w:r>
        <w:rPr>
          <w:rFonts w:hint="eastAsia" w:ascii="宋体" w:hAnsi="宋体" w:cs="宋体"/>
          <w:szCs w:val="21"/>
        </w:rPr>
        <w:t>我公司保证提供的</w:t>
      </w:r>
      <w:r>
        <w:rPr>
          <w:rFonts w:hint="eastAsia" w:ascii="宋体" w:hAnsi="宋体" w:cs="宋体"/>
          <w:szCs w:val="21"/>
          <w:u w:val="single"/>
        </w:rPr>
        <w:t xml:space="preserve">        （项目名称）</w:t>
      </w:r>
      <w:r>
        <w:rPr>
          <w:rFonts w:hint="eastAsia" w:ascii="宋体" w:hAnsi="宋体" w:cs="宋体"/>
          <w:szCs w:val="21"/>
        </w:rPr>
        <w:t>投标资料真实有效，一经发现有造假或其他不实行为，将取消其投标资格并保留追究其相关责任的权利。</w:t>
      </w:r>
    </w:p>
    <w:p w14:paraId="330B4C30">
      <w:pPr>
        <w:spacing w:line="560" w:lineRule="exact"/>
        <w:jc w:val="center"/>
        <w:rPr>
          <w:rFonts w:ascii="宋体" w:hAnsi="宋体" w:cs="宋体"/>
          <w:b/>
          <w:bCs/>
          <w:szCs w:val="21"/>
        </w:rPr>
      </w:pPr>
    </w:p>
    <w:p w14:paraId="43DB6191">
      <w:pPr>
        <w:spacing w:line="48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137EF3A1">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7855EC7">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177692F">
      <w:pPr>
        <w:spacing w:line="560" w:lineRule="exact"/>
        <w:jc w:val="center"/>
        <w:rPr>
          <w:rFonts w:ascii="宋体" w:hAnsi="宋体" w:cs="宋体"/>
          <w:b/>
          <w:bCs/>
          <w:szCs w:val="21"/>
        </w:rPr>
      </w:pPr>
    </w:p>
    <w:p w14:paraId="391CD5CB">
      <w:pPr>
        <w:spacing w:line="560" w:lineRule="exact"/>
        <w:jc w:val="center"/>
        <w:rPr>
          <w:rFonts w:ascii="宋体" w:hAnsi="宋体" w:cs="宋体"/>
          <w:b/>
          <w:bCs/>
          <w:szCs w:val="21"/>
        </w:rPr>
      </w:pPr>
    </w:p>
    <w:p w14:paraId="7158EA46">
      <w:pPr>
        <w:spacing w:line="560" w:lineRule="exact"/>
        <w:jc w:val="center"/>
        <w:rPr>
          <w:rFonts w:ascii="宋体" w:hAnsi="宋体" w:cs="宋体"/>
          <w:b/>
          <w:bCs/>
          <w:szCs w:val="21"/>
        </w:rPr>
      </w:pPr>
    </w:p>
    <w:p w14:paraId="1A603E37">
      <w:pPr>
        <w:spacing w:line="560" w:lineRule="exact"/>
        <w:jc w:val="center"/>
        <w:rPr>
          <w:rFonts w:ascii="宋体" w:hAnsi="宋体" w:cs="宋体"/>
          <w:b/>
          <w:bCs/>
          <w:szCs w:val="21"/>
        </w:rPr>
      </w:pPr>
    </w:p>
    <w:p w14:paraId="1851CD5F">
      <w:pPr>
        <w:spacing w:line="560" w:lineRule="exact"/>
        <w:jc w:val="center"/>
        <w:rPr>
          <w:rFonts w:ascii="宋体" w:hAnsi="宋体" w:cs="宋体"/>
          <w:b/>
          <w:bCs/>
          <w:szCs w:val="21"/>
        </w:rPr>
      </w:pPr>
    </w:p>
    <w:p w14:paraId="292C96F3">
      <w:pPr>
        <w:spacing w:line="560" w:lineRule="exact"/>
        <w:jc w:val="center"/>
        <w:rPr>
          <w:rFonts w:ascii="宋体" w:hAnsi="宋体" w:cs="宋体"/>
          <w:b/>
          <w:bCs/>
          <w:szCs w:val="21"/>
        </w:rPr>
      </w:pPr>
    </w:p>
    <w:p w14:paraId="3F2A88B6">
      <w:pPr>
        <w:spacing w:line="560" w:lineRule="exact"/>
        <w:jc w:val="center"/>
        <w:rPr>
          <w:rFonts w:ascii="宋体" w:hAnsi="宋体" w:cs="宋体"/>
          <w:b/>
          <w:bCs/>
          <w:szCs w:val="21"/>
        </w:rPr>
      </w:pPr>
    </w:p>
    <w:p w14:paraId="28182B79">
      <w:pPr>
        <w:spacing w:line="560" w:lineRule="exact"/>
        <w:jc w:val="center"/>
        <w:rPr>
          <w:rFonts w:ascii="宋体" w:hAnsi="宋体" w:cs="宋体"/>
          <w:b/>
          <w:bCs/>
          <w:szCs w:val="21"/>
        </w:rPr>
      </w:pPr>
    </w:p>
    <w:p w14:paraId="6E6E295E">
      <w:pPr>
        <w:spacing w:line="560" w:lineRule="exact"/>
        <w:jc w:val="center"/>
        <w:rPr>
          <w:rFonts w:ascii="宋体" w:hAnsi="宋体" w:cs="宋体"/>
          <w:b/>
          <w:bCs/>
          <w:szCs w:val="21"/>
        </w:rPr>
      </w:pPr>
    </w:p>
    <w:p w14:paraId="00BE78B9">
      <w:pPr>
        <w:spacing w:line="560" w:lineRule="exact"/>
        <w:jc w:val="center"/>
        <w:rPr>
          <w:rFonts w:ascii="宋体" w:hAnsi="宋体" w:cs="宋体"/>
          <w:b/>
          <w:bCs/>
          <w:szCs w:val="21"/>
        </w:rPr>
      </w:pPr>
    </w:p>
    <w:p w14:paraId="19783C61">
      <w:pPr>
        <w:spacing w:line="560" w:lineRule="exact"/>
        <w:jc w:val="center"/>
        <w:rPr>
          <w:rFonts w:ascii="宋体" w:hAnsi="宋体" w:cs="宋体"/>
          <w:b/>
          <w:bCs/>
          <w:szCs w:val="21"/>
        </w:rPr>
      </w:pPr>
    </w:p>
    <w:p w14:paraId="0BE61BB4">
      <w:pPr>
        <w:spacing w:line="560" w:lineRule="exact"/>
        <w:jc w:val="center"/>
        <w:rPr>
          <w:rFonts w:ascii="宋体" w:hAnsi="宋体" w:cs="宋体"/>
          <w:b/>
          <w:bCs/>
          <w:szCs w:val="21"/>
        </w:rPr>
      </w:pPr>
    </w:p>
    <w:p w14:paraId="543E8D42">
      <w:r>
        <w:br w:type="page"/>
      </w:r>
    </w:p>
    <w:p w14:paraId="3BC7EFA0">
      <w:pPr>
        <w:spacing w:line="360" w:lineRule="auto"/>
        <w:jc w:val="center"/>
        <w:rPr>
          <w:rFonts w:ascii="宋体" w:hAnsi="宋体" w:cs="宋体"/>
          <w:b/>
          <w:szCs w:val="21"/>
        </w:rPr>
      </w:pPr>
      <w:r>
        <w:rPr>
          <w:rFonts w:hint="eastAsia" w:ascii="宋体" w:hAnsi="宋体" w:cs="宋体"/>
          <w:b/>
          <w:szCs w:val="21"/>
          <w:lang w:eastAsia="zh-CN"/>
        </w:rPr>
        <w:t>（二）</w:t>
      </w:r>
      <w:r>
        <w:rPr>
          <w:rFonts w:hint="eastAsia" w:ascii="宋体" w:hAnsi="宋体" w:cs="宋体"/>
          <w:b/>
          <w:szCs w:val="21"/>
        </w:rPr>
        <w:t>中小企业声明函</w:t>
      </w:r>
    </w:p>
    <w:p w14:paraId="7DBACB21">
      <w:pPr>
        <w:pStyle w:val="10"/>
        <w:spacing w:line="360" w:lineRule="auto"/>
        <w:ind w:firstLine="420" w:firstLineChars="200"/>
        <w:rPr>
          <w:rFonts w:hAnsi="宋体"/>
          <w:color w:val="auto"/>
          <w:sz w:val="21"/>
          <w:szCs w:val="21"/>
        </w:rPr>
      </w:pPr>
      <w:r>
        <w:rPr>
          <w:rFonts w:hint="eastAsia" w:hAnsi="宋体"/>
          <w:color w:val="auto"/>
          <w:sz w:val="21"/>
          <w:szCs w:val="21"/>
        </w:rPr>
        <w:t xml:space="preserve">本公司（联合体）郑重声明，根据《政府采购促进中小企业发展管理办法》（财库﹝2020﹞ </w:t>
      </w:r>
    </w:p>
    <w:p w14:paraId="19844189">
      <w:pPr>
        <w:pStyle w:val="10"/>
        <w:spacing w:line="360" w:lineRule="auto"/>
        <w:rPr>
          <w:rFonts w:hAnsi="宋体"/>
          <w:color w:val="auto"/>
          <w:sz w:val="21"/>
          <w:szCs w:val="21"/>
        </w:rPr>
      </w:pPr>
      <w:r>
        <w:rPr>
          <w:rFonts w:hint="eastAsia" w:hAnsi="宋体"/>
          <w:color w:val="auto"/>
          <w:sz w:val="21"/>
          <w:szCs w:val="21"/>
        </w:rPr>
        <w:t>46 号）的规定，本公司（联合体）参加</w:t>
      </w:r>
      <w:r>
        <w:rPr>
          <w:rFonts w:hint="eastAsia" w:hAnsi="宋体"/>
          <w:color w:val="auto"/>
          <w:sz w:val="21"/>
          <w:szCs w:val="21"/>
          <w:u w:val="single"/>
        </w:rPr>
        <w:t>（单位名称）</w:t>
      </w:r>
      <w:r>
        <w:rPr>
          <w:rFonts w:hint="eastAsia" w:hAnsi="宋体"/>
          <w:color w:val="auto"/>
          <w:sz w:val="21"/>
          <w:szCs w:val="21"/>
        </w:rPr>
        <w:t>的</w:t>
      </w:r>
      <w:r>
        <w:rPr>
          <w:rFonts w:hint="eastAsia" w:hAnsi="宋体"/>
          <w:color w:val="auto"/>
          <w:sz w:val="21"/>
          <w:szCs w:val="21"/>
          <w:u w:val="single"/>
        </w:rPr>
        <w:t>（项目名称）</w:t>
      </w:r>
      <w:r>
        <w:rPr>
          <w:rFonts w:hint="eastAsia" w:hAnsi="宋体"/>
          <w:color w:val="auto"/>
          <w:sz w:val="21"/>
          <w:szCs w:val="21"/>
        </w:rPr>
        <w:t xml:space="preserve">采购活动，服务全部 </w:t>
      </w:r>
    </w:p>
    <w:p w14:paraId="7458603F">
      <w:pPr>
        <w:pStyle w:val="10"/>
        <w:spacing w:line="360" w:lineRule="auto"/>
        <w:rPr>
          <w:rFonts w:hAnsi="宋体"/>
          <w:color w:val="auto"/>
          <w:sz w:val="21"/>
          <w:szCs w:val="21"/>
        </w:rPr>
      </w:pPr>
      <w:r>
        <w:rPr>
          <w:rFonts w:hint="eastAsia" w:hAnsi="宋体"/>
          <w:color w:val="auto"/>
          <w:sz w:val="21"/>
          <w:szCs w:val="21"/>
        </w:rPr>
        <w:t xml:space="preserve">由符合政策要求的中小企业承接。相关企业（含联合体中的中小企业、签订分包意向协议的 </w:t>
      </w:r>
    </w:p>
    <w:p w14:paraId="57845E3F">
      <w:pPr>
        <w:pStyle w:val="10"/>
        <w:spacing w:line="360" w:lineRule="auto"/>
        <w:rPr>
          <w:rFonts w:hAnsi="宋体"/>
          <w:color w:val="auto"/>
          <w:sz w:val="21"/>
          <w:szCs w:val="21"/>
        </w:rPr>
      </w:pPr>
      <w:r>
        <w:rPr>
          <w:rFonts w:hint="eastAsia" w:hAnsi="宋体"/>
          <w:color w:val="auto"/>
          <w:sz w:val="21"/>
          <w:szCs w:val="21"/>
        </w:rPr>
        <w:t xml:space="preserve">中小企业）的具体情况如下： </w:t>
      </w:r>
    </w:p>
    <w:p w14:paraId="2F96F1EA">
      <w:pPr>
        <w:pStyle w:val="10"/>
        <w:spacing w:line="360" w:lineRule="auto"/>
        <w:ind w:firstLine="420" w:firstLineChars="200"/>
        <w:rPr>
          <w:rFonts w:hAnsi="宋体"/>
          <w:color w:val="auto"/>
          <w:sz w:val="21"/>
          <w:szCs w:val="21"/>
        </w:rPr>
      </w:pPr>
      <w:r>
        <w:rPr>
          <w:rFonts w:hint="eastAsia" w:hAnsi="宋体"/>
          <w:color w:val="auto"/>
          <w:sz w:val="21"/>
          <w:szCs w:val="21"/>
        </w:rPr>
        <w:t>1.</w:t>
      </w:r>
      <w:r>
        <w:rPr>
          <w:rFonts w:hint="eastAsia" w:hAnsi="宋体"/>
          <w:color w:val="auto"/>
          <w:sz w:val="21"/>
          <w:szCs w:val="21"/>
          <w:u w:val="single"/>
        </w:rPr>
        <w:t>（标的名称）</w:t>
      </w:r>
      <w:r>
        <w:rPr>
          <w:rFonts w:hint="eastAsia" w:hAnsi="宋体"/>
          <w:color w:val="auto"/>
          <w:sz w:val="21"/>
          <w:szCs w:val="21"/>
        </w:rPr>
        <w:t xml:space="preserve"> ，属于</w:t>
      </w:r>
      <w:r>
        <w:rPr>
          <w:rFonts w:hint="eastAsia" w:hAnsi="宋体"/>
          <w:color w:val="auto"/>
          <w:sz w:val="21"/>
          <w:szCs w:val="21"/>
          <w:u w:val="single"/>
        </w:rPr>
        <w:t>（采购文件中明确的所属行业）</w:t>
      </w:r>
      <w:r>
        <w:rPr>
          <w:rFonts w:hint="eastAsia" w:hAnsi="宋体"/>
          <w:color w:val="auto"/>
          <w:sz w:val="21"/>
          <w:szCs w:val="21"/>
        </w:rPr>
        <w:t>； 承建（承接）企业为</w:t>
      </w:r>
      <w:r>
        <w:rPr>
          <w:rFonts w:hint="eastAsia" w:hAnsi="宋体"/>
          <w:color w:val="auto"/>
          <w:sz w:val="21"/>
          <w:szCs w:val="21"/>
          <w:u w:val="single"/>
        </w:rPr>
        <w:t xml:space="preserve">（企业 </w:t>
      </w:r>
    </w:p>
    <w:p w14:paraId="20427403">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 xml:space="preserve">，从业人员 </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小 </w:t>
      </w:r>
    </w:p>
    <w:p w14:paraId="55DAEFF0">
      <w:pPr>
        <w:pStyle w:val="10"/>
        <w:spacing w:line="360" w:lineRule="auto"/>
        <w:rPr>
          <w:rFonts w:hAnsi="宋体"/>
          <w:color w:val="auto"/>
          <w:sz w:val="21"/>
          <w:szCs w:val="21"/>
        </w:rPr>
      </w:pPr>
      <w:r>
        <w:rPr>
          <w:rFonts w:hint="eastAsia" w:hAnsi="宋体"/>
          <w:color w:val="auto"/>
          <w:sz w:val="21"/>
          <w:szCs w:val="21"/>
        </w:rPr>
        <w:t xml:space="preserve">型企业、微型企业）； </w:t>
      </w:r>
    </w:p>
    <w:p w14:paraId="0D5AE560">
      <w:pPr>
        <w:pStyle w:val="10"/>
        <w:spacing w:line="360" w:lineRule="auto"/>
        <w:ind w:firstLine="420" w:firstLineChars="200"/>
        <w:rPr>
          <w:rFonts w:hAnsi="宋体"/>
          <w:color w:val="auto"/>
          <w:sz w:val="21"/>
          <w:szCs w:val="21"/>
        </w:rPr>
      </w:pPr>
      <w:r>
        <w:rPr>
          <w:rFonts w:hint="eastAsia" w:hAnsi="宋体"/>
          <w:color w:val="auto"/>
          <w:sz w:val="21"/>
          <w:szCs w:val="21"/>
        </w:rPr>
        <w:t>2.</w:t>
      </w:r>
      <w:r>
        <w:rPr>
          <w:rFonts w:hint="eastAsia" w:hAnsi="宋体"/>
          <w:color w:val="auto"/>
          <w:sz w:val="21"/>
          <w:szCs w:val="21"/>
          <w:u w:val="single"/>
        </w:rPr>
        <w:t xml:space="preserve">（标的名称） </w:t>
      </w:r>
      <w:r>
        <w:rPr>
          <w:rFonts w:hint="eastAsia" w:hAnsi="宋体"/>
          <w:color w:val="auto"/>
          <w:sz w:val="21"/>
          <w:szCs w:val="21"/>
        </w:rPr>
        <w:t>，属于</w:t>
      </w:r>
      <w:r>
        <w:rPr>
          <w:rFonts w:hint="eastAsia" w:hAnsi="宋体"/>
          <w:color w:val="auto"/>
          <w:sz w:val="21"/>
          <w:szCs w:val="21"/>
          <w:u w:val="single"/>
        </w:rPr>
        <w:t>（采购文件中明确的所属行业）；</w:t>
      </w:r>
      <w:r>
        <w:rPr>
          <w:rFonts w:hint="eastAsia" w:hAnsi="宋体"/>
          <w:color w:val="auto"/>
          <w:sz w:val="21"/>
          <w:szCs w:val="21"/>
        </w:rPr>
        <w:t xml:space="preserve"> 承建（承接）企业为</w:t>
      </w:r>
      <w:r>
        <w:rPr>
          <w:rFonts w:hint="eastAsia" w:hAnsi="宋体"/>
          <w:color w:val="auto"/>
          <w:sz w:val="21"/>
          <w:szCs w:val="21"/>
          <w:u w:val="single"/>
        </w:rPr>
        <w:t xml:space="preserve">（企业 </w:t>
      </w:r>
    </w:p>
    <w:p w14:paraId="2BDE916D">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，从业人员</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w:t>
      </w:r>
    </w:p>
    <w:p w14:paraId="6BC99B21">
      <w:pPr>
        <w:pStyle w:val="10"/>
        <w:spacing w:line="360" w:lineRule="auto"/>
        <w:rPr>
          <w:rFonts w:hAnsi="宋体"/>
          <w:color w:val="auto"/>
          <w:sz w:val="21"/>
          <w:szCs w:val="21"/>
        </w:rPr>
      </w:pPr>
      <w:r>
        <w:rPr>
          <w:rFonts w:hint="eastAsia" w:hAnsi="宋体"/>
          <w:color w:val="auto"/>
          <w:sz w:val="21"/>
          <w:szCs w:val="21"/>
        </w:rPr>
        <w:t xml:space="preserve">小型企业、微型企业）； </w:t>
      </w:r>
    </w:p>
    <w:p w14:paraId="1936BC85">
      <w:pPr>
        <w:pStyle w:val="10"/>
        <w:spacing w:line="360" w:lineRule="auto"/>
        <w:rPr>
          <w:rFonts w:hAnsi="宋体"/>
          <w:color w:val="auto"/>
          <w:sz w:val="21"/>
          <w:szCs w:val="21"/>
        </w:rPr>
      </w:pPr>
      <w:r>
        <w:rPr>
          <w:rFonts w:hint="eastAsia" w:hAnsi="宋体"/>
          <w:color w:val="auto"/>
          <w:sz w:val="21"/>
          <w:szCs w:val="21"/>
        </w:rPr>
        <w:t>……</w:t>
      </w:r>
    </w:p>
    <w:p w14:paraId="17C235FD">
      <w:pPr>
        <w:pStyle w:val="10"/>
        <w:spacing w:line="360" w:lineRule="auto"/>
        <w:ind w:firstLine="420" w:firstLineChars="200"/>
        <w:rPr>
          <w:rFonts w:hAnsi="宋体"/>
          <w:color w:val="auto"/>
          <w:sz w:val="21"/>
          <w:szCs w:val="21"/>
        </w:rPr>
      </w:pPr>
      <w:r>
        <w:rPr>
          <w:rFonts w:hint="eastAsia" w:hAnsi="宋体"/>
          <w:color w:val="auto"/>
          <w:sz w:val="21"/>
          <w:szCs w:val="21"/>
        </w:rPr>
        <w:t xml:space="preserve">以上企业，不属于大企业的分支机构，不存在控股股东为大企业的情形，也不存在与 </w:t>
      </w:r>
    </w:p>
    <w:p w14:paraId="1BCC6527">
      <w:pPr>
        <w:pStyle w:val="10"/>
        <w:spacing w:line="360" w:lineRule="auto"/>
        <w:rPr>
          <w:rFonts w:hAnsi="宋体"/>
          <w:color w:val="auto"/>
          <w:sz w:val="21"/>
          <w:szCs w:val="21"/>
        </w:rPr>
      </w:pPr>
      <w:r>
        <w:rPr>
          <w:rFonts w:hint="eastAsia" w:hAnsi="宋体"/>
          <w:color w:val="auto"/>
          <w:sz w:val="21"/>
          <w:szCs w:val="21"/>
        </w:rPr>
        <w:t xml:space="preserve">大企业的负责人为同一人的情形。 </w:t>
      </w:r>
    </w:p>
    <w:p w14:paraId="78211CD4">
      <w:pPr>
        <w:pStyle w:val="10"/>
        <w:spacing w:line="360" w:lineRule="auto"/>
        <w:ind w:firstLine="420" w:firstLineChars="200"/>
      </w:pPr>
      <w:r>
        <w:rPr>
          <w:rFonts w:hint="eastAsia" w:hAnsi="宋体"/>
          <w:color w:val="auto"/>
          <w:sz w:val="21"/>
          <w:szCs w:val="21"/>
        </w:rPr>
        <w:t>本企业对上述声明内容的真实性负责。如有虚假，将依法承担相应责任</w:t>
      </w:r>
    </w:p>
    <w:p w14:paraId="4CB47174">
      <w:pPr>
        <w:pStyle w:val="10"/>
        <w:spacing w:line="360" w:lineRule="auto"/>
        <w:ind w:firstLine="420" w:firstLineChars="200"/>
        <w:jc w:val="right"/>
        <w:rPr>
          <w:rFonts w:hAnsi="宋体"/>
          <w:color w:val="auto"/>
          <w:sz w:val="21"/>
          <w:szCs w:val="21"/>
        </w:rPr>
      </w:pPr>
    </w:p>
    <w:p w14:paraId="4CF16DD1">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企业名称（盖章）：</w:t>
      </w:r>
    </w:p>
    <w:p w14:paraId="7FF05979">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日 期：</w:t>
      </w:r>
    </w:p>
    <w:p w14:paraId="66005D1E"/>
    <w:p w14:paraId="03DC5C3D">
      <w:pPr>
        <w:widowControl/>
        <w:spacing w:line="372" w:lineRule="auto"/>
        <w:jc w:val="left"/>
        <w:rPr>
          <w:rFonts w:ascii="宋体" w:hAnsi="宋体" w:cs="宋体"/>
          <w:kern w:val="0"/>
          <w:szCs w:val="21"/>
        </w:rPr>
      </w:pPr>
      <w:r>
        <w:rPr>
          <w:rFonts w:hint="eastAsia" w:ascii="宋体" w:hAnsi="宋体" w:cs="宋体"/>
          <w:kern w:val="0"/>
          <w:szCs w:val="21"/>
        </w:rPr>
        <w:t xml:space="preserve">注：①从业人员、营业收入、资产总额填报上一年度数据，无上一年度数据的新成立企业可 </w:t>
      </w:r>
    </w:p>
    <w:p w14:paraId="64D2A655">
      <w:pPr>
        <w:widowControl/>
        <w:spacing w:line="372" w:lineRule="auto"/>
        <w:jc w:val="left"/>
        <w:rPr>
          <w:rFonts w:ascii="宋体" w:hAnsi="宋体" w:cs="宋体"/>
          <w:kern w:val="0"/>
          <w:szCs w:val="21"/>
        </w:rPr>
      </w:pPr>
      <w:r>
        <w:rPr>
          <w:rFonts w:hint="eastAsia" w:ascii="宋体" w:hAnsi="宋体" w:cs="宋体"/>
          <w:kern w:val="0"/>
          <w:szCs w:val="21"/>
        </w:rPr>
        <w:t>不填报。</w:t>
      </w:r>
    </w:p>
    <w:p w14:paraId="54078B06">
      <w:pPr>
        <w:widowControl/>
        <w:spacing w:line="372" w:lineRule="auto"/>
        <w:jc w:val="left"/>
        <w:rPr>
          <w:rFonts w:ascii="宋体" w:hAnsi="宋体" w:cs="宋体"/>
          <w:kern w:val="0"/>
          <w:szCs w:val="21"/>
        </w:rPr>
      </w:pPr>
      <w:r>
        <w:rPr>
          <w:rFonts w:hint="eastAsia" w:ascii="宋体" w:hAnsi="宋体" w:cs="宋体"/>
          <w:kern w:val="0"/>
          <w:szCs w:val="21"/>
        </w:rPr>
        <w:t xml:space="preserve">②以联合体形式参加政府采购活动，联合体各方均为中小企业的，联合体视同中小企业。 </w:t>
      </w:r>
    </w:p>
    <w:p w14:paraId="73472E1F">
      <w:pPr>
        <w:widowControl/>
        <w:spacing w:line="372" w:lineRule="auto"/>
        <w:jc w:val="left"/>
        <w:rPr>
          <w:rFonts w:ascii="宋体" w:hAnsi="宋体" w:cs="宋体"/>
          <w:kern w:val="0"/>
          <w:szCs w:val="21"/>
        </w:rPr>
      </w:pPr>
      <w:r>
        <w:rPr>
          <w:rFonts w:hint="eastAsia" w:ascii="宋体" w:hAnsi="宋体" w:cs="宋体"/>
          <w:kern w:val="0"/>
          <w:szCs w:val="21"/>
        </w:rPr>
        <w:t xml:space="preserve">其中，联合体各方均为小微企业的，联合体视同小微企业。 </w:t>
      </w:r>
    </w:p>
    <w:p w14:paraId="05997110">
      <w:pPr>
        <w:widowControl/>
        <w:spacing w:line="372" w:lineRule="auto"/>
        <w:jc w:val="left"/>
        <w:rPr>
          <w:rFonts w:ascii="宋体" w:hAnsi="宋体" w:cs="宋体"/>
          <w:kern w:val="0"/>
          <w:szCs w:val="21"/>
        </w:rPr>
      </w:pPr>
      <w:r>
        <w:rPr>
          <w:rFonts w:hint="eastAsia" w:ascii="宋体" w:hAnsi="宋体" w:cs="宋体"/>
          <w:kern w:val="0"/>
          <w:szCs w:val="21"/>
        </w:rPr>
        <w:t>③在政府采购活动中，</w:t>
      </w:r>
      <w:r>
        <w:rPr>
          <w:rFonts w:hint="eastAsia" w:ascii="宋体" w:hAnsi="宋体" w:cs="宋体"/>
          <w:kern w:val="0"/>
          <w:szCs w:val="21"/>
          <w:lang w:eastAsia="zh-CN"/>
        </w:rPr>
        <w:t>投标人</w:t>
      </w:r>
      <w:r>
        <w:rPr>
          <w:rFonts w:hint="eastAsia" w:ascii="宋体" w:hAnsi="宋体" w:cs="宋体"/>
          <w:kern w:val="0"/>
          <w:szCs w:val="21"/>
        </w:rPr>
        <w:t xml:space="preserve">提供的服务由中小企业承接，即提供服务的人员为中小企 </w:t>
      </w:r>
    </w:p>
    <w:p w14:paraId="34307B84">
      <w:pPr>
        <w:widowControl/>
        <w:spacing w:line="372" w:lineRule="auto"/>
        <w:jc w:val="left"/>
        <w:rPr>
          <w:rFonts w:ascii="宋体" w:hAnsi="宋体" w:cs="宋体"/>
          <w:kern w:val="0"/>
          <w:szCs w:val="21"/>
        </w:rPr>
      </w:pPr>
      <w:r>
        <w:rPr>
          <w:rFonts w:hint="eastAsia" w:ascii="宋体" w:hAnsi="宋体" w:cs="宋体"/>
          <w:kern w:val="0"/>
          <w:szCs w:val="21"/>
        </w:rPr>
        <w:t xml:space="preserve">业依照《中华人民共和国劳动合同法》订立劳动合同的从业人员的，才能享受本办法规定的 </w:t>
      </w:r>
    </w:p>
    <w:p w14:paraId="09BE5612">
      <w:pPr>
        <w:widowControl/>
        <w:spacing w:line="372" w:lineRule="auto"/>
        <w:jc w:val="left"/>
      </w:pPr>
      <w:r>
        <w:rPr>
          <w:rFonts w:hint="eastAsia" w:ascii="宋体" w:hAnsi="宋体" w:cs="宋体"/>
          <w:kern w:val="0"/>
          <w:szCs w:val="21"/>
        </w:rPr>
        <w:t>中小企业扶持政策</w:t>
      </w:r>
    </w:p>
    <w:p w14:paraId="0E37A677">
      <w:pPr>
        <w:pStyle w:val="10"/>
        <w:spacing w:line="360" w:lineRule="auto"/>
        <w:ind w:firstLine="420" w:firstLineChars="200"/>
        <w:rPr>
          <w:rFonts w:hint="eastAsia" w:ascii="宋体" w:hAnsi="宋体" w:eastAsia="宋体" w:cs="宋体"/>
          <w:color w:val="auto"/>
          <w:sz w:val="21"/>
          <w:szCs w:val="21"/>
          <w:lang w:val="en-US" w:eastAsia="zh-CN"/>
        </w:rPr>
      </w:pPr>
    </w:p>
    <w:p w14:paraId="53BBBC4C">
      <w:pPr>
        <w:pStyle w:val="10"/>
        <w:spacing w:line="360" w:lineRule="auto"/>
        <w:ind w:firstLine="420" w:firstLineChars="200"/>
        <w:rPr>
          <w:rFonts w:hint="eastAsia" w:ascii="宋体" w:hAnsi="宋体" w:eastAsia="宋体" w:cs="宋体"/>
          <w:color w:val="auto"/>
          <w:sz w:val="21"/>
          <w:szCs w:val="21"/>
          <w:lang w:val="en-US" w:eastAsia="zh-CN"/>
        </w:rPr>
      </w:pPr>
    </w:p>
    <w:p w14:paraId="551D6FCB">
      <w:pPr>
        <w:pStyle w:val="10"/>
        <w:spacing w:line="360" w:lineRule="auto"/>
        <w:ind w:firstLine="420" w:firstLineChars="200"/>
        <w:rPr>
          <w:rFonts w:hint="eastAsia" w:ascii="宋体" w:hAnsi="宋体" w:eastAsia="宋体" w:cs="宋体"/>
          <w:color w:val="auto"/>
          <w:sz w:val="21"/>
          <w:szCs w:val="21"/>
          <w:lang w:val="en-US" w:eastAsia="zh-CN"/>
        </w:rPr>
      </w:pPr>
    </w:p>
    <w:p w14:paraId="07242652">
      <w:pPr>
        <w:pStyle w:val="10"/>
        <w:spacing w:line="360" w:lineRule="auto"/>
        <w:ind w:firstLine="420" w:firstLineChars="200"/>
        <w:rPr>
          <w:rFonts w:hint="eastAsia" w:ascii="宋体" w:hAnsi="宋体" w:eastAsia="宋体" w:cs="宋体"/>
          <w:color w:val="auto"/>
          <w:sz w:val="21"/>
          <w:szCs w:val="21"/>
          <w:lang w:val="en-US" w:eastAsia="zh-CN"/>
        </w:rPr>
      </w:pPr>
    </w:p>
    <w:p w14:paraId="20FE6D92">
      <w:pPr>
        <w:pStyle w:val="10"/>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3.统计以上大中小微企业划分标准</w:t>
      </w:r>
    </w:p>
    <w:p w14:paraId="17D772B8">
      <w:pPr>
        <w:pStyle w:val="10"/>
        <w:numPr>
          <w:ilvl w:val="0"/>
          <w:numId w:val="0"/>
        </w:numPr>
        <w:ind w:leftChars="0"/>
        <w:jc w:val="center"/>
      </w:pPr>
      <w:r>
        <w:drawing>
          <wp:inline distT="0" distB="0" distL="114300" distR="114300">
            <wp:extent cx="5394960" cy="6849745"/>
            <wp:effectExtent l="0" t="0" r="15240" b="825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stretch>
                      <a:fillRect/>
                    </a:stretch>
                  </pic:blipFill>
                  <pic:spPr>
                    <a:xfrm>
                      <a:off x="0" y="0"/>
                      <a:ext cx="5394960" cy="6849745"/>
                    </a:xfrm>
                    <a:prstGeom prst="rect">
                      <a:avLst/>
                    </a:prstGeom>
                    <a:noFill/>
                    <a:ln>
                      <a:noFill/>
                    </a:ln>
                  </pic:spPr>
                </pic:pic>
              </a:graphicData>
            </a:graphic>
          </wp:inline>
        </w:drawing>
      </w:r>
    </w:p>
    <w:p w14:paraId="74FC1D0B">
      <w:pPr>
        <w:jc w:val="center"/>
        <w:rPr>
          <w:rFonts w:hint="default"/>
          <w:lang w:val="en-US" w:eastAsia="zh-CN"/>
        </w:rPr>
      </w:pPr>
      <w:r>
        <w:drawing>
          <wp:inline distT="0" distB="0" distL="114300" distR="114300">
            <wp:extent cx="5396230" cy="907415"/>
            <wp:effectExtent l="0" t="0" r="13970"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5"/>
                    <a:stretch>
                      <a:fillRect/>
                    </a:stretch>
                  </pic:blipFill>
                  <pic:spPr>
                    <a:xfrm>
                      <a:off x="0" y="0"/>
                      <a:ext cx="5396230" cy="907415"/>
                    </a:xfrm>
                    <a:prstGeom prst="rect">
                      <a:avLst/>
                    </a:prstGeom>
                    <a:noFill/>
                    <a:ln>
                      <a:noFill/>
                    </a:ln>
                  </pic:spPr>
                </pic:pic>
              </a:graphicData>
            </a:graphic>
          </wp:inline>
        </w:drawing>
      </w:r>
    </w:p>
    <w:p w14:paraId="149A755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说明：1.大型、中型和小型企业须同时满足所列指标的下限，否则下划一档；微型企业只须满足所列指标中的一项即可。</w:t>
      </w:r>
    </w:p>
    <w:p w14:paraId="500156B6">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附表中各行业的范围以《国民经济行业分类》（GB/T4754-2017）为准。带*的项为行业</w:t>
      </w:r>
    </w:p>
    <w:p w14:paraId="05768BB8">
      <w:pPr>
        <w:spacing w:line="360" w:lineRule="auto"/>
        <w:rPr>
          <w:rFonts w:hint="default" w:ascii="宋体" w:hAnsi="宋体" w:cs="宋体"/>
          <w:szCs w:val="21"/>
          <w:lang w:val="en-US" w:eastAsia="zh-CN"/>
        </w:rPr>
      </w:pPr>
      <w:r>
        <w:rPr>
          <w:rFonts w:hint="default" w:ascii="宋体" w:hAnsi="宋体" w:cs="宋体"/>
          <w:szCs w:val="21"/>
          <w:lang w:val="en-US" w:eastAsia="zh-CN"/>
        </w:rPr>
        <w:t>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企业划分指标以现行统计制度为准。</w:t>
      </w:r>
    </w:p>
    <w:p w14:paraId="1F9C1C5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（1）从业人员，是指期末从业人员数，没有期末从业人员数的，采用全年平均人员数</w:t>
      </w:r>
    </w:p>
    <w:p w14:paraId="2928F5A5">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代替。</w:t>
      </w:r>
    </w:p>
    <w:p w14:paraId="58F767B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（2）营业收入，工业、建筑业、限额以上批发和零售业、限额以上住宿和餐饮业以及</w:t>
      </w:r>
    </w:p>
    <w:p w14:paraId="2CD16C7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其他设置主营业务收入指标的行业，采用主营业务收入；限额以下批发与零售业企业采</w:t>
      </w:r>
    </w:p>
    <w:p w14:paraId="7E1F0AA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用商品销售额代替；限额以下住宿与餐饮业企业采用营业额代替；农、林、牧、渔业企</w:t>
      </w:r>
    </w:p>
    <w:p w14:paraId="06E95F14">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业采用营业总收入代替；其他未设置主营业务收入的行业，采用营业收入指标。</w:t>
      </w:r>
    </w:p>
    <w:p w14:paraId="4A29F44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（3）资产总额，采用资产总计代替。</w:t>
      </w:r>
    </w:p>
    <w:p w14:paraId="5CF4F087">
      <w:pPr>
        <w:pStyle w:val="20"/>
        <w:tabs>
          <w:tab w:val="left" w:pos="540"/>
        </w:tabs>
        <w:rPr>
          <w:rFonts w:hint="eastAsia" w:ascii="宋体" w:hAnsi="宋体"/>
          <w:snapToGrid w:val="0"/>
          <w:kern w:val="0"/>
          <w:szCs w:val="21"/>
          <w:lang w:bidi="en-US"/>
        </w:rPr>
      </w:pPr>
    </w:p>
    <w:p w14:paraId="41C1D21E">
      <w:pPr>
        <w:pStyle w:val="13"/>
        <w:jc w:val="both"/>
        <w:rPr>
          <w:rFonts w:hAnsi="宋体" w:eastAsia="宋体" w:cs="宋体"/>
          <w:sz w:val="21"/>
          <w:szCs w:val="21"/>
        </w:rPr>
      </w:pPr>
    </w:p>
    <w:p w14:paraId="4D66D8A7">
      <w:pPr>
        <w:rPr>
          <w:rFonts w:hAnsi="宋体" w:eastAsia="宋体" w:cs="宋体"/>
          <w:sz w:val="21"/>
          <w:szCs w:val="21"/>
        </w:rPr>
      </w:pPr>
      <w:r>
        <w:rPr>
          <w:rFonts w:hAnsi="宋体" w:eastAsia="宋体" w:cs="宋体"/>
          <w:sz w:val="21"/>
          <w:szCs w:val="21"/>
        </w:rPr>
        <w:br w:type="page"/>
      </w:r>
    </w:p>
    <w:p w14:paraId="6475ED4C">
      <w:pPr>
        <w:spacing w:line="360" w:lineRule="auto"/>
        <w:jc w:val="center"/>
        <w:rPr>
          <w:rFonts w:hint="eastAsia" w:ascii="宋体" w:hAnsi="宋体" w:cs="宋体"/>
          <w:b/>
          <w:szCs w:val="21"/>
          <w:lang w:eastAsia="zh-CN"/>
        </w:rPr>
        <w:sectPr>
          <w:pgSz w:w="11906" w:h="16838"/>
          <w:pgMar w:top="1417" w:right="1701" w:bottom="1417" w:left="1701" w:header="851" w:footer="992" w:gutter="0"/>
          <w:pgNumType w:fmt="numberInDash"/>
          <w:cols w:space="720" w:num="1"/>
          <w:docGrid w:type="lines" w:linePitch="312" w:charSpace="0"/>
        </w:sectPr>
      </w:pPr>
      <w:bookmarkStart w:id="391" w:name="OLE_LINK13"/>
      <w:bookmarkStart w:id="392" w:name="OLE_LINK14"/>
    </w:p>
    <w:p w14:paraId="4C2777FC">
      <w:pPr>
        <w:spacing w:line="360" w:lineRule="auto"/>
        <w:jc w:val="center"/>
        <w:rPr>
          <w:rFonts w:hint="eastAsia" w:ascii="宋体" w:hAnsi="宋体" w:eastAsia="宋体" w:cs="宋体"/>
          <w:b/>
          <w:szCs w:val="21"/>
          <w:lang w:eastAsia="zh-CN"/>
        </w:rPr>
      </w:pPr>
      <w:r>
        <w:rPr>
          <w:rFonts w:hint="eastAsia" w:ascii="宋体" w:hAnsi="宋体" w:eastAsia="宋体" w:cs="宋体"/>
          <w:b/>
          <w:szCs w:val="21"/>
          <w:lang w:eastAsia="zh-CN"/>
        </w:rPr>
        <w:t>（三）</w:t>
      </w:r>
      <w:r>
        <w:rPr>
          <w:rFonts w:hint="eastAsia" w:ascii="宋体" w:hAnsi="宋体" w:eastAsia="宋体" w:cs="宋体"/>
          <w:b/>
          <w:szCs w:val="21"/>
        </w:rPr>
        <w:t>投标</w:t>
      </w:r>
      <w:r>
        <w:rPr>
          <w:rFonts w:hint="eastAsia" w:ascii="宋体" w:hAnsi="宋体" w:eastAsia="宋体" w:cs="宋体"/>
          <w:b/>
          <w:szCs w:val="21"/>
          <w:lang w:eastAsia="zh-CN"/>
        </w:rPr>
        <w:t>承诺函</w:t>
      </w:r>
    </w:p>
    <w:p w14:paraId="38556A44">
      <w:pPr>
        <w:keepNext w:val="0"/>
        <w:keepLines w:val="0"/>
        <w:pageBreakBefore w:val="0"/>
        <w:widowControl w:val="0"/>
        <w:kinsoku/>
        <w:overflowPunct/>
        <w:topLinePunct w:val="0"/>
        <w:bidi w:val="0"/>
        <w:spacing w:before="312" w:beforeLines="100" w:line="360" w:lineRule="auto"/>
        <w:rPr>
          <w:sz w:val="21"/>
          <w:szCs w:val="21"/>
          <w:highlight w:val="none"/>
          <w:u w:val="single"/>
        </w:rPr>
      </w:pPr>
      <w:r>
        <w:rPr>
          <w:rFonts w:hint="eastAsia"/>
          <w:sz w:val="21"/>
          <w:szCs w:val="21"/>
          <w:highlight w:val="none"/>
        </w:rPr>
        <w:t>致：</w:t>
      </w:r>
      <w:r>
        <w:rPr>
          <w:rFonts w:hint="eastAsia"/>
          <w:sz w:val="21"/>
          <w:szCs w:val="21"/>
          <w:highlight w:val="none"/>
          <w:u w:val="single"/>
        </w:rPr>
        <w:t xml:space="preserve">                      （采购人名称）</w:t>
      </w:r>
    </w:p>
    <w:p w14:paraId="7CD03B8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我们已仔细阅读</w:t>
      </w:r>
      <w:r>
        <w:rPr>
          <w:rFonts w:hint="eastAsia"/>
          <w:sz w:val="21"/>
          <w:szCs w:val="21"/>
          <w:highlight w:val="none"/>
          <w:u w:val="single"/>
        </w:rPr>
        <w:t xml:space="preserve">                </w:t>
      </w:r>
      <w:r>
        <w:rPr>
          <w:rFonts w:hint="eastAsia"/>
          <w:sz w:val="21"/>
          <w:szCs w:val="21"/>
          <w:highlight w:val="none"/>
          <w:u w:val="none"/>
        </w:rPr>
        <w:t>（项目名称）</w:t>
      </w:r>
      <w:r>
        <w:rPr>
          <w:rFonts w:hint="eastAsia" w:ascii="宋体" w:hAnsi="宋体"/>
          <w:color w:val="000000"/>
          <w:sz w:val="21"/>
          <w:szCs w:val="21"/>
          <w:highlight w:val="none"/>
          <w:u w:val="single"/>
          <w:lang w:val="en-US" w:eastAsia="zh-CN"/>
        </w:rPr>
        <w:t xml:space="preserve">     </w:t>
      </w:r>
      <w:r>
        <w:rPr>
          <w:rFonts w:hint="eastAsia" w:ascii="宋体" w:hAnsi="宋体"/>
          <w:color w:val="000000"/>
          <w:sz w:val="21"/>
          <w:szCs w:val="21"/>
          <w:highlight w:val="none"/>
          <w:u w:val="none"/>
          <w:lang w:val="en-US" w:eastAsia="zh-CN"/>
        </w:rPr>
        <w:t>(包)</w:t>
      </w:r>
      <w:r>
        <w:rPr>
          <w:rFonts w:hint="eastAsia"/>
          <w:sz w:val="21"/>
          <w:szCs w:val="21"/>
          <w:highlight w:val="none"/>
        </w:rPr>
        <w:t>招标文件，并完全理解。经认真研究，我们决定参加投标，并出以下承诺：</w:t>
      </w:r>
    </w:p>
    <w:p w14:paraId="2332EEB3">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1、我们愿意遵照招标文件中的相关内容和合同条款以及其它一切要求投标；</w:t>
      </w:r>
    </w:p>
    <w:p w14:paraId="277B5485">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2、我们愿意提供招标文件要求的所有文件资料，并保证这些资料均为真实、完整、有效和合法的；</w:t>
      </w:r>
    </w:p>
    <w:p w14:paraId="3ACA292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3、如果我方中标，我们将严格履行招标、投标文件及双方签订的合同中规定的各项要求；</w:t>
      </w:r>
    </w:p>
    <w:p w14:paraId="04FB05C7">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4、如果我方中标，我方保证在规定的时间内按招标文件规定的时间、金额向代理机构缴纳招标代理服务费；</w:t>
      </w:r>
    </w:p>
    <w:p w14:paraId="6ED869BA">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5、在本次投标过程中，我公司如出现招标文件约定视为串通投标的，我公司愿接受相关处罚；</w:t>
      </w:r>
    </w:p>
    <w:p w14:paraId="4E240BE9">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6、其他补充说明：</w:t>
      </w:r>
      <w:r>
        <w:rPr>
          <w:rFonts w:hint="eastAsia"/>
          <w:sz w:val="21"/>
          <w:szCs w:val="21"/>
          <w:highlight w:val="none"/>
          <w:u w:val="single"/>
        </w:rPr>
        <w:t xml:space="preserve">                      </w:t>
      </w:r>
      <w:r>
        <w:rPr>
          <w:rFonts w:hint="eastAsia"/>
          <w:sz w:val="21"/>
          <w:szCs w:val="21"/>
          <w:highlight w:val="none"/>
        </w:rPr>
        <w:t>。</w:t>
      </w:r>
    </w:p>
    <w:p w14:paraId="760DF604">
      <w:pPr>
        <w:keepNext w:val="0"/>
        <w:keepLines w:val="0"/>
        <w:pageBreakBefore w:val="0"/>
        <w:widowControl w:val="0"/>
        <w:kinsoku/>
        <w:overflowPunct/>
        <w:topLinePunct w:val="0"/>
        <w:bidi w:val="0"/>
        <w:spacing w:line="360" w:lineRule="auto"/>
        <w:ind w:firstLine="420" w:firstLineChars="200"/>
        <w:rPr>
          <w:sz w:val="21"/>
          <w:szCs w:val="21"/>
          <w:highlight w:val="none"/>
        </w:rPr>
      </w:pPr>
    </w:p>
    <w:p w14:paraId="307BFBBD">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特此承诺！</w:t>
      </w:r>
    </w:p>
    <w:p w14:paraId="6C5A54F8">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供  应  商：</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039A62DE">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法定代表人：</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4E7595EE">
      <w:pPr>
        <w:keepNext w:val="0"/>
        <w:keepLines w:val="0"/>
        <w:pageBreakBefore w:val="0"/>
        <w:widowControl w:val="0"/>
        <w:kinsoku/>
        <w:overflowPunct/>
        <w:topLinePunct w:val="0"/>
        <w:bidi w:val="0"/>
        <w:spacing w:line="480" w:lineRule="auto"/>
        <w:ind w:firstLine="2940" w:firstLineChars="1400"/>
        <w:rPr>
          <w:sz w:val="21"/>
          <w:szCs w:val="21"/>
          <w:highlight w:val="none"/>
        </w:rPr>
      </w:pP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556DFDD9">
      <w:pPr>
        <w:spacing w:line="360" w:lineRule="auto"/>
        <w:jc w:val="center"/>
        <w:rPr>
          <w:rFonts w:hint="eastAsia" w:ascii="宋体" w:hAnsi="宋体" w:cs="宋体"/>
          <w:b/>
          <w:szCs w:val="21"/>
          <w:lang w:eastAsia="zh-CN"/>
        </w:rPr>
      </w:pPr>
    </w:p>
    <w:p w14:paraId="34AE4D3B">
      <w:pPr>
        <w:pStyle w:val="2"/>
        <w:rPr>
          <w:rFonts w:hint="eastAsia" w:ascii="宋体" w:hAnsi="宋体" w:cs="宋体"/>
          <w:b/>
          <w:szCs w:val="21"/>
          <w:lang w:eastAsia="zh-CN"/>
        </w:rPr>
      </w:pPr>
    </w:p>
    <w:p w14:paraId="7FC121E1">
      <w:pPr>
        <w:rPr>
          <w:rFonts w:hint="eastAsia"/>
          <w:lang w:eastAsia="zh-CN"/>
        </w:rPr>
        <w:sectPr>
          <w:pgSz w:w="11906" w:h="16838"/>
          <w:pgMar w:top="1417" w:right="1701" w:bottom="1417" w:left="1701" w:header="851" w:footer="992" w:gutter="0"/>
          <w:pgNumType w:fmt="numberInDash"/>
          <w:cols w:space="720" w:num="1"/>
          <w:docGrid w:type="lines" w:linePitch="312" w:charSpace="0"/>
        </w:sectPr>
      </w:pPr>
    </w:p>
    <w:p w14:paraId="5F4151B9">
      <w:pPr>
        <w:spacing w:line="360" w:lineRule="auto"/>
        <w:jc w:val="center"/>
        <w:rPr>
          <w:rFonts w:ascii="宋体" w:hAnsi="宋体" w:cs="宋体"/>
          <w:b/>
          <w:szCs w:val="21"/>
        </w:rPr>
      </w:pPr>
      <w:r>
        <w:rPr>
          <w:rFonts w:hint="eastAsia" w:ascii="宋体" w:hAnsi="宋体" w:cs="宋体"/>
          <w:b/>
          <w:szCs w:val="21"/>
          <w:lang w:eastAsia="zh-CN"/>
        </w:rPr>
        <w:t>（四）</w:t>
      </w:r>
      <w:r>
        <w:rPr>
          <w:rFonts w:hint="eastAsia" w:ascii="宋体" w:hAnsi="宋体" w:cs="宋体"/>
          <w:b/>
          <w:szCs w:val="21"/>
        </w:rPr>
        <w:t>残疾人福利性单位声明函（如有）</w:t>
      </w:r>
    </w:p>
    <w:bookmarkEnd w:id="391"/>
    <w:bookmarkEnd w:id="392"/>
    <w:p w14:paraId="553DC1F1">
      <w:pPr>
        <w:spacing w:line="360" w:lineRule="auto"/>
        <w:rPr>
          <w:rFonts w:ascii="宋体" w:hAnsi="宋体" w:cs="宋体"/>
          <w:b/>
          <w:spacing w:val="6"/>
          <w:szCs w:val="21"/>
        </w:rPr>
      </w:pPr>
    </w:p>
    <w:p w14:paraId="6F298E0B">
      <w:pPr>
        <w:spacing w:line="360" w:lineRule="auto"/>
        <w:ind w:firstLine="630" w:firstLineChars="300"/>
        <w:rPr>
          <w:rFonts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7E960A7">
      <w:pPr>
        <w:spacing w:line="360" w:lineRule="auto"/>
        <w:rPr>
          <w:rFonts w:ascii="宋体" w:hAnsi="宋体" w:cs="宋体"/>
          <w:szCs w:val="21"/>
        </w:rPr>
      </w:pPr>
      <w:r>
        <w:rPr>
          <w:rFonts w:hint="eastAsia" w:ascii="宋体" w:hAnsi="宋体" w:cs="宋体"/>
          <w:szCs w:val="21"/>
        </w:rPr>
        <w:t>本单位对上述声明的真实性负责。如有虚假，将依法承担相应责任。</w:t>
      </w:r>
    </w:p>
    <w:p w14:paraId="24242D5D">
      <w:pPr>
        <w:spacing w:line="360" w:lineRule="auto"/>
        <w:rPr>
          <w:rFonts w:ascii="宋体" w:hAnsi="宋体" w:cs="宋体"/>
          <w:szCs w:val="21"/>
        </w:rPr>
      </w:pPr>
    </w:p>
    <w:p w14:paraId="3DB1AFBF">
      <w:pPr>
        <w:spacing w:line="360" w:lineRule="auto"/>
        <w:jc w:val="right"/>
        <w:rPr>
          <w:rFonts w:ascii="宋体" w:hAnsi="宋体" w:cs="宋体"/>
          <w:szCs w:val="21"/>
        </w:rPr>
      </w:pPr>
    </w:p>
    <w:p w14:paraId="09094FA9">
      <w:pPr>
        <w:widowControl/>
        <w:spacing w:line="360" w:lineRule="auto"/>
        <w:ind w:firstLine="480"/>
        <w:jc w:val="right"/>
        <w:textAlignment w:val="baseline"/>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32EA1CD7">
      <w:pPr>
        <w:wordWrap w:val="0"/>
        <w:spacing w:line="360" w:lineRule="auto"/>
        <w:jc w:val="right"/>
        <w:rPr>
          <w:rFonts w:ascii="宋体" w:hAnsi="宋体" w:cs="宋体"/>
          <w:szCs w:val="21"/>
        </w:rPr>
      </w:pPr>
      <w:r>
        <w:rPr>
          <w:rFonts w:hint="eastAsia" w:ascii="宋体" w:hAnsi="宋体" w:cs="宋体"/>
          <w:szCs w:val="21"/>
        </w:rPr>
        <w:t xml:space="preserve">日  期：                   </w:t>
      </w:r>
    </w:p>
    <w:p w14:paraId="27849F4F">
      <w:pPr>
        <w:pStyle w:val="13"/>
        <w:jc w:val="right"/>
        <w:rPr>
          <w:rFonts w:hAnsi="宋体" w:eastAsia="宋体" w:cs="宋体"/>
          <w:sz w:val="21"/>
          <w:szCs w:val="21"/>
        </w:rPr>
      </w:pPr>
    </w:p>
    <w:p w14:paraId="6F5BC158">
      <w:pPr>
        <w:pStyle w:val="13"/>
        <w:jc w:val="right"/>
        <w:rPr>
          <w:rFonts w:hAnsi="宋体" w:eastAsia="宋体" w:cs="宋体"/>
          <w:sz w:val="21"/>
          <w:szCs w:val="21"/>
        </w:rPr>
      </w:pPr>
    </w:p>
    <w:p w14:paraId="0F6AD363">
      <w:pPr>
        <w:pStyle w:val="13"/>
        <w:rPr>
          <w:rFonts w:hAnsi="宋体" w:eastAsia="宋体" w:cs="宋体"/>
          <w:sz w:val="21"/>
          <w:szCs w:val="21"/>
        </w:rPr>
      </w:pPr>
    </w:p>
    <w:p w14:paraId="2BB43BB9">
      <w:pPr>
        <w:pStyle w:val="13"/>
        <w:rPr>
          <w:rFonts w:hAnsi="宋体" w:eastAsia="宋体" w:cs="宋体"/>
          <w:sz w:val="21"/>
          <w:szCs w:val="21"/>
        </w:rPr>
      </w:pPr>
    </w:p>
    <w:p w14:paraId="1EB5D204">
      <w:pPr>
        <w:pStyle w:val="13"/>
        <w:rPr>
          <w:rFonts w:hAnsi="宋体" w:eastAsia="宋体" w:cs="宋体"/>
          <w:sz w:val="21"/>
          <w:szCs w:val="21"/>
        </w:rPr>
      </w:pPr>
    </w:p>
    <w:p w14:paraId="1BAC46B1">
      <w:pPr>
        <w:pStyle w:val="13"/>
        <w:rPr>
          <w:rFonts w:hAnsi="宋体" w:eastAsia="宋体" w:cs="宋体"/>
          <w:sz w:val="21"/>
          <w:szCs w:val="21"/>
        </w:rPr>
      </w:pPr>
    </w:p>
    <w:p w14:paraId="0AA92487">
      <w:pPr>
        <w:pStyle w:val="13"/>
        <w:rPr>
          <w:rFonts w:hAnsi="宋体" w:eastAsia="宋体" w:cs="宋体"/>
          <w:sz w:val="21"/>
          <w:szCs w:val="21"/>
        </w:rPr>
      </w:pPr>
    </w:p>
    <w:p w14:paraId="0148ACFF">
      <w:pPr>
        <w:pStyle w:val="13"/>
        <w:rPr>
          <w:rFonts w:hAnsi="宋体" w:eastAsia="宋体" w:cs="宋体"/>
          <w:sz w:val="21"/>
          <w:szCs w:val="21"/>
        </w:rPr>
      </w:pPr>
    </w:p>
    <w:p w14:paraId="70297B5D">
      <w:pPr>
        <w:pStyle w:val="13"/>
        <w:rPr>
          <w:rFonts w:hAnsi="宋体" w:eastAsia="宋体" w:cs="宋体"/>
          <w:sz w:val="21"/>
          <w:szCs w:val="21"/>
        </w:rPr>
      </w:pPr>
    </w:p>
    <w:p w14:paraId="41CB500F">
      <w:pPr>
        <w:pStyle w:val="13"/>
        <w:rPr>
          <w:rFonts w:hAnsi="宋体" w:eastAsia="宋体" w:cs="宋体"/>
          <w:sz w:val="21"/>
          <w:szCs w:val="21"/>
        </w:rPr>
      </w:pPr>
    </w:p>
    <w:p w14:paraId="098BF06E">
      <w:pPr>
        <w:pStyle w:val="13"/>
        <w:rPr>
          <w:rFonts w:hAnsi="宋体" w:eastAsia="宋体" w:cs="宋体"/>
          <w:sz w:val="21"/>
          <w:szCs w:val="21"/>
        </w:rPr>
      </w:pPr>
    </w:p>
    <w:p w14:paraId="366EA303">
      <w:pPr>
        <w:pStyle w:val="13"/>
        <w:rPr>
          <w:rFonts w:hAnsi="宋体" w:eastAsia="宋体" w:cs="宋体"/>
          <w:sz w:val="21"/>
          <w:szCs w:val="21"/>
        </w:rPr>
      </w:pPr>
    </w:p>
    <w:p w14:paraId="0A618179">
      <w:pPr>
        <w:pStyle w:val="13"/>
        <w:rPr>
          <w:rFonts w:hAnsi="宋体" w:eastAsia="宋体" w:cs="宋体"/>
          <w:sz w:val="21"/>
          <w:szCs w:val="21"/>
        </w:rPr>
      </w:pPr>
    </w:p>
    <w:p w14:paraId="1830456F">
      <w:pPr>
        <w:pStyle w:val="13"/>
        <w:rPr>
          <w:rFonts w:hAnsi="宋体" w:eastAsia="宋体" w:cs="宋体"/>
          <w:sz w:val="21"/>
          <w:szCs w:val="21"/>
        </w:rPr>
      </w:pPr>
    </w:p>
    <w:p w14:paraId="7697C451">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68B81DBE">
      <w:pPr>
        <w:keepNext w:val="0"/>
        <w:keepLines w:val="0"/>
        <w:pageBreakBefore w:val="0"/>
        <w:widowControl w:val="0"/>
        <w:kinsoku/>
        <w:wordWrap/>
        <w:overflowPunct/>
        <w:topLinePunct w:val="0"/>
        <w:autoSpaceDE/>
        <w:autoSpaceDN/>
        <w:bidi w:val="0"/>
        <w:adjustRightInd/>
        <w:snapToGrid/>
        <w:spacing w:line="416" w:lineRule="auto"/>
        <w:jc w:val="center"/>
        <w:textAlignment w:val="auto"/>
        <w:outlineLvl w:val="1"/>
        <w:rPr>
          <w:rFonts w:hint="eastAsia" w:ascii="宋体" w:hAnsi="宋体" w:eastAsia="宋体" w:cs="Times New Roman"/>
          <w:b/>
          <w:bCs w:val="0"/>
          <w:color w:val="000000"/>
          <w:kern w:val="2"/>
          <w:sz w:val="32"/>
          <w:szCs w:val="32"/>
          <w:highlight w:val="none"/>
          <w:lang w:val="en-US" w:eastAsia="zh-CN" w:bidi="ar-SA"/>
        </w:rPr>
      </w:pPr>
      <w:r>
        <w:rPr>
          <w:rFonts w:hint="eastAsia" w:ascii="宋体" w:hAnsi="宋体" w:cs="宋体"/>
          <w:b/>
          <w:szCs w:val="21"/>
          <w:lang w:eastAsia="zh-CN"/>
        </w:rPr>
        <w:t>（五）</w:t>
      </w:r>
      <w:r>
        <w:rPr>
          <w:rFonts w:hint="eastAsia" w:ascii="宋体" w:hAnsi="宋体" w:eastAsia="宋体" w:cs="宋体"/>
          <w:b/>
          <w:szCs w:val="21"/>
          <w:lang w:val="en-US" w:eastAsia="zh-CN"/>
        </w:rPr>
        <w:t>供应商联系方式</w:t>
      </w:r>
    </w:p>
    <w:p w14:paraId="3D056970">
      <w:pPr>
        <w:pStyle w:val="10"/>
        <w:rPr>
          <w:color w:val="auto"/>
          <w:highlight w:val="none"/>
        </w:rPr>
      </w:pPr>
    </w:p>
    <w:tbl>
      <w:tblPr>
        <w:tblStyle w:val="26"/>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1904"/>
        <w:gridCol w:w="1905"/>
        <w:gridCol w:w="1905"/>
        <w:gridCol w:w="1847"/>
      </w:tblGrid>
      <w:tr w14:paraId="1301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75DE1328">
            <w:pPr>
              <w:pStyle w:val="10"/>
              <w:jc w:val="center"/>
              <w:rPr>
                <w:color w:val="auto"/>
                <w:sz w:val="21"/>
                <w:szCs w:val="21"/>
                <w:highlight w:val="none"/>
              </w:rPr>
            </w:pPr>
            <w:r>
              <w:rPr>
                <w:rFonts w:hint="eastAsia"/>
                <w:color w:val="auto"/>
                <w:sz w:val="21"/>
                <w:szCs w:val="21"/>
                <w:highlight w:val="none"/>
              </w:rPr>
              <w:t>联系人</w:t>
            </w:r>
          </w:p>
        </w:tc>
        <w:tc>
          <w:tcPr>
            <w:tcW w:w="1904" w:type="dxa"/>
            <w:noWrap w:val="0"/>
            <w:vAlign w:val="center"/>
          </w:tcPr>
          <w:p w14:paraId="7A62854D">
            <w:pPr>
              <w:pStyle w:val="10"/>
              <w:jc w:val="center"/>
              <w:rPr>
                <w:color w:val="auto"/>
                <w:sz w:val="21"/>
                <w:szCs w:val="21"/>
                <w:highlight w:val="none"/>
              </w:rPr>
            </w:pPr>
            <w:r>
              <w:rPr>
                <w:rFonts w:hint="eastAsia"/>
                <w:color w:val="auto"/>
                <w:sz w:val="21"/>
                <w:szCs w:val="21"/>
                <w:highlight w:val="none"/>
              </w:rPr>
              <w:t>姓名</w:t>
            </w:r>
          </w:p>
        </w:tc>
        <w:tc>
          <w:tcPr>
            <w:tcW w:w="1905" w:type="dxa"/>
            <w:noWrap w:val="0"/>
            <w:vAlign w:val="center"/>
          </w:tcPr>
          <w:p w14:paraId="6E20D9F5">
            <w:pPr>
              <w:pStyle w:val="10"/>
              <w:jc w:val="center"/>
              <w:rPr>
                <w:color w:val="auto"/>
                <w:sz w:val="21"/>
                <w:szCs w:val="21"/>
                <w:highlight w:val="none"/>
              </w:rPr>
            </w:pPr>
            <w:r>
              <w:rPr>
                <w:rFonts w:hint="eastAsia"/>
                <w:color w:val="auto"/>
                <w:sz w:val="21"/>
                <w:szCs w:val="21"/>
                <w:highlight w:val="none"/>
              </w:rPr>
              <w:t>办公室电话</w:t>
            </w:r>
          </w:p>
        </w:tc>
        <w:tc>
          <w:tcPr>
            <w:tcW w:w="1905" w:type="dxa"/>
            <w:noWrap w:val="0"/>
            <w:vAlign w:val="center"/>
          </w:tcPr>
          <w:p w14:paraId="321BF24F">
            <w:pPr>
              <w:pStyle w:val="10"/>
              <w:jc w:val="center"/>
              <w:rPr>
                <w:color w:val="auto"/>
                <w:sz w:val="21"/>
                <w:szCs w:val="21"/>
                <w:highlight w:val="none"/>
              </w:rPr>
            </w:pPr>
            <w:r>
              <w:rPr>
                <w:rFonts w:hint="eastAsia"/>
                <w:color w:val="auto"/>
                <w:sz w:val="21"/>
                <w:szCs w:val="21"/>
                <w:highlight w:val="none"/>
              </w:rPr>
              <w:t>手机</w:t>
            </w:r>
          </w:p>
        </w:tc>
        <w:tc>
          <w:tcPr>
            <w:tcW w:w="1847" w:type="dxa"/>
            <w:noWrap w:val="0"/>
            <w:vAlign w:val="center"/>
          </w:tcPr>
          <w:p w14:paraId="7D31EED4">
            <w:pPr>
              <w:pStyle w:val="10"/>
              <w:jc w:val="center"/>
              <w:rPr>
                <w:color w:val="auto"/>
                <w:sz w:val="21"/>
                <w:szCs w:val="21"/>
                <w:highlight w:val="none"/>
              </w:rPr>
            </w:pPr>
            <w:r>
              <w:rPr>
                <w:rFonts w:hint="eastAsia"/>
                <w:color w:val="auto"/>
                <w:sz w:val="21"/>
                <w:szCs w:val="21"/>
                <w:highlight w:val="none"/>
              </w:rPr>
              <w:t>邮箱</w:t>
            </w:r>
          </w:p>
        </w:tc>
      </w:tr>
      <w:tr w14:paraId="2934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E65F748">
            <w:pPr>
              <w:pStyle w:val="10"/>
              <w:jc w:val="center"/>
              <w:rPr>
                <w:color w:val="auto"/>
                <w:sz w:val="21"/>
                <w:szCs w:val="21"/>
                <w:highlight w:val="none"/>
              </w:rPr>
            </w:pPr>
            <w:r>
              <w:rPr>
                <w:rFonts w:hint="eastAsia"/>
                <w:color w:val="auto"/>
                <w:sz w:val="21"/>
                <w:szCs w:val="21"/>
                <w:highlight w:val="none"/>
                <w:lang w:eastAsia="zh-CN"/>
              </w:rPr>
              <w:t>供应商</w:t>
            </w:r>
            <w:r>
              <w:rPr>
                <w:rFonts w:hint="eastAsia"/>
                <w:color w:val="auto"/>
                <w:sz w:val="21"/>
                <w:szCs w:val="21"/>
                <w:highlight w:val="none"/>
              </w:rPr>
              <w:t>办公室</w:t>
            </w:r>
          </w:p>
        </w:tc>
        <w:tc>
          <w:tcPr>
            <w:tcW w:w="1904" w:type="dxa"/>
            <w:noWrap w:val="0"/>
            <w:vAlign w:val="center"/>
          </w:tcPr>
          <w:p w14:paraId="443DAC04">
            <w:pPr>
              <w:pStyle w:val="10"/>
              <w:jc w:val="center"/>
              <w:rPr>
                <w:color w:val="auto"/>
                <w:sz w:val="21"/>
                <w:szCs w:val="21"/>
                <w:highlight w:val="none"/>
              </w:rPr>
            </w:pPr>
          </w:p>
        </w:tc>
        <w:tc>
          <w:tcPr>
            <w:tcW w:w="1905" w:type="dxa"/>
            <w:noWrap w:val="0"/>
            <w:vAlign w:val="center"/>
          </w:tcPr>
          <w:p w14:paraId="4C61B1A6">
            <w:pPr>
              <w:pStyle w:val="10"/>
              <w:jc w:val="center"/>
              <w:rPr>
                <w:color w:val="auto"/>
                <w:sz w:val="21"/>
                <w:szCs w:val="21"/>
                <w:highlight w:val="none"/>
              </w:rPr>
            </w:pPr>
          </w:p>
        </w:tc>
        <w:tc>
          <w:tcPr>
            <w:tcW w:w="1905" w:type="dxa"/>
            <w:noWrap w:val="0"/>
            <w:vAlign w:val="center"/>
          </w:tcPr>
          <w:p w14:paraId="47A533E6">
            <w:pPr>
              <w:pStyle w:val="10"/>
              <w:jc w:val="center"/>
              <w:rPr>
                <w:color w:val="auto"/>
                <w:sz w:val="21"/>
                <w:szCs w:val="21"/>
                <w:highlight w:val="none"/>
              </w:rPr>
            </w:pPr>
          </w:p>
        </w:tc>
        <w:tc>
          <w:tcPr>
            <w:tcW w:w="1847" w:type="dxa"/>
            <w:noWrap w:val="0"/>
            <w:vAlign w:val="center"/>
          </w:tcPr>
          <w:p w14:paraId="4DF3C159">
            <w:pPr>
              <w:pStyle w:val="10"/>
              <w:jc w:val="center"/>
              <w:rPr>
                <w:color w:val="auto"/>
                <w:sz w:val="21"/>
                <w:szCs w:val="21"/>
                <w:highlight w:val="none"/>
              </w:rPr>
            </w:pPr>
          </w:p>
        </w:tc>
      </w:tr>
      <w:tr w14:paraId="1636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5C750F8B">
            <w:pPr>
              <w:pStyle w:val="10"/>
              <w:jc w:val="center"/>
              <w:rPr>
                <w:color w:val="auto"/>
                <w:sz w:val="21"/>
                <w:szCs w:val="21"/>
                <w:highlight w:val="none"/>
              </w:rPr>
            </w:pPr>
            <w:r>
              <w:rPr>
                <w:rFonts w:hint="eastAsia"/>
                <w:color w:val="auto"/>
                <w:sz w:val="21"/>
                <w:szCs w:val="21"/>
                <w:highlight w:val="none"/>
              </w:rPr>
              <w:t>委托代理人</w:t>
            </w:r>
          </w:p>
        </w:tc>
        <w:tc>
          <w:tcPr>
            <w:tcW w:w="1904" w:type="dxa"/>
            <w:noWrap w:val="0"/>
            <w:vAlign w:val="center"/>
          </w:tcPr>
          <w:p w14:paraId="28372FB0">
            <w:pPr>
              <w:pStyle w:val="10"/>
              <w:jc w:val="center"/>
              <w:rPr>
                <w:color w:val="auto"/>
                <w:sz w:val="21"/>
                <w:szCs w:val="21"/>
                <w:highlight w:val="none"/>
              </w:rPr>
            </w:pPr>
          </w:p>
        </w:tc>
        <w:tc>
          <w:tcPr>
            <w:tcW w:w="1905" w:type="dxa"/>
            <w:noWrap w:val="0"/>
            <w:vAlign w:val="center"/>
          </w:tcPr>
          <w:p w14:paraId="359DB483">
            <w:pPr>
              <w:pStyle w:val="10"/>
              <w:jc w:val="center"/>
              <w:rPr>
                <w:color w:val="auto"/>
                <w:sz w:val="21"/>
                <w:szCs w:val="21"/>
                <w:highlight w:val="none"/>
              </w:rPr>
            </w:pPr>
          </w:p>
        </w:tc>
        <w:tc>
          <w:tcPr>
            <w:tcW w:w="1905" w:type="dxa"/>
            <w:noWrap w:val="0"/>
            <w:vAlign w:val="center"/>
          </w:tcPr>
          <w:p w14:paraId="1E0A301E">
            <w:pPr>
              <w:pStyle w:val="10"/>
              <w:jc w:val="center"/>
              <w:rPr>
                <w:color w:val="auto"/>
                <w:sz w:val="21"/>
                <w:szCs w:val="21"/>
                <w:highlight w:val="none"/>
              </w:rPr>
            </w:pPr>
          </w:p>
        </w:tc>
        <w:tc>
          <w:tcPr>
            <w:tcW w:w="1847" w:type="dxa"/>
            <w:noWrap w:val="0"/>
            <w:vAlign w:val="center"/>
          </w:tcPr>
          <w:p w14:paraId="11134847">
            <w:pPr>
              <w:pStyle w:val="10"/>
              <w:jc w:val="center"/>
              <w:rPr>
                <w:color w:val="auto"/>
                <w:sz w:val="21"/>
                <w:szCs w:val="21"/>
                <w:highlight w:val="none"/>
              </w:rPr>
            </w:pPr>
          </w:p>
        </w:tc>
      </w:tr>
      <w:tr w14:paraId="7DB4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1A1ACFC">
            <w:pPr>
              <w:pStyle w:val="10"/>
              <w:jc w:val="center"/>
              <w:rPr>
                <w:color w:val="auto"/>
                <w:sz w:val="21"/>
                <w:szCs w:val="21"/>
                <w:highlight w:val="none"/>
              </w:rPr>
            </w:pPr>
            <w:r>
              <w:rPr>
                <w:rFonts w:hint="eastAsia"/>
                <w:color w:val="auto"/>
                <w:sz w:val="21"/>
                <w:szCs w:val="21"/>
                <w:highlight w:val="none"/>
              </w:rPr>
              <w:t>本项目联系人</w:t>
            </w:r>
          </w:p>
        </w:tc>
        <w:tc>
          <w:tcPr>
            <w:tcW w:w="1904" w:type="dxa"/>
            <w:noWrap w:val="0"/>
            <w:vAlign w:val="center"/>
          </w:tcPr>
          <w:p w14:paraId="1705EB85">
            <w:pPr>
              <w:pStyle w:val="10"/>
              <w:jc w:val="center"/>
              <w:rPr>
                <w:color w:val="auto"/>
                <w:sz w:val="21"/>
                <w:szCs w:val="21"/>
                <w:highlight w:val="none"/>
              </w:rPr>
            </w:pPr>
          </w:p>
        </w:tc>
        <w:tc>
          <w:tcPr>
            <w:tcW w:w="1905" w:type="dxa"/>
            <w:noWrap w:val="0"/>
            <w:vAlign w:val="center"/>
          </w:tcPr>
          <w:p w14:paraId="689791D0">
            <w:pPr>
              <w:pStyle w:val="10"/>
              <w:jc w:val="center"/>
              <w:rPr>
                <w:color w:val="auto"/>
                <w:sz w:val="21"/>
                <w:szCs w:val="21"/>
                <w:highlight w:val="none"/>
              </w:rPr>
            </w:pPr>
          </w:p>
        </w:tc>
        <w:tc>
          <w:tcPr>
            <w:tcW w:w="1905" w:type="dxa"/>
            <w:noWrap w:val="0"/>
            <w:vAlign w:val="center"/>
          </w:tcPr>
          <w:p w14:paraId="4D7DAAA6">
            <w:pPr>
              <w:pStyle w:val="10"/>
              <w:jc w:val="center"/>
              <w:rPr>
                <w:color w:val="auto"/>
                <w:sz w:val="21"/>
                <w:szCs w:val="21"/>
                <w:highlight w:val="none"/>
              </w:rPr>
            </w:pPr>
          </w:p>
        </w:tc>
        <w:tc>
          <w:tcPr>
            <w:tcW w:w="1847" w:type="dxa"/>
            <w:noWrap w:val="0"/>
            <w:vAlign w:val="center"/>
          </w:tcPr>
          <w:p w14:paraId="18508A4F">
            <w:pPr>
              <w:pStyle w:val="10"/>
              <w:jc w:val="center"/>
              <w:rPr>
                <w:color w:val="auto"/>
                <w:sz w:val="21"/>
                <w:szCs w:val="21"/>
                <w:highlight w:val="none"/>
              </w:rPr>
            </w:pPr>
          </w:p>
        </w:tc>
      </w:tr>
      <w:tr w14:paraId="365E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3F71C44">
            <w:pPr>
              <w:pStyle w:val="10"/>
              <w:jc w:val="center"/>
              <w:rPr>
                <w:color w:val="auto"/>
                <w:sz w:val="21"/>
                <w:szCs w:val="21"/>
                <w:highlight w:val="none"/>
              </w:rPr>
            </w:pPr>
            <w:r>
              <w:rPr>
                <w:rFonts w:hint="eastAsia"/>
                <w:color w:val="auto"/>
                <w:sz w:val="21"/>
                <w:szCs w:val="21"/>
                <w:highlight w:val="none"/>
              </w:rPr>
              <w:t>拟派项目负责人</w:t>
            </w:r>
          </w:p>
        </w:tc>
        <w:tc>
          <w:tcPr>
            <w:tcW w:w="1904" w:type="dxa"/>
            <w:noWrap w:val="0"/>
            <w:vAlign w:val="center"/>
          </w:tcPr>
          <w:p w14:paraId="17AE10FC">
            <w:pPr>
              <w:pStyle w:val="10"/>
              <w:jc w:val="center"/>
              <w:rPr>
                <w:color w:val="auto"/>
                <w:sz w:val="21"/>
                <w:szCs w:val="21"/>
                <w:highlight w:val="none"/>
              </w:rPr>
            </w:pPr>
          </w:p>
        </w:tc>
        <w:tc>
          <w:tcPr>
            <w:tcW w:w="1905" w:type="dxa"/>
            <w:noWrap w:val="0"/>
            <w:vAlign w:val="center"/>
          </w:tcPr>
          <w:p w14:paraId="2A18E872">
            <w:pPr>
              <w:pStyle w:val="10"/>
              <w:jc w:val="center"/>
              <w:rPr>
                <w:color w:val="auto"/>
                <w:sz w:val="21"/>
                <w:szCs w:val="21"/>
                <w:highlight w:val="none"/>
              </w:rPr>
            </w:pPr>
          </w:p>
        </w:tc>
        <w:tc>
          <w:tcPr>
            <w:tcW w:w="1905" w:type="dxa"/>
            <w:noWrap w:val="0"/>
            <w:vAlign w:val="center"/>
          </w:tcPr>
          <w:p w14:paraId="40846641">
            <w:pPr>
              <w:pStyle w:val="10"/>
              <w:jc w:val="center"/>
              <w:rPr>
                <w:color w:val="auto"/>
                <w:sz w:val="21"/>
                <w:szCs w:val="21"/>
                <w:highlight w:val="none"/>
              </w:rPr>
            </w:pPr>
          </w:p>
        </w:tc>
        <w:tc>
          <w:tcPr>
            <w:tcW w:w="1847" w:type="dxa"/>
            <w:noWrap w:val="0"/>
            <w:vAlign w:val="center"/>
          </w:tcPr>
          <w:p w14:paraId="23AD5D8E">
            <w:pPr>
              <w:pStyle w:val="10"/>
              <w:jc w:val="center"/>
              <w:rPr>
                <w:color w:val="auto"/>
                <w:sz w:val="21"/>
                <w:szCs w:val="21"/>
                <w:highlight w:val="none"/>
              </w:rPr>
            </w:pPr>
          </w:p>
        </w:tc>
      </w:tr>
    </w:tbl>
    <w:p w14:paraId="479F295F">
      <w:pPr>
        <w:rPr>
          <w:rFonts w:hint="eastAsia" w:ascii="宋体" w:hAnsi="宋体" w:cs="宋体"/>
          <w:b/>
          <w:szCs w:val="21"/>
          <w:lang w:eastAsia="zh-CN"/>
        </w:rPr>
      </w:pPr>
      <w:r>
        <w:rPr>
          <w:rFonts w:hint="eastAsia" w:ascii="宋体" w:hAnsi="宋体" w:cs="宋体"/>
          <w:b/>
          <w:szCs w:val="21"/>
          <w:lang w:eastAsia="zh-CN"/>
        </w:rPr>
        <w:br w:type="page"/>
      </w:r>
    </w:p>
    <w:p w14:paraId="0E15B85B">
      <w:pPr>
        <w:pStyle w:val="2"/>
        <w:rPr>
          <w:rFonts w:hint="eastAsia"/>
          <w:lang w:eastAsia="zh-CN"/>
        </w:rPr>
      </w:pPr>
    </w:p>
    <w:p w14:paraId="4844A88B">
      <w:pPr>
        <w:numPr>
          <w:ilvl w:val="0"/>
          <w:numId w:val="0"/>
        </w:numPr>
        <w:spacing w:line="360" w:lineRule="auto"/>
        <w:jc w:val="center"/>
        <w:rPr>
          <w:rFonts w:hint="eastAsia" w:ascii="宋体" w:hAnsi="宋体" w:cs="宋体"/>
          <w:b/>
          <w:szCs w:val="21"/>
          <w:lang w:eastAsia="zh-CN"/>
        </w:rPr>
      </w:pPr>
      <w:r>
        <w:rPr>
          <w:rFonts w:hint="eastAsia" w:ascii="宋体" w:hAnsi="宋体" w:cs="宋体"/>
          <w:b/>
          <w:szCs w:val="21"/>
          <w:lang w:eastAsia="zh-CN"/>
        </w:rPr>
        <w:t>（六）其他资料</w:t>
      </w:r>
    </w:p>
    <w:p w14:paraId="1AB1ECA5">
      <w:pPr>
        <w:pStyle w:val="13"/>
        <w:numPr>
          <w:ilvl w:val="0"/>
          <w:numId w:val="0"/>
        </w:numPr>
        <w:ind w:leftChars="0" w:firstLine="444" w:firstLineChars="200"/>
        <w:jc w:val="both"/>
        <w:rPr>
          <w:rFonts w:hint="eastAsia" w:ascii="宋体" w:hAnsi="宋体" w:eastAsia="宋体" w:cs="宋体"/>
          <w:b/>
          <w:bCs/>
          <w:kern w:val="2"/>
          <w:sz w:val="21"/>
          <w:szCs w:val="21"/>
          <w:lang w:val="en-US" w:eastAsia="zh-CN" w:bidi="ar-SA"/>
        </w:rPr>
      </w:pPr>
      <w:r>
        <w:rPr>
          <w:rFonts w:hint="eastAsia" w:ascii="宋体" w:hAnsi="宋体" w:eastAsia="宋体" w:cs="宋体"/>
          <w:b w:val="0"/>
          <w:bCs/>
          <w:spacing w:val="6"/>
          <w:kern w:val="2"/>
          <w:sz w:val="21"/>
          <w:szCs w:val="21"/>
          <w:lang w:val="en-US" w:eastAsia="zh-CN" w:bidi="ar-SA"/>
        </w:rPr>
        <w:t>供应商认为需要附在投标文件中的材料。</w:t>
      </w:r>
    </w:p>
    <w:p w14:paraId="75A49A03">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5D31D021">
      <w:pPr>
        <w:widowControl/>
        <w:spacing w:after="312" w:afterLines="100"/>
        <w:jc w:val="center"/>
        <w:rPr>
          <w:szCs w:val="21"/>
        </w:rPr>
      </w:pPr>
      <w:r>
        <w:rPr>
          <w:rFonts w:hint="eastAsia" w:ascii="宋体" w:hAnsi="宋体" w:cs="宋体"/>
          <w:b/>
          <w:bCs/>
          <w:color w:val="000000"/>
          <w:kern w:val="0"/>
          <w:sz w:val="24"/>
          <w:lang w:bidi="ar"/>
        </w:rPr>
        <w:t>河南省政府采购合同融资政策告知函</w:t>
      </w:r>
    </w:p>
    <w:p w14:paraId="74FBB931">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 xml:space="preserve">： </w:t>
      </w:r>
    </w:p>
    <w:p w14:paraId="395B758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欢迎贵公司参与</w:t>
      </w:r>
      <w:r>
        <w:rPr>
          <w:rFonts w:hint="eastAsia" w:ascii="宋体" w:hAnsi="宋体" w:eastAsia="宋体" w:cs="宋体"/>
          <w:color w:val="000000"/>
          <w:sz w:val="21"/>
          <w:szCs w:val="21"/>
          <w:lang w:val="en-US" w:eastAsia="zh-CN"/>
        </w:rPr>
        <w:t>郑东新区</w:t>
      </w:r>
      <w:r>
        <w:rPr>
          <w:rFonts w:hint="eastAsia" w:ascii="宋体" w:hAnsi="宋体" w:cs="宋体"/>
          <w:color w:val="000000"/>
          <w:kern w:val="0"/>
          <w:szCs w:val="21"/>
          <w:lang w:bidi="ar"/>
        </w:rPr>
        <w:t xml:space="preserve">政府采购活动！ </w:t>
      </w:r>
    </w:p>
    <w:p w14:paraId="6D2EA06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政府采购合同融资是河南省财政厅支持中小微企业发展，针对参与政府采购活动的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融资难、融资贵问题推出的一项融资政策。贵公司若成为本次政府项目的中标成交</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，可持政府采购合同向金融机构申请贷款，无需抵押、担保，融资机构将根据《河南省政府采购合同融资工作实施方案》（豫财购〔2017〕10 号），按照双方自愿的原则提供便捷、优惠的贷款服务。</w:t>
      </w:r>
    </w:p>
    <w:p w14:paraId="1C88F11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贷款渠道和提供贷款的金融机构，可在“</w:t>
      </w:r>
      <w:r>
        <w:rPr>
          <w:rFonts w:hint="eastAsia" w:ascii="宋体" w:hAnsi="宋体" w:cs="宋体"/>
          <w:color w:val="000000"/>
          <w:kern w:val="0"/>
          <w:szCs w:val="21"/>
          <w:lang w:eastAsia="zh-CN" w:bidi="ar"/>
        </w:rPr>
        <w:t>郑东新区</w:t>
      </w:r>
      <w:r>
        <w:rPr>
          <w:rFonts w:hint="eastAsia" w:ascii="宋体" w:hAnsi="宋体" w:cs="宋体"/>
          <w:color w:val="000000"/>
          <w:kern w:val="0"/>
          <w:szCs w:val="21"/>
          <w:lang w:bidi="ar"/>
        </w:rPr>
        <w:t>政府采购网”“河南省政府采购合同融资平台”中查询联系。</w:t>
      </w:r>
    </w:p>
    <w:p w14:paraId="257F0E5D"/>
    <w:sectPr>
      <w:pgSz w:w="11906" w:h="16838"/>
      <w:pgMar w:top="1417" w:right="1701" w:bottom="1417" w:left="170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C4C1F">
    <w:pPr>
      <w:pStyle w:val="15"/>
      <w:tabs>
        <w:tab w:val="center" w:pos="4252"/>
        <w:tab w:val="clear" w:pos="4153"/>
      </w:tabs>
      <w:jc w:val="both"/>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9F14C">
    <w:pPr>
      <w:pStyle w:val="15"/>
      <w:tabs>
        <w:tab w:val="center" w:pos="4252"/>
        <w:tab w:val="clear" w:pos="4153"/>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087A3C">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B087A3C">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16076">
    <w:pPr>
      <w:pStyle w:val="15"/>
      <w:jc w:val="right"/>
      <w:rPr>
        <w:rFonts w:ascii="宋体" w:hAns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0A0E46">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80A0E46">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AAC5">
    <w:pPr>
      <w:pStyle w:val="15"/>
      <w:jc w:val="right"/>
      <w:rPr>
        <w:rFonts w:ascii="宋体" w:hAnsi="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1EF59">
                          <w:pPr>
                            <w:pStyle w:val="15"/>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C81EF59">
                    <w:pPr>
                      <w:pStyle w:val="15"/>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4BF6">
    <w:pPr>
      <w:pStyle w:val="15"/>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E44B6">
                          <w:pPr>
                            <w:pStyle w:val="15"/>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25E44B6">
                    <w:pPr>
                      <w:pStyle w:val="15"/>
                    </w:pPr>
                    <w:r>
                      <w:fldChar w:fldCharType="begin"/>
                    </w:r>
                    <w:r>
                      <w:instrText xml:space="preserve"> PAGE  \* MERGEFORMAT </w:instrText>
                    </w:r>
                    <w:r>
                      <w:fldChar w:fldCharType="separate"/>
                    </w:r>
                    <w:r>
                      <w:t>36</w:t>
                    </w:r>
                    <w:r>
                      <w:fldChar w:fldCharType="end"/>
                    </w:r>
                  </w:p>
                </w:txbxContent>
              </v:textbox>
            </v:shape>
          </w:pict>
        </mc:Fallback>
      </mc:AlternateContent>
    </w:r>
  </w:p>
  <w:p w14:paraId="2FE7B5F6">
    <w:pPr>
      <w:pStyle w:val="1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64DEE">
    <w:pPr>
      <w:pStyle w:val="1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E7CE8">
                          <w:pPr>
                            <w:pStyle w:val="1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47E7CE8">
                    <w:pPr>
                      <w:pStyle w:val="15"/>
                    </w:pPr>
                    <w:r>
                      <w:fldChar w:fldCharType="begin"/>
                    </w:r>
                    <w:r>
                      <w:instrText xml:space="preserve"> PAGE  \* MERGEFORMAT </w:instrText>
                    </w:r>
                    <w:r>
                      <w:fldChar w:fldCharType="separate"/>
                    </w:r>
                    <w:r>
                      <w:t>55</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6A80DEF">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8pZNZ0QEAAKIDAAAOAAAAAAAAAAEAIAAAAB8BAABk&#10;cnMvZTJvRG9jLnhtbFBLBQYAAAAABgAGAFkBAABiBQAAAAA=&#10;">
              <v:fill on="f" focussize="0,0"/>
              <v:stroke on="f" weight="0.5pt"/>
              <v:imagedata o:title=""/>
              <o:lock v:ext="edit" aspectratio="f"/>
              <v:textbox inset="0mm,0mm,0mm,0mm" style="mso-fit-shape-to-text:t;">
                <w:txbxContent>
                  <w:p w14:paraId="46A80DEF">
                    <w:pPr>
                      <w:pStyle w:val="15"/>
                      <w:rPr>
                        <w:rStyle w:val="30"/>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CD334">
    <w:pPr>
      <w:pStyle w:val="1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E947C">
                          <w:pPr>
                            <w:pStyle w:val="1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1DE947C">
                    <w:pPr>
                      <w:pStyle w:val="15"/>
                    </w:pPr>
                    <w:r>
                      <w:fldChar w:fldCharType="begin"/>
                    </w:r>
                    <w:r>
                      <w:instrText xml:space="preserve"> PAGE  \* MERGEFORMAT </w:instrText>
                    </w:r>
                    <w:r>
                      <w:fldChar w:fldCharType="separate"/>
                    </w:r>
                    <w:r>
                      <w:t>56</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9A6FE8D">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ZFACV0QEAAKQDAAAOAAAAAAAAAAEAIAAAAB8BAABk&#10;cnMvZTJvRG9jLnhtbFBLBQYAAAAABgAGAFkBAABiBQAAAAA=&#10;">
              <v:fill on="f" focussize="0,0"/>
              <v:stroke on="f" weight="0.5pt"/>
              <v:imagedata o:title=""/>
              <o:lock v:ext="edit" aspectratio="f"/>
              <v:textbox inset="0mm,0mm,0mm,0mm" style="mso-fit-shape-to-text:t;">
                <w:txbxContent>
                  <w:p w14:paraId="49A6FE8D">
                    <w:pPr>
                      <w:pStyle w:val="15"/>
                      <w:rPr>
                        <w:rStyle w:val="30"/>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87A59">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9BFCF">
    <w:pPr>
      <w:pStyle w:val="17"/>
      <w:pBdr>
        <w:bottom w:val="none" w:color="auto" w:sz="0" w:space="1"/>
      </w:pBdr>
      <w:spacing w:before="120" w:after="120"/>
      <w:ind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AE7E5">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73B42"/>
    <w:multiLevelType w:val="singleLevel"/>
    <w:tmpl w:val="E1C73B42"/>
    <w:lvl w:ilvl="0" w:tentative="0">
      <w:start w:val="4"/>
      <w:numFmt w:val="chineseCounting"/>
      <w:suff w:val="nothing"/>
      <w:lvlText w:val="（%1）"/>
      <w:lvlJc w:val="left"/>
      <w:rPr>
        <w:rFonts w:hint="eastAsia"/>
      </w:rPr>
    </w:lvl>
  </w:abstractNum>
  <w:abstractNum w:abstractNumId="1">
    <w:nsid w:val="0A7D8384"/>
    <w:multiLevelType w:val="singleLevel"/>
    <w:tmpl w:val="0A7D8384"/>
    <w:lvl w:ilvl="0" w:tentative="0">
      <w:start w:val="3"/>
      <w:numFmt w:val="chineseCounting"/>
      <w:suff w:val="nothing"/>
      <w:lvlText w:val="（%1）"/>
      <w:lvlJc w:val="left"/>
      <w:rPr>
        <w:rFonts w:hint="eastAsia"/>
      </w:rPr>
    </w:lvl>
  </w:abstractNum>
  <w:abstractNum w:abstractNumId="2">
    <w:nsid w:val="0F46E77E"/>
    <w:multiLevelType w:val="singleLevel"/>
    <w:tmpl w:val="0F46E77E"/>
    <w:lvl w:ilvl="0" w:tentative="0">
      <w:start w:val="3"/>
      <w:numFmt w:val="decimal"/>
      <w:suff w:val="nothing"/>
      <w:lvlText w:val="（%1）"/>
      <w:lvlJc w:val="left"/>
    </w:lvl>
  </w:abstractNum>
  <w:abstractNum w:abstractNumId="3">
    <w:nsid w:val="55FE203D"/>
    <w:multiLevelType w:val="singleLevel"/>
    <w:tmpl w:val="55FE203D"/>
    <w:lvl w:ilvl="0" w:tentative="0">
      <w:start w:val="1"/>
      <w:numFmt w:val="decimal"/>
      <w:suff w:val="nothing"/>
      <w:lvlText w:val="%1."/>
      <w:lvlJc w:val="left"/>
    </w:lvl>
  </w:abstractNum>
  <w:abstractNum w:abstractNumId="4">
    <w:nsid w:val="55FE262F"/>
    <w:multiLevelType w:val="singleLevel"/>
    <w:tmpl w:val="55FE262F"/>
    <w:lvl w:ilvl="0" w:tentative="0">
      <w:start w:val="1"/>
      <w:numFmt w:val="decimal"/>
      <w:suff w:val="nothing"/>
      <w:lvlText w:val="%1."/>
      <w:lvlJc w:val="left"/>
    </w:lvl>
  </w:abstractNum>
  <w:abstractNum w:abstractNumId="5">
    <w:nsid w:val="55FE2750"/>
    <w:multiLevelType w:val="singleLevel"/>
    <w:tmpl w:val="55FE2750"/>
    <w:lvl w:ilvl="0" w:tentative="0">
      <w:start w:val="1"/>
      <w:numFmt w:val="decimal"/>
      <w:suff w:val="nothing"/>
      <w:lvlText w:val="%1."/>
      <w:lvlJc w:val="left"/>
    </w:lvl>
  </w:abstractNum>
  <w:abstractNum w:abstractNumId="6">
    <w:nsid w:val="55FE27A7"/>
    <w:multiLevelType w:val="singleLevel"/>
    <w:tmpl w:val="55FE27A7"/>
    <w:lvl w:ilvl="0" w:tentative="0">
      <w:start w:val="1"/>
      <w:numFmt w:val="decimal"/>
      <w:suff w:val="nothing"/>
      <w:lvlText w:val="（%1）"/>
      <w:lvlJc w:val="left"/>
    </w:lvl>
  </w:abstractNum>
  <w:abstractNum w:abstractNumId="7">
    <w:nsid w:val="55FE290F"/>
    <w:multiLevelType w:val="singleLevel"/>
    <w:tmpl w:val="55FE290F"/>
    <w:lvl w:ilvl="0" w:tentative="0">
      <w:start w:val="2"/>
      <w:numFmt w:val="decimal"/>
      <w:suff w:val="nothing"/>
      <w:lvlText w:val="%1."/>
      <w:lvlJc w:val="left"/>
    </w:lvl>
  </w:abstractNum>
  <w:abstractNum w:abstractNumId="8">
    <w:nsid w:val="55FE2947"/>
    <w:multiLevelType w:val="singleLevel"/>
    <w:tmpl w:val="55FE2947"/>
    <w:lvl w:ilvl="0" w:tentative="0">
      <w:start w:val="1"/>
      <w:numFmt w:val="decimal"/>
      <w:suff w:val="nothing"/>
      <w:lvlText w:val="（%1）"/>
      <w:lvlJc w:val="left"/>
    </w:lvl>
  </w:abstractNum>
  <w:abstractNum w:abstractNumId="9">
    <w:nsid w:val="55FE2ACD"/>
    <w:multiLevelType w:val="singleLevel"/>
    <w:tmpl w:val="55FE2ACD"/>
    <w:lvl w:ilvl="0" w:tentative="0">
      <w:start w:val="1"/>
      <w:numFmt w:val="decimal"/>
      <w:suff w:val="nothing"/>
      <w:lvlText w:val="%1."/>
      <w:lvlJc w:val="left"/>
    </w:lvl>
  </w:abstractNum>
  <w:abstractNum w:abstractNumId="10">
    <w:nsid w:val="55FE4F25"/>
    <w:multiLevelType w:val="singleLevel"/>
    <w:tmpl w:val="55FE4F25"/>
    <w:lvl w:ilvl="0" w:tentative="0">
      <w:start w:val="1"/>
      <w:numFmt w:val="decimal"/>
      <w:suff w:val="nothing"/>
      <w:lvlText w:val="%1."/>
      <w:lvlJc w:val="left"/>
    </w:lvl>
  </w:abstractNum>
  <w:abstractNum w:abstractNumId="11">
    <w:nsid w:val="55FE4F88"/>
    <w:multiLevelType w:val="singleLevel"/>
    <w:tmpl w:val="55FE4F88"/>
    <w:lvl w:ilvl="0" w:tentative="0">
      <w:start w:val="1"/>
      <w:numFmt w:val="decimal"/>
      <w:suff w:val="nothing"/>
      <w:lvlText w:val="%1."/>
      <w:lvlJc w:val="left"/>
    </w:lvl>
  </w:abstractNum>
  <w:abstractNum w:abstractNumId="12">
    <w:nsid w:val="55FE5B70"/>
    <w:multiLevelType w:val="singleLevel"/>
    <w:tmpl w:val="55FE5B70"/>
    <w:lvl w:ilvl="0" w:tentative="0">
      <w:start w:val="2"/>
      <w:numFmt w:val="decimal"/>
      <w:suff w:val="nothing"/>
      <w:lvlText w:val="%1."/>
      <w:lvlJc w:val="left"/>
    </w:lvl>
  </w:abstractNum>
  <w:abstractNum w:abstractNumId="13">
    <w:nsid w:val="55FE5CF0"/>
    <w:multiLevelType w:val="singleLevel"/>
    <w:tmpl w:val="55FE5CF0"/>
    <w:lvl w:ilvl="0" w:tentative="0">
      <w:start w:val="4"/>
      <w:numFmt w:val="decimal"/>
      <w:suff w:val="nothing"/>
      <w:lvlText w:val="%1."/>
      <w:lvlJc w:val="left"/>
    </w:lvl>
  </w:abstractNum>
  <w:abstractNum w:abstractNumId="14">
    <w:nsid w:val="55FE5E20"/>
    <w:multiLevelType w:val="singleLevel"/>
    <w:tmpl w:val="55FE5E20"/>
    <w:lvl w:ilvl="0" w:tentative="0">
      <w:start w:val="1"/>
      <w:numFmt w:val="decimal"/>
      <w:suff w:val="nothing"/>
      <w:lvlText w:val="（%1）"/>
      <w:lvlJc w:val="left"/>
    </w:lvl>
  </w:abstractNum>
  <w:abstractNum w:abstractNumId="15">
    <w:nsid w:val="55FE5F0F"/>
    <w:multiLevelType w:val="singleLevel"/>
    <w:tmpl w:val="55FE5F0F"/>
    <w:lvl w:ilvl="0" w:tentative="0">
      <w:start w:val="1"/>
      <w:numFmt w:val="decimal"/>
      <w:suff w:val="nothing"/>
      <w:lvlText w:val="%1."/>
      <w:lvlJc w:val="left"/>
    </w:lvl>
  </w:abstractNum>
  <w:abstractNum w:abstractNumId="16">
    <w:nsid w:val="55FE6053"/>
    <w:multiLevelType w:val="singleLevel"/>
    <w:tmpl w:val="55FE6053"/>
    <w:lvl w:ilvl="0" w:tentative="0">
      <w:start w:val="1"/>
      <w:numFmt w:val="decimal"/>
      <w:suff w:val="nothing"/>
      <w:lvlText w:val="%1."/>
      <w:lvlJc w:val="left"/>
    </w:lvl>
  </w:abstractNum>
  <w:abstractNum w:abstractNumId="17">
    <w:nsid w:val="5B6748BE"/>
    <w:multiLevelType w:val="singleLevel"/>
    <w:tmpl w:val="5B6748BE"/>
    <w:lvl w:ilvl="0" w:tentative="0">
      <w:start w:val="5"/>
      <w:numFmt w:val="decimal"/>
      <w:lvlText w:val="%1."/>
      <w:lvlJc w:val="left"/>
      <w:pPr>
        <w:tabs>
          <w:tab w:val="left" w:pos="312"/>
        </w:tabs>
      </w:pPr>
    </w:lvl>
  </w:abstractNum>
  <w:abstractNum w:abstractNumId="18">
    <w:nsid w:val="627E3D88"/>
    <w:multiLevelType w:val="singleLevel"/>
    <w:tmpl w:val="627E3D88"/>
    <w:lvl w:ilvl="0" w:tentative="0">
      <w:start w:val="1"/>
      <w:numFmt w:val="decimal"/>
      <w:lvlText w:val="%1."/>
      <w:lvlJc w:val="left"/>
      <w:pPr>
        <w:tabs>
          <w:tab w:val="left" w:pos="312"/>
        </w:tabs>
      </w:pPr>
    </w:lvl>
  </w:abstractNum>
  <w:abstractNum w:abstractNumId="19">
    <w:nsid w:val="69C07A89"/>
    <w:multiLevelType w:val="singleLevel"/>
    <w:tmpl w:val="69C07A89"/>
    <w:lvl w:ilvl="0" w:tentative="0">
      <w:start w:val="6"/>
      <w:numFmt w:val="decimal"/>
      <w:suff w:val="nothing"/>
      <w:lvlText w:val="%1、"/>
      <w:lvlJc w:val="left"/>
    </w:lvl>
  </w:abstractNum>
  <w:num w:numId="1">
    <w:abstractNumId w:val="19"/>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8"/>
  </w:num>
  <w:num w:numId="17">
    <w:abstractNumId w:val="2"/>
  </w:num>
  <w:num w:numId="18">
    <w:abstractNumId w:val="1"/>
  </w:num>
  <w:num w:numId="19">
    <w:abstractNumId w:val="1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xMjIwNTk1OTQ0ZTEwNWQ3N2QwMWI3MzIyZjc3ZTEifQ=="/>
  </w:docVars>
  <w:rsids>
    <w:rsidRoot w:val="00172A27"/>
    <w:rsid w:val="000B7456"/>
    <w:rsid w:val="00172A27"/>
    <w:rsid w:val="001A4716"/>
    <w:rsid w:val="002462F2"/>
    <w:rsid w:val="002674B6"/>
    <w:rsid w:val="002B5179"/>
    <w:rsid w:val="00303F39"/>
    <w:rsid w:val="00311A5F"/>
    <w:rsid w:val="004D4AEB"/>
    <w:rsid w:val="00520240"/>
    <w:rsid w:val="00534831"/>
    <w:rsid w:val="00646551"/>
    <w:rsid w:val="006D2ACE"/>
    <w:rsid w:val="0078632A"/>
    <w:rsid w:val="00963FA8"/>
    <w:rsid w:val="00AA1979"/>
    <w:rsid w:val="00B03A02"/>
    <w:rsid w:val="00B0770D"/>
    <w:rsid w:val="00B1062D"/>
    <w:rsid w:val="00B143C5"/>
    <w:rsid w:val="00BB0BE0"/>
    <w:rsid w:val="00C141BB"/>
    <w:rsid w:val="00C201E6"/>
    <w:rsid w:val="00C97EB8"/>
    <w:rsid w:val="00D16D4E"/>
    <w:rsid w:val="00E4075A"/>
    <w:rsid w:val="00E61452"/>
    <w:rsid w:val="00ED5FBA"/>
    <w:rsid w:val="00F3531A"/>
    <w:rsid w:val="01042E7A"/>
    <w:rsid w:val="01297B2E"/>
    <w:rsid w:val="016320EC"/>
    <w:rsid w:val="01695392"/>
    <w:rsid w:val="0175333F"/>
    <w:rsid w:val="017D7E5A"/>
    <w:rsid w:val="01A67902"/>
    <w:rsid w:val="01E15672"/>
    <w:rsid w:val="01E46CBB"/>
    <w:rsid w:val="01E70628"/>
    <w:rsid w:val="020D52E3"/>
    <w:rsid w:val="02443753"/>
    <w:rsid w:val="0257525A"/>
    <w:rsid w:val="02824764"/>
    <w:rsid w:val="028916DF"/>
    <w:rsid w:val="02B00021"/>
    <w:rsid w:val="02D71F68"/>
    <w:rsid w:val="02D85A6A"/>
    <w:rsid w:val="02DE4F63"/>
    <w:rsid w:val="03140E6E"/>
    <w:rsid w:val="03203CAF"/>
    <w:rsid w:val="034B6651"/>
    <w:rsid w:val="03632CBB"/>
    <w:rsid w:val="03655CA8"/>
    <w:rsid w:val="03C62F2C"/>
    <w:rsid w:val="04093F50"/>
    <w:rsid w:val="043769F9"/>
    <w:rsid w:val="04CC57D8"/>
    <w:rsid w:val="05143E2A"/>
    <w:rsid w:val="06A6181F"/>
    <w:rsid w:val="06DC7FC4"/>
    <w:rsid w:val="06E627FA"/>
    <w:rsid w:val="07A92999"/>
    <w:rsid w:val="07B90005"/>
    <w:rsid w:val="07F70EBC"/>
    <w:rsid w:val="084048F2"/>
    <w:rsid w:val="084367D4"/>
    <w:rsid w:val="08894F13"/>
    <w:rsid w:val="096F5CD0"/>
    <w:rsid w:val="09880942"/>
    <w:rsid w:val="098D41AA"/>
    <w:rsid w:val="0A232419"/>
    <w:rsid w:val="0A3B59B5"/>
    <w:rsid w:val="0A476905"/>
    <w:rsid w:val="0A6962CC"/>
    <w:rsid w:val="0A8152E1"/>
    <w:rsid w:val="0A943317"/>
    <w:rsid w:val="0AB67731"/>
    <w:rsid w:val="0AC96452"/>
    <w:rsid w:val="0AD06FAD"/>
    <w:rsid w:val="0AE15433"/>
    <w:rsid w:val="0B6C7DF0"/>
    <w:rsid w:val="0B835994"/>
    <w:rsid w:val="0BC1638D"/>
    <w:rsid w:val="0C0342C8"/>
    <w:rsid w:val="0C97639D"/>
    <w:rsid w:val="0CAA5FED"/>
    <w:rsid w:val="0D101598"/>
    <w:rsid w:val="0D782A7C"/>
    <w:rsid w:val="0E781BBB"/>
    <w:rsid w:val="0EAB5560"/>
    <w:rsid w:val="0ED1708D"/>
    <w:rsid w:val="0F3155D8"/>
    <w:rsid w:val="0F6C4280"/>
    <w:rsid w:val="0FC72F10"/>
    <w:rsid w:val="0FDB2697"/>
    <w:rsid w:val="10303AE2"/>
    <w:rsid w:val="104826D7"/>
    <w:rsid w:val="115D5C46"/>
    <w:rsid w:val="11612B7E"/>
    <w:rsid w:val="11DB0BD4"/>
    <w:rsid w:val="12015736"/>
    <w:rsid w:val="120725A1"/>
    <w:rsid w:val="127169A9"/>
    <w:rsid w:val="127B750D"/>
    <w:rsid w:val="128D521B"/>
    <w:rsid w:val="1317627E"/>
    <w:rsid w:val="133236CD"/>
    <w:rsid w:val="13CE119B"/>
    <w:rsid w:val="13CE1647"/>
    <w:rsid w:val="144E2788"/>
    <w:rsid w:val="146D061F"/>
    <w:rsid w:val="147738A1"/>
    <w:rsid w:val="14A74D33"/>
    <w:rsid w:val="14CF7E97"/>
    <w:rsid w:val="151662C5"/>
    <w:rsid w:val="15205DC2"/>
    <w:rsid w:val="1546253D"/>
    <w:rsid w:val="155438E7"/>
    <w:rsid w:val="15707694"/>
    <w:rsid w:val="15722E61"/>
    <w:rsid w:val="15907FB3"/>
    <w:rsid w:val="159579DE"/>
    <w:rsid w:val="15A92A66"/>
    <w:rsid w:val="1602382A"/>
    <w:rsid w:val="169E3089"/>
    <w:rsid w:val="16C31547"/>
    <w:rsid w:val="16D5721C"/>
    <w:rsid w:val="17255A22"/>
    <w:rsid w:val="175E7186"/>
    <w:rsid w:val="1767428D"/>
    <w:rsid w:val="17872239"/>
    <w:rsid w:val="17E51656"/>
    <w:rsid w:val="17EE5FD9"/>
    <w:rsid w:val="17FD65D9"/>
    <w:rsid w:val="181037C1"/>
    <w:rsid w:val="1818352B"/>
    <w:rsid w:val="181D2B9D"/>
    <w:rsid w:val="1820443C"/>
    <w:rsid w:val="18246085"/>
    <w:rsid w:val="18E93222"/>
    <w:rsid w:val="18EF3691"/>
    <w:rsid w:val="19064EF7"/>
    <w:rsid w:val="19095EF6"/>
    <w:rsid w:val="19643A34"/>
    <w:rsid w:val="19934667"/>
    <w:rsid w:val="19A82700"/>
    <w:rsid w:val="19B0616D"/>
    <w:rsid w:val="19DE010A"/>
    <w:rsid w:val="1A1205DC"/>
    <w:rsid w:val="1A180F96"/>
    <w:rsid w:val="1A2F6BB8"/>
    <w:rsid w:val="1A320248"/>
    <w:rsid w:val="1AA2382E"/>
    <w:rsid w:val="1AA72BF2"/>
    <w:rsid w:val="1AE101ED"/>
    <w:rsid w:val="1B076C5A"/>
    <w:rsid w:val="1B1F09DB"/>
    <w:rsid w:val="1B3B0B71"/>
    <w:rsid w:val="1B976A5B"/>
    <w:rsid w:val="1C024299"/>
    <w:rsid w:val="1C1F071A"/>
    <w:rsid w:val="1C6B7BE7"/>
    <w:rsid w:val="1C8431EB"/>
    <w:rsid w:val="1CE24646"/>
    <w:rsid w:val="1CE819CC"/>
    <w:rsid w:val="1D322C47"/>
    <w:rsid w:val="1E470974"/>
    <w:rsid w:val="1E502639"/>
    <w:rsid w:val="1E9A4533"/>
    <w:rsid w:val="1EAB0F03"/>
    <w:rsid w:val="1EC177F9"/>
    <w:rsid w:val="1EC73863"/>
    <w:rsid w:val="1EC75611"/>
    <w:rsid w:val="1ECD4154"/>
    <w:rsid w:val="1EFB1828"/>
    <w:rsid w:val="1F040613"/>
    <w:rsid w:val="1F4D46FF"/>
    <w:rsid w:val="1F585CE6"/>
    <w:rsid w:val="1F9219E2"/>
    <w:rsid w:val="1FE81CE3"/>
    <w:rsid w:val="1FF82E76"/>
    <w:rsid w:val="201421D3"/>
    <w:rsid w:val="20315438"/>
    <w:rsid w:val="204038CD"/>
    <w:rsid w:val="207B2B57"/>
    <w:rsid w:val="208D63E6"/>
    <w:rsid w:val="20F15032"/>
    <w:rsid w:val="21924AF9"/>
    <w:rsid w:val="21DD2351"/>
    <w:rsid w:val="220B551F"/>
    <w:rsid w:val="22123047"/>
    <w:rsid w:val="222300D5"/>
    <w:rsid w:val="222A7EAE"/>
    <w:rsid w:val="22407EA0"/>
    <w:rsid w:val="228552ED"/>
    <w:rsid w:val="228D0920"/>
    <w:rsid w:val="22EE3EF6"/>
    <w:rsid w:val="230576E1"/>
    <w:rsid w:val="2341350F"/>
    <w:rsid w:val="23745AA0"/>
    <w:rsid w:val="23B32608"/>
    <w:rsid w:val="241C165F"/>
    <w:rsid w:val="243A2BFD"/>
    <w:rsid w:val="245F2C93"/>
    <w:rsid w:val="24AA2C5C"/>
    <w:rsid w:val="24BB4C9A"/>
    <w:rsid w:val="24CE5E2C"/>
    <w:rsid w:val="24F14B6F"/>
    <w:rsid w:val="25065626"/>
    <w:rsid w:val="255A4B83"/>
    <w:rsid w:val="25663209"/>
    <w:rsid w:val="25C66622"/>
    <w:rsid w:val="2657273D"/>
    <w:rsid w:val="267918E7"/>
    <w:rsid w:val="26966FC6"/>
    <w:rsid w:val="271368F1"/>
    <w:rsid w:val="271766FB"/>
    <w:rsid w:val="27833447"/>
    <w:rsid w:val="278F2AF9"/>
    <w:rsid w:val="27962024"/>
    <w:rsid w:val="27B506FD"/>
    <w:rsid w:val="281806AE"/>
    <w:rsid w:val="282C2B34"/>
    <w:rsid w:val="285717B4"/>
    <w:rsid w:val="28C63984"/>
    <w:rsid w:val="29143B49"/>
    <w:rsid w:val="292A0DB5"/>
    <w:rsid w:val="2983335E"/>
    <w:rsid w:val="299A22A0"/>
    <w:rsid w:val="2A97768B"/>
    <w:rsid w:val="2AC812FC"/>
    <w:rsid w:val="2AF30CAB"/>
    <w:rsid w:val="2B4723F2"/>
    <w:rsid w:val="2B7E0310"/>
    <w:rsid w:val="2BA5553A"/>
    <w:rsid w:val="2BA614FE"/>
    <w:rsid w:val="2C243D0B"/>
    <w:rsid w:val="2C436636"/>
    <w:rsid w:val="2C7D2C3A"/>
    <w:rsid w:val="2CB35427"/>
    <w:rsid w:val="2CF55493"/>
    <w:rsid w:val="2D4D1B57"/>
    <w:rsid w:val="2D6A3D37"/>
    <w:rsid w:val="2DB812CB"/>
    <w:rsid w:val="2DF45CF7"/>
    <w:rsid w:val="2E062054"/>
    <w:rsid w:val="2E1A76D7"/>
    <w:rsid w:val="2E1D7459"/>
    <w:rsid w:val="2E463C38"/>
    <w:rsid w:val="2E651A4F"/>
    <w:rsid w:val="2E7F5594"/>
    <w:rsid w:val="2EA96AE1"/>
    <w:rsid w:val="2F415966"/>
    <w:rsid w:val="2FB40E24"/>
    <w:rsid w:val="2FE55DDB"/>
    <w:rsid w:val="3038636F"/>
    <w:rsid w:val="304A7E50"/>
    <w:rsid w:val="3106021B"/>
    <w:rsid w:val="31745184"/>
    <w:rsid w:val="31DC1829"/>
    <w:rsid w:val="320651BA"/>
    <w:rsid w:val="322A7F39"/>
    <w:rsid w:val="32364AD9"/>
    <w:rsid w:val="32410F4D"/>
    <w:rsid w:val="32560D2E"/>
    <w:rsid w:val="326B1F1B"/>
    <w:rsid w:val="32892EB1"/>
    <w:rsid w:val="32B176C0"/>
    <w:rsid w:val="32DA0D3B"/>
    <w:rsid w:val="33A80F0B"/>
    <w:rsid w:val="34575326"/>
    <w:rsid w:val="34915550"/>
    <w:rsid w:val="34B40DC4"/>
    <w:rsid w:val="34B55F89"/>
    <w:rsid w:val="34C75075"/>
    <w:rsid w:val="35817A7E"/>
    <w:rsid w:val="358F413E"/>
    <w:rsid w:val="35F44AE6"/>
    <w:rsid w:val="35F9636D"/>
    <w:rsid w:val="36435846"/>
    <w:rsid w:val="36C43083"/>
    <w:rsid w:val="37074CED"/>
    <w:rsid w:val="370C5E5F"/>
    <w:rsid w:val="371A0D1F"/>
    <w:rsid w:val="37307DA0"/>
    <w:rsid w:val="374857F5"/>
    <w:rsid w:val="37932E24"/>
    <w:rsid w:val="37F47148"/>
    <w:rsid w:val="37FF7772"/>
    <w:rsid w:val="380C4A6C"/>
    <w:rsid w:val="38186EA1"/>
    <w:rsid w:val="385E1940"/>
    <w:rsid w:val="390C1770"/>
    <w:rsid w:val="39893797"/>
    <w:rsid w:val="39EB1833"/>
    <w:rsid w:val="3A172CDE"/>
    <w:rsid w:val="3A2F6167"/>
    <w:rsid w:val="3AC5681F"/>
    <w:rsid w:val="3B621599"/>
    <w:rsid w:val="3B65531A"/>
    <w:rsid w:val="3BC56212"/>
    <w:rsid w:val="3C3B79FE"/>
    <w:rsid w:val="3C4C157C"/>
    <w:rsid w:val="3C9734E2"/>
    <w:rsid w:val="3CC72A17"/>
    <w:rsid w:val="3D1A5084"/>
    <w:rsid w:val="3D3516D4"/>
    <w:rsid w:val="3DAB4624"/>
    <w:rsid w:val="3DD0408A"/>
    <w:rsid w:val="3E295549"/>
    <w:rsid w:val="3E2B12C1"/>
    <w:rsid w:val="3E4A038A"/>
    <w:rsid w:val="3E5C147A"/>
    <w:rsid w:val="3E73382A"/>
    <w:rsid w:val="3EEA2F2A"/>
    <w:rsid w:val="3F2200AB"/>
    <w:rsid w:val="3F2226C4"/>
    <w:rsid w:val="3F956756"/>
    <w:rsid w:val="3F956D3E"/>
    <w:rsid w:val="3FDD2DA4"/>
    <w:rsid w:val="3FE21E53"/>
    <w:rsid w:val="400224F5"/>
    <w:rsid w:val="404C3CC5"/>
    <w:rsid w:val="40921891"/>
    <w:rsid w:val="40994C08"/>
    <w:rsid w:val="409A0060"/>
    <w:rsid w:val="41546D80"/>
    <w:rsid w:val="41B41CBD"/>
    <w:rsid w:val="41BF1713"/>
    <w:rsid w:val="41C3326C"/>
    <w:rsid w:val="41E813E6"/>
    <w:rsid w:val="41F665E3"/>
    <w:rsid w:val="422B40FE"/>
    <w:rsid w:val="422C37BC"/>
    <w:rsid w:val="423A0699"/>
    <w:rsid w:val="436332AB"/>
    <w:rsid w:val="43CA2D1E"/>
    <w:rsid w:val="43E4237B"/>
    <w:rsid w:val="443469F5"/>
    <w:rsid w:val="4435640C"/>
    <w:rsid w:val="44D31FE5"/>
    <w:rsid w:val="45221FE9"/>
    <w:rsid w:val="45356453"/>
    <w:rsid w:val="474F2AC7"/>
    <w:rsid w:val="479F5C10"/>
    <w:rsid w:val="47A376C8"/>
    <w:rsid w:val="47A67C0A"/>
    <w:rsid w:val="482860FA"/>
    <w:rsid w:val="48823A88"/>
    <w:rsid w:val="488C6E00"/>
    <w:rsid w:val="48A405ED"/>
    <w:rsid w:val="490C7F41"/>
    <w:rsid w:val="49902920"/>
    <w:rsid w:val="49954ACC"/>
    <w:rsid w:val="49AD339F"/>
    <w:rsid w:val="49BC1967"/>
    <w:rsid w:val="4A39289E"/>
    <w:rsid w:val="4A527BD5"/>
    <w:rsid w:val="4A8677E5"/>
    <w:rsid w:val="4B6B3B97"/>
    <w:rsid w:val="4B6C4CC7"/>
    <w:rsid w:val="4C1A7543"/>
    <w:rsid w:val="4C2721A5"/>
    <w:rsid w:val="4C29071A"/>
    <w:rsid w:val="4C655699"/>
    <w:rsid w:val="4CB94011"/>
    <w:rsid w:val="4CC25B81"/>
    <w:rsid w:val="4CE517E1"/>
    <w:rsid w:val="4D00724B"/>
    <w:rsid w:val="4D7E265E"/>
    <w:rsid w:val="4D826CEA"/>
    <w:rsid w:val="4D87403A"/>
    <w:rsid w:val="4DE31916"/>
    <w:rsid w:val="4E1F24C4"/>
    <w:rsid w:val="4E2D2E33"/>
    <w:rsid w:val="4E3F0F51"/>
    <w:rsid w:val="4E4E0D19"/>
    <w:rsid w:val="4E632D78"/>
    <w:rsid w:val="4E957181"/>
    <w:rsid w:val="4EC310A1"/>
    <w:rsid w:val="4EF72831"/>
    <w:rsid w:val="4F0D556C"/>
    <w:rsid w:val="4FAB61EB"/>
    <w:rsid w:val="4FD16410"/>
    <w:rsid w:val="50107D89"/>
    <w:rsid w:val="50386B21"/>
    <w:rsid w:val="50632B3C"/>
    <w:rsid w:val="513B38C8"/>
    <w:rsid w:val="51DA5080"/>
    <w:rsid w:val="521C57F7"/>
    <w:rsid w:val="524B7D2C"/>
    <w:rsid w:val="5273228C"/>
    <w:rsid w:val="52937168"/>
    <w:rsid w:val="52C02B7A"/>
    <w:rsid w:val="52D75281"/>
    <w:rsid w:val="52EA4E4F"/>
    <w:rsid w:val="53035F10"/>
    <w:rsid w:val="534D0F13"/>
    <w:rsid w:val="53550B1A"/>
    <w:rsid w:val="53663AF1"/>
    <w:rsid w:val="53690469"/>
    <w:rsid w:val="53727BAA"/>
    <w:rsid w:val="537312E8"/>
    <w:rsid w:val="538E1672"/>
    <w:rsid w:val="53D31D87"/>
    <w:rsid w:val="53EB70D0"/>
    <w:rsid w:val="54326970"/>
    <w:rsid w:val="54391432"/>
    <w:rsid w:val="543A50EC"/>
    <w:rsid w:val="547E76FB"/>
    <w:rsid w:val="5495742B"/>
    <w:rsid w:val="54C67298"/>
    <w:rsid w:val="54CF2CF4"/>
    <w:rsid w:val="54F86B18"/>
    <w:rsid w:val="550C77D6"/>
    <w:rsid w:val="552E155E"/>
    <w:rsid w:val="5531145B"/>
    <w:rsid w:val="55542449"/>
    <w:rsid w:val="55591B32"/>
    <w:rsid w:val="55AC68B7"/>
    <w:rsid w:val="55B36DAA"/>
    <w:rsid w:val="55EA390D"/>
    <w:rsid w:val="55F52D3D"/>
    <w:rsid w:val="55F84A68"/>
    <w:rsid w:val="56232CF2"/>
    <w:rsid w:val="56597DD6"/>
    <w:rsid w:val="57437304"/>
    <w:rsid w:val="576D50FB"/>
    <w:rsid w:val="57CC0FC7"/>
    <w:rsid w:val="57F3662F"/>
    <w:rsid w:val="57FC0C53"/>
    <w:rsid w:val="590C6974"/>
    <w:rsid w:val="591E3AA4"/>
    <w:rsid w:val="59C87282"/>
    <w:rsid w:val="59EF71EF"/>
    <w:rsid w:val="59F546BA"/>
    <w:rsid w:val="5A3C3F0A"/>
    <w:rsid w:val="5A437FB8"/>
    <w:rsid w:val="5A785436"/>
    <w:rsid w:val="5A8770F5"/>
    <w:rsid w:val="5ABC3575"/>
    <w:rsid w:val="5AD649D6"/>
    <w:rsid w:val="5B302AC5"/>
    <w:rsid w:val="5B780343"/>
    <w:rsid w:val="5CFB1082"/>
    <w:rsid w:val="5D0159C6"/>
    <w:rsid w:val="5D83481E"/>
    <w:rsid w:val="5D902A73"/>
    <w:rsid w:val="5D9033ED"/>
    <w:rsid w:val="5DBD1FB0"/>
    <w:rsid w:val="5E2B5E07"/>
    <w:rsid w:val="5E2F7AC6"/>
    <w:rsid w:val="5E347267"/>
    <w:rsid w:val="5E3A120F"/>
    <w:rsid w:val="5E9B53B9"/>
    <w:rsid w:val="5EA303F6"/>
    <w:rsid w:val="5EC1333C"/>
    <w:rsid w:val="5F053010"/>
    <w:rsid w:val="5F190718"/>
    <w:rsid w:val="5F345A2E"/>
    <w:rsid w:val="5F775CBC"/>
    <w:rsid w:val="5F7A57AC"/>
    <w:rsid w:val="5FD52022"/>
    <w:rsid w:val="61BC41C8"/>
    <w:rsid w:val="61E361EA"/>
    <w:rsid w:val="61F93300"/>
    <w:rsid w:val="628F27F2"/>
    <w:rsid w:val="6390559E"/>
    <w:rsid w:val="63C95B10"/>
    <w:rsid w:val="641F7451"/>
    <w:rsid w:val="646E2440"/>
    <w:rsid w:val="647924D6"/>
    <w:rsid w:val="647D2DD2"/>
    <w:rsid w:val="64AD443E"/>
    <w:rsid w:val="64F03411"/>
    <w:rsid w:val="650359BB"/>
    <w:rsid w:val="655B1BDC"/>
    <w:rsid w:val="65893811"/>
    <w:rsid w:val="65905D2A"/>
    <w:rsid w:val="662F69CB"/>
    <w:rsid w:val="6670737D"/>
    <w:rsid w:val="66794A10"/>
    <w:rsid w:val="668B016C"/>
    <w:rsid w:val="66911D59"/>
    <w:rsid w:val="66C23319"/>
    <w:rsid w:val="67346307"/>
    <w:rsid w:val="677B3DA4"/>
    <w:rsid w:val="67902786"/>
    <w:rsid w:val="67AB0BF9"/>
    <w:rsid w:val="682002EE"/>
    <w:rsid w:val="68682AFD"/>
    <w:rsid w:val="687F5BE1"/>
    <w:rsid w:val="688E21FA"/>
    <w:rsid w:val="698E2580"/>
    <w:rsid w:val="69913E1E"/>
    <w:rsid w:val="69F719AF"/>
    <w:rsid w:val="6A1B443E"/>
    <w:rsid w:val="6A742BE7"/>
    <w:rsid w:val="6A8210EA"/>
    <w:rsid w:val="6ABD6A04"/>
    <w:rsid w:val="6B1065FC"/>
    <w:rsid w:val="6B107080"/>
    <w:rsid w:val="6B1F3EC4"/>
    <w:rsid w:val="6B29790C"/>
    <w:rsid w:val="6B8005EE"/>
    <w:rsid w:val="6B8638D8"/>
    <w:rsid w:val="6BBD5A7F"/>
    <w:rsid w:val="6C0375F2"/>
    <w:rsid w:val="6C6F04F5"/>
    <w:rsid w:val="6CD97FB6"/>
    <w:rsid w:val="6D006E56"/>
    <w:rsid w:val="6D154D66"/>
    <w:rsid w:val="6D1D5595"/>
    <w:rsid w:val="6DB30697"/>
    <w:rsid w:val="6DB52810"/>
    <w:rsid w:val="6DE57468"/>
    <w:rsid w:val="6E2251F9"/>
    <w:rsid w:val="6EAB3BE9"/>
    <w:rsid w:val="6EB33BCC"/>
    <w:rsid w:val="6EE90259"/>
    <w:rsid w:val="6F094457"/>
    <w:rsid w:val="6F0A455E"/>
    <w:rsid w:val="6F0F7987"/>
    <w:rsid w:val="6F17750E"/>
    <w:rsid w:val="6F4656AB"/>
    <w:rsid w:val="6FC54C55"/>
    <w:rsid w:val="7044013C"/>
    <w:rsid w:val="705B5186"/>
    <w:rsid w:val="70687184"/>
    <w:rsid w:val="707F0E4B"/>
    <w:rsid w:val="716342F2"/>
    <w:rsid w:val="71752277"/>
    <w:rsid w:val="71AA2449"/>
    <w:rsid w:val="72374BF5"/>
    <w:rsid w:val="72760726"/>
    <w:rsid w:val="73153277"/>
    <w:rsid w:val="732058A6"/>
    <w:rsid w:val="735C2475"/>
    <w:rsid w:val="73845C52"/>
    <w:rsid w:val="73AA6208"/>
    <w:rsid w:val="73AD4489"/>
    <w:rsid w:val="73C54A91"/>
    <w:rsid w:val="73D22DBB"/>
    <w:rsid w:val="73E775A3"/>
    <w:rsid w:val="744D65B2"/>
    <w:rsid w:val="74B310ED"/>
    <w:rsid w:val="74DE68B1"/>
    <w:rsid w:val="74F51705"/>
    <w:rsid w:val="750B779E"/>
    <w:rsid w:val="752F68D0"/>
    <w:rsid w:val="75322DE5"/>
    <w:rsid w:val="75B66EEB"/>
    <w:rsid w:val="76641338"/>
    <w:rsid w:val="77230A61"/>
    <w:rsid w:val="775646F9"/>
    <w:rsid w:val="7763043E"/>
    <w:rsid w:val="77794B23"/>
    <w:rsid w:val="77882D05"/>
    <w:rsid w:val="77F07394"/>
    <w:rsid w:val="78724B4E"/>
    <w:rsid w:val="78846073"/>
    <w:rsid w:val="78C53AE4"/>
    <w:rsid w:val="78F11412"/>
    <w:rsid w:val="790C1713"/>
    <w:rsid w:val="79217FF2"/>
    <w:rsid w:val="79CD4FB8"/>
    <w:rsid w:val="7A1E7244"/>
    <w:rsid w:val="7A221477"/>
    <w:rsid w:val="7A2539B8"/>
    <w:rsid w:val="7A402979"/>
    <w:rsid w:val="7A8A28F0"/>
    <w:rsid w:val="7B152B59"/>
    <w:rsid w:val="7B446F7D"/>
    <w:rsid w:val="7B9C6BAB"/>
    <w:rsid w:val="7BDB0159"/>
    <w:rsid w:val="7C036DFE"/>
    <w:rsid w:val="7C2823C0"/>
    <w:rsid w:val="7C831E35"/>
    <w:rsid w:val="7CDB1C52"/>
    <w:rsid w:val="7CEF54E6"/>
    <w:rsid w:val="7D3E0D74"/>
    <w:rsid w:val="7D4C4895"/>
    <w:rsid w:val="7D594108"/>
    <w:rsid w:val="7DA42404"/>
    <w:rsid w:val="7DBB54B6"/>
    <w:rsid w:val="7E874E3F"/>
    <w:rsid w:val="7E941F8F"/>
    <w:rsid w:val="7FB64F23"/>
    <w:rsid w:val="7FE74E67"/>
    <w:rsid w:val="7FF411D7"/>
    <w:rsid w:val="7FF74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2">
    <w:name w:val="heading 2"/>
    <w:basedOn w:val="1"/>
    <w:next w:val="1"/>
    <w:qFormat/>
    <w:uiPriority w:val="0"/>
    <w:pPr>
      <w:keepNext/>
      <w:spacing w:line="600" w:lineRule="exact"/>
      <w:outlineLvl w:val="1"/>
    </w:pPr>
    <w:rPr>
      <w:rFonts w:ascii="宋体" w:hAnsi="宋体"/>
      <w:b/>
      <w:sz w:val="28"/>
      <w:szCs w:val="20"/>
    </w:rPr>
  </w:style>
  <w:style w:type="paragraph" w:styleId="4">
    <w:name w:val="heading 3"/>
    <w:basedOn w:val="1"/>
    <w:next w:val="1"/>
    <w:qFormat/>
    <w:uiPriority w:val="0"/>
    <w:pPr>
      <w:keepNext/>
      <w:keepLines/>
      <w:spacing w:line="360" w:lineRule="auto"/>
      <w:outlineLvl w:val="2"/>
    </w:pPr>
    <w:rPr>
      <w:b/>
      <w:bCs/>
      <w:sz w:val="24"/>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6">
    <w:name w:val="heading 8"/>
    <w:basedOn w:val="1"/>
    <w:next w:val="1"/>
    <w:qFormat/>
    <w:uiPriority w:val="1"/>
    <w:pPr>
      <w:spacing w:before="34"/>
      <w:ind w:left="999"/>
      <w:outlineLvl w:val="7"/>
    </w:pPr>
    <w:rPr>
      <w:rFonts w:ascii="微软雅黑" w:hAnsi="微软雅黑" w:eastAsia="微软雅黑" w:cs="微软雅黑"/>
      <w:sz w:val="22"/>
      <w:szCs w:val="2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firstLineChars="200"/>
    </w:pPr>
  </w:style>
  <w:style w:type="paragraph" w:styleId="8">
    <w:name w:val="annotation text"/>
    <w:basedOn w:val="1"/>
    <w:link w:val="54"/>
    <w:qFormat/>
    <w:uiPriority w:val="0"/>
    <w:pPr>
      <w:jc w:val="left"/>
    </w:pPr>
  </w:style>
  <w:style w:type="paragraph" w:styleId="9">
    <w:name w:val="Body Text"/>
    <w:basedOn w:val="1"/>
    <w:next w:val="10"/>
    <w:qFormat/>
    <w:uiPriority w:val="0"/>
    <w:pPr>
      <w:spacing w:line="360" w:lineRule="auto"/>
      <w:jc w:val="left"/>
    </w:pPr>
    <w:rPr>
      <w:rFonts w:eastAsia="仿宋_GB2312"/>
      <w:kern w:val="0"/>
      <w:sz w:val="28"/>
      <w:szCs w:val="28"/>
    </w:rPr>
  </w:style>
  <w:style w:type="paragraph" w:customStyle="1" w:styleId="10">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
    <w:name w:val="Body Text Indent"/>
    <w:basedOn w:val="1"/>
    <w:qFormat/>
    <w:uiPriority w:val="0"/>
    <w:pPr>
      <w:widowControl/>
      <w:ind w:firstLine="567"/>
    </w:pPr>
    <w:rPr>
      <w:kern w:val="0"/>
      <w:sz w:val="24"/>
      <w:szCs w:val="20"/>
    </w:rPr>
  </w:style>
  <w:style w:type="paragraph" w:styleId="12">
    <w:name w:val="toc 3"/>
    <w:basedOn w:val="1"/>
    <w:next w:val="1"/>
    <w:qFormat/>
    <w:uiPriority w:val="39"/>
    <w:pPr>
      <w:ind w:left="420"/>
      <w:jc w:val="left"/>
    </w:pPr>
    <w:rPr>
      <w:i/>
      <w:iCs/>
      <w:sz w:val="20"/>
      <w:szCs w:val="20"/>
    </w:rPr>
  </w:style>
  <w:style w:type="paragraph" w:styleId="13">
    <w:name w:val="Plain Text"/>
    <w:basedOn w:val="1"/>
    <w:link w:val="51"/>
    <w:qFormat/>
    <w:uiPriority w:val="0"/>
    <w:pPr>
      <w:spacing w:line="360" w:lineRule="auto"/>
      <w:ind w:left="120" w:hanging="120"/>
      <w:jc w:val="center"/>
    </w:pPr>
    <w:rPr>
      <w:rFonts w:ascii="宋体" w:hAnsi="Courier New" w:eastAsia="仿宋_GB2312"/>
      <w:kern w:val="0"/>
      <w:sz w:val="28"/>
      <w:szCs w:val="28"/>
    </w:rPr>
  </w:style>
  <w:style w:type="paragraph" w:styleId="14">
    <w:name w:val="Body Text Indent 2"/>
    <w:basedOn w:val="1"/>
    <w:qFormat/>
    <w:uiPriority w:val="0"/>
    <w:pPr>
      <w:spacing w:after="120" w:line="480" w:lineRule="auto"/>
      <w:ind w:left="420"/>
    </w:pPr>
    <w:rPr>
      <w:szCs w:val="20"/>
    </w:r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envelope return"/>
    <w:basedOn w:val="1"/>
    <w:qFormat/>
    <w:uiPriority w:val="0"/>
    <w:pPr>
      <w:snapToGrid w:val="0"/>
    </w:pPr>
    <w:rPr>
      <w:rFonts w:ascii="Arial" w:hAnsi="Arial"/>
    </w:rPr>
  </w:style>
  <w:style w:type="paragraph" w:styleId="17">
    <w:name w:val="header"/>
    <w:basedOn w:val="1"/>
    <w:next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oc 1"/>
    <w:basedOn w:val="1"/>
    <w:next w:val="1"/>
    <w:qFormat/>
    <w:uiPriority w:val="39"/>
    <w:pPr>
      <w:spacing w:before="120" w:after="120"/>
      <w:jc w:val="left"/>
    </w:pPr>
    <w:rPr>
      <w:b/>
      <w:bCs/>
      <w:caps/>
      <w:sz w:val="20"/>
      <w:szCs w:val="20"/>
    </w:rPr>
  </w:style>
  <w:style w:type="paragraph" w:styleId="19">
    <w:name w:val="toc 2"/>
    <w:basedOn w:val="1"/>
    <w:next w:val="1"/>
    <w:qFormat/>
    <w:uiPriority w:val="0"/>
    <w:pPr>
      <w:ind w:left="420" w:leftChars="200"/>
    </w:pPr>
  </w:style>
  <w:style w:type="paragraph" w:styleId="20">
    <w:name w:val="Body Text 2"/>
    <w:basedOn w:val="1"/>
    <w:next w:val="9"/>
    <w:qFormat/>
    <w:uiPriority w:val="0"/>
    <w:pPr>
      <w:spacing w:line="360" w:lineRule="auto"/>
      <w:ind w:firstLine="480" w:firstLineChars="200"/>
    </w:pPr>
    <w:rPr>
      <w:rFonts w:ascii="仿宋_GB2312" w:hAnsi="宋体" w:eastAsia="仿宋_GB2312"/>
      <w:sz w:val="24"/>
      <w:szCs w:val="20"/>
    </w:rPr>
  </w:style>
  <w:style w:type="paragraph" w:styleId="21">
    <w:name w:val="Normal (Web)"/>
    <w:basedOn w:val="1"/>
    <w:qFormat/>
    <w:uiPriority w:val="99"/>
    <w:pPr>
      <w:widowControl/>
      <w:spacing w:before="100" w:after="100"/>
      <w:jc w:val="left"/>
    </w:pPr>
    <w:rPr>
      <w:rFonts w:ascii="宋体" w:hAnsi="宋体"/>
      <w:kern w:val="0"/>
      <w:sz w:val="24"/>
      <w:szCs w:val="20"/>
    </w:rPr>
  </w:style>
  <w:style w:type="paragraph" w:styleId="22">
    <w:name w:val="Title"/>
    <w:basedOn w:val="1"/>
    <w:next w:val="1"/>
    <w:qFormat/>
    <w:uiPriority w:val="0"/>
    <w:pPr>
      <w:jc w:val="center"/>
      <w:outlineLvl w:val="0"/>
    </w:pPr>
    <w:rPr>
      <w:b/>
      <w:sz w:val="32"/>
      <w:szCs w:val="20"/>
    </w:rPr>
  </w:style>
  <w:style w:type="paragraph" w:styleId="23">
    <w:name w:val="annotation subject"/>
    <w:basedOn w:val="8"/>
    <w:next w:val="8"/>
    <w:link w:val="55"/>
    <w:qFormat/>
    <w:uiPriority w:val="0"/>
    <w:rPr>
      <w:b/>
      <w:bCs/>
    </w:rPr>
  </w:style>
  <w:style w:type="paragraph" w:styleId="24">
    <w:name w:val="Body Text First Indent"/>
    <w:basedOn w:val="9"/>
    <w:next w:val="25"/>
    <w:unhideWhenUsed/>
    <w:qFormat/>
    <w:uiPriority w:val="99"/>
    <w:pPr>
      <w:ind w:firstLine="420" w:firstLineChars="100"/>
    </w:pPr>
  </w:style>
  <w:style w:type="paragraph" w:styleId="25">
    <w:name w:val="Body Text First Indent 2"/>
    <w:basedOn w:val="11"/>
    <w:next w:val="9"/>
    <w:unhideWhenUsed/>
    <w:qFormat/>
    <w:uiPriority w:val="99"/>
    <w:pPr>
      <w:ind w:firstLine="420" w:firstLineChars="200"/>
    </w:pPr>
  </w:style>
  <w:style w:type="table" w:styleId="27">
    <w:name w:val="Table Grid"/>
    <w:basedOn w:val="2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FollowedHyperlink"/>
    <w:basedOn w:val="28"/>
    <w:qFormat/>
    <w:uiPriority w:val="0"/>
    <w:rPr>
      <w:color w:val="444444"/>
      <w:sz w:val="21"/>
      <w:szCs w:val="21"/>
      <w:u w:val="none"/>
    </w:rPr>
  </w:style>
  <w:style w:type="character" w:styleId="32">
    <w:name w:val="Emphasis"/>
    <w:basedOn w:val="28"/>
    <w:qFormat/>
    <w:uiPriority w:val="0"/>
    <w:rPr>
      <w:b/>
      <w:bCs/>
    </w:rPr>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0"/>
    <w:rPr>
      <w:color w:val="444444"/>
      <w:sz w:val="21"/>
      <w:szCs w:val="21"/>
      <w:u w:val="none"/>
    </w:rPr>
  </w:style>
  <w:style w:type="character" w:styleId="38">
    <w:name w:val="HTML Code"/>
    <w:basedOn w:val="28"/>
    <w:qFormat/>
    <w:uiPriority w:val="0"/>
    <w:rPr>
      <w:rFonts w:ascii="monospace" w:hAnsi="monospace" w:eastAsia="monospace" w:cs="monospace"/>
      <w:sz w:val="20"/>
    </w:rPr>
  </w:style>
  <w:style w:type="character" w:styleId="39">
    <w:name w:val="annotation reference"/>
    <w:basedOn w:val="28"/>
    <w:qFormat/>
    <w:uiPriority w:val="0"/>
    <w:rPr>
      <w:sz w:val="21"/>
      <w:szCs w:val="21"/>
    </w:rPr>
  </w:style>
  <w:style w:type="character" w:styleId="40">
    <w:name w:val="HTML Cite"/>
    <w:basedOn w:val="28"/>
    <w:qFormat/>
    <w:uiPriority w:val="0"/>
  </w:style>
  <w:style w:type="character" w:styleId="41">
    <w:name w:val="HTML Keyboard"/>
    <w:basedOn w:val="28"/>
    <w:qFormat/>
    <w:uiPriority w:val="0"/>
    <w:rPr>
      <w:rFonts w:hint="default" w:ascii="monospace" w:hAnsi="monospace" w:eastAsia="monospace" w:cs="monospace"/>
      <w:color w:val="FFFFFF"/>
      <w:sz w:val="19"/>
      <w:szCs w:val="19"/>
      <w:bdr w:val="single" w:color="auto" w:sz="2" w:space="0"/>
      <w:shd w:val="clear" w:color="auto" w:fill="F6F6F6"/>
    </w:rPr>
  </w:style>
  <w:style w:type="character" w:styleId="42">
    <w:name w:val="HTML Sample"/>
    <w:basedOn w:val="28"/>
    <w:qFormat/>
    <w:uiPriority w:val="0"/>
    <w:rPr>
      <w:rFonts w:hint="default" w:ascii="monospace" w:hAnsi="monospace" w:eastAsia="monospace" w:cs="monospace"/>
    </w:rPr>
  </w:style>
  <w:style w:type="paragraph" w:customStyle="1" w:styleId="43">
    <w:name w:val="style4"/>
    <w:basedOn w:val="1"/>
    <w:next w:val="44"/>
    <w:qFormat/>
    <w:uiPriority w:val="0"/>
    <w:pPr>
      <w:widowControl/>
      <w:spacing w:before="280" w:after="280"/>
    </w:pPr>
    <w:rPr>
      <w:sz w:val="18"/>
    </w:rPr>
  </w:style>
  <w:style w:type="paragraph" w:customStyle="1" w:styleId="44">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45">
    <w:name w:val="无间隔1"/>
    <w:basedOn w:val="1"/>
    <w:qFormat/>
    <w:uiPriority w:val="1"/>
    <w:pPr>
      <w:spacing w:line="400" w:lineRule="exact"/>
    </w:pPr>
    <w:rPr>
      <w:sz w:val="24"/>
    </w:rPr>
  </w:style>
  <w:style w:type="paragraph" w:customStyle="1" w:styleId="46">
    <w:name w:val="样式 标题 2 + Times New Roman 四号 非加粗 段前: 5 磅 段后: 0 磅 行距: 固定值 20..."/>
    <w:basedOn w:val="2"/>
    <w:qFormat/>
    <w:uiPriority w:val="0"/>
    <w:pPr>
      <w:keepLines/>
      <w:spacing w:before="100" w:line="400" w:lineRule="exact"/>
    </w:pPr>
    <w:rPr>
      <w:rFonts w:ascii="Times New Roman" w:hAnsi="Times New Roman" w:eastAsia="黑体" w:cs="宋体"/>
      <w:b w:val="0"/>
    </w:rPr>
  </w:style>
  <w:style w:type="paragraph" w:customStyle="1" w:styleId="47">
    <w:name w:val="表格文字样式"/>
    <w:basedOn w:val="1"/>
    <w:qFormat/>
    <w:uiPriority w:val="99"/>
    <w:rPr>
      <w:rFonts w:eastAsia="仿宋"/>
      <w:sz w:val="24"/>
      <w:szCs w:val="21"/>
    </w:rPr>
  </w:style>
  <w:style w:type="paragraph" w:styleId="48">
    <w:name w:val="List Paragraph"/>
    <w:basedOn w:val="1"/>
    <w:qFormat/>
    <w:uiPriority w:val="0"/>
    <w:pPr>
      <w:adjustRightInd w:val="0"/>
      <w:snapToGrid w:val="0"/>
      <w:spacing w:line="360" w:lineRule="auto"/>
      <w:ind w:firstLine="420" w:firstLineChars="200"/>
    </w:pPr>
    <w:rPr>
      <w:color w:val="000000"/>
      <w:szCs w:val="21"/>
    </w:rPr>
  </w:style>
  <w:style w:type="paragraph" w:customStyle="1" w:styleId="49">
    <w:name w:val="列出段落1"/>
    <w:basedOn w:val="1"/>
    <w:qFormat/>
    <w:uiPriority w:val="34"/>
    <w:pPr>
      <w:ind w:firstLine="420" w:firstLineChars="200"/>
    </w:pPr>
  </w:style>
  <w:style w:type="paragraph" w:customStyle="1" w:styleId="50">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1">
    <w:name w:val="纯文本 字符"/>
    <w:link w:val="13"/>
    <w:qFormat/>
    <w:uiPriority w:val="0"/>
    <w:rPr>
      <w:rFonts w:ascii="宋体" w:hAnsi="Courier New" w:eastAsia="仿宋_GB2312"/>
      <w:kern w:val="0"/>
      <w:sz w:val="28"/>
      <w:szCs w:val="28"/>
    </w:rPr>
  </w:style>
  <w:style w:type="paragraph" w:customStyle="1" w:styleId="52">
    <w:name w:val="正文_13_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3">
    <w:name w:val="表格"/>
    <w:basedOn w:val="1"/>
    <w:qFormat/>
    <w:uiPriority w:val="0"/>
    <w:rPr>
      <w:szCs w:val="21"/>
    </w:rPr>
  </w:style>
  <w:style w:type="character" w:customStyle="1" w:styleId="54">
    <w:name w:val="批注文字 字符"/>
    <w:basedOn w:val="28"/>
    <w:link w:val="8"/>
    <w:qFormat/>
    <w:uiPriority w:val="0"/>
    <w:rPr>
      <w:rFonts w:eastAsia="宋体"/>
      <w:kern w:val="2"/>
      <w:sz w:val="21"/>
      <w:szCs w:val="24"/>
    </w:rPr>
  </w:style>
  <w:style w:type="character" w:customStyle="1" w:styleId="55">
    <w:name w:val="批注主题 字符"/>
    <w:basedOn w:val="54"/>
    <w:link w:val="23"/>
    <w:qFormat/>
    <w:uiPriority w:val="0"/>
    <w:rPr>
      <w:rFonts w:eastAsia="宋体"/>
      <w:b/>
      <w:bCs/>
      <w:kern w:val="2"/>
      <w:sz w:val="21"/>
      <w:szCs w:val="24"/>
    </w:rPr>
  </w:style>
  <w:style w:type="paragraph" w:customStyle="1" w:styleId="56">
    <w:name w:val="列表段落1"/>
    <w:basedOn w:val="1"/>
    <w:qFormat/>
    <w:uiPriority w:val="99"/>
    <w:pPr>
      <w:spacing w:line="400" w:lineRule="exact"/>
      <w:ind w:firstLine="200" w:firstLineChars="200"/>
    </w:pPr>
    <w:rPr>
      <w:rFonts w:asciiTheme="minorHAnsi" w:hAnsiTheme="minorHAnsi" w:eastAsiaTheme="minorEastAsia" w:cstheme="minorBidi"/>
      <w:szCs w:val="22"/>
    </w:rPr>
  </w:style>
  <w:style w:type="paragraph" w:customStyle="1" w:styleId="57">
    <w:name w:val="Table Paragraph"/>
    <w:basedOn w:val="1"/>
    <w:qFormat/>
    <w:uiPriority w:val="1"/>
    <w:rPr>
      <w:rFonts w:ascii="宋体" w:hAnsi="宋体" w:cs="宋体"/>
    </w:rPr>
  </w:style>
  <w:style w:type="character" w:customStyle="1" w:styleId="58">
    <w:name w:val="hover17"/>
    <w:basedOn w:val="28"/>
    <w:qFormat/>
    <w:uiPriority w:val="0"/>
  </w:style>
  <w:style w:type="character" w:customStyle="1" w:styleId="59">
    <w:name w:val="hover15"/>
    <w:basedOn w:val="28"/>
    <w:qFormat/>
    <w:uiPriority w:val="0"/>
  </w:style>
  <w:style w:type="character" w:customStyle="1" w:styleId="60">
    <w:name w:val="mini-outputtext1"/>
    <w:basedOn w:val="28"/>
    <w:qFormat/>
    <w:uiPriority w:val="0"/>
  </w:style>
  <w:style w:type="paragraph" w:customStyle="1" w:styleId="61">
    <w:name w:val="_Style 35"/>
    <w:basedOn w:val="1"/>
    <w:next w:val="48"/>
    <w:qFormat/>
    <w:uiPriority w:val="34"/>
    <w:pPr>
      <w:widowControl/>
      <w:ind w:firstLine="420" w:firstLineChars="200"/>
      <w:jc w:val="left"/>
    </w:pPr>
    <w:rPr>
      <w:kern w:val="0"/>
      <w:sz w:val="24"/>
    </w:rPr>
  </w:style>
  <w:style w:type="character" w:customStyle="1" w:styleId="62">
    <w:name w:val="hover18"/>
    <w:basedOn w:val="28"/>
    <w:qFormat/>
    <w:uiPriority w:val="0"/>
  </w:style>
  <w:style w:type="character" w:customStyle="1" w:styleId="63">
    <w:name w:val="NormalCharacter"/>
    <w:semiHidden/>
    <w:qFormat/>
    <w:uiPriority w:val="0"/>
  </w:style>
  <w:style w:type="character" w:customStyle="1" w:styleId="64">
    <w:name w:val="hover16"/>
    <w:basedOn w:val="28"/>
    <w:qFormat/>
    <w:uiPriority w:val="0"/>
  </w:style>
  <w:style w:type="character" w:customStyle="1" w:styleId="65">
    <w:name w:val="hover"/>
    <w:basedOn w:val="28"/>
    <w:qFormat/>
    <w:uiPriority w:val="0"/>
  </w:style>
  <w:style w:type="character" w:customStyle="1" w:styleId="66">
    <w:name w:val="icon_ds"/>
    <w:basedOn w:val="28"/>
    <w:qFormat/>
    <w:uiPriority w:val="0"/>
  </w:style>
  <w:style w:type="character" w:customStyle="1" w:styleId="67">
    <w:name w:val="fr"/>
    <w:basedOn w:val="28"/>
    <w:qFormat/>
    <w:uiPriority w:val="0"/>
  </w:style>
  <w:style w:type="character" w:customStyle="1" w:styleId="68">
    <w:name w:val="xiadan"/>
    <w:basedOn w:val="28"/>
    <w:qFormat/>
    <w:uiPriority w:val="0"/>
    <w:rPr>
      <w:shd w:val="clear" w:fill="E4393C"/>
    </w:rPr>
  </w:style>
  <w:style w:type="character" w:customStyle="1" w:styleId="69">
    <w:name w:val="first-child"/>
    <w:basedOn w:val="28"/>
    <w:qFormat/>
    <w:uiPriority w:val="0"/>
    <w:rPr>
      <w:color w:val="1F3149"/>
      <w:sz w:val="24"/>
      <w:szCs w:val="24"/>
    </w:rPr>
  </w:style>
  <w:style w:type="character" w:customStyle="1" w:styleId="70">
    <w:name w:val="first-child1"/>
    <w:basedOn w:val="28"/>
    <w:qFormat/>
    <w:uiPriority w:val="0"/>
    <w:rPr>
      <w:color w:val="1F3149"/>
      <w:sz w:val="24"/>
      <w:szCs w:val="24"/>
    </w:rPr>
  </w:style>
  <w:style w:type="character" w:customStyle="1" w:styleId="71">
    <w:name w:val="first-child2"/>
    <w:basedOn w:val="28"/>
    <w:qFormat/>
    <w:uiPriority w:val="0"/>
  </w:style>
  <w:style w:type="character" w:customStyle="1" w:styleId="72">
    <w:name w:val="first-child3"/>
    <w:basedOn w:val="28"/>
    <w:qFormat/>
    <w:uiPriority w:val="0"/>
  </w:style>
  <w:style w:type="character" w:customStyle="1" w:styleId="73">
    <w:name w:val="icon_gys"/>
    <w:basedOn w:val="28"/>
    <w:qFormat/>
    <w:uiPriority w:val="0"/>
    <w:rPr>
      <w:sz w:val="21"/>
      <w:szCs w:val="21"/>
    </w:rPr>
  </w:style>
  <w:style w:type="character" w:customStyle="1" w:styleId="74">
    <w:name w:val="color-blue"/>
    <w:basedOn w:val="28"/>
    <w:qFormat/>
    <w:uiPriority w:val="0"/>
    <w:rPr>
      <w:color w:val="3F88CA"/>
      <w:sz w:val="18"/>
      <w:szCs w:val="18"/>
      <w:bdr w:val="single" w:color="3F88CA" w:sz="6" w:space="0"/>
    </w:rPr>
  </w:style>
  <w:style w:type="character" w:customStyle="1" w:styleId="75">
    <w:name w:val="color-yellow"/>
    <w:basedOn w:val="28"/>
    <w:qFormat/>
    <w:uiPriority w:val="0"/>
    <w:rPr>
      <w:color w:val="FAAD14"/>
      <w:sz w:val="18"/>
      <w:szCs w:val="18"/>
      <w:bdr w:val="single" w:color="FAAD14" w:sz="6" w:space="0"/>
    </w:rPr>
  </w:style>
  <w:style w:type="character" w:customStyle="1" w:styleId="76">
    <w:name w:val="color-yellow1"/>
    <w:basedOn w:val="28"/>
    <w:qFormat/>
    <w:uiPriority w:val="0"/>
    <w:rPr>
      <w:color w:val="FAAD14"/>
      <w:sz w:val="18"/>
      <w:szCs w:val="18"/>
      <w:bdr w:val="single" w:color="FAAD14" w:sz="6" w:space="0"/>
    </w:rPr>
  </w:style>
  <w:style w:type="character" w:customStyle="1" w:styleId="77">
    <w:name w:val="icon_ds1"/>
    <w:basedOn w:val="28"/>
    <w:qFormat/>
    <w:uiPriority w:val="0"/>
    <w:rPr>
      <w:sz w:val="21"/>
      <w:szCs w:val="21"/>
    </w:rPr>
  </w:style>
  <w:style w:type="character" w:customStyle="1" w:styleId="78">
    <w:name w:val="first-child4"/>
    <w:basedOn w:val="28"/>
    <w:qFormat/>
    <w:uiPriority w:val="0"/>
  </w:style>
  <w:style w:type="paragraph" w:customStyle="1" w:styleId="79">
    <w:name w:val="样式1"/>
    <w:basedOn w:val="17"/>
    <w:next w:val="1"/>
    <w:qFormat/>
    <w:uiPriority w:val="0"/>
    <w:pPr>
      <w:widowControl w:val="0"/>
      <w:pBdr>
        <w:bottom w:val="none" w:color="auto" w:sz="0" w:space="0"/>
      </w:pBdr>
      <w:snapToGrid w:val="0"/>
      <w:jc w:val="center"/>
    </w:pPr>
    <w:rPr>
      <w:rFonts w:ascii="Times New Roman" w:hAnsi="Times New Roman" w:eastAsia="宋体" w:cs="Times New Roman"/>
      <w:kern w:val="2"/>
      <w:sz w:val="18"/>
      <w:szCs w:val="18"/>
      <w:lang w:val="en-US" w:eastAsia="zh-CN" w:bidi="ar-SA"/>
    </w:rPr>
  </w:style>
  <w:style w:type="character" w:customStyle="1" w:styleId="80">
    <w:name w:val="font31"/>
    <w:basedOn w:val="28"/>
    <w:qFormat/>
    <w:uiPriority w:val="0"/>
    <w:rPr>
      <w:rFonts w:hint="eastAsia" w:ascii="宋体" w:hAnsi="宋体" w:eastAsia="宋体" w:cs="宋体"/>
      <w:color w:val="000000"/>
      <w:sz w:val="18"/>
      <w:szCs w:val="18"/>
      <w:u w:val="none"/>
    </w:rPr>
  </w:style>
  <w:style w:type="character" w:customStyle="1" w:styleId="81">
    <w:name w:val="font21"/>
    <w:basedOn w:val="28"/>
    <w:qFormat/>
    <w:uiPriority w:val="0"/>
    <w:rPr>
      <w:rFonts w:hint="eastAsia" w:ascii="微软雅黑" w:hAnsi="微软雅黑" w:eastAsia="微软雅黑" w:cs="微软雅黑"/>
      <w:color w:val="000000"/>
      <w:sz w:val="18"/>
      <w:szCs w:val="18"/>
      <w:u w:val="none"/>
    </w:rPr>
  </w:style>
  <w:style w:type="paragraph" w:customStyle="1" w:styleId="82">
    <w:name w:val="正文1"/>
    <w:basedOn w:val="1"/>
    <w:qFormat/>
    <w:uiPriority w:val="0"/>
    <w:pPr>
      <w:widowControl/>
    </w:pPr>
    <w:rPr>
      <w:rFonts w:ascii="Calibri" w:hAnsi="Calibri" w:eastAsia="Times New Roman" w:cs="Times New Roman"/>
      <w:kern w:val="0"/>
      <w:szCs w:val="20"/>
      <w:lang w:val="zh-CN"/>
    </w:rPr>
  </w:style>
  <w:style w:type="paragraph" w:customStyle="1" w:styleId="83">
    <w:name w:val="无间隔2"/>
    <w:basedOn w:val="1"/>
    <w:qFormat/>
    <w:uiPriority w:val="1"/>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36679</Words>
  <Characters>38930</Characters>
  <Lines>232</Lines>
  <Paragraphs>65</Paragraphs>
  <TotalTime>72</TotalTime>
  <ScaleCrop>false</ScaleCrop>
  <LinksUpToDate>false</LinksUpToDate>
  <CharactersWithSpaces>41380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2022-03-30T08:34:00Z</dcterms:created>
  <dc:creator>Administrator</dc:creator>
  <cp:lastModifiedBy>WPS_255901834</cp:lastModifiedBy>
  <cp:lastPrinted>2023-09-27T07:22:00Z</cp:lastPrinted>
  <dcterms:modified xsi:type="dcterms:W3CDTF">2024-09-20T09:09:39Z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ED300EA7DB2347A394B484BDE202913D_13</vt:lpwstr>
  </property>
  <property fmtid="{D5CDD505-2E9C-101B-9397-08002B2CF9AE}" pid="4" name="commondata">
    <vt:lpwstr>eyJoZGlkIjoiNzYwNTk3NTZhMWQ0ZjYyNGU1YTczOTg4YTI2ZTM2MGQifQ==</vt:lpwstr>
  </property>
</Properties>
</file>