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4002F32">
      <w:pPr>
        <w:tabs>
          <w:tab w:val="left" w:pos="1260"/>
          <w:tab w:val="left" w:pos="2768"/>
          <w:tab w:val="left" w:pos="3522"/>
        </w:tabs>
        <w:spacing w:line="480" w:lineRule="auto"/>
        <w:jc w:val="center"/>
        <w:rPr>
          <w:rFonts w:ascii="宋体" w:hAnsi="宋体" w:cs="宋体"/>
          <w:b/>
          <w:sz w:val="36"/>
          <w:szCs w:val="36"/>
        </w:rPr>
      </w:pPr>
    </w:p>
    <w:p w14:paraId="69D7E8B3">
      <w:pPr>
        <w:pStyle w:val="20"/>
        <w:ind w:firstLine="0" w:firstLineChars="0"/>
        <w:jc w:val="center"/>
        <w:rPr>
          <w:rFonts w:hint="eastAsia" w:eastAsia="宋体"/>
          <w:b/>
          <w:sz w:val="48"/>
          <w:lang w:eastAsia="zh-CN"/>
        </w:rPr>
      </w:pPr>
      <w:r>
        <w:rPr>
          <w:rFonts w:hint="eastAsia" w:eastAsia="宋体"/>
          <w:b/>
          <w:sz w:val="48"/>
          <w:lang w:val="en-US" w:eastAsia="zh-CN"/>
        </w:rPr>
        <w:t>郑州市郑东新区社会事业局郑州市郑东新区2024年政府购买社会工作服务项目</w:t>
      </w:r>
    </w:p>
    <w:p w14:paraId="27653860">
      <w:pPr>
        <w:pStyle w:val="20"/>
        <w:ind w:firstLine="0" w:firstLineChars="0"/>
        <w:jc w:val="center"/>
        <w:rPr>
          <w:rFonts w:hint="default" w:ascii="宋体" w:eastAsia="宋体" w:cs="宋体"/>
          <w:lang w:val="en-US"/>
        </w:rPr>
      </w:pPr>
      <w:r>
        <w:rPr>
          <w:rFonts w:hint="eastAsia" w:eastAsia="宋体"/>
          <w:b/>
          <w:sz w:val="48"/>
          <w:lang w:eastAsia="zh-CN"/>
        </w:rPr>
        <w:t>（</w:t>
      </w:r>
      <w:r>
        <w:rPr>
          <w:rFonts w:hint="eastAsia" w:eastAsia="宋体"/>
          <w:b/>
          <w:sz w:val="48"/>
          <w:lang w:val="en-US" w:eastAsia="zh-CN"/>
        </w:rPr>
        <w:t xml:space="preserve"> J</w:t>
      </w:r>
      <w:bookmarkStart w:id="393" w:name="_GoBack"/>
      <w:bookmarkEnd w:id="393"/>
      <w:r>
        <w:rPr>
          <w:rFonts w:hint="eastAsia" w:eastAsia="宋体"/>
          <w:b/>
          <w:sz w:val="48"/>
          <w:lang w:val="en-US" w:eastAsia="zh-CN"/>
        </w:rPr>
        <w:t xml:space="preserve"> 包</w:t>
      </w:r>
      <w:r>
        <w:rPr>
          <w:rFonts w:hint="eastAsia" w:eastAsia="宋体"/>
          <w:b/>
          <w:sz w:val="48"/>
          <w:lang w:eastAsia="zh-CN"/>
        </w:rPr>
        <w:t>）</w:t>
      </w:r>
    </w:p>
    <w:p w14:paraId="54257FCE">
      <w:pPr>
        <w:pStyle w:val="20"/>
        <w:ind w:firstLine="0" w:firstLineChars="0"/>
        <w:rPr>
          <w:rFonts w:ascii="宋体" w:eastAsia="宋体" w:cs="宋体"/>
        </w:rPr>
      </w:pPr>
    </w:p>
    <w:p w14:paraId="328237FF">
      <w:pPr>
        <w:pStyle w:val="20"/>
        <w:ind w:firstLine="0" w:firstLineChars="0"/>
        <w:rPr>
          <w:rFonts w:ascii="宋体" w:eastAsia="宋体" w:cs="宋体"/>
        </w:rPr>
      </w:pPr>
    </w:p>
    <w:p w14:paraId="7CEDDD8B">
      <w:pPr>
        <w:pStyle w:val="20"/>
        <w:ind w:firstLine="0" w:firstLineChars="0"/>
        <w:rPr>
          <w:rFonts w:ascii="宋体" w:eastAsia="宋体" w:cs="宋体"/>
        </w:rPr>
      </w:pPr>
    </w:p>
    <w:p w14:paraId="05A89D06">
      <w:pPr>
        <w:pStyle w:val="20"/>
        <w:ind w:firstLine="0" w:firstLineChars="0"/>
        <w:rPr>
          <w:rFonts w:ascii="宋体" w:eastAsia="宋体" w:cs="宋体"/>
        </w:rPr>
      </w:pPr>
    </w:p>
    <w:p w14:paraId="5AEB50CD">
      <w:pPr>
        <w:spacing w:line="360" w:lineRule="auto"/>
        <w:ind w:left="528" w:right="528"/>
        <w:jc w:val="center"/>
        <w:rPr>
          <w:rFonts w:ascii="宋体" w:hAnsi="宋体" w:cs="宋体"/>
          <w:b/>
          <w:sz w:val="90"/>
          <w:szCs w:val="90"/>
        </w:rPr>
      </w:pPr>
      <w:r>
        <w:rPr>
          <w:rFonts w:hint="eastAsia" w:ascii="宋体" w:hAnsi="宋体" w:cs="宋体"/>
          <w:b/>
          <w:sz w:val="90"/>
          <w:szCs w:val="90"/>
        </w:rPr>
        <w:t>招 标 文 件</w:t>
      </w:r>
    </w:p>
    <w:p w14:paraId="3C0CCF53">
      <w:pPr>
        <w:spacing w:line="360" w:lineRule="auto"/>
        <w:ind w:left="528" w:right="528"/>
        <w:jc w:val="center"/>
        <w:rPr>
          <w:rFonts w:ascii="宋体" w:hAnsi="宋体" w:cs="宋体"/>
          <w:b/>
          <w:sz w:val="32"/>
          <w:szCs w:val="32"/>
          <w:highlight w:val="yellow"/>
        </w:rPr>
      </w:pPr>
      <w:r>
        <w:rPr>
          <w:rFonts w:hint="eastAsia" w:ascii="宋体" w:hAnsi="宋体" w:cs="宋体"/>
          <w:b/>
          <w:sz w:val="32"/>
          <w:szCs w:val="32"/>
        </w:rPr>
        <w:t>项目编号：</w:t>
      </w:r>
      <w:r>
        <w:rPr>
          <w:rFonts w:hint="eastAsia" w:ascii="宋体" w:hAnsi="宋体" w:cs="宋体"/>
          <w:b/>
          <w:sz w:val="32"/>
          <w:szCs w:val="32"/>
          <w:lang w:val="en-US" w:eastAsia="zh-CN"/>
        </w:rPr>
        <w:t>郑东公开备[2024]17号</w:t>
      </w:r>
    </w:p>
    <w:p w14:paraId="4560CF20">
      <w:pPr>
        <w:pStyle w:val="9"/>
        <w:jc w:val="both"/>
        <w:rPr>
          <w:rFonts w:ascii="宋体" w:hAnsi="宋体" w:eastAsia="宋体" w:cs="宋体"/>
          <w:b/>
          <w:sz w:val="32"/>
        </w:rPr>
      </w:pPr>
    </w:p>
    <w:p w14:paraId="2B489C06">
      <w:pPr>
        <w:rPr>
          <w:rFonts w:ascii="宋体" w:hAnsi="宋体" w:cs="宋体"/>
        </w:rPr>
      </w:pPr>
    </w:p>
    <w:p w14:paraId="2D1BF8DF">
      <w:pPr>
        <w:pStyle w:val="9"/>
        <w:jc w:val="both"/>
        <w:rPr>
          <w:rFonts w:ascii="宋体" w:hAnsi="宋体" w:eastAsia="宋体" w:cs="宋体"/>
          <w:b/>
          <w:sz w:val="32"/>
        </w:rPr>
      </w:pPr>
    </w:p>
    <w:p w14:paraId="77DAADBC">
      <w:pPr>
        <w:rPr>
          <w:rFonts w:ascii="宋体" w:hAnsi="宋体" w:cs="宋体"/>
        </w:rPr>
      </w:pPr>
    </w:p>
    <w:p w14:paraId="4B5969C0">
      <w:pPr>
        <w:pStyle w:val="20"/>
        <w:ind w:firstLine="0" w:firstLineChars="0"/>
        <w:rPr>
          <w:rFonts w:ascii="宋体" w:eastAsia="宋体" w:cs="宋体"/>
          <w:b/>
          <w:sz w:val="32"/>
        </w:rPr>
      </w:pPr>
    </w:p>
    <w:p w14:paraId="426D671D">
      <w:pPr>
        <w:pStyle w:val="20"/>
        <w:ind w:firstLine="0" w:firstLineChars="0"/>
        <w:rPr>
          <w:rFonts w:ascii="宋体" w:eastAsia="宋体" w:cs="宋体"/>
          <w:b/>
          <w:sz w:val="32"/>
        </w:rPr>
      </w:pPr>
    </w:p>
    <w:p w14:paraId="48EB1482">
      <w:pPr>
        <w:rPr>
          <w:rFonts w:ascii="宋体" w:hAnsi="宋体" w:cs="宋体"/>
          <w:b/>
          <w:sz w:val="36"/>
          <w:szCs w:val="36"/>
        </w:rPr>
      </w:pPr>
    </w:p>
    <w:p w14:paraId="62271D66">
      <w:pPr>
        <w:tabs>
          <w:tab w:val="left" w:pos="1260"/>
        </w:tabs>
        <w:spacing w:before="8" w:line="480" w:lineRule="auto"/>
        <w:ind w:left="1050" w:leftChars="500" w:firstLine="426" w:firstLineChars="118"/>
        <w:rPr>
          <w:rFonts w:hint="eastAsia" w:ascii="宋体" w:hAnsi="宋体" w:eastAsia="宋体" w:cs="宋体"/>
          <w:b/>
          <w:sz w:val="36"/>
          <w:szCs w:val="36"/>
          <w:lang w:eastAsia="zh-CN"/>
        </w:rPr>
      </w:pPr>
      <w:r>
        <w:rPr>
          <w:rFonts w:hint="eastAsia" w:ascii="宋体" w:hAnsi="宋体" w:cs="宋体"/>
          <w:b/>
          <w:sz w:val="36"/>
          <w:szCs w:val="36"/>
        </w:rPr>
        <w:t>采 购 人：郑州市郑东新区社会事业局</w:t>
      </w:r>
    </w:p>
    <w:p w14:paraId="76A0B37C">
      <w:pPr>
        <w:tabs>
          <w:tab w:val="left" w:pos="1260"/>
        </w:tabs>
        <w:spacing w:before="8" w:line="480" w:lineRule="auto"/>
        <w:ind w:left="1050" w:leftChars="500" w:firstLine="426" w:firstLineChars="118"/>
        <w:rPr>
          <w:rFonts w:ascii="宋体" w:hAnsi="宋体" w:cs="宋体"/>
          <w:b/>
          <w:sz w:val="36"/>
          <w:szCs w:val="36"/>
        </w:rPr>
      </w:pPr>
      <w:r>
        <w:rPr>
          <w:rFonts w:hint="eastAsia" w:ascii="宋体" w:hAnsi="宋体" w:cs="宋体"/>
          <w:b/>
          <w:sz w:val="36"/>
          <w:szCs w:val="36"/>
        </w:rPr>
        <w:t>代理机构：河南怀德敏行工程管理有限公司</w:t>
      </w:r>
    </w:p>
    <w:p w14:paraId="72BAAAAE">
      <w:pPr>
        <w:ind w:left="1050" w:leftChars="500" w:firstLine="426" w:firstLineChars="118"/>
        <w:rPr>
          <w:rFonts w:ascii="宋体" w:hAnsi="宋体" w:cs="宋体"/>
          <w:b/>
          <w:sz w:val="36"/>
          <w:szCs w:val="36"/>
        </w:rPr>
      </w:pPr>
      <w:r>
        <w:rPr>
          <w:rFonts w:hint="eastAsia" w:ascii="宋体" w:hAnsi="宋体" w:cs="宋体"/>
          <w:b/>
          <w:sz w:val="36"/>
          <w:szCs w:val="36"/>
        </w:rPr>
        <w:t>日    期：二〇二</w:t>
      </w:r>
      <w:r>
        <w:rPr>
          <w:rFonts w:hint="eastAsia" w:ascii="宋体" w:hAnsi="宋体" w:cs="宋体"/>
          <w:b/>
          <w:sz w:val="36"/>
          <w:szCs w:val="36"/>
          <w:lang w:eastAsia="zh-CN"/>
        </w:rPr>
        <w:t>四</w:t>
      </w:r>
      <w:r>
        <w:rPr>
          <w:rFonts w:hint="eastAsia" w:ascii="宋体" w:hAnsi="宋体" w:cs="宋体"/>
          <w:b/>
          <w:sz w:val="36"/>
          <w:szCs w:val="36"/>
        </w:rPr>
        <w:t>年</w:t>
      </w:r>
      <w:r>
        <w:rPr>
          <w:rFonts w:hint="eastAsia" w:ascii="宋体" w:hAnsi="宋体" w:cs="宋体"/>
          <w:b/>
          <w:sz w:val="36"/>
          <w:szCs w:val="36"/>
          <w:lang w:eastAsia="zh-CN"/>
        </w:rPr>
        <w:t>八</w:t>
      </w:r>
      <w:r>
        <w:rPr>
          <w:rFonts w:hint="eastAsia" w:ascii="宋体" w:hAnsi="宋体" w:cs="宋体"/>
          <w:b/>
          <w:sz w:val="36"/>
          <w:szCs w:val="36"/>
        </w:rPr>
        <w:t>月</w:t>
      </w:r>
    </w:p>
    <w:p w14:paraId="3F069636">
      <w:pPr>
        <w:spacing w:line="360" w:lineRule="auto"/>
        <w:rPr>
          <w:rFonts w:ascii="宋体" w:hAnsi="宋体" w:cs="宋体"/>
          <w:b/>
          <w:sz w:val="48"/>
          <w:szCs w:val="48"/>
        </w:rPr>
        <w:sectPr>
          <w:pgSz w:w="11906" w:h="16838"/>
          <w:pgMar w:top="1417" w:right="1701" w:bottom="1417" w:left="1281" w:header="851" w:footer="992" w:gutter="0"/>
          <w:pgNumType w:fmt="decimal"/>
          <w:cols w:space="720" w:num="1"/>
          <w:titlePg/>
          <w:docGrid w:type="lines" w:linePitch="312" w:charSpace="0"/>
        </w:sectPr>
      </w:pPr>
    </w:p>
    <w:p w14:paraId="01605F85">
      <w:pPr>
        <w:spacing w:line="360" w:lineRule="auto"/>
        <w:jc w:val="center"/>
        <w:rPr>
          <w:rFonts w:ascii="宋体" w:hAnsi="宋体" w:cs="宋体"/>
          <w:b/>
          <w:sz w:val="44"/>
          <w:szCs w:val="44"/>
        </w:rPr>
      </w:pPr>
      <w:r>
        <w:rPr>
          <w:rFonts w:hint="eastAsia" w:ascii="宋体" w:hAnsi="宋体" w:cs="宋体"/>
          <w:b/>
          <w:sz w:val="44"/>
          <w:szCs w:val="44"/>
        </w:rPr>
        <w:t>目   录</w:t>
      </w:r>
    </w:p>
    <w:p w14:paraId="360E6A7D">
      <w:pPr>
        <w:pStyle w:val="18"/>
        <w:tabs>
          <w:tab w:val="right" w:leader="dot" w:pos="8504"/>
        </w:tabs>
        <w:rPr>
          <w:sz w:val="28"/>
          <w:szCs w:val="28"/>
        </w:rPr>
      </w:pPr>
      <w:bookmarkStart w:id="0" w:name="_Toc424801307"/>
      <w:bookmarkStart w:id="1" w:name="_Toc32478"/>
      <w:r>
        <w:rPr>
          <w:rFonts w:hint="eastAsia" w:ascii="宋体" w:hAnsi="宋体" w:cs="宋体"/>
          <w:sz w:val="28"/>
          <w:szCs w:val="28"/>
        </w:rPr>
        <w:fldChar w:fldCharType="begin"/>
      </w:r>
      <w:r>
        <w:rPr>
          <w:rFonts w:hint="eastAsia" w:ascii="宋体" w:hAnsi="宋体" w:cs="宋体"/>
          <w:sz w:val="28"/>
          <w:szCs w:val="28"/>
        </w:rPr>
        <w:instrText xml:space="preserve">TOC \o "1-3" \h \u </w:instrText>
      </w:r>
      <w:r>
        <w:rPr>
          <w:rFonts w:hint="eastAsia" w:ascii="宋体" w:hAnsi="宋体" w:cs="宋体"/>
          <w:sz w:val="28"/>
          <w:szCs w:val="28"/>
        </w:rPr>
        <w:fldChar w:fldCharType="separate"/>
      </w:r>
      <w:r>
        <w:rPr>
          <w:rFonts w:hint="eastAsia" w:ascii="宋体" w:hAnsi="宋体" w:cs="宋体"/>
          <w:sz w:val="28"/>
          <w:szCs w:val="28"/>
        </w:rPr>
        <w:fldChar w:fldCharType="begin"/>
      </w:r>
      <w:r>
        <w:rPr>
          <w:rFonts w:hint="eastAsia" w:ascii="宋体" w:hAnsi="宋体" w:cs="宋体"/>
          <w:sz w:val="28"/>
          <w:szCs w:val="28"/>
        </w:rPr>
        <w:instrText xml:space="preserve"> HYPERLINK \l _Toc28258 </w:instrText>
      </w:r>
      <w:r>
        <w:rPr>
          <w:rFonts w:hint="eastAsia" w:ascii="宋体" w:hAnsi="宋体" w:cs="宋体"/>
          <w:sz w:val="28"/>
          <w:szCs w:val="28"/>
        </w:rPr>
        <w:fldChar w:fldCharType="separate"/>
      </w:r>
      <w:r>
        <w:rPr>
          <w:rFonts w:hint="eastAsia" w:ascii="宋体" w:hAnsi="宋体" w:cs="宋体"/>
          <w:sz w:val="28"/>
          <w:szCs w:val="28"/>
        </w:rPr>
        <w:t>第一章 招标公告</w:t>
      </w:r>
      <w:r>
        <w:rPr>
          <w:sz w:val="28"/>
          <w:szCs w:val="28"/>
        </w:rPr>
        <w:tab/>
      </w:r>
      <w:r>
        <w:rPr>
          <w:sz w:val="28"/>
          <w:szCs w:val="28"/>
        </w:rPr>
        <w:fldChar w:fldCharType="begin"/>
      </w:r>
      <w:r>
        <w:rPr>
          <w:sz w:val="28"/>
          <w:szCs w:val="28"/>
        </w:rPr>
        <w:instrText xml:space="preserve"> PAGEREF _Toc28258 \h </w:instrText>
      </w:r>
      <w:r>
        <w:rPr>
          <w:sz w:val="28"/>
          <w:szCs w:val="28"/>
        </w:rPr>
        <w:fldChar w:fldCharType="separate"/>
      </w:r>
      <w:r>
        <w:rPr>
          <w:sz w:val="28"/>
          <w:szCs w:val="28"/>
        </w:rPr>
        <w:t>- 1 -</w:t>
      </w:r>
      <w:r>
        <w:rPr>
          <w:sz w:val="28"/>
          <w:szCs w:val="28"/>
        </w:rPr>
        <w:fldChar w:fldCharType="end"/>
      </w:r>
      <w:r>
        <w:rPr>
          <w:rFonts w:hint="eastAsia" w:ascii="宋体" w:hAnsi="宋体" w:cs="宋体"/>
          <w:sz w:val="28"/>
          <w:szCs w:val="28"/>
        </w:rPr>
        <w:fldChar w:fldCharType="end"/>
      </w:r>
    </w:p>
    <w:p w14:paraId="4E0903B3">
      <w:pPr>
        <w:pStyle w:val="18"/>
        <w:tabs>
          <w:tab w:val="right" w:leader="dot" w:pos="8504"/>
        </w:tabs>
        <w:rPr>
          <w:sz w:val="28"/>
          <w:szCs w:val="28"/>
        </w:rPr>
      </w:pPr>
      <w:r>
        <w:rPr>
          <w:rFonts w:hint="eastAsia" w:ascii="宋体" w:hAnsi="宋体" w:cs="宋体"/>
          <w:sz w:val="28"/>
          <w:szCs w:val="28"/>
        </w:rPr>
        <w:fldChar w:fldCharType="begin"/>
      </w:r>
      <w:r>
        <w:rPr>
          <w:rFonts w:hint="eastAsia" w:ascii="宋体" w:hAnsi="宋体" w:cs="宋体"/>
          <w:sz w:val="28"/>
          <w:szCs w:val="28"/>
        </w:rPr>
        <w:instrText xml:space="preserve"> HYPERLINK \l _Toc9458 </w:instrText>
      </w:r>
      <w:r>
        <w:rPr>
          <w:rFonts w:hint="eastAsia" w:ascii="宋体" w:hAnsi="宋体" w:cs="宋体"/>
          <w:sz w:val="28"/>
          <w:szCs w:val="28"/>
        </w:rPr>
        <w:fldChar w:fldCharType="separate"/>
      </w:r>
      <w:r>
        <w:rPr>
          <w:rFonts w:hint="eastAsia" w:ascii="宋体" w:hAnsi="宋体" w:cs="宋体"/>
          <w:sz w:val="28"/>
          <w:szCs w:val="28"/>
        </w:rPr>
        <w:t xml:space="preserve">第二章 </w:t>
      </w:r>
      <w:r>
        <w:rPr>
          <w:rFonts w:hint="eastAsia" w:ascii="宋体" w:hAnsi="宋体" w:cs="宋体"/>
          <w:sz w:val="28"/>
          <w:szCs w:val="28"/>
          <w:lang w:eastAsia="zh-CN"/>
        </w:rPr>
        <w:t>供应商须知</w:t>
      </w:r>
      <w:r>
        <w:rPr>
          <w:sz w:val="28"/>
          <w:szCs w:val="28"/>
        </w:rPr>
        <w:tab/>
      </w:r>
      <w:r>
        <w:rPr>
          <w:sz w:val="28"/>
          <w:szCs w:val="28"/>
        </w:rPr>
        <w:fldChar w:fldCharType="begin"/>
      </w:r>
      <w:r>
        <w:rPr>
          <w:sz w:val="28"/>
          <w:szCs w:val="28"/>
        </w:rPr>
        <w:instrText xml:space="preserve"> PAGEREF _Toc9458 \h </w:instrText>
      </w:r>
      <w:r>
        <w:rPr>
          <w:sz w:val="28"/>
          <w:szCs w:val="28"/>
        </w:rPr>
        <w:fldChar w:fldCharType="separate"/>
      </w:r>
      <w:r>
        <w:rPr>
          <w:sz w:val="28"/>
          <w:szCs w:val="28"/>
        </w:rPr>
        <w:t>- 5 -</w:t>
      </w:r>
      <w:r>
        <w:rPr>
          <w:sz w:val="28"/>
          <w:szCs w:val="28"/>
        </w:rPr>
        <w:fldChar w:fldCharType="end"/>
      </w:r>
      <w:r>
        <w:rPr>
          <w:rFonts w:hint="eastAsia" w:ascii="宋体" w:hAnsi="宋体" w:cs="宋体"/>
          <w:sz w:val="28"/>
          <w:szCs w:val="28"/>
        </w:rPr>
        <w:fldChar w:fldCharType="end"/>
      </w:r>
    </w:p>
    <w:p w14:paraId="481C1790">
      <w:pPr>
        <w:pStyle w:val="18"/>
        <w:tabs>
          <w:tab w:val="right" w:leader="dot" w:pos="8504"/>
        </w:tabs>
        <w:rPr>
          <w:sz w:val="28"/>
          <w:szCs w:val="28"/>
        </w:rPr>
      </w:pPr>
      <w:r>
        <w:rPr>
          <w:rFonts w:hint="eastAsia" w:ascii="宋体" w:hAnsi="宋体" w:cs="宋体"/>
          <w:sz w:val="28"/>
          <w:szCs w:val="28"/>
        </w:rPr>
        <w:fldChar w:fldCharType="begin"/>
      </w:r>
      <w:r>
        <w:rPr>
          <w:rFonts w:hint="eastAsia" w:ascii="宋体" w:hAnsi="宋体" w:cs="宋体"/>
          <w:sz w:val="28"/>
          <w:szCs w:val="28"/>
        </w:rPr>
        <w:instrText xml:space="preserve"> HYPERLINK \l _Toc26151 </w:instrText>
      </w:r>
      <w:r>
        <w:rPr>
          <w:rFonts w:hint="eastAsia" w:ascii="宋体" w:hAnsi="宋体" w:cs="宋体"/>
          <w:sz w:val="28"/>
          <w:szCs w:val="28"/>
        </w:rPr>
        <w:fldChar w:fldCharType="separate"/>
      </w:r>
      <w:r>
        <w:rPr>
          <w:rFonts w:hint="eastAsia" w:ascii="宋体" w:hAnsi="宋体" w:cs="宋体"/>
          <w:sz w:val="28"/>
          <w:szCs w:val="28"/>
        </w:rPr>
        <w:t>第三章 评标办法（综合评分法）</w:t>
      </w:r>
      <w:r>
        <w:rPr>
          <w:sz w:val="28"/>
          <w:szCs w:val="28"/>
        </w:rPr>
        <w:tab/>
      </w:r>
      <w:r>
        <w:rPr>
          <w:sz w:val="28"/>
          <w:szCs w:val="28"/>
        </w:rPr>
        <w:fldChar w:fldCharType="begin"/>
      </w:r>
      <w:r>
        <w:rPr>
          <w:sz w:val="28"/>
          <w:szCs w:val="28"/>
        </w:rPr>
        <w:instrText xml:space="preserve"> PAGEREF _Toc26151 \h </w:instrText>
      </w:r>
      <w:r>
        <w:rPr>
          <w:sz w:val="28"/>
          <w:szCs w:val="28"/>
        </w:rPr>
        <w:fldChar w:fldCharType="separate"/>
      </w:r>
      <w:r>
        <w:rPr>
          <w:sz w:val="28"/>
          <w:szCs w:val="28"/>
        </w:rPr>
        <w:t>- 22 -</w:t>
      </w:r>
      <w:r>
        <w:rPr>
          <w:sz w:val="28"/>
          <w:szCs w:val="28"/>
        </w:rPr>
        <w:fldChar w:fldCharType="end"/>
      </w:r>
      <w:r>
        <w:rPr>
          <w:rFonts w:hint="eastAsia" w:ascii="宋体" w:hAnsi="宋体" w:cs="宋体"/>
          <w:sz w:val="28"/>
          <w:szCs w:val="28"/>
        </w:rPr>
        <w:fldChar w:fldCharType="end"/>
      </w:r>
    </w:p>
    <w:p w14:paraId="4046D0FF">
      <w:pPr>
        <w:pStyle w:val="18"/>
        <w:tabs>
          <w:tab w:val="right" w:leader="dot" w:pos="8504"/>
        </w:tabs>
        <w:rPr>
          <w:sz w:val="28"/>
          <w:szCs w:val="28"/>
        </w:rPr>
      </w:pPr>
      <w:r>
        <w:rPr>
          <w:rFonts w:hint="eastAsia" w:ascii="宋体" w:hAnsi="宋体" w:cs="宋体"/>
          <w:sz w:val="28"/>
          <w:szCs w:val="28"/>
        </w:rPr>
        <w:fldChar w:fldCharType="begin"/>
      </w:r>
      <w:r>
        <w:rPr>
          <w:rFonts w:hint="eastAsia" w:ascii="宋体" w:hAnsi="宋体" w:cs="宋体"/>
          <w:sz w:val="28"/>
          <w:szCs w:val="28"/>
        </w:rPr>
        <w:instrText xml:space="preserve"> HYPERLINK \l _Toc21294 </w:instrText>
      </w:r>
      <w:r>
        <w:rPr>
          <w:rFonts w:hint="eastAsia" w:ascii="宋体" w:hAnsi="宋体" w:cs="宋体"/>
          <w:sz w:val="28"/>
          <w:szCs w:val="28"/>
        </w:rPr>
        <w:fldChar w:fldCharType="separate"/>
      </w:r>
      <w:r>
        <w:rPr>
          <w:rFonts w:hint="eastAsia" w:ascii="宋体" w:hAnsi="宋体" w:cs="宋体"/>
          <w:sz w:val="28"/>
          <w:szCs w:val="28"/>
          <w:highlight w:val="none"/>
        </w:rPr>
        <w:t>第四章 合同</w:t>
      </w:r>
      <w:r>
        <w:rPr>
          <w:rFonts w:hint="eastAsia" w:ascii="宋体" w:hAnsi="宋体" w:cs="宋体"/>
          <w:sz w:val="28"/>
          <w:szCs w:val="28"/>
          <w:highlight w:val="none"/>
          <w:lang w:eastAsia="zh-CN"/>
        </w:rPr>
        <w:t>条款</w:t>
      </w:r>
      <w:r>
        <w:rPr>
          <w:sz w:val="28"/>
          <w:szCs w:val="28"/>
        </w:rPr>
        <w:tab/>
      </w:r>
      <w:r>
        <w:rPr>
          <w:sz w:val="28"/>
          <w:szCs w:val="28"/>
        </w:rPr>
        <w:fldChar w:fldCharType="begin"/>
      </w:r>
      <w:r>
        <w:rPr>
          <w:sz w:val="28"/>
          <w:szCs w:val="28"/>
        </w:rPr>
        <w:instrText xml:space="preserve"> PAGEREF _Toc21294 \h </w:instrText>
      </w:r>
      <w:r>
        <w:rPr>
          <w:sz w:val="28"/>
          <w:szCs w:val="28"/>
        </w:rPr>
        <w:fldChar w:fldCharType="separate"/>
      </w:r>
      <w:r>
        <w:rPr>
          <w:sz w:val="28"/>
          <w:szCs w:val="28"/>
        </w:rPr>
        <w:t>- 31 -</w:t>
      </w:r>
      <w:r>
        <w:rPr>
          <w:sz w:val="28"/>
          <w:szCs w:val="28"/>
        </w:rPr>
        <w:fldChar w:fldCharType="end"/>
      </w:r>
      <w:r>
        <w:rPr>
          <w:rFonts w:hint="eastAsia" w:ascii="宋体" w:hAnsi="宋体" w:cs="宋体"/>
          <w:sz w:val="28"/>
          <w:szCs w:val="28"/>
        </w:rPr>
        <w:fldChar w:fldCharType="end"/>
      </w:r>
    </w:p>
    <w:p w14:paraId="5091245D">
      <w:pPr>
        <w:pStyle w:val="18"/>
        <w:tabs>
          <w:tab w:val="right" w:leader="dot" w:pos="8504"/>
        </w:tabs>
        <w:rPr>
          <w:sz w:val="28"/>
          <w:szCs w:val="28"/>
        </w:rPr>
      </w:pPr>
      <w:r>
        <w:rPr>
          <w:rFonts w:hint="eastAsia" w:ascii="宋体" w:hAnsi="宋体" w:cs="宋体"/>
          <w:sz w:val="28"/>
          <w:szCs w:val="28"/>
        </w:rPr>
        <w:fldChar w:fldCharType="begin"/>
      </w:r>
      <w:r>
        <w:rPr>
          <w:rFonts w:hint="eastAsia" w:ascii="宋体" w:hAnsi="宋体" w:cs="宋体"/>
          <w:sz w:val="28"/>
          <w:szCs w:val="28"/>
        </w:rPr>
        <w:instrText xml:space="preserve"> HYPERLINK \l _Toc27095 </w:instrText>
      </w:r>
      <w:r>
        <w:rPr>
          <w:rFonts w:hint="eastAsia" w:ascii="宋体" w:hAnsi="宋体" w:cs="宋体"/>
          <w:sz w:val="28"/>
          <w:szCs w:val="28"/>
        </w:rPr>
        <w:fldChar w:fldCharType="separate"/>
      </w:r>
      <w:r>
        <w:rPr>
          <w:rFonts w:hint="eastAsia" w:ascii="宋体" w:hAnsi="宋体" w:cs="宋体"/>
          <w:sz w:val="28"/>
          <w:szCs w:val="28"/>
        </w:rPr>
        <w:t>第</w:t>
      </w:r>
      <w:r>
        <w:rPr>
          <w:rFonts w:hint="eastAsia" w:ascii="宋体" w:hAnsi="宋体" w:cs="宋体"/>
          <w:sz w:val="28"/>
          <w:szCs w:val="28"/>
          <w:lang w:eastAsia="zh-CN"/>
        </w:rPr>
        <w:t>五章</w:t>
      </w:r>
      <w:r>
        <w:rPr>
          <w:rFonts w:hint="eastAsia" w:ascii="宋体" w:hAnsi="宋体" w:cs="宋体"/>
          <w:sz w:val="28"/>
          <w:szCs w:val="28"/>
          <w:lang w:val="en-US" w:eastAsia="zh-CN"/>
        </w:rPr>
        <w:t xml:space="preserve"> </w:t>
      </w:r>
      <w:r>
        <w:rPr>
          <w:rFonts w:hint="eastAsia" w:ascii="宋体" w:hAnsi="宋体" w:cs="宋体"/>
          <w:sz w:val="28"/>
          <w:szCs w:val="28"/>
          <w:lang w:eastAsia="zh-CN"/>
        </w:rPr>
        <w:t>服务要求</w:t>
      </w:r>
      <w:r>
        <w:rPr>
          <w:sz w:val="28"/>
          <w:szCs w:val="28"/>
        </w:rPr>
        <w:tab/>
      </w:r>
      <w:r>
        <w:rPr>
          <w:sz w:val="28"/>
          <w:szCs w:val="28"/>
        </w:rPr>
        <w:fldChar w:fldCharType="begin"/>
      </w:r>
      <w:r>
        <w:rPr>
          <w:sz w:val="28"/>
          <w:szCs w:val="28"/>
        </w:rPr>
        <w:instrText xml:space="preserve"> PAGEREF _Toc27095 \h </w:instrText>
      </w:r>
      <w:r>
        <w:rPr>
          <w:sz w:val="28"/>
          <w:szCs w:val="28"/>
        </w:rPr>
        <w:fldChar w:fldCharType="separate"/>
      </w:r>
      <w:r>
        <w:rPr>
          <w:sz w:val="28"/>
          <w:szCs w:val="28"/>
        </w:rPr>
        <w:t>- 44 -</w:t>
      </w:r>
      <w:r>
        <w:rPr>
          <w:sz w:val="28"/>
          <w:szCs w:val="28"/>
        </w:rPr>
        <w:fldChar w:fldCharType="end"/>
      </w:r>
      <w:r>
        <w:rPr>
          <w:rFonts w:hint="eastAsia" w:ascii="宋体" w:hAnsi="宋体" w:cs="宋体"/>
          <w:sz w:val="28"/>
          <w:szCs w:val="28"/>
        </w:rPr>
        <w:fldChar w:fldCharType="end"/>
      </w:r>
    </w:p>
    <w:p w14:paraId="5B8517CF">
      <w:pPr>
        <w:pStyle w:val="18"/>
        <w:tabs>
          <w:tab w:val="right" w:leader="dot" w:pos="8504"/>
        </w:tabs>
        <w:rPr>
          <w:sz w:val="28"/>
          <w:szCs w:val="28"/>
        </w:rPr>
      </w:pPr>
      <w:r>
        <w:rPr>
          <w:rFonts w:hint="eastAsia" w:ascii="宋体" w:hAnsi="宋体" w:cs="宋体"/>
          <w:sz w:val="28"/>
          <w:szCs w:val="28"/>
        </w:rPr>
        <w:fldChar w:fldCharType="begin"/>
      </w:r>
      <w:r>
        <w:rPr>
          <w:rFonts w:hint="eastAsia" w:ascii="宋体" w:hAnsi="宋体" w:cs="宋体"/>
          <w:sz w:val="28"/>
          <w:szCs w:val="28"/>
        </w:rPr>
        <w:instrText xml:space="preserve"> HYPERLINK \l _Toc30449 </w:instrText>
      </w:r>
      <w:r>
        <w:rPr>
          <w:rFonts w:hint="eastAsia" w:ascii="宋体" w:hAnsi="宋体" w:cs="宋体"/>
          <w:sz w:val="28"/>
          <w:szCs w:val="28"/>
        </w:rPr>
        <w:fldChar w:fldCharType="separate"/>
      </w:r>
      <w:r>
        <w:rPr>
          <w:rFonts w:hint="eastAsia" w:ascii="宋体" w:hAnsi="宋体" w:cs="宋体"/>
          <w:sz w:val="28"/>
          <w:szCs w:val="28"/>
        </w:rPr>
        <w:t>第六章 投标文件格式</w:t>
      </w:r>
      <w:r>
        <w:rPr>
          <w:sz w:val="28"/>
          <w:szCs w:val="28"/>
        </w:rPr>
        <w:tab/>
      </w:r>
      <w:r>
        <w:rPr>
          <w:sz w:val="28"/>
          <w:szCs w:val="28"/>
        </w:rPr>
        <w:fldChar w:fldCharType="begin"/>
      </w:r>
      <w:r>
        <w:rPr>
          <w:sz w:val="28"/>
          <w:szCs w:val="28"/>
        </w:rPr>
        <w:instrText xml:space="preserve"> PAGEREF _Toc30449 \h </w:instrText>
      </w:r>
      <w:r>
        <w:rPr>
          <w:sz w:val="28"/>
          <w:szCs w:val="28"/>
        </w:rPr>
        <w:fldChar w:fldCharType="separate"/>
      </w:r>
      <w:r>
        <w:rPr>
          <w:sz w:val="28"/>
          <w:szCs w:val="28"/>
        </w:rPr>
        <w:t>- 61 -</w:t>
      </w:r>
      <w:r>
        <w:rPr>
          <w:sz w:val="28"/>
          <w:szCs w:val="28"/>
        </w:rPr>
        <w:fldChar w:fldCharType="end"/>
      </w:r>
      <w:r>
        <w:rPr>
          <w:rFonts w:hint="eastAsia" w:ascii="宋体" w:hAnsi="宋体" w:cs="宋体"/>
          <w:sz w:val="28"/>
          <w:szCs w:val="28"/>
        </w:rPr>
        <w:fldChar w:fldCharType="end"/>
      </w:r>
    </w:p>
    <w:p w14:paraId="61C6B21D">
      <w:pPr>
        <w:keepNext w:val="0"/>
        <w:keepLines w:val="0"/>
        <w:pageBreakBefore w:val="0"/>
        <w:widowControl w:val="0"/>
        <w:kinsoku/>
        <w:wordWrap/>
        <w:overflowPunct/>
        <w:topLinePunct w:val="0"/>
        <w:autoSpaceDE/>
        <w:autoSpaceDN/>
        <w:bidi w:val="0"/>
        <w:adjustRightInd/>
        <w:snapToGrid/>
        <w:spacing w:before="120" w:after="120" w:line="360" w:lineRule="auto"/>
        <w:textAlignment w:val="auto"/>
        <w:rPr>
          <w:rFonts w:ascii="宋体" w:hAnsi="宋体" w:cs="宋体"/>
          <w:szCs w:val="28"/>
        </w:rPr>
      </w:pPr>
      <w:r>
        <w:rPr>
          <w:rFonts w:hint="eastAsia" w:ascii="宋体" w:hAnsi="宋体" w:cs="宋体"/>
          <w:sz w:val="28"/>
          <w:szCs w:val="28"/>
        </w:rPr>
        <w:fldChar w:fldCharType="end"/>
      </w:r>
    </w:p>
    <w:p w14:paraId="6C3C63A1">
      <w:pPr>
        <w:pStyle w:val="24"/>
        <w:ind w:firstLine="0" w:firstLineChars="0"/>
        <w:rPr>
          <w:rFonts w:ascii="宋体" w:hAnsi="宋体" w:eastAsia="宋体" w:cs="宋体"/>
        </w:rPr>
      </w:pPr>
    </w:p>
    <w:p w14:paraId="66858F02">
      <w:pPr>
        <w:pStyle w:val="24"/>
        <w:ind w:firstLine="0" w:firstLineChars="0"/>
        <w:rPr>
          <w:rFonts w:ascii="宋体" w:hAnsi="宋体" w:eastAsia="宋体" w:cs="宋体"/>
        </w:rPr>
      </w:pPr>
    </w:p>
    <w:p w14:paraId="45EED1C5">
      <w:pPr>
        <w:pStyle w:val="24"/>
        <w:ind w:firstLine="0" w:firstLineChars="0"/>
        <w:rPr>
          <w:rFonts w:ascii="宋体" w:hAnsi="宋体" w:eastAsia="宋体" w:cs="宋体"/>
        </w:rPr>
      </w:pPr>
    </w:p>
    <w:p w14:paraId="3DAAB6E3">
      <w:pPr>
        <w:pStyle w:val="24"/>
        <w:ind w:firstLine="0" w:firstLineChars="0"/>
        <w:rPr>
          <w:rFonts w:ascii="宋体" w:hAnsi="宋体" w:eastAsia="宋体" w:cs="宋体"/>
        </w:rPr>
      </w:pPr>
    </w:p>
    <w:p w14:paraId="4B39EC82">
      <w:pPr>
        <w:pStyle w:val="24"/>
        <w:ind w:firstLine="0" w:firstLineChars="0"/>
        <w:rPr>
          <w:rFonts w:ascii="宋体" w:hAnsi="宋体" w:eastAsia="宋体" w:cs="宋体"/>
        </w:rPr>
      </w:pPr>
    </w:p>
    <w:p w14:paraId="4DD8F4D4">
      <w:pPr>
        <w:pStyle w:val="24"/>
        <w:ind w:firstLine="0" w:firstLineChars="0"/>
        <w:rPr>
          <w:rFonts w:ascii="宋体" w:hAnsi="宋体" w:eastAsia="宋体" w:cs="宋体"/>
        </w:rPr>
      </w:pPr>
    </w:p>
    <w:p w14:paraId="6661FCFD">
      <w:pPr>
        <w:pStyle w:val="24"/>
        <w:ind w:firstLine="0" w:firstLineChars="0"/>
        <w:rPr>
          <w:rFonts w:ascii="宋体" w:hAnsi="宋体" w:eastAsia="宋体" w:cs="宋体"/>
        </w:rPr>
      </w:pPr>
    </w:p>
    <w:p w14:paraId="0893374B">
      <w:pPr>
        <w:pStyle w:val="24"/>
        <w:ind w:firstLine="0" w:firstLineChars="0"/>
        <w:rPr>
          <w:rFonts w:ascii="宋体" w:hAnsi="宋体" w:eastAsia="宋体" w:cs="宋体"/>
        </w:rPr>
      </w:pPr>
    </w:p>
    <w:p w14:paraId="083D8339">
      <w:pPr>
        <w:pStyle w:val="24"/>
        <w:ind w:firstLine="0" w:firstLineChars="0"/>
        <w:rPr>
          <w:rFonts w:ascii="宋体" w:hAnsi="宋体" w:eastAsia="宋体" w:cs="宋体"/>
        </w:rPr>
      </w:pPr>
    </w:p>
    <w:p w14:paraId="4366B905">
      <w:pPr>
        <w:pStyle w:val="24"/>
        <w:ind w:firstLine="0" w:firstLineChars="0"/>
        <w:rPr>
          <w:rFonts w:ascii="宋体" w:hAnsi="宋体" w:eastAsia="宋体" w:cs="宋体"/>
        </w:rPr>
      </w:pPr>
    </w:p>
    <w:p w14:paraId="2BDE100A">
      <w:pPr>
        <w:pStyle w:val="3"/>
        <w:jc w:val="center"/>
        <w:rPr>
          <w:rFonts w:ascii="宋体" w:hAnsi="宋体" w:cs="宋体"/>
          <w:szCs w:val="32"/>
        </w:rPr>
        <w:sectPr>
          <w:headerReference r:id="rId3" w:type="default"/>
          <w:footerReference r:id="rId4" w:type="default"/>
          <w:pgSz w:w="11906" w:h="16838"/>
          <w:pgMar w:top="1417" w:right="1701" w:bottom="1417" w:left="1701" w:header="851" w:footer="992" w:gutter="0"/>
          <w:pgNumType w:fmt="decimal" w:start="2"/>
          <w:cols w:space="720" w:num="1"/>
          <w:docGrid w:type="lines" w:linePitch="312" w:charSpace="0"/>
        </w:sectPr>
      </w:pPr>
      <w:bookmarkStart w:id="2" w:name="_Toc26230"/>
      <w:bookmarkStart w:id="3" w:name="_Toc16771"/>
    </w:p>
    <w:p w14:paraId="54B65AD7">
      <w:pPr>
        <w:pStyle w:val="3"/>
        <w:jc w:val="center"/>
        <w:rPr>
          <w:rFonts w:ascii="宋体" w:hAnsi="宋体" w:cs="宋体"/>
          <w:szCs w:val="32"/>
        </w:rPr>
      </w:pPr>
      <w:bookmarkStart w:id="4" w:name="_Toc28258"/>
      <w:r>
        <w:rPr>
          <w:rFonts w:hint="eastAsia" w:ascii="宋体" w:hAnsi="宋体" w:cs="宋体"/>
          <w:szCs w:val="32"/>
        </w:rPr>
        <w:t xml:space="preserve">第一章 </w:t>
      </w:r>
      <w:bookmarkEnd w:id="0"/>
      <w:bookmarkEnd w:id="1"/>
      <w:r>
        <w:rPr>
          <w:rFonts w:hint="eastAsia" w:ascii="宋体" w:hAnsi="宋体" w:cs="宋体"/>
          <w:szCs w:val="32"/>
        </w:rPr>
        <w:t>招标公告</w:t>
      </w:r>
      <w:bookmarkEnd w:id="2"/>
      <w:bookmarkEnd w:id="3"/>
      <w:bookmarkEnd w:id="4"/>
    </w:p>
    <w:p w14:paraId="6D160F58">
      <w:pPr>
        <w:autoSpaceDE w:val="0"/>
        <w:autoSpaceDN w:val="0"/>
        <w:adjustRightInd w:val="0"/>
        <w:snapToGrid w:val="0"/>
        <w:spacing w:line="336" w:lineRule="auto"/>
        <w:jc w:val="center"/>
        <w:rPr>
          <w:rFonts w:hint="eastAsia" w:ascii="宋体" w:hAnsi="宋体" w:eastAsia="宋体" w:cs="宋体"/>
          <w:b/>
          <w:sz w:val="28"/>
          <w:szCs w:val="28"/>
          <w:lang w:eastAsia="zh-CN"/>
        </w:rPr>
      </w:pPr>
      <w:bookmarkStart w:id="5" w:name="_Toc500868220"/>
      <w:bookmarkStart w:id="6" w:name="_Toc386126336"/>
      <w:bookmarkStart w:id="7" w:name="_Toc978"/>
      <w:bookmarkStart w:id="8" w:name="_Toc390104731"/>
      <w:bookmarkStart w:id="9" w:name="_Toc387746381"/>
      <w:bookmarkStart w:id="10" w:name="_Toc388951952"/>
      <w:bookmarkStart w:id="11" w:name="_Toc389067600"/>
      <w:bookmarkStart w:id="12" w:name="_Toc388951865"/>
      <w:bookmarkStart w:id="13" w:name="_Toc520811301"/>
      <w:bookmarkStart w:id="14" w:name="_Toc316462778"/>
      <w:bookmarkStart w:id="15" w:name="_Toc371093816"/>
      <w:bookmarkStart w:id="16" w:name="_Toc371008378"/>
      <w:bookmarkStart w:id="17" w:name="_Toc14270"/>
      <w:bookmarkStart w:id="18" w:name="_Toc351562916"/>
      <w:bookmarkStart w:id="19" w:name="_Toc12765"/>
      <w:bookmarkStart w:id="20" w:name="_Toc530126038"/>
      <w:bookmarkStart w:id="21" w:name="_Toc5623"/>
      <w:bookmarkStart w:id="22" w:name="_Toc13833120"/>
      <w:bookmarkStart w:id="23" w:name="_Toc420318732"/>
      <w:bookmarkStart w:id="24" w:name="_Toc388976907"/>
      <w:bookmarkStart w:id="25" w:name="_Toc1563"/>
      <w:bookmarkStart w:id="26" w:name="_Toc424801315"/>
      <w:r>
        <w:rPr>
          <w:rFonts w:hint="eastAsia" w:ascii="宋体" w:hAnsi="宋体" w:eastAsia="宋体" w:cs="宋体"/>
          <w:b/>
          <w:sz w:val="28"/>
          <w:szCs w:val="28"/>
          <w:lang w:val="en-US" w:eastAsia="zh-CN"/>
        </w:rPr>
        <w:t>郑州市郑东新区社会事业局郑州市郑东新区2024年政府购买社会工作服务项目</w:t>
      </w:r>
      <w:r>
        <w:rPr>
          <w:rFonts w:hint="eastAsia" w:ascii="宋体" w:hAnsi="宋体" w:eastAsia="宋体" w:cs="宋体"/>
          <w:b/>
          <w:sz w:val="28"/>
          <w:szCs w:val="28"/>
          <w:lang w:eastAsia="zh-CN"/>
        </w:rPr>
        <w:t>公开招标公告</w:t>
      </w:r>
    </w:p>
    <w:p w14:paraId="2B3B21DB">
      <w:pPr>
        <w:autoSpaceDE w:val="0"/>
        <w:autoSpaceDN w:val="0"/>
        <w:adjustRightInd w:val="0"/>
        <w:snapToGrid w:val="0"/>
        <w:spacing w:line="360" w:lineRule="auto"/>
        <w:jc w:val="left"/>
        <w:rPr>
          <w:rFonts w:ascii="宋体" w:hAnsi="宋体" w:cs="宋体"/>
          <w:b/>
          <w:bCs/>
          <w:snapToGrid w:val="0"/>
          <w:szCs w:val="21"/>
        </w:rPr>
      </w:pPr>
      <w:r>
        <w:rPr>
          <w:rFonts w:hint="eastAsia" w:ascii="宋体" w:hAnsi="宋体" w:cs="宋体"/>
          <w:b/>
          <w:bCs/>
          <w:snapToGrid w:val="0"/>
          <w:szCs w:val="21"/>
        </w:rPr>
        <w:t>一、项目基本情况</w:t>
      </w:r>
    </w:p>
    <w:p w14:paraId="79816765">
      <w:pPr>
        <w:autoSpaceDE w:val="0"/>
        <w:autoSpaceDN w:val="0"/>
        <w:adjustRightInd w:val="0"/>
        <w:snapToGrid w:val="0"/>
        <w:spacing w:line="360" w:lineRule="auto"/>
        <w:ind w:firstLine="210" w:firstLineChars="100"/>
        <w:jc w:val="left"/>
        <w:rPr>
          <w:rFonts w:ascii="宋体" w:hAnsi="宋体" w:cs="宋体"/>
          <w:snapToGrid w:val="0"/>
          <w:color w:val="auto"/>
          <w:szCs w:val="21"/>
          <w:highlight w:val="yellow"/>
        </w:rPr>
      </w:pPr>
      <w:r>
        <w:rPr>
          <w:rFonts w:hint="eastAsia" w:ascii="宋体" w:hAnsi="宋体" w:cs="宋体"/>
          <w:snapToGrid w:val="0"/>
          <w:color w:val="auto"/>
          <w:szCs w:val="21"/>
        </w:rPr>
        <w:t>1、项目编号：</w:t>
      </w:r>
      <w:r>
        <w:rPr>
          <w:rFonts w:hint="eastAsia" w:ascii="宋体" w:hAnsi="宋体" w:cs="宋体"/>
          <w:snapToGrid w:val="0"/>
          <w:szCs w:val="21"/>
          <w:lang w:val="en-US" w:eastAsia="zh-CN"/>
        </w:rPr>
        <w:t>郑东公开备[2024]17号；</w:t>
      </w:r>
    </w:p>
    <w:p w14:paraId="4348069C">
      <w:pPr>
        <w:autoSpaceDE w:val="0"/>
        <w:autoSpaceDN w:val="0"/>
        <w:adjustRightInd w:val="0"/>
        <w:snapToGrid w:val="0"/>
        <w:spacing w:line="360" w:lineRule="auto"/>
        <w:ind w:left="210" w:leftChars="100"/>
        <w:jc w:val="left"/>
        <w:rPr>
          <w:rFonts w:hint="eastAsia" w:ascii="宋体" w:hAnsi="宋体" w:eastAsia="宋体" w:cs="宋体"/>
          <w:snapToGrid w:val="0"/>
          <w:szCs w:val="21"/>
          <w:lang w:eastAsia="zh-CN"/>
        </w:rPr>
      </w:pPr>
      <w:r>
        <w:rPr>
          <w:rFonts w:hint="eastAsia" w:ascii="宋体" w:hAnsi="宋体" w:cs="宋体"/>
          <w:snapToGrid w:val="0"/>
          <w:szCs w:val="21"/>
        </w:rPr>
        <w:t>2、项目名称：</w:t>
      </w:r>
      <w:r>
        <w:rPr>
          <w:rFonts w:hint="eastAsia" w:ascii="宋体" w:hAnsi="宋体" w:cs="宋体"/>
          <w:snapToGrid w:val="0"/>
          <w:szCs w:val="21"/>
          <w:lang w:val="en-US" w:eastAsia="zh-CN"/>
        </w:rPr>
        <w:t>郑州市郑东新区社会事业局郑州市郑东新区2024年政府购买社会工作服务项目</w:t>
      </w:r>
      <w:r>
        <w:rPr>
          <w:rFonts w:hint="eastAsia" w:ascii="宋体" w:hAnsi="宋体" w:cs="宋体"/>
          <w:snapToGrid w:val="0"/>
          <w:szCs w:val="21"/>
          <w:lang w:eastAsia="zh-CN"/>
        </w:rPr>
        <w:t>；</w:t>
      </w:r>
    </w:p>
    <w:p w14:paraId="2974F23D">
      <w:pPr>
        <w:autoSpaceDE w:val="0"/>
        <w:autoSpaceDN w:val="0"/>
        <w:adjustRightInd w:val="0"/>
        <w:snapToGrid w:val="0"/>
        <w:spacing w:line="360" w:lineRule="auto"/>
        <w:ind w:firstLine="210" w:firstLineChars="100"/>
        <w:jc w:val="left"/>
        <w:rPr>
          <w:rFonts w:hint="eastAsia" w:ascii="宋体" w:hAnsi="宋体" w:eastAsia="宋体" w:cs="宋体"/>
          <w:snapToGrid w:val="0"/>
          <w:szCs w:val="21"/>
          <w:lang w:eastAsia="zh-CN"/>
        </w:rPr>
      </w:pPr>
      <w:r>
        <w:rPr>
          <w:rFonts w:hint="eastAsia" w:ascii="宋体" w:hAnsi="宋体" w:cs="宋体"/>
          <w:snapToGrid w:val="0"/>
          <w:szCs w:val="21"/>
        </w:rPr>
        <w:t>3、采购方式：公开招标</w:t>
      </w:r>
      <w:r>
        <w:rPr>
          <w:rFonts w:hint="eastAsia" w:ascii="宋体" w:hAnsi="宋体" w:cs="宋体"/>
          <w:snapToGrid w:val="0"/>
          <w:szCs w:val="21"/>
          <w:lang w:eastAsia="zh-CN"/>
        </w:rPr>
        <w:t>；</w:t>
      </w:r>
    </w:p>
    <w:p w14:paraId="12AE71DE">
      <w:pPr>
        <w:autoSpaceDE w:val="0"/>
        <w:autoSpaceDN w:val="0"/>
        <w:adjustRightInd w:val="0"/>
        <w:snapToGrid w:val="0"/>
        <w:spacing w:line="360" w:lineRule="auto"/>
        <w:ind w:firstLine="210" w:firstLineChars="100"/>
        <w:jc w:val="left"/>
        <w:rPr>
          <w:rFonts w:hint="eastAsia" w:ascii="宋体" w:hAnsi="宋体" w:cs="宋体"/>
          <w:snapToGrid w:val="0"/>
          <w:szCs w:val="21"/>
          <w:highlight w:val="none"/>
          <w:lang w:eastAsia="zh-CN"/>
        </w:rPr>
      </w:pPr>
      <w:r>
        <w:rPr>
          <w:rFonts w:hint="eastAsia" w:ascii="宋体" w:hAnsi="宋体" w:cs="宋体"/>
          <w:snapToGrid w:val="0"/>
          <w:szCs w:val="21"/>
          <w:highlight w:val="none"/>
        </w:rPr>
        <w:t>4、</w:t>
      </w:r>
      <w:r>
        <w:rPr>
          <w:rFonts w:hint="eastAsia" w:ascii="宋体" w:hAnsi="宋体" w:cs="宋体"/>
          <w:snapToGrid w:val="0"/>
          <w:szCs w:val="21"/>
          <w:highlight w:val="none"/>
          <w:lang w:eastAsia="zh-CN"/>
        </w:rPr>
        <w:t>总</w:t>
      </w:r>
      <w:r>
        <w:rPr>
          <w:rFonts w:hint="eastAsia" w:ascii="宋体" w:hAnsi="宋体" w:cs="宋体"/>
          <w:snapToGrid w:val="0"/>
          <w:szCs w:val="21"/>
          <w:highlight w:val="none"/>
        </w:rPr>
        <w:t>预算金额：</w:t>
      </w:r>
      <w:bookmarkStart w:id="27" w:name="OLE_LINK19"/>
      <w:r>
        <w:rPr>
          <w:rFonts w:hint="eastAsia" w:ascii="宋体" w:hAnsi="宋体" w:cs="宋体"/>
          <w:snapToGrid w:val="0"/>
          <w:szCs w:val="21"/>
          <w:highlight w:val="none"/>
          <w:lang w:val="en-US" w:eastAsia="zh-CN"/>
        </w:rPr>
        <w:t xml:space="preserve"> 5182500</w:t>
      </w:r>
      <w:bookmarkEnd w:id="27"/>
      <w:r>
        <w:rPr>
          <w:rFonts w:hint="eastAsia" w:ascii="宋体" w:hAnsi="宋体" w:cs="宋体"/>
          <w:snapToGrid w:val="0"/>
          <w:szCs w:val="21"/>
          <w:highlight w:val="none"/>
          <w:lang w:val="en-US" w:eastAsia="zh-CN"/>
        </w:rPr>
        <w:t xml:space="preserve"> </w:t>
      </w:r>
      <w:r>
        <w:rPr>
          <w:rFonts w:hint="eastAsia" w:ascii="宋体" w:hAnsi="宋体" w:cs="宋体"/>
          <w:snapToGrid w:val="0"/>
          <w:szCs w:val="21"/>
          <w:highlight w:val="none"/>
        </w:rPr>
        <w:t>元；最高限价：</w:t>
      </w:r>
      <w:r>
        <w:rPr>
          <w:rFonts w:hint="eastAsia" w:ascii="宋体" w:hAnsi="宋体" w:cs="宋体"/>
          <w:snapToGrid w:val="0"/>
          <w:szCs w:val="21"/>
          <w:highlight w:val="none"/>
          <w:lang w:val="en-US" w:eastAsia="zh-CN"/>
        </w:rPr>
        <w:t xml:space="preserve"> 5182500 元</w:t>
      </w:r>
      <w:r>
        <w:rPr>
          <w:rFonts w:hint="eastAsia" w:ascii="宋体" w:hAnsi="宋体" w:cs="宋体"/>
          <w:snapToGrid w:val="0"/>
          <w:szCs w:val="21"/>
          <w:highlight w:val="none"/>
          <w:lang w:eastAsia="zh-CN"/>
        </w:rPr>
        <w:t>；</w:t>
      </w:r>
    </w:p>
    <w:tbl>
      <w:tblPr>
        <w:tblStyle w:val="27"/>
        <w:tblW w:w="897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1"/>
        <w:gridCol w:w="1155"/>
        <w:gridCol w:w="4155"/>
        <w:gridCol w:w="1283"/>
        <w:gridCol w:w="1481"/>
      </w:tblGrid>
      <w:tr w14:paraId="492BB0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3" w:hRule="atLeast"/>
          <w:jc w:val="center"/>
        </w:trPr>
        <w:tc>
          <w:tcPr>
            <w:tcW w:w="901" w:type="dxa"/>
            <w:vAlign w:val="center"/>
          </w:tcPr>
          <w:p w14:paraId="304D7AE5">
            <w:pPr>
              <w:pStyle w:val="10"/>
              <w:spacing w:line="360" w:lineRule="auto"/>
              <w:jc w:val="center"/>
              <w:rPr>
                <w:rFonts w:hint="eastAsia" w:ascii="宋体" w:hAnsi="Times New Roman" w:eastAsia="宋体" w:cs="宋体"/>
                <w:sz w:val="21"/>
                <w:szCs w:val="21"/>
                <w:lang w:val="en-US" w:eastAsia="zh-CN"/>
              </w:rPr>
            </w:pPr>
            <w:r>
              <w:rPr>
                <w:rFonts w:hint="eastAsia" w:ascii="宋体" w:hAnsi="Times New Roman" w:eastAsia="宋体" w:cs="宋体"/>
                <w:sz w:val="21"/>
                <w:szCs w:val="21"/>
                <w:lang w:val="en-US" w:eastAsia="zh-CN"/>
              </w:rPr>
              <w:t>序号</w:t>
            </w:r>
          </w:p>
        </w:tc>
        <w:tc>
          <w:tcPr>
            <w:tcW w:w="1155" w:type="dxa"/>
            <w:vAlign w:val="center"/>
          </w:tcPr>
          <w:p w14:paraId="3A0309DA">
            <w:pPr>
              <w:pStyle w:val="10"/>
              <w:spacing w:line="360" w:lineRule="auto"/>
              <w:jc w:val="center"/>
              <w:rPr>
                <w:rFonts w:hint="eastAsia" w:ascii="宋体" w:hAnsi="Times New Roman" w:eastAsia="宋体" w:cs="宋体"/>
                <w:sz w:val="21"/>
                <w:szCs w:val="21"/>
                <w:lang w:val="en-US" w:eastAsia="zh-CN"/>
              </w:rPr>
            </w:pPr>
            <w:r>
              <w:rPr>
                <w:rFonts w:hint="eastAsia" w:ascii="宋体" w:hAnsi="Times New Roman" w:eastAsia="宋体" w:cs="宋体"/>
                <w:sz w:val="21"/>
                <w:szCs w:val="21"/>
                <w:lang w:val="en-US" w:eastAsia="zh-CN"/>
              </w:rPr>
              <w:t>包号</w:t>
            </w:r>
          </w:p>
        </w:tc>
        <w:tc>
          <w:tcPr>
            <w:tcW w:w="4155" w:type="dxa"/>
            <w:vAlign w:val="center"/>
          </w:tcPr>
          <w:p w14:paraId="3A4F9715">
            <w:pPr>
              <w:pStyle w:val="10"/>
              <w:spacing w:line="360" w:lineRule="auto"/>
              <w:jc w:val="center"/>
              <w:rPr>
                <w:rFonts w:hint="eastAsia" w:ascii="宋体" w:hAnsi="Times New Roman" w:eastAsia="宋体" w:cs="宋体"/>
                <w:sz w:val="21"/>
                <w:szCs w:val="21"/>
                <w:lang w:val="en-US" w:eastAsia="zh-CN"/>
              </w:rPr>
            </w:pPr>
            <w:r>
              <w:rPr>
                <w:rFonts w:hint="eastAsia" w:ascii="宋体" w:hAnsi="Times New Roman" w:eastAsia="宋体" w:cs="宋体"/>
                <w:sz w:val="21"/>
                <w:szCs w:val="21"/>
                <w:lang w:val="en-US" w:eastAsia="zh-CN"/>
              </w:rPr>
              <w:t>包名称</w:t>
            </w:r>
          </w:p>
        </w:tc>
        <w:tc>
          <w:tcPr>
            <w:tcW w:w="1283" w:type="dxa"/>
            <w:vAlign w:val="center"/>
          </w:tcPr>
          <w:p w14:paraId="2627B458">
            <w:pPr>
              <w:pStyle w:val="10"/>
              <w:spacing w:line="360" w:lineRule="auto"/>
              <w:jc w:val="center"/>
              <w:rPr>
                <w:rFonts w:hint="eastAsia" w:ascii="宋体" w:hAnsi="Times New Roman" w:eastAsia="宋体" w:cs="宋体"/>
                <w:sz w:val="21"/>
                <w:szCs w:val="21"/>
                <w:lang w:val="en-US" w:eastAsia="zh-CN"/>
              </w:rPr>
            </w:pPr>
            <w:r>
              <w:rPr>
                <w:rFonts w:hint="eastAsia" w:ascii="宋体" w:hAnsi="Times New Roman" w:eastAsia="宋体" w:cs="宋体"/>
                <w:sz w:val="21"/>
                <w:szCs w:val="21"/>
                <w:lang w:val="en-US" w:eastAsia="zh-CN"/>
              </w:rPr>
              <w:t>包预算（元）</w:t>
            </w:r>
          </w:p>
        </w:tc>
        <w:tc>
          <w:tcPr>
            <w:tcW w:w="1481" w:type="dxa"/>
            <w:vAlign w:val="center"/>
          </w:tcPr>
          <w:p w14:paraId="7D1F33A4">
            <w:pPr>
              <w:pStyle w:val="10"/>
              <w:spacing w:line="360" w:lineRule="auto"/>
              <w:jc w:val="center"/>
              <w:rPr>
                <w:rFonts w:hint="eastAsia" w:ascii="宋体" w:hAnsi="Times New Roman" w:eastAsia="宋体" w:cs="宋体"/>
                <w:sz w:val="21"/>
                <w:szCs w:val="21"/>
                <w:lang w:val="en-US" w:eastAsia="zh-CN"/>
              </w:rPr>
            </w:pPr>
            <w:r>
              <w:rPr>
                <w:rFonts w:hint="eastAsia" w:ascii="宋体" w:hAnsi="Times New Roman" w:eastAsia="宋体" w:cs="宋体"/>
                <w:sz w:val="21"/>
                <w:szCs w:val="21"/>
                <w:lang w:val="en-US" w:eastAsia="zh-CN"/>
              </w:rPr>
              <w:t>包最高限价（元）</w:t>
            </w:r>
          </w:p>
        </w:tc>
      </w:tr>
      <w:tr w14:paraId="0B2FC8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901" w:type="dxa"/>
            <w:vAlign w:val="center"/>
          </w:tcPr>
          <w:p w14:paraId="496BB097">
            <w:pPr>
              <w:pStyle w:val="10"/>
              <w:spacing w:line="360" w:lineRule="auto"/>
              <w:jc w:val="center"/>
              <w:rPr>
                <w:rFonts w:hint="eastAsia" w:ascii="宋体" w:hAnsi="Times New Roman" w:eastAsia="宋体" w:cs="宋体"/>
                <w:sz w:val="21"/>
                <w:szCs w:val="21"/>
                <w:lang w:val="en-US" w:eastAsia="zh-CN"/>
              </w:rPr>
            </w:pPr>
            <w:bookmarkStart w:id="28" w:name="OLE_LINK1" w:colFirst="3" w:colLast="3"/>
            <w:r>
              <w:rPr>
                <w:rFonts w:hint="eastAsia" w:ascii="宋体" w:hAnsi="Times New Roman" w:eastAsia="宋体" w:cs="宋体"/>
                <w:sz w:val="21"/>
                <w:szCs w:val="21"/>
                <w:lang w:val="en-US" w:eastAsia="zh-CN"/>
              </w:rPr>
              <w:t>1</w:t>
            </w:r>
          </w:p>
        </w:tc>
        <w:tc>
          <w:tcPr>
            <w:tcW w:w="1155" w:type="dxa"/>
            <w:vAlign w:val="center"/>
          </w:tcPr>
          <w:p w14:paraId="3EA4EED4">
            <w:pPr>
              <w:adjustRightInd w:val="0"/>
              <w:snapToGrid w:val="0"/>
              <w:spacing w:line="360" w:lineRule="auto"/>
              <w:jc w:val="center"/>
              <w:rPr>
                <w:rFonts w:hint="default" w:ascii="宋体" w:hAnsi="Times New Roman" w:eastAsia="宋体" w:cs="宋体"/>
                <w:color w:val="000000"/>
                <w:kern w:val="0"/>
                <w:sz w:val="21"/>
                <w:szCs w:val="21"/>
                <w:lang w:val="en-US" w:eastAsia="zh-CN" w:bidi="ar-SA"/>
              </w:rPr>
            </w:pPr>
            <w:r>
              <w:rPr>
                <w:rFonts w:hint="eastAsia" w:ascii="宋体" w:hAnsi="Times New Roman" w:eastAsia="宋体" w:cs="宋体"/>
                <w:color w:val="000000"/>
                <w:kern w:val="0"/>
                <w:sz w:val="21"/>
                <w:szCs w:val="21"/>
                <w:lang w:val="en-US" w:eastAsia="zh-CN" w:bidi="ar-SA"/>
              </w:rPr>
              <w:t>A包</w:t>
            </w:r>
          </w:p>
        </w:tc>
        <w:tc>
          <w:tcPr>
            <w:tcW w:w="4155" w:type="dxa"/>
            <w:vAlign w:val="center"/>
          </w:tcPr>
          <w:p w14:paraId="36F5D975">
            <w:pPr>
              <w:adjustRightInd w:val="0"/>
              <w:snapToGrid w:val="0"/>
              <w:spacing w:line="360" w:lineRule="auto"/>
              <w:jc w:val="center"/>
              <w:rPr>
                <w:rFonts w:hint="default" w:ascii="宋体" w:hAnsi="Times New Roman" w:eastAsia="宋体" w:cs="宋体"/>
                <w:color w:val="000000"/>
                <w:kern w:val="0"/>
                <w:sz w:val="21"/>
                <w:szCs w:val="21"/>
                <w:lang w:val="en-US" w:eastAsia="zh-CN" w:bidi="ar-SA"/>
              </w:rPr>
            </w:pPr>
            <w:bookmarkStart w:id="29" w:name="OLE_LINK2"/>
            <w:r>
              <w:rPr>
                <w:rFonts w:hint="eastAsia" w:ascii="宋体" w:hAnsi="Times New Roman" w:eastAsia="宋体" w:cs="宋体"/>
                <w:color w:val="000000"/>
                <w:kern w:val="0"/>
                <w:sz w:val="21"/>
                <w:szCs w:val="21"/>
                <w:lang w:val="en-US" w:eastAsia="zh-CN" w:bidi="ar-SA"/>
              </w:rPr>
              <w:t>“第三方评估”服务项目</w:t>
            </w:r>
            <w:bookmarkEnd w:id="29"/>
          </w:p>
        </w:tc>
        <w:tc>
          <w:tcPr>
            <w:tcW w:w="1283" w:type="dxa"/>
            <w:vAlign w:val="center"/>
          </w:tcPr>
          <w:p w14:paraId="597A0941">
            <w:pPr>
              <w:pStyle w:val="10"/>
              <w:spacing w:line="360" w:lineRule="auto"/>
              <w:jc w:val="center"/>
              <w:rPr>
                <w:rFonts w:hint="default" w:ascii="宋体" w:hAnsi="宋体" w:eastAsia="宋体" w:cs="宋体"/>
                <w:snapToGrid w:val="0"/>
                <w:color w:val="auto"/>
                <w:kern w:val="2"/>
                <w:sz w:val="21"/>
                <w:szCs w:val="21"/>
                <w:lang w:val="en-US" w:eastAsia="zh-CN" w:bidi="ar-SA"/>
              </w:rPr>
            </w:pPr>
            <w:bookmarkStart w:id="30" w:name="OLE_LINK20"/>
            <w:r>
              <w:rPr>
                <w:rFonts w:hint="default" w:ascii="宋体" w:hAnsi="宋体" w:eastAsia="宋体" w:cs="宋体"/>
                <w:snapToGrid w:val="0"/>
                <w:color w:val="auto"/>
                <w:kern w:val="2"/>
                <w:sz w:val="21"/>
                <w:szCs w:val="21"/>
                <w:lang w:val="en-US" w:eastAsia="zh-CN" w:bidi="ar-SA"/>
              </w:rPr>
              <w:t>120000</w:t>
            </w:r>
            <w:bookmarkEnd w:id="30"/>
          </w:p>
        </w:tc>
        <w:tc>
          <w:tcPr>
            <w:tcW w:w="1481" w:type="dxa"/>
            <w:vAlign w:val="center"/>
          </w:tcPr>
          <w:p w14:paraId="2A856EC1">
            <w:pPr>
              <w:pStyle w:val="10"/>
              <w:spacing w:line="360" w:lineRule="auto"/>
              <w:jc w:val="center"/>
              <w:rPr>
                <w:rFonts w:hint="eastAsia" w:ascii="宋体" w:hAnsi="Times New Roman" w:eastAsia="宋体" w:cs="宋体"/>
                <w:color w:val="000000"/>
                <w:sz w:val="21"/>
                <w:szCs w:val="21"/>
                <w:lang w:val="en-US" w:eastAsia="zh-CN" w:bidi="ar-SA"/>
              </w:rPr>
            </w:pPr>
            <w:r>
              <w:rPr>
                <w:rFonts w:hint="default" w:ascii="宋体" w:hAnsi="宋体" w:eastAsia="宋体" w:cs="宋体"/>
                <w:snapToGrid w:val="0"/>
                <w:color w:val="auto"/>
                <w:kern w:val="2"/>
                <w:sz w:val="21"/>
                <w:szCs w:val="21"/>
                <w:lang w:val="en-US" w:eastAsia="zh-CN" w:bidi="ar-SA"/>
              </w:rPr>
              <w:t>120000</w:t>
            </w:r>
          </w:p>
        </w:tc>
      </w:tr>
      <w:tr w14:paraId="0ED60E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901" w:type="dxa"/>
            <w:vAlign w:val="center"/>
          </w:tcPr>
          <w:p w14:paraId="59AA1807">
            <w:pPr>
              <w:pStyle w:val="10"/>
              <w:spacing w:line="360" w:lineRule="auto"/>
              <w:jc w:val="center"/>
              <w:rPr>
                <w:rFonts w:hint="default" w:ascii="宋体" w:hAnsi="Times New Roman" w:eastAsia="宋体" w:cs="宋体"/>
                <w:sz w:val="21"/>
                <w:szCs w:val="21"/>
                <w:lang w:val="en-US" w:eastAsia="zh-CN"/>
              </w:rPr>
            </w:pPr>
            <w:r>
              <w:rPr>
                <w:rFonts w:hint="eastAsia" w:cs="宋体"/>
                <w:sz w:val="21"/>
                <w:szCs w:val="21"/>
                <w:lang w:val="en-US" w:eastAsia="zh-CN"/>
              </w:rPr>
              <w:t>2</w:t>
            </w:r>
          </w:p>
        </w:tc>
        <w:tc>
          <w:tcPr>
            <w:tcW w:w="1155" w:type="dxa"/>
            <w:vAlign w:val="center"/>
          </w:tcPr>
          <w:p w14:paraId="7684EDEB">
            <w:pPr>
              <w:adjustRightInd w:val="0"/>
              <w:snapToGrid w:val="0"/>
              <w:spacing w:line="360" w:lineRule="auto"/>
              <w:jc w:val="center"/>
              <w:rPr>
                <w:rFonts w:hint="eastAsia" w:ascii="宋体" w:hAnsi="Times New Roman" w:eastAsia="宋体" w:cs="宋体"/>
                <w:color w:val="000000"/>
                <w:kern w:val="0"/>
                <w:sz w:val="21"/>
                <w:szCs w:val="21"/>
                <w:lang w:val="en-US" w:eastAsia="zh-CN" w:bidi="ar-SA"/>
              </w:rPr>
            </w:pPr>
            <w:r>
              <w:rPr>
                <w:rFonts w:hint="eastAsia" w:ascii="宋体" w:hAnsi="Times New Roman" w:eastAsia="宋体" w:cs="宋体"/>
                <w:color w:val="000000"/>
                <w:kern w:val="0"/>
                <w:sz w:val="21"/>
                <w:szCs w:val="21"/>
                <w:lang w:val="en-US" w:eastAsia="zh-CN" w:bidi="ar-SA"/>
              </w:rPr>
              <w:t>B包</w:t>
            </w:r>
          </w:p>
        </w:tc>
        <w:tc>
          <w:tcPr>
            <w:tcW w:w="4155" w:type="dxa"/>
            <w:vAlign w:val="center"/>
          </w:tcPr>
          <w:p w14:paraId="21C76D9A">
            <w:pPr>
              <w:adjustRightInd w:val="0"/>
              <w:snapToGrid w:val="0"/>
              <w:spacing w:line="360" w:lineRule="auto"/>
              <w:jc w:val="center"/>
              <w:rPr>
                <w:rFonts w:hint="eastAsia" w:ascii="宋体" w:hAnsi="Times New Roman" w:eastAsia="宋体" w:cs="宋体"/>
                <w:color w:val="000000"/>
                <w:kern w:val="0"/>
                <w:sz w:val="21"/>
                <w:szCs w:val="21"/>
                <w:lang w:val="en-US" w:eastAsia="zh-CN" w:bidi="ar-SA"/>
              </w:rPr>
            </w:pPr>
            <w:bookmarkStart w:id="31" w:name="OLE_LINK3"/>
            <w:r>
              <w:rPr>
                <w:rFonts w:hint="eastAsia" w:ascii="宋体" w:hAnsi="Times New Roman" w:eastAsia="宋体" w:cs="宋体"/>
                <w:color w:val="000000"/>
                <w:kern w:val="0"/>
                <w:sz w:val="21"/>
                <w:szCs w:val="21"/>
                <w:lang w:val="en-US" w:eastAsia="zh-CN" w:bidi="ar-SA"/>
              </w:rPr>
              <w:t>万安街社区社工站、黄河南路社区社工站、鑫苑花园社区社工站</w:t>
            </w:r>
            <w:bookmarkEnd w:id="31"/>
          </w:p>
        </w:tc>
        <w:tc>
          <w:tcPr>
            <w:tcW w:w="1283" w:type="dxa"/>
            <w:vAlign w:val="center"/>
          </w:tcPr>
          <w:p w14:paraId="6DFA0ED0">
            <w:pPr>
              <w:spacing w:line="360" w:lineRule="auto"/>
              <w:jc w:val="center"/>
              <w:rPr>
                <w:rFonts w:hint="default" w:ascii="宋体" w:hAnsi="宋体" w:eastAsia="宋体" w:cs="宋体"/>
                <w:snapToGrid w:val="0"/>
                <w:color w:val="auto"/>
                <w:kern w:val="2"/>
                <w:sz w:val="21"/>
                <w:szCs w:val="21"/>
                <w:lang w:val="en-US" w:eastAsia="zh-CN" w:bidi="ar-SA"/>
              </w:rPr>
            </w:pPr>
            <w:r>
              <w:rPr>
                <w:rFonts w:hint="eastAsia" w:ascii="宋体" w:hAnsi="宋体" w:eastAsia="宋体" w:cs="宋体"/>
                <w:snapToGrid w:val="0"/>
                <w:color w:val="auto"/>
                <w:kern w:val="2"/>
                <w:sz w:val="21"/>
                <w:szCs w:val="21"/>
                <w:lang w:val="en-US" w:eastAsia="zh-CN" w:bidi="ar-SA"/>
              </w:rPr>
              <w:t>607500</w:t>
            </w:r>
          </w:p>
        </w:tc>
        <w:tc>
          <w:tcPr>
            <w:tcW w:w="1481" w:type="dxa"/>
            <w:vAlign w:val="center"/>
          </w:tcPr>
          <w:p w14:paraId="0DEEBB3E">
            <w:pPr>
              <w:spacing w:line="360" w:lineRule="auto"/>
              <w:jc w:val="center"/>
              <w:rPr>
                <w:rFonts w:hint="eastAsia" w:cs="宋体"/>
                <w:sz w:val="21"/>
                <w:szCs w:val="21"/>
                <w:lang w:val="en-US" w:eastAsia="zh-CN"/>
              </w:rPr>
            </w:pPr>
            <w:r>
              <w:rPr>
                <w:rFonts w:hint="eastAsia" w:ascii="宋体" w:hAnsi="宋体" w:eastAsia="宋体" w:cs="宋体"/>
                <w:snapToGrid w:val="0"/>
                <w:color w:val="auto"/>
                <w:kern w:val="2"/>
                <w:sz w:val="21"/>
                <w:szCs w:val="21"/>
                <w:lang w:val="en-US" w:eastAsia="zh-CN" w:bidi="ar-SA"/>
              </w:rPr>
              <w:t>607500</w:t>
            </w:r>
          </w:p>
        </w:tc>
      </w:tr>
      <w:tr w14:paraId="0194BC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901" w:type="dxa"/>
            <w:vAlign w:val="center"/>
          </w:tcPr>
          <w:p w14:paraId="7FBABFF4">
            <w:pPr>
              <w:pStyle w:val="10"/>
              <w:spacing w:line="360" w:lineRule="auto"/>
              <w:jc w:val="center"/>
              <w:rPr>
                <w:rFonts w:hint="default" w:ascii="宋体" w:hAnsi="Times New Roman" w:eastAsia="宋体" w:cs="宋体"/>
                <w:sz w:val="21"/>
                <w:szCs w:val="21"/>
                <w:lang w:val="en-US" w:eastAsia="zh-CN"/>
              </w:rPr>
            </w:pPr>
            <w:r>
              <w:rPr>
                <w:rFonts w:hint="eastAsia" w:cs="宋体"/>
                <w:sz w:val="21"/>
                <w:szCs w:val="21"/>
                <w:lang w:val="en-US" w:eastAsia="zh-CN"/>
              </w:rPr>
              <w:t>3</w:t>
            </w:r>
          </w:p>
        </w:tc>
        <w:tc>
          <w:tcPr>
            <w:tcW w:w="1155" w:type="dxa"/>
            <w:vAlign w:val="center"/>
          </w:tcPr>
          <w:p w14:paraId="57B70937">
            <w:pPr>
              <w:adjustRightInd w:val="0"/>
              <w:snapToGrid w:val="0"/>
              <w:spacing w:line="360" w:lineRule="auto"/>
              <w:jc w:val="center"/>
              <w:rPr>
                <w:rFonts w:hint="eastAsia" w:ascii="宋体" w:hAnsi="Times New Roman" w:eastAsia="宋体" w:cs="宋体"/>
                <w:color w:val="000000"/>
                <w:kern w:val="0"/>
                <w:sz w:val="21"/>
                <w:szCs w:val="21"/>
                <w:lang w:val="en-US" w:eastAsia="zh-CN" w:bidi="ar-SA"/>
              </w:rPr>
            </w:pPr>
            <w:r>
              <w:rPr>
                <w:rFonts w:hint="eastAsia" w:ascii="宋体" w:hAnsi="Times New Roman" w:eastAsia="宋体" w:cs="宋体"/>
                <w:color w:val="000000"/>
                <w:kern w:val="0"/>
                <w:sz w:val="21"/>
                <w:szCs w:val="21"/>
                <w:lang w:val="en-US" w:eastAsia="zh-CN" w:bidi="ar-SA"/>
              </w:rPr>
              <w:t>C包</w:t>
            </w:r>
          </w:p>
        </w:tc>
        <w:tc>
          <w:tcPr>
            <w:tcW w:w="4155" w:type="dxa"/>
            <w:vAlign w:val="center"/>
          </w:tcPr>
          <w:p w14:paraId="188B2686">
            <w:pPr>
              <w:adjustRightInd w:val="0"/>
              <w:snapToGrid w:val="0"/>
              <w:spacing w:line="360" w:lineRule="auto"/>
              <w:jc w:val="center"/>
              <w:rPr>
                <w:rFonts w:hint="eastAsia" w:ascii="宋体" w:hAnsi="Times New Roman" w:eastAsia="宋体" w:cs="宋体"/>
                <w:color w:val="000000"/>
                <w:kern w:val="0"/>
                <w:sz w:val="21"/>
                <w:szCs w:val="21"/>
                <w:lang w:val="en-US" w:eastAsia="zh-CN" w:bidi="ar-SA"/>
              </w:rPr>
            </w:pPr>
            <w:bookmarkStart w:id="32" w:name="OLE_LINK4"/>
            <w:r>
              <w:rPr>
                <w:rFonts w:hint="eastAsia" w:ascii="宋体" w:hAnsi="Times New Roman" w:eastAsia="宋体" w:cs="宋体"/>
                <w:color w:val="000000"/>
                <w:kern w:val="0"/>
                <w:sz w:val="21"/>
                <w:szCs w:val="21"/>
                <w:lang w:val="en-US" w:eastAsia="zh-CN" w:bidi="ar-SA"/>
              </w:rPr>
              <w:t>心怡路社区社工站、正弘山社区社工站</w:t>
            </w:r>
            <w:r>
              <w:rPr>
                <w:rFonts w:hint="eastAsia" w:ascii="宋体" w:eastAsia="宋体" w:cs="宋体"/>
                <w:color w:val="000000"/>
                <w:kern w:val="0"/>
                <w:sz w:val="21"/>
                <w:szCs w:val="21"/>
                <w:lang w:val="en-US" w:eastAsia="zh-CN" w:bidi="ar-SA"/>
              </w:rPr>
              <w:t>、</w:t>
            </w:r>
            <w:r>
              <w:rPr>
                <w:rFonts w:hint="eastAsia" w:ascii="宋体" w:hAnsi="Times New Roman" w:eastAsia="宋体" w:cs="宋体"/>
                <w:color w:val="000000"/>
                <w:kern w:val="0"/>
                <w:sz w:val="21"/>
                <w:szCs w:val="21"/>
                <w:lang w:val="en-US" w:eastAsia="zh-CN" w:bidi="ar-SA"/>
              </w:rPr>
              <w:t>翡翠社区社工站</w:t>
            </w:r>
            <w:bookmarkEnd w:id="32"/>
          </w:p>
        </w:tc>
        <w:tc>
          <w:tcPr>
            <w:tcW w:w="1283" w:type="dxa"/>
            <w:vAlign w:val="center"/>
          </w:tcPr>
          <w:p w14:paraId="27243813">
            <w:pPr>
              <w:spacing w:line="360" w:lineRule="auto"/>
              <w:jc w:val="center"/>
              <w:rPr>
                <w:rFonts w:hint="default" w:ascii="宋体" w:hAnsi="宋体" w:eastAsia="宋体" w:cs="宋体"/>
                <w:snapToGrid w:val="0"/>
                <w:color w:val="auto"/>
                <w:kern w:val="2"/>
                <w:sz w:val="21"/>
                <w:szCs w:val="21"/>
                <w:lang w:val="en-US" w:eastAsia="zh-CN" w:bidi="ar-SA"/>
              </w:rPr>
            </w:pPr>
            <w:r>
              <w:rPr>
                <w:rFonts w:hint="eastAsia" w:ascii="宋体" w:hAnsi="宋体" w:eastAsia="宋体" w:cs="宋体"/>
                <w:snapToGrid w:val="0"/>
                <w:color w:val="auto"/>
                <w:kern w:val="2"/>
                <w:sz w:val="21"/>
                <w:szCs w:val="21"/>
                <w:lang w:val="en-US" w:eastAsia="zh-CN" w:bidi="ar-SA"/>
              </w:rPr>
              <w:t>607500</w:t>
            </w:r>
          </w:p>
        </w:tc>
        <w:tc>
          <w:tcPr>
            <w:tcW w:w="1481" w:type="dxa"/>
            <w:vAlign w:val="center"/>
          </w:tcPr>
          <w:p w14:paraId="19CEFD5C">
            <w:pPr>
              <w:spacing w:line="360" w:lineRule="auto"/>
              <w:jc w:val="center"/>
              <w:rPr>
                <w:rFonts w:hint="eastAsia" w:cs="宋体"/>
                <w:sz w:val="21"/>
                <w:szCs w:val="21"/>
                <w:lang w:val="en-US" w:eastAsia="zh-CN"/>
              </w:rPr>
            </w:pPr>
            <w:r>
              <w:rPr>
                <w:rFonts w:hint="eastAsia" w:ascii="宋体" w:hAnsi="宋体" w:eastAsia="宋体" w:cs="宋体"/>
                <w:snapToGrid w:val="0"/>
                <w:color w:val="auto"/>
                <w:kern w:val="2"/>
                <w:sz w:val="21"/>
                <w:szCs w:val="21"/>
                <w:lang w:val="en-US" w:eastAsia="zh-CN" w:bidi="ar-SA"/>
              </w:rPr>
              <w:t>607500</w:t>
            </w:r>
          </w:p>
        </w:tc>
      </w:tr>
      <w:tr w14:paraId="6DA6CA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901" w:type="dxa"/>
            <w:vAlign w:val="center"/>
          </w:tcPr>
          <w:p w14:paraId="4095BEF1">
            <w:pPr>
              <w:pStyle w:val="10"/>
              <w:spacing w:line="360" w:lineRule="auto"/>
              <w:jc w:val="center"/>
              <w:rPr>
                <w:rFonts w:hint="default" w:cs="宋体"/>
                <w:sz w:val="21"/>
                <w:szCs w:val="21"/>
                <w:lang w:val="en-US" w:eastAsia="zh-CN"/>
              </w:rPr>
            </w:pPr>
            <w:r>
              <w:rPr>
                <w:rFonts w:hint="eastAsia" w:cs="宋体"/>
                <w:sz w:val="21"/>
                <w:szCs w:val="21"/>
                <w:lang w:val="en-US" w:eastAsia="zh-CN"/>
              </w:rPr>
              <w:t>4</w:t>
            </w:r>
          </w:p>
        </w:tc>
        <w:tc>
          <w:tcPr>
            <w:tcW w:w="1155" w:type="dxa"/>
            <w:vAlign w:val="center"/>
          </w:tcPr>
          <w:p w14:paraId="373BFB10">
            <w:pPr>
              <w:adjustRightInd w:val="0"/>
              <w:snapToGrid w:val="0"/>
              <w:spacing w:line="360" w:lineRule="auto"/>
              <w:jc w:val="center"/>
              <w:rPr>
                <w:rFonts w:hint="eastAsia" w:ascii="宋体" w:hAnsi="Times New Roman" w:eastAsia="宋体" w:cs="宋体"/>
                <w:color w:val="000000"/>
                <w:kern w:val="0"/>
                <w:sz w:val="21"/>
                <w:szCs w:val="21"/>
                <w:lang w:val="en-US" w:eastAsia="zh-CN" w:bidi="ar-SA"/>
              </w:rPr>
            </w:pPr>
            <w:r>
              <w:rPr>
                <w:rFonts w:hint="eastAsia" w:ascii="宋体" w:hAnsi="Times New Roman" w:eastAsia="宋体" w:cs="宋体"/>
                <w:color w:val="000000"/>
                <w:kern w:val="0"/>
                <w:sz w:val="21"/>
                <w:szCs w:val="21"/>
                <w:lang w:val="en-US" w:eastAsia="zh-CN" w:bidi="ar-SA"/>
              </w:rPr>
              <w:t>D包</w:t>
            </w:r>
          </w:p>
        </w:tc>
        <w:tc>
          <w:tcPr>
            <w:tcW w:w="4155" w:type="dxa"/>
            <w:vAlign w:val="center"/>
          </w:tcPr>
          <w:p w14:paraId="1575BA0E">
            <w:pPr>
              <w:adjustRightInd w:val="0"/>
              <w:snapToGrid w:val="0"/>
              <w:spacing w:line="360" w:lineRule="auto"/>
              <w:jc w:val="center"/>
              <w:rPr>
                <w:rFonts w:hint="eastAsia" w:ascii="宋体" w:hAnsi="Times New Roman" w:eastAsia="宋体" w:cs="宋体"/>
                <w:color w:val="000000"/>
                <w:kern w:val="0"/>
                <w:sz w:val="21"/>
                <w:szCs w:val="21"/>
                <w:lang w:val="en-US" w:eastAsia="zh-CN" w:bidi="ar-SA"/>
              </w:rPr>
            </w:pPr>
            <w:bookmarkStart w:id="33" w:name="OLE_LINK6"/>
            <w:r>
              <w:rPr>
                <w:rFonts w:hint="eastAsia" w:ascii="宋体" w:hAnsi="Times New Roman" w:eastAsia="宋体" w:cs="宋体"/>
                <w:color w:val="000000"/>
                <w:kern w:val="0"/>
                <w:sz w:val="21"/>
                <w:szCs w:val="21"/>
                <w:lang w:val="en-US" w:eastAsia="zh-CN" w:bidi="ar-SA"/>
              </w:rPr>
              <w:t>知启街社区社工站</w:t>
            </w:r>
            <w:r>
              <w:rPr>
                <w:rFonts w:hint="eastAsia" w:ascii="宋体" w:eastAsia="宋体" w:cs="宋体"/>
                <w:color w:val="000000"/>
                <w:kern w:val="0"/>
                <w:sz w:val="21"/>
                <w:szCs w:val="21"/>
                <w:lang w:val="en-US" w:eastAsia="zh-CN" w:bidi="ar-SA"/>
              </w:rPr>
              <w:t>、</w:t>
            </w:r>
            <w:r>
              <w:rPr>
                <w:rFonts w:hint="eastAsia" w:ascii="宋体" w:hAnsi="Times New Roman" w:eastAsia="宋体" w:cs="宋体"/>
                <w:color w:val="000000"/>
                <w:kern w:val="0"/>
                <w:sz w:val="21"/>
                <w:szCs w:val="21"/>
                <w:lang w:val="en-US" w:eastAsia="zh-CN" w:bidi="ar-SA"/>
              </w:rPr>
              <w:t>河大社区社工站</w:t>
            </w:r>
            <w:r>
              <w:rPr>
                <w:rFonts w:hint="eastAsia" w:ascii="宋体" w:eastAsia="宋体" w:cs="宋体"/>
                <w:color w:val="000000"/>
                <w:kern w:val="0"/>
                <w:sz w:val="21"/>
                <w:szCs w:val="21"/>
                <w:lang w:val="en-US" w:eastAsia="zh-CN" w:bidi="ar-SA"/>
              </w:rPr>
              <w:t>、</w:t>
            </w:r>
            <w:r>
              <w:rPr>
                <w:rFonts w:hint="eastAsia" w:ascii="宋体" w:hAnsi="Times New Roman" w:eastAsia="宋体" w:cs="宋体"/>
                <w:color w:val="000000"/>
                <w:kern w:val="0"/>
                <w:sz w:val="21"/>
                <w:szCs w:val="21"/>
                <w:lang w:val="en-US" w:eastAsia="zh-CN" w:bidi="ar-SA"/>
              </w:rPr>
              <w:t>龙子湖南路社区社工站</w:t>
            </w:r>
            <w:bookmarkEnd w:id="33"/>
          </w:p>
        </w:tc>
        <w:tc>
          <w:tcPr>
            <w:tcW w:w="1283" w:type="dxa"/>
            <w:vAlign w:val="center"/>
          </w:tcPr>
          <w:p w14:paraId="01776D62">
            <w:pPr>
              <w:spacing w:line="360" w:lineRule="auto"/>
              <w:jc w:val="center"/>
              <w:rPr>
                <w:rFonts w:hint="eastAsia" w:ascii="宋体" w:hAnsi="宋体" w:eastAsia="宋体" w:cs="宋体"/>
                <w:snapToGrid w:val="0"/>
                <w:color w:val="auto"/>
                <w:kern w:val="2"/>
                <w:sz w:val="21"/>
                <w:szCs w:val="21"/>
                <w:lang w:val="en-US" w:eastAsia="zh-CN" w:bidi="ar-SA"/>
              </w:rPr>
            </w:pPr>
            <w:r>
              <w:rPr>
                <w:rFonts w:hint="eastAsia" w:ascii="宋体" w:hAnsi="宋体" w:eastAsia="宋体" w:cs="宋体"/>
                <w:snapToGrid w:val="0"/>
                <w:color w:val="auto"/>
                <w:kern w:val="2"/>
                <w:sz w:val="21"/>
                <w:szCs w:val="21"/>
                <w:lang w:val="en-US" w:eastAsia="zh-CN" w:bidi="ar-SA"/>
              </w:rPr>
              <w:t>607500</w:t>
            </w:r>
          </w:p>
        </w:tc>
        <w:tc>
          <w:tcPr>
            <w:tcW w:w="1481" w:type="dxa"/>
            <w:vAlign w:val="center"/>
          </w:tcPr>
          <w:p w14:paraId="7B5C730D">
            <w:pPr>
              <w:spacing w:line="360" w:lineRule="auto"/>
              <w:jc w:val="center"/>
              <w:rPr>
                <w:rFonts w:hint="eastAsia" w:ascii="宋体" w:hAnsi="Times New Roman" w:eastAsia="宋体" w:cs="宋体"/>
                <w:color w:val="000000"/>
                <w:kern w:val="0"/>
                <w:sz w:val="21"/>
                <w:szCs w:val="21"/>
                <w:lang w:val="en-US" w:eastAsia="zh-CN" w:bidi="ar-SA"/>
              </w:rPr>
            </w:pPr>
            <w:r>
              <w:rPr>
                <w:rFonts w:hint="eastAsia" w:ascii="宋体" w:hAnsi="宋体" w:eastAsia="宋体" w:cs="宋体"/>
                <w:snapToGrid w:val="0"/>
                <w:color w:val="auto"/>
                <w:kern w:val="2"/>
                <w:sz w:val="21"/>
                <w:szCs w:val="21"/>
                <w:lang w:val="en-US" w:eastAsia="zh-CN" w:bidi="ar-SA"/>
              </w:rPr>
              <w:t>607500</w:t>
            </w:r>
          </w:p>
        </w:tc>
      </w:tr>
      <w:tr w14:paraId="24861F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901" w:type="dxa"/>
            <w:vAlign w:val="center"/>
          </w:tcPr>
          <w:p w14:paraId="146EB084">
            <w:pPr>
              <w:pStyle w:val="10"/>
              <w:spacing w:line="360" w:lineRule="auto"/>
              <w:jc w:val="center"/>
              <w:rPr>
                <w:rFonts w:hint="default" w:cs="宋体"/>
                <w:sz w:val="21"/>
                <w:szCs w:val="21"/>
                <w:lang w:val="en-US" w:eastAsia="zh-CN"/>
              </w:rPr>
            </w:pPr>
            <w:r>
              <w:rPr>
                <w:rFonts w:hint="eastAsia" w:cs="宋体"/>
                <w:sz w:val="21"/>
                <w:szCs w:val="21"/>
                <w:lang w:val="en-US" w:eastAsia="zh-CN"/>
              </w:rPr>
              <w:t>5</w:t>
            </w:r>
          </w:p>
        </w:tc>
        <w:tc>
          <w:tcPr>
            <w:tcW w:w="1155" w:type="dxa"/>
            <w:vAlign w:val="center"/>
          </w:tcPr>
          <w:p w14:paraId="5B171FE7">
            <w:pPr>
              <w:adjustRightInd w:val="0"/>
              <w:snapToGrid w:val="0"/>
              <w:spacing w:line="360" w:lineRule="auto"/>
              <w:jc w:val="center"/>
              <w:rPr>
                <w:rFonts w:hint="eastAsia" w:ascii="宋体" w:hAnsi="Times New Roman" w:eastAsia="宋体" w:cs="宋体"/>
                <w:color w:val="000000"/>
                <w:kern w:val="0"/>
                <w:sz w:val="21"/>
                <w:szCs w:val="21"/>
                <w:lang w:val="en-US" w:eastAsia="zh-CN" w:bidi="ar-SA"/>
              </w:rPr>
            </w:pPr>
            <w:r>
              <w:rPr>
                <w:rFonts w:hint="eastAsia" w:ascii="宋体" w:hAnsi="Times New Roman" w:eastAsia="宋体" w:cs="宋体"/>
                <w:color w:val="000000"/>
                <w:kern w:val="0"/>
                <w:sz w:val="21"/>
                <w:szCs w:val="21"/>
                <w:lang w:val="en-US" w:eastAsia="zh-CN" w:bidi="ar-SA"/>
              </w:rPr>
              <w:t>E包</w:t>
            </w:r>
          </w:p>
        </w:tc>
        <w:tc>
          <w:tcPr>
            <w:tcW w:w="4155" w:type="dxa"/>
            <w:vAlign w:val="center"/>
          </w:tcPr>
          <w:p w14:paraId="0888B52E">
            <w:pPr>
              <w:adjustRightInd w:val="0"/>
              <w:snapToGrid w:val="0"/>
              <w:spacing w:line="360" w:lineRule="auto"/>
              <w:jc w:val="center"/>
              <w:rPr>
                <w:rFonts w:hint="eastAsia" w:ascii="宋体" w:hAnsi="Times New Roman" w:eastAsia="宋体" w:cs="宋体"/>
                <w:color w:val="000000"/>
                <w:kern w:val="0"/>
                <w:sz w:val="21"/>
                <w:szCs w:val="21"/>
                <w:lang w:val="en-US" w:eastAsia="zh-CN" w:bidi="ar-SA"/>
              </w:rPr>
            </w:pPr>
            <w:bookmarkStart w:id="34" w:name="OLE_LINK7"/>
            <w:r>
              <w:rPr>
                <w:rFonts w:hint="eastAsia" w:ascii="宋体" w:hAnsi="Times New Roman" w:eastAsia="宋体" w:cs="宋体"/>
                <w:color w:val="000000"/>
                <w:kern w:val="0"/>
                <w:sz w:val="21"/>
                <w:szCs w:val="21"/>
                <w:lang w:val="en-US" w:eastAsia="zh-CN" w:bidi="ar-SA"/>
              </w:rPr>
              <w:t>天时路社区社工站</w:t>
            </w:r>
            <w:r>
              <w:rPr>
                <w:rFonts w:hint="eastAsia" w:ascii="宋体" w:eastAsia="宋体" w:cs="宋体"/>
                <w:color w:val="000000"/>
                <w:kern w:val="0"/>
                <w:sz w:val="21"/>
                <w:szCs w:val="21"/>
                <w:lang w:val="en-US" w:eastAsia="zh-CN" w:bidi="ar-SA"/>
              </w:rPr>
              <w:t>、</w:t>
            </w:r>
            <w:r>
              <w:rPr>
                <w:rFonts w:hint="eastAsia" w:ascii="宋体" w:hAnsi="Times New Roman" w:eastAsia="宋体" w:cs="宋体"/>
                <w:color w:val="000000"/>
                <w:kern w:val="0"/>
                <w:sz w:val="21"/>
                <w:szCs w:val="21"/>
                <w:lang w:val="en-US" w:eastAsia="zh-CN" w:bidi="ar-SA"/>
              </w:rPr>
              <w:t>联盟新城社区社工站</w:t>
            </w:r>
            <w:bookmarkEnd w:id="34"/>
          </w:p>
        </w:tc>
        <w:tc>
          <w:tcPr>
            <w:tcW w:w="1283" w:type="dxa"/>
            <w:vAlign w:val="center"/>
          </w:tcPr>
          <w:p w14:paraId="7D985A00">
            <w:pPr>
              <w:spacing w:line="360" w:lineRule="auto"/>
              <w:jc w:val="center"/>
              <w:rPr>
                <w:rFonts w:hint="eastAsia" w:ascii="宋体" w:hAnsi="宋体" w:eastAsia="宋体" w:cs="宋体"/>
                <w:snapToGrid w:val="0"/>
                <w:color w:val="auto"/>
                <w:kern w:val="2"/>
                <w:sz w:val="21"/>
                <w:szCs w:val="21"/>
                <w:lang w:val="en-US" w:eastAsia="zh-CN" w:bidi="ar-SA"/>
              </w:rPr>
            </w:pPr>
            <w:r>
              <w:rPr>
                <w:rFonts w:hint="eastAsia" w:ascii="宋体" w:hAnsi="宋体" w:eastAsia="宋体" w:cs="宋体"/>
                <w:snapToGrid w:val="0"/>
                <w:color w:val="auto"/>
                <w:kern w:val="2"/>
                <w:sz w:val="21"/>
                <w:szCs w:val="21"/>
                <w:lang w:val="en-US" w:eastAsia="zh-CN" w:bidi="ar-SA"/>
              </w:rPr>
              <w:t>405000</w:t>
            </w:r>
          </w:p>
        </w:tc>
        <w:tc>
          <w:tcPr>
            <w:tcW w:w="1481" w:type="dxa"/>
            <w:vAlign w:val="center"/>
          </w:tcPr>
          <w:p w14:paraId="2C9FD396">
            <w:pPr>
              <w:spacing w:line="360" w:lineRule="auto"/>
              <w:jc w:val="center"/>
              <w:rPr>
                <w:rFonts w:hint="eastAsia" w:ascii="宋体" w:hAnsi="Times New Roman" w:eastAsia="宋体" w:cs="宋体"/>
                <w:color w:val="000000"/>
                <w:kern w:val="0"/>
                <w:sz w:val="21"/>
                <w:szCs w:val="21"/>
                <w:lang w:val="en-US" w:eastAsia="zh-CN" w:bidi="ar-SA"/>
              </w:rPr>
            </w:pPr>
            <w:r>
              <w:rPr>
                <w:rFonts w:hint="eastAsia" w:ascii="宋体" w:hAnsi="宋体" w:eastAsia="宋体" w:cs="宋体"/>
                <w:snapToGrid w:val="0"/>
                <w:color w:val="auto"/>
                <w:kern w:val="2"/>
                <w:sz w:val="21"/>
                <w:szCs w:val="21"/>
                <w:lang w:val="en-US" w:eastAsia="zh-CN" w:bidi="ar-SA"/>
              </w:rPr>
              <w:t>405000</w:t>
            </w:r>
          </w:p>
        </w:tc>
      </w:tr>
      <w:tr w14:paraId="7EB6B9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901" w:type="dxa"/>
            <w:vAlign w:val="center"/>
          </w:tcPr>
          <w:p w14:paraId="728BCE72">
            <w:pPr>
              <w:pStyle w:val="10"/>
              <w:spacing w:line="360" w:lineRule="auto"/>
              <w:jc w:val="center"/>
              <w:rPr>
                <w:rFonts w:hint="default" w:cs="宋体"/>
                <w:sz w:val="21"/>
                <w:szCs w:val="21"/>
                <w:lang w:val="en-US" w:eastAsia="zh-CN"/>
              </w:rPr>
            </w:pPr>
            <w:r>
              <w:rPr>
                <w:rFonts w:hint="eastAsia" w:cs="宋体"/>
                <w:sz w:val="21"/>
                <w:szCs w:val="21"/>
                <w:lang w:val="en-US" w:eastAsia="zh-CN"/>
              </w:rPr>
              <w:t>6</w:t>
            </w:r>
          </w:p>
        </w:tc>
        <w:tc>
          <w:tcPr>
            <w:tcW w:w="1155" w:type="dxa"/>
            <w:vAlign w:val="center"/>
          </w:tcPr>
          <w:p w14:paraId="29E726A9">
            <w:pPr>
              <w:adjustRightInd w:val="0"/>
              <w:snapToGrid w:val="0"/>
              <w:spacing w:line="360" w:lineRule="auto"/>
              <w:jc w:val="center"/>
              <w:rPr>
                <w:rFonts w:hint="eastAsia" w:ascii="宋体" w:hAnsi="Times New Roman" w:eastAsia="宋体" w:cs="宋体"/>
                <w:color w:val="000000"/>
                <w:kern w:val="0"/>
                <w:sz w:val="21"/>
                <w:szCs w:val="21"/>
                <w:lang w:val="en-US" w:eastAsia="zh-CN" w:bidi="ar-SA"/>
              </w:rPr>
            </w:pPr>
            <w:r>
              <w:rPr>
                <w:rFonts w:hint="eastAsia" w:ascii="宋体" w:hAnsi="Times New Roman" w:eastAsia="宋体" w:cs="宋体"/>
                <w:color w:val="000000"/>
                <w:kern w:val="0"/>
                <w:sz w:val="21"/>
                <w:szCs w:val="21"/>
                <w:lang w:val="en-US" w:eastAsia="zh-CN" w:bidi="ar-SA"/>
              </w:rPr>
              <w:t>F包</w:t>
            </w:r>
          </w:p>
        </w:tc>
        <w:tc>
          <w:tcPr>
            <w:tcW w:w="4155" w:type="dxa"/>
            <w:vAlign w:val="center"/>
          </w:tcPr>
          <w:p w14:paraId="179186CC">
            <w:pPr>
              <w:adjustRightInd w:val="0"/>
              <w:snapToGrid w:val="0"/>
              <w:spacing w:line="360" w:lineRule="auto"/>
              <w:jc w:val="center"/>
              <w:rPr>
                <w:rFonts w:hint="eastAsia" w:ascii="宋体" w:hAnsi="Times New Roman" w:eastAsia="宋体" w:cs="宋体"/>
                <w:color w:val="000000"/>
                <w:kern w:val="0"/>
                <w:sz w:val="21"/>
                <w:szCs w:val="21"/>
                <w:lang w:val="en-US" w:eastAsia="zh-CN" w:bidi="ar-SA"/>
              </w:rPr>
            </w:pPr>
            <w:bookmarkStart w:id="35" w:name="OLE_LINK8"/>
            <w:r>
              <w:rPr>
                <w:rFonts w:hint="eastAsia" w:ascii="宋体" w:hAnsi="Times New Roman" w:eastAsia="宋体" w:cs="宋体"/>
                <w:color w:val="000000"/>
                <w:kern w:val="0"/>
                <w:sz w:val="21"/>
                <w:szCs w:val="21"/>
                <w:lang w:val="en-US" w:eastAsia="zh-CN" w:bidi="ar-SA"/>
              </w:rPr>
              <w:t>如意东路社区社工站</w:t>
            </w:r>
            <w:r>
              <w:rPr>
                <w:rFonts w:hint="eastAsia" w:ascii="宋体" w:eastAsia="宋体" w:cs="宋体"/>
                <w:color w:val="000000"/>
                <w:kern w:val="0"/>
                <w:sz w:val="21"/>
                <w:szCs w:val="21"/>
                <w:lang w:val="en-US" w:eastAsia="zh-CN" w:bidi="ar-SA"/>
              </w:rPr>
              <w:t>、</w:t>
            </w:r>
            <w:r>
              <w:rPr>
                <w:rFonts w:hint="eastAsia" w:ascii="宋体" w:hAnsi="Times New Roman" w:eastAsia="宋体" w:cs="宋体"/>
                <w:color w:val="000000"/>
                <w:kern w:val="0"/>
                <w:sz w:val="21"/>
                <w:szCs w:val="21"/>
                <w:lang w:val="en-US" w:eastAsia="zh-CN" w:bidi="ar-SA"/>
              </w:rPr>
              <w:t>龙源嘉苑社区社工站</w:t>
            </w:r>
            <w:r>
              <w:rPr>
                <w:rFonts w:hint="eastAsia" w:ascii="宋体" w:eastAsia="宋体" w:cs="宋体"/>
                <w:color w:val="000000"/>
                <w:kern w:val="0"/>
                <w:sz w:val="21"/>
                <w:szCs w:val="21"/>
                <w:lang w:val="en-US" w:eastAsia="zh-CN" w:bidi="ar-SA"/>
              </w:rPr>
              <w:t>、</w:t>
            </w:r>
            <w:r>
              <w:rPr>
                <w:rFonts w:hint="eastAsia" w:ascii="宋体" w:hAnsi="Times New Roman" w:eastAsia="宋体" w:cs="宋体"/>
                <w:color w:val="000000"/>
                <w:kern w:val="0"/>
                <w:sz w:val="21"/>
                <w:szCs w:val="21"/>
                <w:lang w:val="en-US" w:eastAsia="zh-CN" w:bidi="ar-SA"/>
              </w:rPr>
              <w:t>馨悦苑社区社工站</w:t>
            </w:r>
            <w:bookmarkEnd w:id="35"/>
          </w:p>
        </w:tc>
        <w:tc>
          <w:tcPr>
            <w:tcW w:w="1283" w:type="dxa"/>
            <w:vAlign w:val="center"/>
          </w:tcPr>
          <w:p w14:paraId="7D615FC1">
            <w:pPr>
              <w:spacing w:line="360" w:lineRule="auto"/>
              <w:jc w:val="center"/>
              <w:rPr>
                <w:rFonts w:hint="eastAsia" w:ascii="宋体" w:hAnsi="宋体" w:eastAsia="宋体" w:cs="宋体"/>
                <w:snapToGrid w:val="0"/>
                <w:color w:val="auto"/>
                <w:kern w:val="2"/>
                <w:sz w:val="21"/>
                <w:szCs w:val="21"/>
                <w:lang w:val="en-US" w:eastAsia="zh-CN" w:bidi="ar-SA"/>
              </w:rPr>
            </w:pPr>
            <w:r>
              <w:rPr>
                <w:rFonts w:hint="eastAsia" w:ascii="宋体" w:hAnsi="宋体" w:eastAsia="宋体" w:cs="宋体"/>
                <w:snapToGrid w:val="0"/>
                <w:color w:val="auto"/>
                <w:kern w:val="2"/>
                <w:sz w:val="21"/>
                <w:szCs w:val="21"/>
                <w:lang w:val="en-US" w:eastAsia="zh-CN" w:bidi="ar-SA"/>
              </w:rPr>
              <w:t>607500</w:t>
            </w:r>
          </w:p>
        </w:tc>
        <w:tc>
          <w:tcPr>
            <w:tcW w:w="1481" w:type="dxa"/>
            <w:vAlign w:val="center"/>
          </w:tcPr>
          <w:p w14:paraId="507CCDBC">
            <w:pPr>
              <w:spacing w:line="360" w:lineRule="auto"/>
              <w:jc w:val="center"/>
              <w:rPr>
                <w:rFonts w:hint="eastAsia" w:ascii="宋体" w:hAnsi="Times New Roman" w:eastAsia="宋体" w:cs="宋体"/>
                <w:color w:val="000000"/>
                <w:kern w:val="0"/>
                <w:sz w:val="21"/>
                <w:szCs w:val="21"/>
                <w:lang w:val="en-US" w:eastAsia="zh-CN" w:bidi="ar-SA"/>
              </w:rPr>
            </w:pPr>
            <w:r>
              <w:rPr>
                <w:rFonts w:hint="eastAsia" w:ascii="宋体" w:hAnsi="宋体" w:eastAsia="宋体" w:cs="宋体"/>
                <w:snapToGrid w:val="0"/>
                <w:color w:val="auto"/>
                <w:kern w:val="2"/>
                <w:sz w:val="21"/>
                <w:szCs w:val="21"/>
                <w:lang w:val="en-US" w:eastAsia="zh-CN" w:bidi="ar-SA"/>
              </w:rPr>
              <w:t>607500</w:t>
            </w:r>
          </w:p>
        </w:tc>
      </w:tr>
      <w:tr w14:paraId="77B7C6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901" w:type="dxa"/>
            <w:vAlign w:val="center"/>
          </w:tcPr>
          <w:p w14:paraId="1FB616FB">
            <w:pPr>
              <w:pStyle w:val="10"/>
              <w:spacing w:line="360" w:lineRule="auto"/>
              <w:jc w:val="center"/>
              <w:rPr>
                <w:rFonts w:hint="default" w:cs="宋体"/>
                <w:sz w:val="21"/>
                <w:szCs w:val="21"/>
                <w:lang w:val="en-US" w:eastAsia="zh-CN"/>
              </w:rPr>
            </w:pPr>
            <w:r>
              <w:rPr>
                <w:rFonts w:hint="eastAsia" w:cs="宋体"/>
                <w:sz w:val="21"/>
                <w:szCs w:val="21"/>
                <w:lang w:val="en-US" w:eastAsia="zh-CN"/>
              </w:rPr>
              <w:t>7</w:t>
            </w:r>
          </w:p>
        </w:tc>
        <w:tc>
          <w:tcPr>
            <w:tcW w:w="1155" w:type="dxa"/>
            <w:vAlign w:val="center"/>
          </w:tcPr>
          <w:p w14:paraId="06E7BDD3">
            <w:pPr>
              <w:adjustRightInd w:val="0"/>
              <w:snapToGrid w:val="0"/>
              <w:spacing w:line="360" w:lineRule="auto"/>
              <w:jc w:val="center"/>
              <w:rPr>
                <w:rFonts w:hint="eastAsia" w:ascii="宋体" w:hAnsi="Times New Roman" w:eastAsia="宋体" w:cs="宋体"/>
                <w:color w:val="000000"/>
                <w:kern w:val="0"/>
                <w:sz w:val="21"/>
                <w:szCs w:val="21"/>
                <w:lang w:val="en-US" w:eastAsia="zh-CN" w:bidi="ar-SA"/>
              </w:rPr>
            </w:pPr>
            <w:r>
              <w:rPr>
                <w:rFonts w:hint="eastAsia" w:ascii="宋体" w:hAnsi="Times New Roman" w:eastAsia="宋体" w:cs="宋体"/>
                <w:color w:val="000000"/>
                <w:kern w:val="0"/>
                <w:sz w:val="21"/>
                <w:szCs w:val="21"/>
                <w:lang w:val="en-US" w:eastAsia="zh-CN" w:bidi="ar-SA"/>
              </w:rPr>
              <w:t>G包</w:t>
            </w:r>
          </w:p>
        </w:tc>
        <w:tc>
          <w:tcPr>
            <w:tcW w:w="4155" w:type="dxa"/>
            <w:vAlign w:val="center"/>
          </w:tcPr>
          <w:p w14:paraId="62124221">
            <w:pPr>
              <w:adjustRightInd w:val="0"/>
              <w:snapToGrid w:val="0"/>
              <w:spacing w:line="360" w:lineRule="auto"/>
              <w:jc w:val="center"/>
              <w:rPr>
                <w:rFonts w:hint="eastAsia" w:ascii="宋体" w:hAnsi="Times New Roman" w:eastAsia="宋体" w:cs="宋体"/>
                <w:color w:val="000000"/>
                <w:kern w:val="0"/>
                <w:sz w:val="21"/>
                <w:szCs w:val="21"/>
                <w:lang w:val="en-US" w:eastAsia="zh-CN" w:bidi="ar-SA"/>
              </w:rPr>
            </w:pPr>
            <w:bookmarkStart w:id="36" w:name="OLE_LINK10"/>
            <w:r>
              <w:rPr>
                <w:rFonts w:hint="eastAsia" w:ascii="宋体" w:hAnsi="Times New Roman" w:eastAsia="宋体" w:cs="宋体"/>
                <w:color w:val="000000"/>
                <w:kern w:val="0"/>
                <w:sz w:val="21"/>
                <w:szCs w:val="21"/>
                <w:lang w:val="en-US" w:eastAsia="zh-CN" w:bidi="ar-SA"/>
              </w:rPr>
              <w:t>龙之梦社区社工站</w:t>
            </w:r>
            <w:r>
              <w:rPr>
                <w:rFonts w:hint="eastAsia" w:ascii="宋体" w:eastAsia="宋体" w:cs="宋体"/>
                <w:color w:val="000000"/>
                <w:kern w:val="0"/>
                <w:sz w:val="21"/>
                <w:szCs w:val="21"/>
                <w:lang w:val="en-US" w:eastAsia="zh-CN" w:bidi="ar-SA"/>
              </w:rPr>
              <w:t>、</w:t>
            </w:r>
            <w:r>
              <w:rPr>
                <w:rFonts w:hint="eastAsia" w:ascii="宋体" w:hAnsi="Times New Roman" w:eastAsia="宋体" w:cs="宋体"/>
                <w:color w:val="000000"/>
                <w:kern w:val="0"/>
                <w:sz w:val="21"/>
                <w:szCs w:val="21"/>
                <w:lang w:val="en-US" w:eastAsia="zh-CN" w:bidi="ar-SA"/>
              </w:rPr>
              <w:t>相济路社区社工站</w:t>
            </w:r>
            <w:bookmarkEnd w:id="36"/>
          </w:p>
        </w:tc>
        <w:tc>
          <w:tcPr>
            <w:tcW w:w="1283" w:type="dxa"/>
            <w:vAlign w:val="center"/>
          </w:tcPr>
          <w:p w14:paraId="36F875A8">
            <w:pPr>
              <w:spacing w:line="360" w:lineRule="auto"/>
              <w:jc w:val="center"/>
              <w:rPr>
                <w:rFonts w:hint="eastAsia" w:ascii="宋体" w:hAnsi="宋体" w:eastAsia="宋体" w:cs="宋体"/>
                <w:snapToGrid w:val="0"/>
                <w:color w:val="auto"/>
                <w:kern w:val="2"/>
                <w:sz w:val="21"/>
                <w:szCs w:val="21"/>
                <w:lang w:val="en-US" w:eastAsia="zh-CN" w:bidi="ar-SA"/>
              </w:rPr>
            </w:pPr>
            <w:r>
              <w:rPr>
                <w:rFonts w:hint="eastAsia" w:ascii="宋体" w:hAnsi="宋体" w:eastAsia="宋体" w:cs="宋体"/>
                <w:snapToGrid w:val="0"/>
                <w:color w:val="auto"/>
                <w:kern w:val="2"/>
                <w:sz w:val="21"/>
                <w:szCs w:val="21"/>
                <w:lang w:val="en-US" w:eastAsia="zh-CN" w:bidi="ar-SA"/>
              </w:rPr>
              <w:t>405000</w:t>
            </w:r>
          </w:p>
        </w:tc>
        <w:tc>
          <w:tcPr>
            <w:tcW w:w="1481" w:type="dxa"/>
            <w:vAlign w:val="center"/>
          </w:tcPr>
          <w:p w14:paraId="4FA6068F">
            <w:pPr>
              <w:spacing w:line="360" w:lineRule="auto"/>
              <w:jc w:val="center"/>
              <w:rPr>
                <w:rFonts w:hint="eastAsia" w:ascii="宋体" w:hAnsi="Times New Roman" w:eastAsia="宋体" w:cs="宋体"/>
                <w:color w:val="000000"/>
                <w:kern w:val="0"/>
                <w:sz w:val="21"/>
                <w:szCs w:val="21"/>
                <w:lang w:val="en-US" w:eastAsia="zh-CN" w:bidi="ar-SA"/>
              </w:rPr>
            </w:pPr>
            <w:r>
              <w:rPr>
                <w:rFonts w:hint="eastAsia" w:ascii="宋体" w:hAnsi="宋体" w:eastAsia="宋体" w:cs="宋体"/>
                <w:snapToGrid w:val="0"/>
                <w:color w:val="auto"/>
                <w:kern w:val="2"/>
                <w:sz w:val="21"/>
                <w:szCs w:val="21"/>
                <w:lang w:val="en-US" w:eastAsia="zh-CN" w:bidi="ar-SA"/>
              </w:rPr>
              <w:t>405000</w:t>
            </w:r>
          </w:p>
        </w:tc>
      </w:tr>
      <w:tr w14:paraId="6F19A8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901" w:type="dxa"/>
            <w:vAlign w:val="center"/>
          </w:tcPr>
          <w:p w14:paraId="38BBFE9B">
            <w:pPr>
              <w:pStyle w:val="10"/>
              <w:spacing w:line="360" w:lineRule="auto"/>
              <w:jc w:val="center"/>
              <w:rPr>
                <w:rFonts w:hint="default" w:cs="宋体"/>
                <w:sz w:val="21"/>
                <w:szCs w:val="21"/>
                <w:lang w:val="en-US" w:eastAsia="zh-CN"/>
              </w:rPr>
            </w:pPr>
            <w:r>
              <w:rPr>
                <w:rFonts w:hint="eastAsia" w:cs="宋体"/>
                <w:sz w:val="21"/>
                <w:szCs w:val="21"/>
                <w:lang w:val="en-US" w:eastAsia="zh-CN"/>
              </w:rPr>
              <w:t>8</w:t>
            </w:r>
          </w:p>
        </w:tc>
        <w:tc>
          <w:tcPr>
            <w:tcW w:w="1155" w:type="dxa"/>
            <w:vAlign w:val="center"/>
          </w:tcPr>
          <w:p w14:paraId="141EF6AD">
            <w:pPr>
              <w:adjustRightInd w:val="0"/>
              <w:snapToGrid w:val="0"/>
              <w:spacing w:line="360" w:lineRule="auto"/>
              <w:jc w:val="center"/>
              <w:rPr>
                <w:rFonts w:hint="eastAsia" w:ascii="宋体" w:hAnsi="Times New Roman" w:eastAsia="宋体" w:cs="宋体"/>
                <w:color w:val="000000"/>
                <w:kern w:val="0"/>
                <w:sz w:val="21"/>
                <w:szCs w:val="21"/>
                <w:lang w:val="en-US" w:eastAsia="zh-CN" w:bidi="ar-SA"/>
              </w:rPr>
            </w:pPr>
            <w:r>
              <w:rPr>
                <w:rFonts w:hint="eastAsia" w:ascii="宋体" w:hAnsi="Times New Roman" w:eastAsia="宋体" w:cs="宋体"/>
                <w:color w:val="000000"/>
                <w:kern w:val="0"/>
                <w:sz w:val="21"/>
                <w:szCs w:val="21"/>
                <w:lang w:val="en-US" w:eastAsia="zh-CN" w:bidi="ar-SA"/>
              </w:rPr>
              <w:t>H包</w:t>
            </w:r>
          </w:p>
        </w:tc>
        <w:tc>
          <w:tcPr>
            <w:tcW w:w="4155" w:type="dxa"/>
            <w:vAlign w:val="center"/>
          </w:tcPr>
          <w:p w14:paraId="10BBD7B9">
            <w:pPr>
              <w:adjustRightInd w:val="0"/>
              <w:snapToGrid w:val="0"/>
              <w:spacing w:line="360" w:lineRule="auto"/>
              <w:jc w:val="center"/>
              <w:rPr>
                <w:rFonts w:hint="eastAsia" w:ascii="宋体" w:hAnsi="Times New Roman" w:eastAsia="宋体" w:cs="宋体"/>
                <w:color w:val="000000"/>
                <w:kern w:val="0"/>
                <w:sz w:val="21"/>
                <w:szCs w:val="21"/>
                <w:lang w:val="en-US" w:eastAsia="zh-CN" w:bidi="ar-SA"/>
              </w:rPr>
            </w:pPr>
            <w:bookmarkStart w:id="37" w:name="OLE_LINK11"/>
            <w:r>
              <w:rPr>
                <w:rFonts w:hint="eastAsia" w:ascii="宋体" w:hAnsi="Times New Roman" w:eastAsia="宋体" w:cs="宋体"/>
                <w:color w:val="000000"/>
                <w:kern w:val="0"/>
                <w:sz w:val="21"/>
                <w:szCs w:val="21"/>
                <w:lang w:val="en-US" w:eastAsia="zh-CN" w:bidi="ar-SA"/>
              </w:rPr>
              <w:t>学理路社区社工站</w:t>
            </w:r>
            <w:r>
              <w:rPr>
                <w:rFonts w:hint="eastAsia" w:ascii="宋体" w:eastAsia="宋体" w:cs="宋体"/>
                <w:color w:val="000000"/>
                <w:kern w:val="0"/>
                <w:sz w:val="21"/>
                <w:szCs w:val="21"/>
                <w:lang w:val="en-US" w:eastAsia="zh-CN" w:bidi="ar-SA"/>
              </w:rPr>
              <w:t>、</w:t>
            </w:r>
            <w:r>
              <w:rPr>
                <w:rFonts w:hint="eastAsia" w:ascii="宋体" w:hAnsi="Times New Roman" w:eastAsia="宋体" w:cs="宋体"/>
                <w:color w:val="000000"/>
                <w:kern w:val="0"/>
                <w:sz w:val="21"/>
                <w:szCs w:val="21"/>
                <w:lang w:val="en-US" w:eastAsia="zh-CN" w:bidi="ar-SA"/>
              </w:rPr>
              <w:t>明理路社区社工站</w:t>
            </w:r>
            <w:r>
              <w:rPr>
                <w:rFonts w:hint="eastAsia" w:ascii="宋体" w:eastAsia="宋体" w:cs="宋体"/>
                <w:color w:val="000000"/>
                <w:kern w:val="0"/>
                <w:sz w:val="21"/>
                <w:szCs w:val="21"/>
                <w:lang w:val="en-US" w:eastAsia="zh-CN" w:bidi="ar-SA"/>
              </w:rPr>
              <w:t>、</w:t>
            </w:r>
            <w:r>
              <w:rPr>
                <w:rFonts w:hint="eastAsia" w:ascii="宋体" w:hAnsi="Times New Roman" w:eastAsia="宋体" w:cs="宋体"/>
                <w:color w:val="000000"/>
                <w:kern w:val="0"/>
                <w:sz w:val="21"/>
                <w:szCs w:val="21"/>
                <w:lang w:val="en-US" w:eastAsia="zh-CN" w:bidi="ar-SA"/>
              </w:rPr>
              <w:t>后贾东街社区社工站</w:t>
            </w:r>
            <w:bookmarkEnd w:id="37"/>
          </w:p>
        </w:tc>
        <w:tc>
          <w:tcPr>
            <w:tcW w:w="1283" w:type="dxa"/>
            <w:vAlign w:val="center"/>
          </w:tcPr>
          <w:p w14:paraId="50E51296">
            <w:pPr>
              <w:spacing w:line="360" w:lineRule="auto"/>
              <w:jc w:val="center"/>
              <w:rPr>
                <w:rFonts w:hint="eastAsia" w:ascii="宋体" w:hAnsi="宋体" w:eastAsia="宋体" w:cs="宋体"/>
                <w:snapToGrid w:val="0"/>
                <w:color w:val="auto"/>
                <w:kern w:val="2"/>
                <w:sz w:val="21"/>
                <w:szCs w:val="21"/>
                <w:lang w:val="en-US" w:eastAsia="zh-CN" w:bidi="ar-SA"/>
              </w:rPr>
            </w:pPr>
            <w:r>
              <w:rPr>
                <w:rFonts w:hint="eastAsia" w:ascii="宋体" w:hAnsi="宋体" w:eastAsia="宋体" w:cs="宋体"/>
                <w:snapToGrid w:val="0"/>
                <w:color w:val="auto"/>
                <w:kern w:val="2"/>
                <w:sz w:val="21"/>
                <w:szCs w:val="21"/>
                <w:lang w:val="en-US" w:eastAsia="zh-CN" w:bidi="ar-SA"/>
              </w:rPr>
              <w:t>607500</w:t>
            </w:r>
          </w:p>
        </w:tc>
        <w:tc>
          <w:tcPr>
            <w:tcW w:w="1481" w:type="dxa"/>
            <w:vAlign w:val="center"/>
          </w:tcPr>
          <w:p w14:paraId="74F90485">
            <w:pPr>
              <w:spacing w:line="360" w:lineRule="auto"/>
              <w:jc w:val="center"/>
              <w:rPr>
                <w:rFonts w:hint="eastAsia" w:ascii="宋体" w:hAnsi="Times New Roman" w:eastAsia="宋体" w:cs="宋体"/>
                <w:color w:val="000000"/>
                <w:kern w:val="0"/>
                <w:sz w:val="21"/>
                <w:szCs w:val="21"/>
                <w:lang w:val="en-US" w:eastAsia="zh-CN" w:bidi="ar-SA"/>
              </w:rPr>
            </w:pPr>
            <w:r>
              <w:rPr>
                <w:rFonts w:hint="eastAsia" w:ascii="宋体" w:hAnsi="宋体" w:eastAsia="宋体" w:cs="宋体"/>
                <w:snapToGrid w:val="0"/>
                <w:color w:val="auto"/>
                <w:kern w:val="2"/>
                <w:sz w:val="21"/>
                <w:szCs w:val="21"/>
                <w:lang w:val="en-US" w:eastAsia="zh-CN" w:bidi="ar-SA"/>
              </w:rPr>
              <w:t>607500</w:t>
            </w:r>
          </w:p>
        </w:tc>
      </w:tr>
      <w:tr w14:paraId="647AF4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901" w:type="dxa"/>
            <w:vAlign w:val="center"/>
          </w:tcPr>
          <w:p w14:paraId="28221911">
            <w:pPr>
              <w:pStyle w:val="10"/>
              <w:spacing w:line="360" w:lineRule="auto"/>
              <w:jc w:val="center"/>
              <w:rPr>
                <w:rFonts w:hint="default" w:cs="宋体"/>
                <w:sz w:val="21"/>
                <w:szCs w:val="21"/>
                <w:lang w:val="en-US" w:eastAsia="zh-CN"/>
              </w:rPr>
            </w:pPr>
            <w:r>
              <w:rPr>
                <w:rFonts w:hint="eastAsia" w:cs="宋体"/>
                <w:sz w:val="21"/>
                <w:szCs w:val="21"/>
                <w:lang w:val="en-US" w:eastAsia="zh-CN"/>
              </w:rPr>
              <w:t>9</w:t>
            </w:r>
          </w:p>
        </w:tc>
        <w:tc>
          <w:tcPr>
            <w:tcW w:w="1155" w:type="dxa"/>
            <w:vAlign w:val="center"/>
          </w:tcPr>
          <w:p w14:paraId="6C9B615C">
            <w:pPr>
              <w:adjustRightInd w:val="0"/>
              <w:snapToGrid w:val="0"/>
              <w:spacing w:line="360" w:lineRule="auto"/>
              <w:jc w:val="center"/>
              <w:rPr>
                <w:rFonts w:hint="eastAsia" w:ascii="宋体" w:hAnsi="Times New Roman" w:eastAsia="宋体" w:cs="宋体"/>
                <w:color w:val="000000"/>
                <w:kern w:val="0"/>
                <w:sz w:val="21"/>
                <w:szCs w:val="21"/>
                <w:lang w:val="en-US" w:eastAsia="zh-CN" w:bidi="ar-SA"/>
              </w:rPr>
            </w:pPr>
            <w:r>
              <w:rPr>
                <w:rFonts w:hint="eastAsia" w:ascii="宋体" w:hAnsi="Times New Roman" w:eastAsia="宋体" w:cs="宋体"/>
                <w:color w:val="000000"/>
                <w:kern w:val="0"/>
                <w:sz w:val="21"/>
                <w:szCs w:val="21"/>
                <w:lang w:val="en-US" w:eastAsia="zh-CN" w:bidi="ar-SA"/>
              </w:rPr>
              <w:t>I包</w:t>
            </w:r>
          </w:p>
        </w:tc>
        <w:tc>
          <w:tcPr>
            <w:tcW w:w="4155" w:type="dxa"/>
            <w:vAlign w:val="center"/>
          </w:tcPr>
          <w:p w14:paraId="3362E3EA">
            <w:pPr>
              <w:adjustRightInd w:val="0"/>
              <w:snapToGrid w:val="0"/>
              <w:spacing w:line="360" w:lineRule="auto"/>
              <w:jc w:val="center"/>
              <w:rPr>
                <w:rFonts w:hint="eastAsia" w:ascii="宋体" w:hAnsi="Times New Roman" w:eastAsia="宋体" w:cs="宋体"/>
                <w:color w:val="000000"/>
                <w:kern w:val="0"/>
                <w:sz w:val="21"/>
                <w:szCs w:val="21"/>
                <w:lang w:val="en-US" w:eastAsia="zh-CN" w:bidi="ar-SA"/>
              </w:rPr>
            </w:pPr>
            <w:bookmarkStart w:id="38" w:name="OLE_LINK12"/>
            <w:bookmarkStart w:id="39" w:name="OLE_LINK22"/>
            <w:r>
              <w:rPr>
                <w:rFonts w:hint="eastAsia" w:ascii="宋体" w:hAnsi="Times New Roman" w:eastAsia="宋体" w:cs="宋体"/>
                <w:color w:val="000000"/>
                <w:kern w:val="0"/>
                <w:sz w:val="21"/>
                <w:szCs w:val="21"/>
                <w:lang w:val="en-US" w:eastAsia="zh-CN" w:bidi="ar-SA"/>
              </w:rPr>
              <w:t>普惠社区社工站</w:t>
            </w:r>
            <w:r>
              <w:rPr>
                <w:rFonts w:hint="eastAsia" w:ascii="宋体" w:eastAsia="宋体" w:cs="宋体"/>
                <w:color w:val="000000"/>
                <w:kern w:val="0"/>
                <w:sz w:val="21"/>
                <w:szCs w:val="21"/>
                <w:lang w:val="en-US" w:eastAsia="zh-CN" w:bidi="ar-SA"/>
              </w:rPr>
              <w:t>、</w:t>
            </w:r>
            <w:r>
              <w:rPr>
                <w:rFonts w:hint="eastAsia" w:ascii="宋体" w:hAnsi="Times New Roman" w:eastAsia="宋体" w:cs="宋体"/>
                <w:color w:val="000000"/>
                <w:kern w:val="0"/>
                <w:sz w:val="21"/>
                <w:szCs w:val="21"/>
                <w:lang w:val="en-US" w:eastAsia="zh-CN" w:bidi="ar-SA"/>
              </w:rPr>
              <w:t>圃田嘉苑社区社工站</w:t>
            </w:r>
            <w:bookmarkEnd w:id="38"/>
            <w:r>
              <w:rPr>
                <w:rFonts w:hint="eastAsia" w:ascii="宋体" w:hAnsi="Times New Roman" w:eastAsia="宋体" w:cs="宋体"/>
                <w:color w:val="000000"/>
                <w:kern w:val="0"/>
                <w:sz w:val="21"/>
                <w:szCs w:val="21"/>
                <w:lang w:val="en-US" w:eastAsia="zh-CN" w:bidi="ar-SA"/>
              </w:rPr>
              <w:t xml:space="preserve"> </w:t>
            </w:r>
            <w:bookmarkEnd w:id="39"/>
            <w:r>
              <w:rPr>
                <w:rFonts w:hint="eastAsia" w:ascii="宋体" w:hAnsi="Times New Roman" w:eastAsia="宋体" w:cs="宋体"/>
                <w:color w:val="000000"/>
                <w:kern w:val="0"/>
                <w:sz w:val="21"/>
                <w:szCs w:val="21"/>
                <w:lang w:val="en-US" w:eastAsia="zh-CN" w:bidi="ar-SA"/>
              </w:rPr>
              <w:t xml:space="preserve">         </w:t>
            </w:r>
          </w:p>
        </w:tc>
        <w:tc>
          <w:tcPr>
            <w:tcW w:w="1283" w:type="dxa"/>
            <w:vAlign w:val="center"/>
          </w:tcPr>
          <w:p w14:paraId="2BB62AFB">
            <w:pPr>
              <w:spacing w:line="360" w:lineRule="auto"/>
              <w:jc w:val="center"/>
              <w:rPr>
                <w:rFonts w:hint="eastAsia" w:ascii="宋体" w:hAnsi="宋体" w:eastAsia="宋体" w:cs="宋体"/>
                <w:snapToGrid w:val="0"/>
                <w:color w:val="auto"/>
                <w:kern w:val="2"/>
                <w:sz w:val="21"/>
                <w:szCs w:val="21"/>
                <w:lang w:val="en-US" w:eastAsia="zh-CN" w:bidi="ar-SA"/>
              </w:rPr>
            </w:pPr>
            <w:r>
              <w:rPr>
                <w:rFonts w:hint="eastAsia" w:ascii="宋体" w:hAnsi="宋体" w:eastAsia="宋体" w:cs="宋体"/>
                <w:snapToGrid w:val="0"/>
                <w:color w:val="auto"/>
                <w:kern w:val="2"/>
                <w:sz w:val="21"/>
                <w:szCs w:val="21"/>
                <w:lang w:val="en-US" w:eastAsia="zh-CN" w:bidi="ar-SA"/>
              </w:rPr>
              <w:t>405000</w:t>
            </w:r>
          </w:p>
        </w:tc>
        <w:tc>
          <w:tcPr>
            <w:tcW w:w="1481" w:type="dxa"/>
            <w:vAlign w:val="center"/>
          </w:tcPr>
          <w:p w14:paraId="77D86DB6">
            <w:pPr>
              <w:spacing w:line="360" w:lineRule="auto"/>
              <w:jc w:val="center"/>
              <w:rPr>
                <w:rFonts w:hint="eastAsia" w:ascii="宋体" w:hAnsi="Times New Roman" w:eastAsia="宋体" w:cs="宋体"/>
                <w:color w:val="000000"/>
                <w:kern w:val="0"/>
                <w:sz w:val="21"/>
                <w:szCs w:val="21"/>
                <w:lang w:val="en-US" w:eastAsia="zh-CN" w:bidi="ar-SA"/>
              </w:rPr>
            </w:pPr>
            <w:r>
              <w:rPr>
                <w:rFonts w:hint="eastAsia" w:ascii="宋体" w:hAnsi="宋体" w:eastAsia="宋体" w:cs="宋体"/>
                <w:snapToGrid w:val="0"/>
                <w:color w:val="auto"/>
                <w:kern w:val="2"/>
                <w:sz w:val="21"/>
                <w:szCs w:val="21"/>
                <w:lang w:val="en-US" w:eastAsia="zh-CN" w:bidi="ar-SA"/>
              </w:rPr>
              <w:t>405000</w:t>
            </w:r>
          </w:p>
        </w:tc>
      </w:tr>
      <w:tr w14:paraId="7B5787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901" w:type="dxa"/>
            <w:vAlign w:val="center"/>
          </w:tcPr>
          <w:p w14:paraId="2E3416B5">
            <w:pPr>
              <w:pStyle w:val="10"/>
              <w:spacing w:line="360" w:lineRule="auto"/>
              <w:jc w:val="center"/>
              <w:rPr>
                <w:rFonts w:hint="default" w:cs="宋体"/>
                <w:sz w:val="21"/>
                <w:szCs w:val="21"/>
                <w:lang w:val="en-US" w:eastAsia="zh-CN"/>
              </w:rPr>
            </w:pPr>
            <w:r>
              <w:rPr>
                <w:rFonts w:hint="eastAsia" w:cs="宋体"/>
                <w:sz w:val="21"/>
                <w:szCs w:val="21"/>
                <w:lang w:val="en-US" w:eastAsia="zh-CN"/>
              </w:rPr>
              <w:t>10</w:t>
            </w:r>
          </w:p>
        </w:tc>
        <w:tc>
          <w:tcPr>
            <w:tcW w:w="1155" w:type="dxa"/>
            <w:vAlign w:val="center"/>
          </w:tcPr>
          <w:p w14:paraId="1F6B5442">
            <w:pPr>
              <w:adjustRightInd w:val="0"/>
              <w:snapToGrid w:val="0"/>
              <w:spacing w:line="360" w:lineRule="auto"/>
              <w:jc w:val="center"/>
              <w:rPr>
                <w:rFonts w:hint="eastAsia" w:ascii="宋体" w:hAnsi="Times New Roman" w:eastAsia="宋体" w:cs="宋体"/>
                <w:color w:val="000000"/>
                <w:kern w:val="0"/>
                <w:sz w:val="21"/>
                <w:szCs w:val="21"/>
                <w:lang w:val="en-US" w:eastAsia="zh-CN" w:bidi="ar-SA"/>
              </w:rPr>
            </w:pPr>
            <w:r>
              <w:rPr>
                <w:rFonts w:hint="eastAsia" w:ascii="宋体" w:hAnsi="Times New Roman" w:eastAsia="宋体" w:cs="宋体"/>
                <w:color w:val="000000"/>
                <w:kern w:val="0"/>
                <w:sz w:val="21"/>
                <w:szCs w:val="21"/>
                <w:lang w:val="en-US" w:eastAsia="zh-CN" w:bidi="ar-SA"/>
              </w:rPr>
              <w:t>J包</w:t>
            </w:r>
          </w:p>
        </w:tc>
        <w:tc>
          <w:tcPr>
            <w:tcW w:w="4155" w:type="dxa"/>
            <w:vAlign w:val="center"/>
          </w:tcPr>
          <w:p w14:paraId="722E42A0">
            <w:pPr>
              <w:adjustRightInd w:val="0"/>
              <w:snapToGrid w:val="0"/>
              <w:spacing w:line="360" w:lineRule="auto"/>
              <w:jc w:val="center"/>
              <w:rPr>
                <w:rFonts w:hint="eastAsia" w:ascii="宋体" w:hAnsi="Times New Roman" w:eastAsia="宋体" w:cs="宋体"/>
                <w:color w:val="000000"/>
                <w:kern w:val="0"/>
                <w:sz w:val="21"/>
                <w:szCs w:val="21"/>
                <w:lang w:val="en-US" w:eastAsia="zh-CN" w:bidi="ar-SA"/>
              </w:rPr>
            </w:pPr>
            <w:bookmarkStart w:id="40" w:name="OLE_LINK15"/>
            <w:r>
              <w:rPr>
                <w:rFonts w:hint="eastAsia" w:ascii="宋体" w:hAnsi="Times New Roman" w:eastAsia="宋体" w:cs="宋体"/>
                <w:color w:val="000000"/>
                <w:kern w:val="0"/>
                <w:sz w:val="21"/>
                <w:szCs w:val="21"/>
                <w:lang w:val="en-US" w:eastAsia="zh-CN" w:bidi="ar-SA"/>
              </w:rPr>
              <w:t>白沙社工站</w:t>
            </w:r>
            <w:r>
              <w:rPr>
                <w:rFonts w:hint="eastAsia" w:ascii="宋体" w:eastAsia="宋体" w:cs="宋体"/>
                <w:color w:val="000000"/>
                <w:kern w:val="0"/>
                <w:sz w:val="21"/>
                <w:szCs w:val="21"/>
                <w:lang w:val="en-US" w:eastAsia="zh-CN" w:bidi="ar-SA"/>
              </w:rPr>
              <w:t>、</w:t>
            </w:r>
            <w:r>
              <w:rPr>
                <w:rFonts w:hint="eastAsia" w:ascii="宋体" w:hAnsi="Times New Roman" w:eastAsia="宋体" w:cs="宋体"/>
                <w:color w:val="000000"/>
                <w:kern w:val="0"/>
                <w:sz w:val="21"/>
                <w:szCs w:val="21"/>
                <w:lang w:val="en-US" w:eastAsia="zh-CN" w:bidi="ar-SA"/>
              </w:rPr>
              <w:t>贾陈社区社工站</w:t>
            </w:r>
            <w:bookmarkEnd w:id="40"/>
            <w:r>
              <w:rPr>
                <w:rFonts w:hint="eastAsia" w:ascii="宋体" w:hAnsi="Times New Roman" w:eastAsia="宋体" w:cs="宋体"/>
                <w:color w:val="000000"/>
                <w:kern w:val="0"/>
                <w:sz w:val="21"/>
                <w:szCs w:val="21"/>
                <w:lang w:val="en-US" w:eastAsia="zh-CN" w:bidi="ar-SA"/>
              </w:rPr>
              <w:t xml:space="preserve">          </w:t>
            </w:r>
          </w:p>
        </w:tc>
        <w:tc>
          <w:tcPr>
            <w:tcW w:w="1283" w:type="dxa"/>
            <w:vAlign w:val="center"/>
          </w:tcPr>
          <w:p w14:paraId="5AFF8A97">
            <w:pPr>
              <w:spacing w:line="360" w:lineRule="auto"/>
              <w:jc w:val="center"/>
              <w:rPr>
                <w:rFonts w:hint="eastAsia" w:ascii="宋体" w:hAnsi="宋体" w:eastAsia="宋体" w:cs="宋体"/>
                <w:snapToGrid w:val="0"/>
                <w:color w:val="auto"/>
                <w:kern w:val="2"/>
                <w:sz w:val="21"/>
                <w:szCs w:val="21"/>
                <w:lang w:val="en-US" w:eastAsia="zh-CN" w:bidi="ar-SA"/>
              </w:rPr>
            </w:pPr>
            <w:r>
              <w:rPr>
                <w:rFonts w:hint="eastAsia" w:ascii="宋体" w:hAnsi="宋体" w:eastAsia="宋体" w:cs="宋体"/>
                <w:snapToGrid w:val="0"/>
                <w:color w:val="auto"/>
                <w:kern w:val="2"/>
                <w:sz w:val="21"/>
                <w:szCs w:val="21"/>
                <w:lang w:val="en-US" w:eastAsia="zh-CN" w:bidi="ar-SA"/>
              </w:rPr>
              <w:t>405000</w:t>
            </w:r>
          </w:p>
        </w:tc>
        <w:tc>
          <w:tcPr>
            <w:tcW w:w="1481" w:type="dxa"/>
            <w:vAlign w:val="center"/>
          </w:tcPr>
          <w:p w14:paraId="37CA5502">
            <w:pPr>
              <w:spacing w:line="360" w:lineRule="auto"/>
              <w:jc w:val="center"/>
              <w:rPr>
                <w:rFonts w:hint="eastAsia" w:ascii="宋体" w:hAnsi="Times New Roman" w:eastAsia="宋体" w:cs="宋体"/>
                <w:color w:val="000000"/>
                <w:kern w:val="0"/>
                <w:sz w:val="21"/>
                <w:szCs w:val="21"/>
                <w:lang w:val="en-US" w:eastAsia="zh-CN" w:bidi="ar-SA"/>
              </w:rPr>
            </w:pPr>
            <w:r>
              <w:rPr>
                <w:rFonts w:hint="eastAsia" w:ascii="宋体" w:hAnsi="宋体" w:eastAsia="宋体" w:cs="宋体"/>
                <w:snapToGrid w:val="0"/>
                <w:color w:val="auto"/>
                <w:kern w:val="2"/>
                <w:sz w:val="21"/>
                <w:szCs w:val="21"/>
                <w:lang w:val="en-US" w:eastAsia="zh-CN" w:bidi="ar-SA"/>
              </w:rPr>
              <w:t>405000</w:t>
            </w:r>
          </w:p>
        </w:tc>
      </w:tr>
      <w:tr w14:paraId="7747D0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901" w:type="dxa"/>
            <w:vAlign w:val="center"/>
          </w:tcPr>
          <w:p w14:paraId="54667E3C">
            <w:pPr>
              <w:pStyle w:val="10"/>
              <w:spacing w:line="360" w:lineRule="auto"/>
              <w:jc w:val="center"/>
              <w:rPr>
                <w:rFonts w:hint="default" w:cs="宋体"/>
                <w:sz w:val="21"/>
                <w:szCs w:val="21"/>
                <w:lang w:val="en-US" w:eastAsia="zh-CN"/>
              </w:rPr>
            </w:pPr>
            <w:r>
              <w:rPr>
                <w:rFonts w:hint="eastAsia" w:cs="宋体"/>
                <w:sz w:val="21"/>
                <w:szCs w:val="21"/>
                <w:lang w:val="en-US" w:eastAsia="zh-CN"/>
              </w:rPr>
              <w:t>11</w:t>
            </w:r>
          </w:p>
        </w:tc>
        <w:tc>
          <w:tcPr>
            <w:tcW w:w="1155" w:type="dxa"/>
            <w:vAlign w:val="center"/>
          </w:tcPr>
          <w:p w14:paraId="2215E9CD">
            <w:pPr>
              <w:adjustRightInd w:val="0"/>
              <w:snapToGrid w:val="0"/>
              <w:spacing w:line="360" w:lineRule="auto"/>
              <w:jc w:val="center"/>
              <w:rPr>
                <w:rFonts w:hint="eastAsia" w:ascii="宋体" w:hAnsi="Times New Roman" w:eastAsia="宋体" w:cs="宋体"/>
                <w:color w:val="000000"/>
                <w:kern w:val="0"/>
                <w:sz w:val="21"/>
                <w:szCs w:val="21"/>
                <w:lang w:val="en-US" w:eastAsia="zh-CN" w:bidi="ar-SA"/>
              </w:rPr>
            </w:pPr>
            <w:r>
              <w:rPr>
                <w:rFonts w:hint="eastAsia" w:ascii="宋体" w:hAnsi="Times New Roman" w:eastAsia="宋体" w:cs="宋体"/>
                <w:color w:val="000000"/>
                <w:kern w:val="0"/>
                <w:sz w:val="21"/>
                <w:szCs w:val="21"/>
                <w:lang w:val="en-US" w:eastAsia="zh-CN" w:bidi="ar-SA"/>
              </w:rPr>
              <w:t>K包</w:t>
            </w:r>
          </w:p>
        </w:tc>
        <w:tc>
          <w:tcPr>
            <w:tcW w:w="4155" w:type="dxa"/>
            <w:vAlign w:val="center"/>
          </w:tcPr>
          <w:p w14:paraId="35B12581">
            <w:pPr>
              <w:adjustRightInd w:val="0"/>
              <w:snapToGrid w:val="0"/>
              <w:spacing w:line="360" w:lineRule="auto"/>
              <w:jc w:val="center"/>
              <w:rPr>
                <w:rFonts w:hint="eastAsia" w:ascii="宋体" w:hAnsi="Times New Roman" w:eastAsia="宋体" w:cs="宋体"/>
                <w:color w:val="000000"/>
                <w:kern w:val="0"/>
                <w:sz w:val="21"/>
                <w:szCs w:val="21"/>
                <w:lang w:val="en-US" w:eastAsia="zh-CN" w:bidi="ar-SA"/>
              </w:rPr>
            </w:pPr>
            <w:bookmarkStart w:id="41" w:name="OLE_LINK16"/>
            <w:r>
              <w:rPr>
                <w:rFonts w:hint="eastAsia" w:ascii="宋体" w:hAnsi="Times New Roman" w:eastAsia="宋体" w:cs="宋体"/>
                <w:color w:val="000000"/>
                <w:kern w:val="0"/>
                <w:sz w:val="21"/>
                <w:szCs w:val="21"/>
                <w:lang w:val="en-US" w:eastAsia="zh-CN" w:bidi="ar-SA"/>
              </w:rPr>
              <w:t>杨桥办事处</w:t>
            </w:r>
            <w:r>
              <w:rPr>
                <w:rFonts w:hint="eastAsia" w:ascii="宋体" w:eastAsia="宋体" w:cs="宋体"/>
                <w:color w:val="000000"/>
                <w:kern w:val="0"/>
                <w:sz w:val="21"/>
                <w:szCs w:val="21"/>
                <w:lang w:val="en-US" w:eastAsia="zh-CN" w:bidi="ar-SA"/>
              </w:rPr>
              <w:t>、</w:t>
            </w:r>
            <w:r>
              <w:rPr>
                <w:rFonts w:hint="eastAsia" w:ascii="宋体" w:hAnsi="Times New Roman" w:eastAsia="宋体" w:cs="宋体"/>
                <w:color w:val="000000"/>
                <w:kern w:val="0"/>
                <w:sz w:val="21"/>
                <w:szCs w:val="21"/>
                <w:lang w:val="en-US" w:eastAsia="zh-CN" w:bidi="ar-SA"/>
              </w:rPr>
              <w:t>豫兴路办事处</w:t>
            </w:r>
            <w:bookmarkEnd w:id="41"/>
          </w:p>
        </w:tc>
        <w:tc>
          <w:tcPr>
            <w:tcW w:w="1283" w:type="dxa"/>
            <w:vAlign w:val="center"/>
          </w:tcPr>
          <w:p w14:paraId="08BD8E45">
            <w:pPr>
              <w:spacing w:line="360" w:lineRule="auto"/>
              <w:jc w:val="center"/>
              <w:rPr>
                <w:rFonts w:hint="eastAsia" w:ascii="宋体" w:hAnsi="宋体" w:eastAsia="宋体" w:cs="宋体"/>
                <w:snapToGrid w:val="0"/>
                <w:color w:val="auto"/>
                <w:kern w:val="2"/>
                <w:sz w:val="21"/>
                <w:szCs w:val="21"/>
                <w:lang w:val="en-US" w:eastAsia="zh-CN" w:bidi="ar-SA"/>
              </w:rPr>
            </w:pPr>
            <w:r>
              <w:rPr>
                <w:rFonts w:hint="eastAsia" w:ascii="宋体" w:hAnsi="宋体" w:eastAsia="宋体" w:cs="宋体"/>
                <w:snapToGrid w:val="0"/>
                <w:color w:val="auto"/>
                <w:kern w:val="2"/>
                <w:sz w:val="21"/>
                <w:szCs w:val="21"/>
                <w:lang w:val="en-US" w:eastAsia="zh-CN" w:bidi="ar-SA"/>
              </w:rPr>
              <w:t>405000</w:t>
            </w:r>
          </w:p>
        </w:tc>
        <w:tc>
          <w:tcPr>
            <w:tcW w:w="1481" w:type="dxa"/>
            <w:vAlign w:val="center"/>
          </w:tcPr>
          <w:p w14:paraId="75D5458A">
            <w:pPr>
              <w:spacing w:line="360" w:lineRule="auto"/>
              <w:jc w:val="center"/>
              <w:rPr>
                <w:rFonts w:hint="eastAsia" w:ascii="宋体" w:hAnsi="Times New Roman" w:eastAsia="宋体" w:cs="宋体"/>
                <w:color w:val="000000"/>
                <w:kern w:val="0"/>
                <w:sz w:val="21"/>
                <w:szCs w:val="21"/>
                <w:lang w:val="en-US" w:eastAsia="zh-CN" w:bidi="ar-SA"/>
              </w:rPr>
            </w:pPr>
            <w:r>
              <w:rPr>
                <w:rFonts w:hint="eastAsia" w:ascii="宋体" w:hAnsi="宋体" w:eastAsia="宋体" w:cs="宋体"/>
                <w:snapToGrid w:val="0"/>
                <w:color w:val="auto"/>
                <w:kern w:val="2"/>
                <w:sz w:val="21"/>
                <w:szCs w:val="21"/>
                <w:lang w:val="en-US" w:eastAsia="zh-CN" w:bidi="ar-SA"/>
              </w:rPr>
              <w:t>405000</w:t>
            </w:r>
          </w:p>
        </w:tc>
      </w:tr>
      <w:bookmarkEnd w:id="28"/>
    </w:tbl>
    <w:p w14:paraId="79C88ED7">
      <w:pPr>
        <w:keepNext w:val="0"/>
        <w:keepLines w:val="0"/>
        <w:pageBreakBefore w:val="0"/>
        <w:widowControl w:val="0"/>
        <w:kinsoku/>
        <w:wordWrap/>
        <w:overflowPunct/>
        <w:topLinePunct w:val="0"/>
        <w:autoSpaceDE w:val="0"/>
        <w:autoSpaceDN w:val="0"/>
        <w:bidi w:val="0"/>
        <w:adjustRightInd w:val="0"/>
        <w:snapToGrid w:val="0"/>
        <w:spacing w:before="157" w:beforeLines="50" w:line="360" w:lineRule="auto"/>
        <w:ind w:firstLine="210" w:firstLineChars="100"/>
        <w:jc w:val="left"/>
        <w:textAlignment w:val="auto"/>
        <w:rPr>
          <w:rFonts w:hint="eastAsia" w:ascii="宋体" w:hAnsi="宋体" w:cs="宋体"/>
          <w:snapToGrid w:val="0"/>
          <w:szCs w:val="21"/>
        </w:rPr>
      </w:pPr>
      <w:r>
        <w:rPr>
          <w:rFonts w:hint="eastAsia" w:ascii="宋体" w:hAnsi="宋体" w:cs="宋体"/>
          <w:snapToGrid w:val="0"/>
          <w:szCs w:val="21"/>
        </w:rPr>
        <w:t>5、</w:t>
      </w:r>
      <w:r>
        <w:rPr>
          <w:rFonts w:hint="eastAsia" w:ascii="宋体" w:hAnsi="宋体" w:cs="宋体"/>
          <w:snapToGrid w:val="0"/>
          <w:szCs w:val="21"/>
          <w:lang w:eastAsia="zh-CN"/>
        </w:rPr>
        <w:t>采购需求</w:t>
      </w:r>
      <w:r>
        <w:rPr>
          <w:rFonts w:hint="default"/>
          <w:sz w:val="21"/>
          <w:szCs w:val="21"/>
          <w:highlight w:val="none"/>
          <w:lang w:val="en-US"/>
        </w:rPr>
        <w:t>（包括但不限于标的的名称、数量、简要技术需求或服务要求等）</w:t>
      </w:r>
      <w:r>
        <w:rPr>
          <w:rFonts w:hint="eastAsia" w:ascii="宋体" w:hAnsi="宋体" w:cs="宋体"/>
          <w:snapToGrid w:val="0"/>
          <w:szCs w:val="21"/>
        </w:rPr>
        <w:t>：</w:t>
      </w:r>
    </w:p>
    <w:p w14:paraId="0AC591FE">
      <w:pPr>
        <w:autoSpaceDE w:val="0"/>
        <w:autoSpaceDN w:val="0"/>
        <w:adjustRightInd w:val="0"/>
        <w:snapToGrid w:val="0"/>
        <w:spacing w:line="360" w:lineRule="auto"/>
        <w:ind w:firstLine="420" w:firstLineChars="200"/>
        <w:jc w:val="both"/>
        <w:rPr>
          <w:rFonts w:hint="eastAsia" w:ascii="宋体" w:hAnsi="宋体" w:cs="宋体"/>
          <w:snapToGrid w:val="0"/>
          <w:sz w:val="21"/>
          <w:szCs w:val="21"/>
          <w:lang w:eastAsia="zh-CN"/>
        </w:rPr>
      </w:pPr>
      <w:bookmarkStart w:id="42" w:name="OLE_LINK34"/>
      <w:r>
        <w:rPr>
          <w:rFonts w:hint="eastAsia" w:ascii="宋体" w:hAnsi="宋体" w:cs="宋体"/>
          <w:snapToGrid w:val="0"/>
          <w:sz w:val="21"/>
          <w:szCs w:val="21"/>
        </w:rPr>
        <w:t>5.1</w:t>
      </w:r>
      <w:r>
        <w:rPr>
          <w:rFonts w:hint="eastAsia" w:ascii="宋体" w:hAnsi="宋体" w:cs="宋体"/>
          <w:snapToGrid w:val="0"/>
          <w:sz w:val="21"/>
          <w:szCs w:val="21"/>
          <w:lang w:val="en-US" w:eastAsia="zh-CN"/>
        </w:rPr>
        <w:t xml:space="preserve"> </w:t>
      </w:r>
      <w:r>
        <w:rPr>
          <w:rFonts w:hint="eastAsia" w:ascii="宋体" w:hAnsi="宋体" w:cs="宋体"/>
          <w:snapToGrid w:val="0"/>
          <w:sz w:val="21"/>
          <w:szCs w:val="21"/>
          <w:lang w:eastAsia="zh-CN"/>
        </w:rPr>
        <w:t>项目概况：本次招标项目为“郑州市郑东新区</w:t>
      </w:r>
      <w:r>
        <w:rPr>
          <w:rFonts w:hint="eastAsia" w:ascii="宋体" w:hAnsi="宋体" w:cs="宋体"/>
          <w:snapToGrid w:val="0"/>
          <w:sz w:val="21"/>
          <w:szCs w:val="21"/>
          <w:lang w:val="en-US" w:eastAsia="zh-CN"/>
        </w:rPr>
        <w:t>社会事业局2024</w:t>
      </w:r>
      <w:r>
        <w:rPr>
          <w:rFonts w:hint="eastAsia" w:ascii="宋体" w:hAnsi="宋体" w:cs="宋体"/>
          <w:snapToGrid w:val="0"/>
          <w:sz w:val="21"/>
          <w:szCs w:val="21"/>
          <w:lang w:eastAsia="zh-CN"/>
        </w:rPr>
        <w:t>年政府购买社会工作服务项目”，拟向社会购买包括社会工作服务站类、社会工作发展监管类共</w:t>
      </w:r>
      <w:r>
        <w:rPr>
          <w:rFonts w:hint="eastAsia" w:ascii="宋体" w:hAnsi="宋体" w:cs="宋体"/>
          <w:snapToGrid w:val="0"/>
          <w:sz w:val="21"/>
          <w:szCs w:val="21"/>
          <w:lang w:val="en-US" w:eastAsia="zh-CN"/>
        </w:rPr>
        <w:t>两</w:t>
      </w:r>
      <w:r>
        <w:rPr>
          <w:rFonts w:hint="eastAsia" w:ascii="宋体" w:hAnsi="宋体" w:cs="宋体"/>
          <w:snapToGrid w:val="0"/>
          <w:sz w:val="21"/>
          <w:szCs w:val="21"/>
          <w:lang w:eastAsia="zh-CN"/>
        </w:rPr>
        <w:t>大类社工服务，涵盖民政服务、社区综合服务、婚姻家庭服务、老龄服务、社会组织培育和发展等领域，共</w:t>
      </w:r>
      <w:r>
        <w:rPr>
          <w:rFonts w:hint="eastAsia" w:ascii="宋体" w:hAnsi="宋体" w:cs="宋体"/>
          <w:snapToGrid w:val="0"/>
          <w:sz w:val="21"/>
          <w:szCs w:val="21"/>
          <w:lang w:val="en-US" w:eastAsia="zh-CN"/>
        </w:rPr>
        <w:t>26</w:t>
      </w:r>
      <w:r>
        <w:rPr>
          <w:rFonts w:hint="eastAsia" w:ascii="宋体" w:hAnsi="宋体" w:cs="宋体"/>
          <w:snapToGrid w:val="0"/>
          <w:sz w:val="21"/>
          <w:szCs w:val="21"/>
          <w:lang w:eastAsia="zh-CN"/>
        </w:rPr>
        <w:t>个子项目；</w:t>
      </w:r>
    </w:p>
    <w:p w14:paraId="6B04554D">
      <w:pPr>
        <w:autoSpaceDE w:val="0"/>
        <w:autoSpaceDN w:val="0"/>
        <w:adjustRightInd w:val="0"/>
        <w:snapToGrid w:val="0"/>
        <w:spacing w:line="360" w:lineRule="auto"/>
        <w:ind w:firstLine="420" w:firstLineChars="200"/>
        <w:jc w:val="left"/>
        <w:rPr>
          <w:rFonts w:hint="default" w:ascii="宋体" w:hAnsi="宋体" w:eastAsia="宋体" w:cs="宋体"/>
          <w:snapToGrid w:val="0"/>
          <w:szCs w:val="21"/>
          <w:lang w:val="en-US" w:eastAsia="zh-CN"/>
        </w:rPr>
      </w:pPr>
      <w:r>
        <w:rPr>
          <w:rFonts w:hint="eastAsia" w:ascii="宋体" w:hAnsi="宋体" w:cs="宋体"/>
          <w:snapToGrid w:val="0"/>
          <w:szCs w:val="21"/>
          <w:lang w:val="en-US" w:eastAsia="zh-CN"/>
        </w:rPr>
        <w:t>5.2 试用期：对承接机构实行1个月试用期；</w:t>
      </w:r>
    </w:p>
    <w:p w14:paraId="7B9088F1">
      <w:pPr>
        <w:autoSpaceDE w:val="0"/>
        <w:autoSpaceDN w:val="0"/>
        <w:adjustRightInd w:val="0"/>
        <w:snapToGrid w:val="0"/>
        <w:spacing w:line="360" w:lineRule="auto"/>
        <w:ind w:firstLine="420" w:firstLineChars="200"/>
        <w:jc w:val="left"/>
        <w:rPr>
          <w:rFonts w:hint="eastAsia" w:ascii="宋体" w:hAnsi="宋体" w:eastAsia="宋体" w:cs="宋体"/>
          <w:snapToGrid w:val="0"/>
          <w:szCs w:val="21"/>
          <w:lang w:eastAsia="zh-CN"/>
        </w:rPr>
      </w:pPr>
      <w:r>
        <w:rPr>
          <w:rFonts w:hint="eastAsia" w:ascii="宋体" w:hAnsi="宋体" w:cs="宋体"/>
          <w:snapToGrid w:val="0"/>
          <w:szCs w:val="21"/>
          <w:lang w:val="en-US" w:eastAsia="zh-CN"/>
        </w:rPr>
        <w:t xml:space="preserve">5.3 </w:t>
      </w:r>
      <w:r>
        <w:rPr>
          <w:rFonts w:hint="eastAsia" w:ascii="宋体" w:hAnsi="宋体" w:cs="宋体"/>
          <w:snapToGrid w:val="0"/>
          <w:szCs w:val="21"/>
        </w:rPr>
        <w:t>进驻项目工期要求：合同签订后</w:t>
      </w:r>
      <w:r>
        <w:rPr>
          <w:rFonts w:hint="eastAsia" w:ascii="宋体" w:hAnsi="宋体" w:cs="宋体"/>
          <w:snapToGrid w:val="0"/>
          <w:szCs w:val="21"/>
          <w:lang w:val="en-US" w:eastAsia="zh-CN"/>
        </w:rPr>
        <w:t>1</w:t>
      </w:r>
      <w:r>
        <w:rPr>
          <w:rFonts w:hint="eastAsia" w:ascii="宋体" w:hAnsi="宋体" w:cs="宋体"/>
          <w:snapToGrid w:val="0"/>
          <w:szCs w:val="21"/>
        </w:rPr>
        <w:t>天内进驻项目</w:t>
      </w:r>
      <w:r>
        <w:rPr>
          <w:rFonts w:hint="eastAsia" w:ascii="宋体" w:hAnsi="宋体" w:cs="宋体"/>
          <w:snapToGrid w:val="0"/>
          <w:szCs w:val="21"/>
          <w:lang w:eastAsia="zh-CN"/>
        </w:rPr>
        <w:t>；</w:t>
      </w:r>
    </w:p>
    <w:p w14:paraId="27BC562A">
      <w:pPr>
        <w:autoSpaceDE w:val="0"/>
        <w:autoSpaceDN w:val="0"/>
        <w:adjustRightInd w:val="0"/>
        <w:snapToGrid w:val="0"/>
        <w:spacing w:line="360" w:lineRule="auto"/>
        <w:ind w:firstLine="420" w:firstLineChars="200"/>
        <w:jc w:val="left"/>
        <w:rPr>
          <w:rFonts w:ascii="宋体" w:hAnsi="宋体" w:cs="宋体"/>
          <w:snapToGrid w:val="0"/>
          <w:szCs w:val="21"/>
        </w:rPr>
      </w:pPr>
      <w:r>
        <w:rPr>
          <w:rFonts w:hint="eastAsia" w:ascii="宋体" w:hAnsi="宋体" w:cs="宋体"/>
          <w:snapToGrid w:val="0"/>
          <w:szCs w:val="21"/>
        </w:rPr>
        <w:t>5.</w:t>
      </w:r>
      <w:r>
        <w:rPr>
          <w:rFonts w:hint="eastAsia" w:ascii="宋体" w:hAnsi="宋体" w:cs="宋体"/>
          <w:snapToGrid w:val="0"/>
          <w:szCs w:val="21"/>
          <w:lang w:val="en-US" w:eastAsia="zh-CN"/>
        </w:rPr>
        <w:t>4</w:t>
      </w:r>
      <w:r>
        <w:rPr>
          <w:rFonts w:hint="eastAsia" w:ascii="宋体" w:hAnsi="宋体" w:cs="宋体"/>
          <w:snapToGrid w:val="0"/>
          <w:szCs w:val="21"/>
        </w:rPr>
        <w:t xml:space="preserve"> 标包划分：</w:t>
      </w:r>
      <w:r>
        <w:rPr>
          <w:rFonts w:hint="eastAsia" w:ascii="宋体" w:hAnsi="宋体" w:cs="宋体"/>
          <w:snapToGrid w:val="0"/>
          <w:szCs w:val="21"/>
          <w:lang w:val="en-US"/>
        </w:rPr>
        <w:t>本项目共</w:t>
      </w:r>
      <w:r>
        <w:rPr>
          <w:rFonts w:hint="eastAsia" w:ascii="宋体" w:hAnsi="宋体" w:cs="宋体"/>
          <w:snapToGrid w:val="0"/>
          <w:szCs w:val="21"/>
          <w:lang w:val="en-US" w:eastAsia="zh-CN"/>
        </w:rPr>
        <w:t>分为11个标包</w:t>
      </w:r>
      <w:r>
        <w:rPr>
          <w:rFonts w:hint="eastAsia" w:ascii="宋体" w:hAnsi="宋体" w:cs="宋体"/>
          <w:snapToGrid w:val="0"/>
          <w:szCs w:val="21"/>
        </w:rPr>
        <w:t>；</w:t>
      </w:r>
    </w:p>
    <w:p w14:paraId="1D9552B7">
      <w:pPr>
        <w:autoSpaceDE w:val="0"/>
        <w:autoSpaceDN w:val="0"/>
        <w:adjustRightInd w:val="0"/>
        <w:snapToGrid w:val="0"/>
        <w:spacing w:line="360" w:lineRule="auto"/>
        <w:ind w:firstLine="420" w:firstLineChars="200"/>
        <w:jc w:val="left"/>
        <w:rPr>
          <w:rFonts w:hint="eastAsia" w:ascii="宋体" w:hAnsi="宋体" w:eastAsia="宋体" w:cs="宋体"/>
          <w:snapToGrid w:val="0"/>
          <w:szCs w:val="21"/>
          <w:lang w:eastAsia="zh-CN"/>
        </w:rPr>
      </w:pPr>
      <w:r>
        <w:rPr>
          <w:rFonts w:hint="eastAsia" w:ascii="宋体" w:hAnsi="宋体" w:cs="宋体"/>
          <w:snapToGrid w:val="0"/>
          <w:szCs w:val="21"/>
        </w:rPr>
        <w:t>5.</w:t>
      </w:r>
      <w:r>
        <w:rPr>
          <w:rFonts w:hint="eastAsia" w:ascii="宋体" w:hAnsi="宋体" w:cs="宋体"/>
          <w:snapToGrid w:val="0"/>
          <w:szCs w:val="21"/>
          <w:lang w:val="en-US" w:eastAsia="zh-CN"/>
        </w:rPr>
        <w:t>5</w:t>
      </w:r>
      <w:r>
        <w:rPr>
          <w:rFonts w:hint="eastAsia" w:ascii="宋体" w:hAnsi="宋体" w:cs="宋体"/>
          <w:snapToGrid w:val="0"/>
          <w:szCs w:val="21"/>
        </w:rPr>
        <w:t xml:space="preserve"> 服务质量：</w:t>
      </w:r>
      <w:bookmarkStart w:id="43" w:name="OLE_LINK17"/>
      <w:r>
        <w:rPr>
          <w:rFonts w:hint="eastAsia" w:ascii="宋体" w:hAnsi="宋体" w:cs="宋体"/>
          <w:snapToGrid w:val="0"/>
          <w:szCs w:val="21"/>
        </w:rPr>
        <w:t>符合国家相关规定，满足</w:t>
      </w:r>
      <w:r>
        <w:rPr>
          <w:rFonts w:hint="eastAsia" w:ascii="宋体" w:hAnsi="宋体" w:cs="宋体"/>
          <w:snapToGrid w:val="0"/>
          <w:szCs w:val="21"/>
          <w:lang w:eastAsia="zh-CN"/>
        </w:rPr>
        <w:t>采购人</w:t>
      </w:r>
      <w:r>
        <w:rPr>
          <w:rFonts w:hint="eastAsia" w:ascii="宋体" w:hAnsi="宋体" w:cs="宋体"/>
          <w:snapToGrid w:val="0"/>
          <w:szCs w:val="21"/>
        </w:rPr>
        <w:t>要求</w:t>
      </w:r>
      <w:bookmarkEnd w:id="43"/>
      <w:r>
        <w:rPr>
          <w:rFonts w:hint="eastAsia" w:ascii="宋体" w:hAnsi="宋体" w:cs="宋体"/>
          <w:snapToGrid w:val="0"/>
          <w:szCs w:val="21"/>
          <w:lang w:eastAsia="zh-CN"/>
        </w:rPr>
        <w:t>；</w:t>
      </w:r>
    </w:p>
    <w:bookmarkEnd w:id="42"/>
    <w:p w14:paraId="0F7EDAD1">
      <w:pPr>
        <w:numPr>
          <w:ilvl w:val="0"/>
          <w:numId w:val="1"/>
        </w:numPr>
        <w:autoSpaceDE w:val="0"/>
        <w:autoSpaceDN w:val="0"/>
        <w:adjustRightInd w:val="0"/>
        <w:snapToGrid w:val="0"/>
        <w:spacing w:line="360" w:lineRule="auto"/>
        <w:ind w:firstLine="210" w:firstLineChars="100"/>
        <w:jc w:val="left"/>
        <w:rPr>
          <w:rFonts w:hint="eastAsia" w:ascii="宋体" w:hAnsi="宋体" w:eastAsia="宋体" w:cs="宋体"/>
          <w:snapToGrid w:val="0"/>
          <w:szCs w:val="21"/>
          <w:lang w:val="en-US" w:eastAsia="zh-CN"/>
        </w:rPr>
      </w:pPr>
      <w:r>
        <w:rPr>
          <w:rFonts w:hint="eastAsia" w:ascii="宋体" w:hAnsi="宋体" w:cs="宋体"/>
          <w:snapToGrid w:val="0"/>
          <w:szCs w:val="21"/>
        </w:rPr>
        <w:t>合同履行期限：</w:t>
      </w:r>
      <w:bookmarkStart w:id="44" w:name="OLE_LINK18"/>
      <w:r>
        <w:rPr>
          <w:rFonts w:hint="eastAsia" w:ascii="宋体" w:hAnsi="宋体" w:cs="宋体"/>
          <w:snapToGrid w:val="0"/>
          <w:szCs w:val="21"/>
        </w:rPr>
        <w:t>自合同签订之日起1年</w:t>
      </w:r>
      <w:bookmarkEnd w:id="44"/>
      <w:r>
        <w:rPr>
          <w:rFonts w:hint="eastAsia" w:ascii="宋体" w:hAnsi="宋体" w:eastAsia="宋体" w:cs="宋体"/>
          <w:snapToGrid w:val="0"/>
          <w:szCs w:val="21"/>
          <w:lang w:val="en-US" w:eastAsia="zh-CN"/>
        </w:rPr>
        <w:t>；</w:t>
      </w:r>
    </w:p>
    <w:p w14:paraId="35753B2A">
      <w:pPr>
        <w:autoSpaceDE w:val="0"/>
        <w:autoSpaceDN w:val="0"/>
        <w:adjustRightInd w:val="0"/>
        <w:snapToGrid w:val="0"/>
        <w:spacing w:line="360" w:lineRule="auto"/>
        <w:ind w:firstLine="210" w:firstLineChars="100"/>
        <w:jc w:val="left"/>
        <w:rPr>
          <w:rFonts w:hint="eastAsia" w:ascii="宋体" w:hAnsi="宋体" w:eastAsia="宋体" w:cs="宋体"/>
          <w:snapToGrid w:val="0"/>
          <w:szCs w:val="21"/>
          <w:lang w:eastAsia="zh-CN"/>
        </w:rPr>
      </w:pPr>
      <w:r>
        <w:rPr>
          <w:rFonts w:hint="eastAsia" w:ascii="宋体" w:hAnsi="宋体" w:cs="宋体"/>
          <w:snapToGrid w:val="0"/>
          <w:szCs w:val="21"/>
        </w:rPr>
        <w:t>7、本项目是否接受联合体投标：否</w:t>
      </w:r>
      <w:r>
        <w:rPr>
          <w:rFonts w:hint="eastAsia" w:ascii="宋体" w:hAnsi="宋体" w:cs="宋体"/>
          <w:snapToGrid w:val="0"/>
          <w:szCs w:val="21"/>
          <w:lang w:eastAsia="zh-CN"/>
        </w:rPr>
        <w:t>；</w:t>
      </w:r>
    </w:p>
    <w:p w14:paraId="29F8341E">
      <w:pPr>
        <w:autoSpaceDE w:val="0"/>
        <w:autoSpaceDN w:val="0"/>
        <w:adjustRightInd w:val="0"/>
        <w:snapToGrid w:val="0"/>
        <w:spacing w:line="360" w:lineRule="auto"/>
        <w:ind w:firstLine="210" w:firstLineChars="100"/>
        <w:jc w:val="left"/>
        <w:rPr>
          <w:rFonts w:hint="eastAsia" w:ascii="宋体" w:hAnsi="宋体" w:cs="宋体"/>
          <w:snapToGrid w:val="0"/>
          <w:szCs w:val="21"/>
          <w:lang w:eastAsia="zh-CN"/>
        </w:rPr>
      </w:pPr>
      <w:r>
        <w:rPr>
          <w:rFonts w:hint="eastAsia" w:ascii="宋体" w:hAnsi="宋体" w:cs="宋体"/>
          <w:snapToGrid w:val="0"/>
          <w:szCs w:val="21"/>
        </w:rPr>
        <w:t>8、是否接受进口产品：否</w:t>
      </w:r>
      <w:r>
        <w:rPr>
          <w:rFonts w:hint="eastAsia" w:ascii="宋体" w:hAnsi="宋体" w:cs="宋体"/>
          <w:snapToGrid w:val="0"/>
          <w:szCs w:val="21"/>
          <w:lang w:eastAsia="zh-CN"/>
        </w:rPr>
        <w:t>。</w:t>
      </w:r>
    </w:p>
    <w:p w14:paraId="6AB6110F">
      <w:pPr>
        <w:pStyle w:val="10"/>
        <w:spacing w:line="360" w:lineRule="auto"/>
        <w:ind w:firstLine="210" w:firstLineChars="100"/>
        <w:rPr>
          <w:rFonts w:hint="default" w:ascii="宋体" w:hAnsi="宋体" w:eastAsia="宋体" w:cs="宋体"/>
          <w:snapToGrid w:val="0"/>
          <w:color w:val="auto"/>
          <w:kern w:val="2"/>
          <w:sz w:val="21"/>
          <w:szCs w:val="21"/>
          <w:highlight w:val="none"/>
          <w:lang w:val="en-US" w:eastAsia="zh-CN" w:bidi="ar-SA"/>
        </w:rPr>
      </w:pPr>
      <w:r>
        <w:rPr>
          <w:rFonts w:hint="eastAsia" w:ascii="宋体" w:hAnsi="宋体" w:eastAsia="宋体" w:cs="宋体"/>
          <w:snapToGrid w:val="0"/>
          <w:color w:val="auto"/>
          <w:kern w:val="2"/>
          <w:sz w:val="21"/>
          <w:szCs w:val="21"/>
          <w:highlight w:val="none"/>
          <w:lang w:val="en-US" w:eastAsia="zh-CN" w:bidi="ar-SA"/>
        </w:rPr>
        <w:t>9、是否专门面向中小企业：</w:t>
      </w:r>
      <w:r>
        <w:rPr>
          <w:rFonts w:hint="eastAsia" w:hAnsi="宋体" w:cs="宋体"/>
          <w:snapToGrid w:val="0"/>
          <w:color w:val="auto"/>
          <w:kern w:val="2"/>
          <w:sz w:val="21"/>
          <w:szCs w:val="21"/>
          <w:highlight w:val="none"/>
          <w:lang w:val="en-US" w:eastAsia="zh-CN" w:bidi="ar-SA"/>
        </w:rPr>
        <w:t>否。</w:t>
      </w:r>
    </w:p>
    <w:p w14:paraId="3AC94F5D">
      <w:pPr>
        <w:autoSpaceDE w:val="0"/>
        <w:autoSpaceDN w:val="0"/>
        <w:adjustRightInd w:val="0"/>
        <w:snapToGrid w:val="0"/>
        <w:spacing w:line="360" w:lineRule="auto"/>
        <w:jc w:val="left"/>
        <w:rPr>
          <w:rFonts w:ascii="宋体" w:hAnsi="宋体" w:cs="宋体"/>
          <w:b/>
          <w:bCs/>
          <w:snapToGrid w:val="0"/>
          <w:color w:val="auto"/>
          <w:szCs w:val="21"/>
        </w:rPr>
      </w:pPr>
      <w:r>
        <w:rPr>
          <w:rFonts w:hint="eastAsia" w:ascii="宋体" w:hAnsi="宋体" w:cs="宋体"/>
          <w:b/>
          <w:bCs/>
          <w:snapToGrid w:val="0"/>
          <w:color w:val="auto"/>
          <w:szCs w:val="21"/>
        </w:rPr>
        <w:t>二、</w:t>
      </w:r>
      <w:r>
        <w:rPr>
          <w:rFonts w:hint="eastAsia" w:ascii="宋体" w:hAnsi="宋体" w:cs="宋体"/>
          <w:b/>
          <w:bCs/>
          <w:snapToGrid w:val="0"/>
          <w:color w:val="auto"/>
          <w:szCs w:val="21"/>
          <w:lang w:eastAsia="zh-CN"/>
        </w:rPr>
        <w:t>（</w:t>
      </w:r>
      <w:r>
        <w:rPr>
          <w:rFonts w:hint="eastAsia" w:ascii="宋体" w:hAnsi="宋体" w:cs="宋体"/>
          <w:b/>
          <w:bCs/>
          <w:snapToGrid w:val="0"/>
          <w:color w:val="auto"/>
          <w:szCs w:val="21"/>
          <w:lang w:val="en-US" w:eastAsia="zh-CN"/>
        </w:rPr>
        <w:t>A包-K包</w:t>
      </w:r>
      <w:r>
        <w:rPr>
          <w:rFonts w:hint="eastAsia" w:ascii="宋体" w:hAnsi="宋体" w:cs="宋体"/>
          <w:b/>
          <w:bCs/>
          <w:snapToGrid w:val="0"/>
          <w:color w:val="auto"/>
          <w:szCs w:val="21"/>
          <w:lang w:eastAsia="zh-CN"/>
        </w:rPr>
        <w:t>）申请人</w:t>
      </w:r>
      <w:r>
        <w:rPr>
          <w:rFonts w:hint="eastAsia" w:ascii="宋体" w:hAnsi="宋体" w:cs="宋体"/>
          <w:b/>
          <w:bCs/>
          <w:snapToGrid w:val="0"/>
          <w:color w:val="auto"/>
          <w:szCs w:val="21"/>
        </w:rPr>
        <w:t>资格要求：</w:t>
      </w:r>
    </w:p>
    <w:p w14:paraId="63A3B651">
      <w:pPr>
        <w:autoSpaceDE w:val="0"/>
        <w:autoSpaceDN w:val="0"/>
        <w:adjustRightInd w:val="0"/>
        <w:snapToGrid w:val="0"/>
        <w:spacing w:line="360" w:lineRule="auto"/>
        <w:ind w:firstLine="420" w:firstLineChars="200"/>
        <w:jc w:val="left"/>
        <w:rPr>
          <w:rFonts w:hint="eastAsia" w:ascii="宋体" w:hAnsi="宋体" w:eastAsia="宋体" w:cs="宋体"/>
          <w:snapToGrid w:val="0"/>
          <w:color w:val="auto"/>
          <w:szCs w:val="21"/>
          <w:highlight w:val="none"/>
        </w:rPr>
      </w:pPr>
      <w:bookmarkStart w:id="45" w:name="OLE_LINK26"/>
      <w:r>
        <w:rPr>
          <w:rFonts w:hint="eastAsia" w:ascii="宋体" w:hAnsi="宋体" w:cs="宋体"/>
          <w:snapToGrid w:val="0"/>
          <w:color w:val="auto"/>
          <w:szCs w:val="21"/>
          <w:lang w:val="en-US" w:eastAsia="zh-CN"/>
        </w:rPr>
        <w:t>1.满足《中华人民共和国政府采购法》第二十二条规定；</w:t>
      </w:r>
    </w:p>
    <w:p w14:paraId="6F86748C">
      <w:pPr>
        <w:autoSpaceDE w:val="0"/>
        <w:autoSpaceDN w:val="0"/>
        <w:adjustRightInd w:val="0"/>
        <w:snapToGrid w:val="0"/>
        <w:spacing w:line="360" w:lineRule="auto"/>
        <w:ind w:firstLine="420" w:firstLineChars="200"/>
        <w:jc w:val="left"/>
        <w:rPr>
          <w:rFonts w:hint="eastAsia" w:ascii="宋体" w:hAnsi="宋体" w:eastAsia="宋体" w:cs="宋体"/>
          <w:snapToGrid w:val="0"/>
          <w:color w:val="auto"/>
          <w:szCs w:val="21"/>
          <w:highlight w:val="none"/>
        </w:rPr>
      </w:pPr>
      <w:r>
        <w:rPr>
          <w:rFonts w:hint="eastAsia" w:ascii="宋体" w:hAnsi="宋体" w:eastAsia="宋体" w:cs="宋体"/>
          <w:snapToGrid w:val="0"/>
          <w:color w:val="auto"/>
          <w:szCs w:val="21"/>
          <w:highlight w:val="none"/>
          <w:lang w:val="en-US" w:eastAsia="zh-CN"/>
        </w:rPr>
        <w:t>2</w:t>
      </w:r>
      <w:r>
        <w:rPr>
          <w:rFonts w:hint="eastAsia" w:ascii="宋体" w:hAnsi="宋体" w:eastAsia="宋体" w:cs="宋体"/>
          <w:snapToGrid w:val="0"/>
          <w:color w:val="auto"/>
          <w:szCs w:val="21"/>
          <w:highlight w:val="none"/>
        </w:rPr>
        <w:t>.落实政府采购政策满足的资格要求：</w:t>
      </w:r>
      <w:bookmarkStart w:id="46" w:name="OLE_LINK35"/>
      <w:r>
        <w:rPr>
          <w:rFonts w:hint="eastAsia"/>
          <w:sz w:val="21"/>
          <w:szCs w:val="21"/>
          <w:highlight w:val="none"/>
          <w:lang w:val="en-US" w:eastAsia="zh-CN"/>
        </w:rPr>
        <w:t>/</w:t>
      </w:r>
      <w:r>
        <w:rPr>
          <w:rFonts w:hint="eastAsia" w:ascii="宋体" w:hAnsi="宋体" w:eastAsia="宋体" w:cs="宋体"/>
          <w:snapToGrid w:val="0"/>
          <w:color w:val="auto"/>
          <w:szCs w:val="21"/>
          <w:highlight w:val="none"/>
        </w:rPr>
        <w:t>。</w:t>
      </w:r>
      <w:bookmarkEnd w:id="46"/>
    </w:p>
    <w:p w14:paraId="42C62E3F">
      <w:pPr>
        <w:keepNext w:val="0"/>
        <w:keepLines w:val="0"/>
        <w:pageBreakBefore w:val="0"/>
        <w:widowControl w:val="0"/>
        <w:kinsoku/>
        <w:wordWrap/>
        <w:overflowPunct/>
        <w:topLinePunct w:val="0"/>
        <w:autoSpaceDE w:val="0"/>
        <w:autoSpaceDN w:val="0"/>
        <w:bidi w:val="0"/>
        <w:adjustRightInd w:val="0"/>
        <w:snapToGrid w:val="0"/>
        <w:spacing w:line="360" w:lineRule="auto"/>
        <w:ind w:firstLine="420" w:firstLineChars="200"/>
        <w:jc w:val="left"/>
        <w:textAlignment w:val="auto"/>
        <w:rPr>
          <w:rFonts w:hint="eastAsia" w:ascii="宋体" w:hAnsi="宋体" w:eastAsia="宋体" w:cs="宋体"/>
          <w:snapToGrid w:val="0"/>
          <w:color w:val="auto"/>
          <w:szCs w:val="21"/>
        </w:rPr>
      </w:pPr>
      <w:r>
        <w:rPr>
          <w:rFonts w:hint="eastAsia" w:ascii="宋体" w:hAnsi="宋体" w:cs="宋体"/>
          <w:snapToGrid w:val="0"/>
          <w:color w:val="auto"/>
          <w:szCs w:val="21"/>
          <w:lang w:val="en-US" w:eastAsia="zh-CN"/>
        </w:rPr>
        <w:t>3.</w:t>
      </w:r>
      <w:r>
        <w:rPr>
          <w:rFonts w:hint="eastAsia" w:ascii="宋体" w:hAnsi="宋体" w:eastAsia="宋体" w:cs="宋体"/>
          <w:snapToGrid w:val="0"/>
          <w:color w:val="auto"/>
          <w:szCs w:val="21"/>
        </w:rPr>
        <w:t>本项目的特定资格要求</w:t>
      </w:r>
    </w:p>
    <w:p w14:paraId="6C555FEE">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firstLine="420" w:firstLineChars="200"/>
        <w:jc w:val="left"/>
        <w:textAlignment w:val="auto"/>
        <w:rPr>
          <w:rFonts w:hint="eastAsia" w:ascii="宋体" w:hAnsi="宋体" w:eastAsia="宋体" w:cs="宋体"/>
          <w:snapToGrid w:val="0"/>
          <w:color w:val="auto"/>
          <w:szCs w:val="21"/>
          <w:highlight w:val="none"/>
          <w:lang w:val="en-US" w:eastAsia="zh-CN"/>
        </w:rPr>
      </w:pPr>
      <w:r>
        <w:rPr>
          <w:rFonts w:hint="eastAsia" w:ascii="宋体" w:hAnsi="宋体" w:eastAsia="宋体" w:cs="宋体"/>
          <w:snapToGrid w:val="0"/>
          <w:color w:val="auto"/>
          <w:szCs w:val="21"/>
          <w:highlight w:val="none"/>
          <w:lang w:val="en-US" w:eastAsia="zh-CN"/>
        </w:rPr>
        <w:t>3.1信誉要求</w:t>
      </w:r>
    </w:p>
    <w:p w14:paraId="7A23E7AC">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firstLine="420" w:firstLineChars="200"/>
        <w:jc w:val="left"/>
        <w:textAlignment w:val="auto"/>
        <w:rPr>
          <w:rFonts w:hint="eastAsia" w:ascii="宋体" w:hAnsi="宋体" w:eastAsia="宋体" w:cs="宋体"/>
          <w:snapToGrid w:val="0"/>
          <w:color w:val="auto"/>
          <w:szCs w:val="21"/>
          <w:highlight w:val="none"/>
          <w:lang w:val="en-US" w:eastAsia="zh-CN"/>
        </w:rPr>
      </w:pPr>
      <w:r>
        <w:rPr>
          <w:rFonts w:hint="eastAsia" w:ascii="宋体" w:hAnsi="宋体" w:eastAsia="宋体" w:cs="宋体"/>
          <w:snapToGrid w:val="0"/>
          <w:color w:val="auto"/>
          <w:szCs w:val="21"/>
          <w:highlight w:val="none"/>
          <w:lang w:val="en-US" w:eastAsia="zh-CN"/>
        </w:rPr>
        <w:t>根据《关于在政府采购活动中查询及使用信用记录有关问题的通知》(财库[2016]125号)和豫财购[2016]15 号的规定，对列入失信被执行人、重大税收违法失信主体、政府采购严重违法失信行为记录名单的企业，拒绝参与本项目政府采购活动；</w:t>
      </w:r>
    </w:p>
    <w:p w14:paraId="1D5EAEDC">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firstLine="420" w:firstLineChars="200"/>
        <w:jc w:val="left"/>
        <w:textAlignment w:val="auto"/>
        <w:rPr>
          <w:rFonts w:hint="eastAsia" w:ascii="宋体" w:hAnsi="宋体" w:eastAsia="宋体" w:cs="宋体"/>
          <w:snapToGrid w:val="0"/>
          <w:color w:val="auto"/>
          <w:szCs w:val="21"/>
          <w:highlight w:val="none"/>
          <w:lang w:val="en-US" w:eastAsia="zh-CN"/>
        </w:rPr>
      </w:pPr>
      <w:r>
        <w:rPr>
          <w:rFonts w:hint="eastAsia" w:ascii="宋体" w:hAnsi="宋体" w:eastAsia="宋体" w:cs="宋体"/>
          <w:snapToGrid w:val="0"/>
          <w:color w:val="auto"/>
          <w:szCs w:val="21"/>
          <w:highlight w:val="none"/>
          <w:lang w:val="en-US" w:eastAsia="zh-CN"/>
        </w:rPr>
        <w:t>3.2单位负责人为同一人或者存在直接控股、管理关系的不同供应商，不得参加同一合同项下的政府采购活动，提供“国家企业信用信息公示系统”中查询打印的相关信息（须显示基础信息中的“营业执照信息”和“股东信息”，非企业性质的供应商无法在该公示系统查询的，则针对此项做出书面承诺，格式自拟并加盖公章）；</w:t>
      </w:r>
    </w:p>
    <w:p w14:paraId="3A7A1FA3">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firstLine="420" w:firstLineChars="200"/>
        <w:jc w:val="left"/>
        <w:textAlignment w:val="auto"/>
        <w:rPr>
          <w:rFonts w:hint="eastAsia" w:ascii="宋体" w:hAnsi="宋体" w:eastAsia="宋体" w:cs="宋体"/>
          <w:snapToGrid w:val="0"/>
          <w:color w:val="auto"/>
          <w:szCs w:val="21"/>
          <w:highlight w:val="none"/>
          <w:lang w:val="en-US" w:eastAsia="zh-CN"/>
        </w:rPr>
      </w:pPr>
      <w:bookmarkStart w:id="47" w:name="OLE_LINK29"/>
      <w:r>
        <w:rPr>
          <w:rFonts w:hint="eastAsia" w:ascii="宋体" w:hAnsi="宋体" w:eastAsia="宋体" w:cs="宋体"/>
          <w:snapToGrid w:val="0"/>
          <w:color w:val="auto"/>
          <w:szCs w:val="21"/>
          <w:highlight w:val="none"/>
          <w:lang w:val="en-US" w:eastAsia="zh-CN"/>
        </w:rPr>
        <w:t>3.</w:t>
      </w:r>
      <w:r>
        <w:rPr>
          <w:rFonts w:hint="eastAsia" w:ascii="宋体" w:hAnsi="宋体" w:cs="宋体"/>
          <w:snapToGrid w:val="0"/>
          <w:color w:val="auto"/>
          <w:szCs w:val="21"/>
          <w:highlight w:val="none"/>
          <w:lang w:val="en-US" w:eastAsia="zh-CN"/>
        </w:rPr>
        <w:t>3</w:t>
      </w:r>
      <w:bookmarkEnd w:id="47"/>
      <w:r>
        <w:rPr>
          <w:rFonts w:hint="eastAsia" w:ascii="宋体" w:hAnsi="宋体" w:eastAsia="宋体" w:cs="宋体"/>
          <w:snapToGrid w:val="0"/>
          <w:color w:val="auto"/>
          <w:szCs w:val="21"/>
          <w:highlight w:val="none"/>
          <w:lang w:val="en-US" w:eastAsia="zh-CN"/>
        </w:rPr>
        <w:t>本次招标不接受联合体投标。</w:t>
      </w:r>
    </w:p>
    <w:bookmarkEnd w:id="45"/>
    <w:p w14:paraId="27BBB104">
      <w:pPr>
        <w:autoSpaceDE w:val="0"/>
        <w:autoSpaceDN w:val="0"/>
        <w:adjustRightInd w:val="0"/>
        <w:snapToGrid w:val="0"/>
        <w:spacing w:line="360" w:lineRule="auto"/>
        <w:jc w:val="left"/>
        <w:rPr>
          <w:rFonts w:ascii="宋体" w:hAnsi="宋体" w:cs="宋体"/>
          <w:b/>
          <w:bCs/>
          <w:snapToGrid w:val="0"/>
          <w:color w:val="auto"/>
          <w:szCs w:val="21"/>
        </w:rPr>
      </w:pPr>
      <w:r>
        <w:rPr>
          <w:rFonts w:hint="eastAsia" w:ascii="宋体" w:hAnsi="宋体" w:cs="宋体"/>
          <w:b/>
          <w:bCs/>
          <w:snapToGrid w:val="0"/>
          <w:color w:val="auto"/>
          <w:szCs w:val="21"/>
        </w:rPr>
        <w:t>三、获取招标文件</w:t>
      </w:r>
    </w:p>
    <w:p w14:paraId="336DA95A">
      <w:pPr>
        <w:autoSpaceDE w:val="0"/>
        <w:autoSpaceDN w:val="0"/>
        <w:adjustRightInd w:val="0"/>
        <w:snapToGrid w:val="0"/>
        <w:spacing w:line="360" w:lineRule="auto"/>
        <w:ind w:firstLine="420" w:firstLineChars="200"/>
        <w:jc w:val="left"/>
        <w:rPr>
          <w:rFonts w:ascii="宋体" w:hAnsi="宋体" w:cs="宋体"/>
          <w:snapToGrid w:val="0"/>
          <w:color w:val="auto"/>
          <w:szCs w:val="21"/>
        </w:rPr>
      </w:pPr>
      <w:r>
        <w:rPr>
          <w:rFonts w:hint="eastAsia" w:ascii="宋体" w:hAnsi="宋体" w:cs="宋体"/>
          <w:snapToGrid w:val="0"/>
          <w:color w:val="auto"/>
          <w:szCs w:val="21"/>
        </w:rPr>
        <w:t>1.时间：</w:t>
      </w:r>
      <w:r>
        <w:rPr>
          <w:rFonts w:hint="eastAsia" w:ascii="宋体" w:hAnsi="宋体" w:cs="宋体"/>
          <w:snapToGrid w:val="0"/>
          <w:color w:val="auto"/>
          <w:szCs w:val="21"/>
          <w:highlight w:val="none"/>
          <w:lang w:val="en-US" w:eastAsia="zh-CN"/>
        </w:rPr>
        <w:t xml:space="preserve">2024 </w:t>
      </w:r>
      <w:r>
        <w:rPr>
          <w:rFonts w:hint="eastAsia" w:ascii="宋体" w:hAnsi="宋体" w:cs="宋体"/>
          <w:snapToGrid w:val="0"/>
          <w:color w:val="auto"/>
          <w:szCs w:val="21"/>
          <w:highlight w:val="none"/>
        </w:rPr>
        <w:t>年</w:t>
      </w:r>
      <w:r>
        <w:rPr>
          <w:rFonts w:hint="eastAsia" w:ascii="宋体" w:hAnsi="宋体" w:cs="宋体"/>
          <w:snapToGrid w:val="0"/>
          <w:color w:val="auto"/>
          <w:szCs w:val="21"/>
          <w:highlight w:val="none"/>
          <w:lang w:val="en-US" w:eastAsia="zh-CN"/>
        </w:rPr>
        <w:t xml:space="preserve"> 08 </w:t>
      </w:r>
      <w:r>
        <w:rPr>
          <w:rFonts w:hint="eastAsia" w:ascii="宋体" w:hAnsi="宋体" w:cs="宋体"/>
          <w:snapToGrid w:val="0"/>
          <w:color w:val="auto"/>
          <w:szCs w:val="21"/>
          <w:highlight w:val="none"/>
        </w:rPr>
        <w:t>月</w:t>
      </w:r>
      <w:r>
        <w:rPr>
          <w:rFonts w:hint="eastAsia" w:ascii="宋体" w:hAnsi="宋体" w:cs="宋体"/>
          <w:snapToGrid w:val="0"/>
          <w:color w:val="auto"/>
          <w:szCs w:val="21"/>
          <w:highlight w:val="none"/>
          <w:lang w:val="en-US" w:eastAsia="zh-CN"/>
        </w:rPr>
        <w:t xml:space="preserve"> 23 </w:t>
      </w:r>
      <w:r>
        <w:rPr>
          <w:rFonts w:hint="eastAsia" w:ascii="宋体" w:hAnsi="宋体" w:cs="宋体"/>
          <w:snapToGrid w:val="0"/>
          <w:color w:val="auto"/>
          <w:szCs w:val="21"/>
          <w:highlight w:val="none"/>
        </w:rPr>
        <w:t>日至</w:t>
      </w:r>
      <w:r>
        <w:rPr>
          <w:rFonts w:hint="eastAsia" w:ascii="宋体" w:hAnsi="宋体" w:cs="宋体"/>
          <w:snapToGrid w:val="0"/>
          <w:color w:val="auto"/>
          <w:szCs w:val="21"/>
          <w:highlight w:val="none"/>
          <w:lang w:val="en-US" w:eastAsia="zh-CN"/>
        </w:rPr>
        <w:t xml:space="preserve">2024 </w:t>
      </w:r>
      <w:r>
        <w:rPr>
          <w:rFonts w:hint="eastAsia" w:ascii="宋体" w:hAnsi="宋体" w:cs="宋体"/>
          <w:snapToGrid w:val="0"/>
          <w:color w:val="auto"/>
          <w:szCs w:val="21"/>
          <w:highlight w:val="none"/>
        </w:rPr>
        <w:t>年</w:t>
      </w:r>
      <w:r>
        <w:rPr>
          <w:rFonts w:hint="eastAsia" w:ascii="宋体" w:hAnsi="宋体" w:cs="宋体"/>
          <w:snapToGrid w:val="0"/>
          <w:color w:val="auto"/>
          <w:szCs w:val="21"/>
          <w:highlight w:val="none"/>
          <w:lang w:val="en-US" w:eastAsia="zh-CN"/>
        </w:rPr>
        <w:t xml:space="preserve"> 08 </w:t>
      </w:r>
      <w:r>
        <w:rPr>
          <w:rFonts w:hint="eastAsia" w:ascii="宋体" w:hAnsi="宋体" w:cs="宋体"/>
          <w:snapToGrid w:val="0"/>
          <w:color w:val="auto"/>
          <w:szCs w:val="21"/>
          <w:highlight w:val="none"/>
        </w:rPr>
        <w:t>月</w:t>
      </w:r>
      <w:r>
        <w:rPr>
          <w:rFonts w:hint="eastAsia" w:ascii="宋体" w:hAnsi="宋体" w:cs="宋体"/>
          <w:snapToGrid w:val="0"/>
          <w:color w:val="auto"/>
          <w:szCs w:val="21"/>
          <w:highlight w:val="none"/>
          <w:lang w:val="en-US" w:eastAsia="zh-CN"/>
        </w:rPr>
        <w:t xml:space="preserve"> 30 </w:t>
      </w:r>
      <w:r>
        <w:rPr>
          <w:rFonts w:hint="eastAsia" w:ascii="宋体" w:hAnsi="宋体" w:cs="宋体"/>
          <w:snapToGrid w:val="0"/>
          <w:color w:val="auto"/>
          <w:szCs w:val="21"/>
          <w:highlight w:val="none"/>
        </w:rPr>
        <w:t>日，每</w:t>
      </w:r>
      <w:r>
        <w:rPr>
          <w:rFonts w:hint="eastAsia" w:ascii="宋体" w:hAnsi="宋体" w:cs="宋体"/>
          <w:snapToGrid w:val="0"/>
          <w:color w:val="auto"/>
          <w:szCs w:val="21"/>
        </w:rPr>
        <w:t>天上午00:00至12:00，下午12:00至23:59（北京时间，法定节假日除外）；</w:t>
      </w:r>
    </w:p>
    <w:p w14:paraId="0E1AA45A">
      <w:pPr>
        <w:keepNext w:val="0"/>
        <w:keepLines w:val="0"/>
        <w:pageBreakBefore w:val="0"/>
        <w:widowControl w:val="0"/>
        <w:kinsoku/>
        <w:wordWrap w:val="0"/>
        <w:overflowPunct/>
        <w:topLinePunct w:val="0"/>
        <w:autoSpaceDE w:val="0"/>
        <w:autoSpaceDN w:val="0"/>
        <w:bidi w:val="0"/>
        <w:adjustRightInd w:val="0"/>
        <w:snapToGrid w:val="0"/>
        <w:spacing w:line="360" w:lineRule="auto"/>
        <w:ind w:firstLine="420" w:firstLineChars="200"/>
        <w:jc w:val="both"/>
        <w:textAlignment w:val="auto"/>
        <w:rPr>
          <w:rFonts w:ascii="宋体" w:hAnsi="宋体" w:cs="宋体"/>
          <w:snapToGrid w:val="0"/>
          <w:color w:val="auto"/>
          <w:szCs w:val="21"/>
        </w:rPr>
      </w:pPr>
      <w:r>
        <w:rPr>
          <w:rFonts w:hint="eastAsia" w:ascii="宋体" w:hAnsi="宋体" w:cs="宋体"/>
          <w:snapToGrid w:val="0"/>
          <w:color w:val="auto"/>
          <w:szCs w:val="21"/>
        </w:rPr>
        <w:t>2.地点：凭企业CA锁登录郑州市公共资源交易中心网站（</w:t>
      </w:r>
      <w:r>
        <w:rPr>
          <w:rFonts w:hint="eastAsia" w:ascii="宋体" w:hAnsi="宋体" w:cs="宋体"/>
          <w:snapToGrid w:val="0"/>
          <w:color w:val="auto"/>
          <w:szCs w:val="21"/>
          <w:lang w:val="en-US" w:eastAsia="zh-CN"/>
        </w:rPr>
        <w:t>https://zzggzy.zhengzhou.gov.cn</w:t>
      </w:r>
      <w:r>
        <w:rPr>
          <w:rFonts w:hint="eastAsia" w:ascii="宋体" w:hAnsi="宋体" w:cs="宋体"/>
          <w:snapToGrid w:val="0"/>
          <w:color w:val="auto"/>
          <w:szCs w:val="21"/>
        </w:rPr>
        <w:t>），点击“交易主体登</w:t>
      </w:r>
      <w:r>
        <w:rPr>
          <w:rFonts w:hint="eastAsia" w:ascii="宋体" w:hAnsi="宋体" w:cs="宋体"/>
          <w:snapToGrid w:val="0"/>
          <w:color w:val="auto"/>
          <w:szCs w:val="21"/>
          <w:lang w:eastAsia="zh-CN"/>
        </w:rPr>
        <w:t>录</w:t>
      </w:r>
      <w:r>
        <w:rPr>
          <w:rFonts w:hint="eastAsia" w:ascii="宋体" w:hAnsi="宋体" w:cs="宋体"/>
          <w:snapToGrid w:val="0"/>
          <w:color w:val="auto"/>
          <w:szCs w:val="21"/>
        </w:rPr>
        <w:t>”进入电子招投标交易平台下载所含格式（*.ZZZF）的招标文件及资料；</w:t>
      </w:r>
    </w:p>
    <w:p w14:paraId="40BCA3C9">
      <w:pPr>
        <w:autoSpaceDE w:val="0"/>
        <w:autoSpaceDN w:val="0"/>
        <w:adjustRightInd w:val="0"/>
        <w:snapToGrid w:val="0"/>
        <w:spacing w:line="360" w:lineRule="auto"/>
        <w:ind w:firstLine="420" w:firstLineChars="200"/>
        <w:jc w:val="both"/>
        <w:rPr>
          <w:rFonts w:hint="eastAsia" w:ascii="宋体" w:hAnsi="宋体" w:cs="宋体"/>
          <w:snapToGrid w:val="0"/>
          <w:color w:val="auto"/>
          <w:szCs w:val="21"/>
        </w:rPr>
      </w:pPr>
      <w:r>
        <w:rPr>
          <w:rFonts w:hint="eastAsia" w:ascii="宋体" w:hAnsi="宋体" w:cs="宋体"/>
          <w:snapToGrid w:val="0"/>
          <w:color w:val="auto"/>
          <w:szCs w:val="21"/>
        </w:rPr>
        <w:t>3.方式：投标人凭企业CA密钥登录郑州市公共资源交易中心网站（https://zzggzy.zhengzhou.gov.cn），点击“交易主体登</w:t>
      </w:r>
      <w:r>
        <w:rPr>
          <w:rFonts w:hint="eastAsia" w:ascii="宋体" w:hAnsi="宋体" w:cs="宋体"/>
          <w:snapToGrid w:val="0"/>
          <w:color w:val="auto"/>
          <w:szCs w:val="21"/>
          <w:lang w:eastAsia="zh-CN"/>
        </w:rPr>
        <w:t>录</w:t>
      </w:r>
      <w:r>
        <w:rPr>
          <w:rFonts w:hint="eastAsia" w:ascii="宋体" w:hAnsi="宋体" w:cs="宋体"/>
          <w:snapToGrid w:val="0"/>
          <w:color w:val="auto"/>
          <w:szCs w:val="21"/>
        </w:rPr>
        <w:t>”下载所含格式（*.ZZZF格式）的采购文件及资料。投标人未按规定在网上下载招标文件的，其投标将被拒绝，尚未办理企业CA数字证书的,方式详见(https://zzggzy.zhengzhou.gov.cn/通知公告//关于数字证书(CA)互认功能上线试运行的通知）。</w:t>
      </w:r>
    </w:p>
    <w:p w14:paraId="06C48088">
      <w:pPr>
        <w:autoSpaceDE w:val="0"/>
        <w:autoSpaceDN w:val="0"/>
        <w:adjustRightInd w:val="0"/>
        <w:snapToGrid w:val="0"/>
        <w:spacing w:line="360" w:lineRule="auto"/>
        <w:ind w:firstLine="420" w:firstLineChars="200"/>
        <w:jc w:val="left"/>
        <w:rPr>
          <w:rFonts w:ascii="宋体" w:hAnsi="宋体" w:cs="宋体"/>
          <w:snapToGrid w:val="0"/>
          <w:color w:val="auto"/>
          <w:szCs w:val="21"/>
        </w:rPr>
      </w:pPr>
      <w:r>
        <w:rPr>
          <w:rFonts w:hint="eastAsia" w:ascii="宋体" w:hAnsi="宋体" w:cs="宋体"/>
          <w:snapToGrid w:val="0"/>
          <w:color w:val="auto"/>
          <w:szCs w:val="21"/>
        </w:rPr>
        <w:t>4.售价：0元。</w:t>
      </w:r>
    </w:p>
    <w:p w14:paraId="61A68250">
      <w:pPr>
        <w:autoSpaceDE w:val="0"/>
        <w:autoSpaceDN w:val="0"/>
        <w:adjustRightInd w:val="0"/>
        <w:snapToGrid w:val="0"/>
        <w:spacing w:line="360" w:lineRule="auto"/>
        <w:jc w:val="left"/>
        <w:rPr>
          <w:rFonts w:ascii="宋体" w:hAnsi="宋体" w:cs="宋体"/>
          <w:b/>
          <w:bCs/>
          <w:snapToGrid w:val="0"/>
          <w:color w:val="auto"/>
          <w:szCs w:val="21"/>
        </w:rPr>
      </w:pPr>
      <w:r>
        <w:rPr>
          <w:rFonts w:hint="eastAsia" w:ascii="宋体" w:hAnsi="宋体" w:cs="宋体"/>
          <w:b/>
          <w:bCs/>
          <w:snapToGrid w:val="0"/>
          <w:color w:val="auto"/>
          <w:szCs w:val="21"/>
        </w:rPr>
        <w:t>四、投标截止时间及地点</w:t>
      </w:r>
    </w:p>
    <w:p w14:paraId="5ED19EDF">
      <w:pPr>
        <w:autoSpaceDE w:val="0"/>
        <w:autoSpaceDN w:val="0"/>
        <w:adjustRightInd w:val="0"/>
        <w:snapToGrid w:val="0"/>
        <w:spacing w:line="360" w:lineRule="auto"/>
        <w:ind w:firstLine="420" w:firstLineChars="200"/>
        <w:jc w:val="left"/>
        <w:rPr>
          <w:rFonts w:ascii="宋体" w:hAnsi="宋体" w:cs="宋体"/>
          <w:snapToGrid w:val="0"/>
          <w:color w:val="auto"/>
          <w:szCs w:val="21"/>
        </w:rPr>
      </w:pPr>
      <w:r>
        <w:rPr>
          <w:rFonts w:hint="eastAsia" w:ascii="宋体" w:hAnsi="宋体" w:cs="宋体"/>
          <w:snapToGrid w:val="0"/>
          <w:color w:val="auto"/>
          <w:szCs w:val="21"/>
        </w:rPr>
        <w:t>1.时间:</w:t>
      </w:r>
      <w:r>
        <w:rPr>
          <w:rFonts w:hint="eastAsia" w:ascii="宋体" w:hAnsi="宋体" w:cs="宋体"/>
          <w:snapToGrid w:val="0"/>
          <w:color w:val="auto"/>
          <w:szCs w:val="21"/>
          <w:highlight w:val="none"/>
          <w:lang w:val="en-US" w:eastAsia="zh-CN"/>
        </w:rPr>
        <w:t xml:space="preserve">2024 </w:t>
      </w:r>
      <w:r>
        <w:rPr>
          <w:rFonts w:hint="eastAsia" w:ascii="宋体" w:hAnsi="宋体" w:cs="宋体"/>
          <w:snapToGrid w:val="0"/>
          <w:color w:val="auto"/>
          <w:szCs w:val="21"/>
          <w:highlight w:val="none"/>
        </w:rPr>
        <w:t>年</w:t>
      </w:r>
      <w:r>
        <w:rPr>
          <w:rFonts w:hint="eastAsia" w:ascii="宋体" w:hAnsi="宋体" w:cs="宋体"/>
          <w:snapToGrid w:val="0"/>
          <w:color w:val="auto"/>
          <w:szCs w:val="21"/>
          <w:highlight w:val="none"/>
          <w:lang w:val="en-US" w:eastAsia="zh-CN"/>
        </w:rPr>
        <w:t xml:space="preserve"> 09 月 19 日 10 </w:t>
      </w:r>
      <w:r>
        <w:rPr>
          <w:rFonts w:hint="eastAsia" w:ascii="宋体" w:hAnsi="宋体" w:cs="宋体"/>
          <w:snapToGrid w:val="0"/>
          <w:color w:val="auto"/>
          <w:szCs w:val="21"/>
          <w:highlight w:val="none"/>
        </w:rPr>
        <w:t>时00分</w:t>
      </w:r>
      <w:r>
        <w:rPr>
          <w:rFonts w:hint="eastAsia" w:ascii="宋体" w:hAnsi="宋体" w:cs="宋体"/>
          <w:snapToGrid w:val="0"/>
          <w:color w:val="auto"/>
          <w:szCs w:val="21"/>
        </w:rPr>
        <w:t>（北京时间）</w:t>
      </w:r>
    </w:p>
    <w:p w14:paraId="728B86FD">
      <w:pPr>
        <w:autoSpaceDE w:val="0"/>
        <w:autoSpaceDN w:val="0"/>
        <w:adjustRightInd w:val="0"/>
        <w:snapToGrid w:val="0"/>
        <w:spacing w:line="360" w:lineRule="auto"/>
        <w:ind w:firstLine="420" w:firstLineChars="200"/>
        <w:jc w:val="left"/>
        <w:rPr>
          <w:rFonts w:ascii="宋体" w:hAnsi="宋体" w:cs="宋体"/>
          <w:snapToGrid w:val="0"/>
          <w:color w:val="auto"/>
          <w:szCs w:val="21"/>
        </w:rPr>
      </w:pPr>
      <w:r>
        <w:rPr>
          <w:rFonts w:hint="eastAsia" w:ascii="宋体" w:hAnsi="宋体" w:cs="宋体"/>
          <w:snapToGrid w:val="0"/>
          <w:color w:val="auto"/>
          <w:szCs w:val="21"/>
        </w:rPr>
        <w:t>2.地点：郑州市公共资源交易中心（https://zzggzy.zhengzhou.gov.cn）电子交易平台</w:t>
      </w:r>
    </w:p>
    <w:p w14:paraId="4A87FDD2">
      <w:pPr>
        <w:autoSpaceDE w:val="0"/>
        <w:autoSpaceDN w:val="0"/>
        <w:adjustRightInd w:val="0"/>
        <w:snapToGrid w:val="0"/>
        <w:spacing w:line="360" w:lineRule="auto"/>
        <w:jc w:val="left"/>
        <w:rPr>
          <w:rFonts w:ascii="宋体" w:hAnsi="宋体" w:cs="宋体"/>
          <w:b/>
          <w:bCs/>
          <w:snapToGrid w:val="0"/>
          <w:color w:val="auto"/>
          <w:szCs w:val="21"/>
        </w:rPr>
      </w:pPr>
      <w:r>
        <w:rPr>
          <w:rFonts w:hint="eastAsia" w:ascii="宋体" w:hAnsi="宋体" w:cs="宋体"/>
          <w:b/>
          <w:bCs/>
          <w:snapToGrid w:val="0"/>
          <w:color w:val="auto"/>
          <w:szCs w:val="21"/>
        </w:rPr>
        <w:t>五、开标时间及地点</w:t>
      </w:r>
    </w:p>
    <w:p w14:paraId="621F24FB">
      <w:pPr>
        <w:autoSpaceDE w:val="0"/>
        <w:autoSpaceDN w:val="0"/>
        <w:adjustRightInd w:val="0"/>
        <w:snapToGrid w:val="0"/>
        <w:spacing w:line="360" w:lineRule="auto"/>
        <w:ind w:firstLine="420" w:firstLineChars="200"/>
        <w:jc w:val="left"/>
        <w:rPr>
          <w:rFonts w:ascii="宋体" w:hAnsi="宋体" w:cs="宋体"/>
          <w:snapToGrid w:val="0"/>
          <w:color w:val="auto"/>
          <w:szCs w:val="21"/>
        </w:rPr>
      </w:pPr>
      <w:r>
        <w:rPr>
          <w:rFonts w:hint="eastAsia" w:ascii="宋体" w:hAnsi="宋体" w:cs="宋体"/>
          <w:snapToGrid w:val="0"/>
          <w:color w:val="auto"/>
          <w:szCs w:val="21"/>
        </w:rPr>
        <w:t>1.开标时间：</w:t>
      </w:r>
      <w:r>
        <w:rPr>
          <w:rFonts w:hint="eastAsia" w:ascii="宋体" w:hAnsi="宋体" w:cs="宋体"/>
          <w:snapToGrid w:val="0"/>
          <w:color w:val="auto"/>
          <w:szCs w:val="21"/>
          <w:highlight w:val="none"/>
          <w:lang w:val="en-US" w:eastAsia="zh-CN"/>
        </w:rPr>
        <w:t xml:space="preserve">2024 </w:t>
      </w:r>
      <w:r>
        <w:rPr>
          <w:rFonts w:hint="eastAsia" w:ascii="宋体" w:hAnsi="宋体" w:cs="宋体"/>
          <w:snapToGrid w:val="0"/>
          <w:color w:val="auto"/>
          <w:szCs w:val="21"/>
          <w:highlight w:val="none"/>
        </w:rPr>
        <w:t>年</w:t>
      </w:r>
      <w:r>
        <w:rPr>
          <w:rFonts w:hint="eastAsia" w:ascii="宋体" w:hAnsi="宋体" w:cs="宋体"/>
          <w:snapToGrid w:val="0"/>
          <w:color w:val="auto"/>
          <w:szCs w:val="21"/>
          <w:highlight w:val="none"/>
          <w:lang w:val="en-US" w:eastAsia="zh-CN"/>
        </w:rPr>
        <w:t xml:space="preserve"> 09 月 19 日</w:t>
      </w:r>
      <w:r>
        <w:rPr>
          <w:rFonts w:hint="eastAsia" w:ascii="宋体" w:hAnsi="宋体" w:cs="宋体"/>
          <w:snapToGrid w:val="0"/>
          <w:color w:val="auto"/>
          <w:szCs w:val="21"/>
          <w:highlight w:val="none"/>
        </w:rPr>
        <w:t>10时00分</w:t>
      </w:r>
      <w:r>
        <w:rPr>
          <w:rFonts w:hint="eastAsia" w:ascii="宋体" w:hAnsi="宋体" w:cs="宋体"/>
          <w:snapToGrid w:val="0"/>
          <w:color w:val="auto"/>
          <w:szCs w:val="21"/>
          <w:highlight w:val="none"/>
          <w:lang w:eastAsia="zh-CN"/>
        </w:rPr>
        <w:t>（</w:t>
      </w:r>
      <w:r>
        <w:rPr>
          <w:rFonts w:hint="eastAsia" w:ascii="宋体" w:hAnsi="宋体" w:cs="宋体"/>
          <w:snapToGrid w:val="0"/>
          <w:color w:val="auto"/>
          <w:szCs w:val="21"/>
        </w:rPr>
        <w:t>北京时间）</w:t>
      </w:r>
    </w:p>
    <w:p w14:paraId="5D6AD6BD">
      <w:pPr>
        <w:autoSpaceDE w:val="0"/>
        <w:autoSpaceDN w:val="0"/>
        <w:adjustRightInd w:val="0"/>
        <w:snapToGrid w:val="0"/>
        <w:spacing w:line="360" w:lineRule="auto"/>
        <w:ind w:firstLine="420" w:firstLineChars="200"/>
        <w:jc w:val="both"/>
        <w:rPr>
          <w:rFonts w:ascii="宋体" w:hAnsi="宋体" w:cs="宋体"/>
          <w:snapToGrid w:val="0"/>
          <w:color w:val="auto"/>
          <w:szCs w:val="21"/>
        </w:rPr>
      </w:pPr>
      <w:r>
        <w:rPr>
          <w:rFonts w:hint="eastAsia" w:ascii="宋体" w:hAnsi="宋体" w:cs="宋体"/>
          <w:snapToGrid w:val="0"/>
          <w:color w:val="auto"/>
          <w:szCs w:val="21"/>
        </w:rPr>
        <w:t>2.开标地点：郑州市公共资源交易中心门户网站远程开标大厅（</w:t>
      </w:r>
      <w:r>
        <w:rPr>
          <w:rFonts w:hint="eastAsia" w:ascii="宋体" w:hAnsi="宋体" w:cs="宋体"/>
          <w:snapToGrid w:val="0"/>
          <w:color w:val="auto"/>
          <w:szCs w:val="21"/>
          <w:lang w:val="en-US" w:eastAsia="zh-CN"/>
        </w:rPr>
        <w:t>https://zzggzy.zhengzhou.gov.cn/BidOpening/</w:t>
      </w:r>
      <w:r>
        <w:rPr>
          <w:rFonts w:hint="eastAsia" w:ascii="宋体" w:hAnsi="宋体" w:cs="宋体"/>
          <w:snapToGrid w:val="0"/>
          <w:color w:val="auto"/>
          <w:szCs w:val="21"/>
        </w:rPr>
        <w:t>）</w:t>
      </w:r>
    </w:p>
    <w:p w14:paraId="01182DFC">
      <w:pPr>
        <w:autoSpaceDE w:val="0"/>
        <w:autoSpaceDN w:val="0"/>
        <w:adjustRightInd w:val="0"/>
        <w:snapToGrid w:val="0"/>
        <w:spacing w:line="360" w:lineRule="auto"/>
        <w:jc w:val="left"/>
        <w:rPr>
          <w:rFonts w:ascii="宋体" w:hAnsi="宋体" w:cs="宋体"/>
          <w:b/>
          <w:bCs/>
          <w:snapToGrid w:val="0"/>
          <w:color w:val="auto"/>
          <w:szCs w:val="21"/>
        </w:rPr>
      </w:pPr>
      <w:r>
        <w:rPr>
          <w:rFonts w:hint="eastAsia" w:ascii="宋体" w:hAnsi="宋体" w:cs="宋体"/>
          <w:b/>
          <w:bCs/>
          <w:snapToGrid w:val="0"/>
          <w:color w:val="auto"/>
          <w:szCs w:val="21"/>
        </w:rPr>
        <w:t>六、发布公告的媒介及招标公告期限</w:t>
      </w:r>
    </w:p>
    <w:p w14:paraId="0F2FC028">
      <w:pPr>
        <w:autoSpaceDE w:val="0"/>
        <w:autoSpaceDN w:val="0"/>
        <w:adjustRightInd w:val="0"/>
        <w:snapToGrid w:val="0"/>
        <w:spacing w:line="360" w:lineRule="auto"/>
        <w:ind w:firstLine="420" w:firstLineChars="200"/>
        <w:jc w:val="left"/>
        <w:rPr>
          <w:rFonts w:ascii="宋体" w:hAnsi="宋体" w:cs="宋体"/>
          <w:snapToGrid w:val="0"/>
          <w:color w:val="auto"/>
          <w:szCs w:val="21"/>
          <w:highlight w:val="yellow"/>
        </w:rPr>
      </w:pPr>
      <w:r>
        <w:rPr>
          <w:rFonts w:hint="eastAsia" w:ascii="宋体" w:hAnsi="宋体" w:cs="宋体"/>
          <w:snapToGrid w:val="0"/>
          <w:color w:val="auto"/>
          <w:szCs w:val="21"/>
        </w:rPr>
        <w:t>本次招</w:t>
      </w:r>
      <w:r>
        <w:rPr>
          <w:rFonts w:hint="eastAsia" w:ascii="宋体" w:hAnsi="宋体" w:cs="宋体"/>
          <w:snapToGrid w:val="0"/>
          <w:color w:val="auto"/>
          <w:szCs w:val="21"/>
          <w:highlight w:val="none"/>
        </w:rPr>
        <w:t>标公告在</w:t>
      </w:r>
      <w:r>
        <w:rPr>
          <w:rFonts w:hint="eastAsia" w:ascii="宋体" w:hAnsi="宋体" w:cs="宋体"/>
          <w:snapToGrid w:val="0"/>
          <w:color w:val="auto"/>
          <w:szCs w:val="21"/>
          <w:highlight w:val="none"/>
          <w:lang w:eastAsia="zh-CN"/>
        </w:rPr>
        <w:t>《河南省政府采购网》、《郑东新区政府采购网》、《郑州市公共资源交易中心》</w:t>
      </w:r>
      <w:r>
        <w:rPr>
          <w:rFonts w:hint="eastAsia" w:ascii="宋体" w:hAnsi="宋体" w:cs="宋体"/>
          <w:snapToGrid w:val="0"/>
          <w:color w:val="auto"/>
          <w:szCs w:val="21"/>
          <w:highlight w:val="none"/>
        </w:rPr>
        <w:t>上发布</w:t>
      </w:r>
      <w:r>
        <w:rPr>
          <w:rFonts w:hint="eastAsia" w:ascii="宋体" w:hAnsi="宋体" w:cs="宋体"/>
          <w:snapToGrid w:val="0"/>
          <w:color w:val="auto"/>
          <w:szCs w:val="21"/>
          <w:highlight w:val="none"/>
          <w:lang w:eastAsia="zh-CN"/>
        </w:rPr>
        <w:t>，招标公告期限为五个工作日。</w:t>
      </w:r>
    </w:p>
    <w:p w14:paraId="12303B52">
      <w:pPr>
        <w:autoSpaceDE w:val="0"/>
        <w:autoSpaceDN w:val="0"/>
        <w:adjustRightInd w:val="0"/>
        <w:snapToGrid w:val="0"/>
        <w:spacing w:line="360" w:lineRule="auto"/>
        <w:jc w:val="left"/>
        <w:rPr>
          <w:rFonts w:ascii="宋体" w:hAnsi="宋体" w:cs="宋体"/>
          <w:b/>
          <w:bCs/>
          <w:snapToGrid w:val="0"/>
          <w:color w:val="auto"/>
          <w:szCs w:val="21"/>
        </w:rPr>
      </w:pPr>
      <w:r>
        <w:rPr>
          <w:rFonts w:hint="eastAsia" w:ascii="宋体" w:hAnsi="宋体" w:cs="宋体"/>
          <w:b/>
          <w:bCs/>
          <w:snapToGrid w:val="0"/>
          <w:color w:val="auto"/>
          <w:szCs w:val="21"/>
        </w:rPr>
        <w:t>七、其他补充事宜</w:t>
      </w:r>
    </w:p>
    <w:p w14:paraId="5EC37767">
      <w:pPr>
        <w:snapToGrid w:val="0"/>
        <w:spacing w:line="360" w:lineRule="auto"/>
        <w:ind w:firstLine="420" w:firstLineChars="200"/>
        <w:rPr>
          <w:rFonts w:ascii="宋体" w:hAnsi="宋体" w:cs="宋体"/>
          <w:color w:val="auto"/>
          <w:szCs w:val="21"/>
        </w:rPr>
      </w:pPr>
      <w:r>
        <w:rPr>
          <w:rFonts w:hint="eastAsia" w:ascii="宋体" w:hAnsi="宋体" w:cs="宋体"/>
          <w:color w:val="auto"/>
          <w:szCs w:val="21"/>
        </w:rPr>
        <w:t>1.投标文件包括电子投标文件：</w:t>
      </w:r>
    </w:p>
    <w:p w14:paraId="6D52E4EA">
      <w:pPr>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（1）加密电子投标文件（.ZZTF格式）须在投标截止时间前通过“郑州市公共资源交易中心（</w:t>
      </w:r>
      <w:r>
        <w:rPr>
          <w:rFonts w:hint="default" w:ascii="宋体" w:hAnsi="宋体" w:cs="宋体"/>
          <w:snapToGrid w:val="0"/>
          <w:color w:val="auto"/>
          <w:szCs w:val="21"/>
          <w:highlight w:val="none"/>
          <w:lang w:val="en-US" w:eastAsia="zh-CN"/>
        </w:rPr>
        <w:t>https://zzggzy.zhengzhou.gov.cn</w:t>
      </w:r>
      <w:r>
        <w:rPr>
          <w:rFonts w:hint="eastAsia" w:ascii="宋体" w:hAnsi="宋体" w:cs="宋体"/>
          <w:color w:val="auto"/>
          <w:szCs w:val="21"/>
          <w:highlight w:val="none"/>
        </w:rPr>
        <w:t>）”电子交易平台加密上传；</w:t>
      </w:r>
    </w:p>
    <w:p w14:paraId="7EC101F4">
      <w:pPr>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（2）加密电子投标文件为“郑州市公共资源交易中心（</w:t>
      </w:r>
      <w:r>
        <w:rPr>
          <w:rFonts w:hint="default" w:ascii="宋体" w:hAnsi="宋体" w:cs="宋体"/>
          <w:snapToGrid w:val="0"/>
          <w:color w:val="auto"/>
          <w:szCs w:val="21"/>
          <w:highlight w:val="none"/>
          <w:lang w:val="en-US" w:eastAsia="zh-CN"/>
        </w:rPr>
        <w:t>https://zzggzy.zhengzhou.gov.cn</w:t>
      </w:r>
      <w:r>
        <w:rPr>
          <w:rFonts w:hint="eastAsia" w:ascii="宋体" w:hAnsi="宋体" w:cs="宋体"/>
          <w:color w:val="auto"/>
          <w:szCs w:val="21"/>
          <w:highlight w:val="none"/>
        </w:rPr>
        <w:t>）”网站提供的“投标文件制作工具”软件制作生成的加密版投标文件。</w:t>
      </w:r>
    </w:p>
    <w:p w14:paraId="67AA7F7A">
      <w:pPr>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（3）各投标人需使用本单位CA锁（制作投标文件时所使用的CA锁）对本单位的加密电子投标文件进行远程不见面方式解密。</w:t>
      </w:r>
    </w:p>
    <w:p w14:paraId="79D86B54">
      <w:pPr>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2.本项目采用不见面开标方式开标，</w:t>
      </w:r>
      <w:bookmarkStart w:id="48" w:name="OLE_LINK36"/>
      <w:r>
        <w:rPr>
          <w:rFonts w:hint="eastAsia" w:ascii="宋体" w:hAnsi="宋体" w:cs="宋体"/>
          <w:color w:val="auto"/>
          <w:szCs w:val="21"/>
          <w:highlight w:val="none"/>
          <w:lang w:eastAsia="zh-CN"/>
        </w:rPr>
        <w:t>供应商</w:t>
      </w:r>
      <w:bookmarkEnd w:id="48"/>
      <w:r>
        <w:rPr>
          <w:rFonts w:hint="eastAsia" w:ascii="宋体" w:hAnsi="宋体" w:cs="宋体"/>
          <w:color w:val="auto"/>
          <w:szCs w:val="21"/>
          <w:highlight w:val="none"/>
        </w:rPr>
        <w:t>在投标截止时间前登陆郑州市公共资源交易中心门户网站远程开标大厅（</w:t>
      </w:r>
      <w:r>
        <w:rPr>
          <w:rFonts w:hint="eastAsia" w:ascii="宋体" w:hAnsi="宋体" w:cs="宋体"/>
          <w:color w:val="auto"/>
          <w:szCs w:val="21"/>
          <w:highlight w:val="none"/>
          <w:lang w:val="en-US" w:eastAsia="zh-CN"/>
        </w:rPr>
        <w:t>https://zzggzy.zhengzhou.gov.cn/BidOpening/</w:t>
      </w:r>
      <w:r>
        <w:rPr>
          <w:rFonts w:hint="eastAsia" w:ascii="宋体" w:hAnsi="宋体" w:cs="宋体"/>
          <w:color w:val="auto"/>
          <w:szCs w:val="21"/>
          <w:highlight w:val="none"/>
        </w:rPr>
        <w:t>）。</w:t>
      </w:r>
    </w:p>
    <w:p w14:paraId="440B542A">
      <w:pPr>
        <w:autoSpaceDE w:val="0"/>
        <w:autoSpaceDN w:val="0"/>
        <w:adjustRightInd w:val="0"/>
        <w:snapToGrid w:val="0"/>
        <w:spacing w:line="360" w:lineRule="auto"/>
        <w:ind w:firstLine="420" w:firstLineChars="200"/>
        <w:jc w:val="left"/>
        <w:rPr>
          <w:rFonts w:ascii="宋体" w:hAnsi="宋体" w:cs="宋体"/>
          <w:snapToGrid w:val="0"/>
          <w:color w:val="auto"/>
          <w:szCs w:val="21"/>
          <w:highlight w:val="none"/>
        </w:rPr>
      </w:pPr>
      <w:r>
        <w:rPr>
          <w:rFonts w:hint="eastAsia" w:ascii="宋体" w:hAnsi="宋体" w:cs="宋体"/>
          <w:snapToGrid w:val="0"/>
          <w:color w:val="auto"/>
          <w:szCs w:val="21"/>
          <w:highlight w:val="none"/>
        </w:rPr>
        <w:t>（</w:t>
      </w:r>
      <w:r>
        <w:rPr>
          <w:rFonts w:hint="eastAsia" w:ascii="宋体" w:hAnsi="宋体" w:cs="宋体"/>
          <w:snapToGrid w:val="0"/>
          <w:color w:val="auto"/>
          <w:szCs w:val="21"/>
          <w:highlight w:val="none"/>
          <w:lang w:val="en-US" w:eastAsia="zh-CN"/>
        </w:rPr>
        <w:t>1</w:t>
      </w:r>
      <w:r>
        <w:rPr>
          <w:rFonts w:hint="eastAsia" w:ascii="宋体" w:hAnsi="宋体" w:cs="宋体"/>
          <w:snapToGrid w:val="0"/>
          <w:color w:val="auto"/>
          <w:szCs w:val="21"/>
          <w:highlight w:val="none"/>
        </w:rPr>
        <w:t>）所有投标人应提前30分钟，登录“郑州市公共资源交易中心门户网站远程开标大厅</w:t>
      </w:r>
      <w:r>
        <w:rPr>
          <w:rFonts w:hint="eastAsia" w:ascii="宋体" w:hAnsi="宋体" w:cs="宋体"/>
          <w:color w:val="auto"/>
          <w:szCs w:val="21"/>
          <w:highlight w:val="none"/>
          <w:lang w:val="en-US" w:eastAsia="zh-CN"/>
        </w:rPr>
        <w:t>hhttps://zzggzy.zhengzhou.gov.cn/BidOpening/</w:t>
      </w:r>
      <w:r>
        <w:rPr>
          <w:rFonts w:hint="eastAsia" w:ascii="宋体" w:hAnsi="宋体" w:cs="宋体"/>
          <w:snapToGrid w:val="0"/>
          <w:color w:val="auto"/>
          <w:szCs w:val="21"/>
          <w:highlight w:val="none"/>
        </w:rPr>
        <w:t xml:space="preserve"> ”进行远程开标准备工作。</w:t>
      </w:r>
    </w:p>
    <w:p w14:paraId="11FD04A4">
      <w:pPr>
        <w:autoSpaceDE w:val="0"/>
        <w:autoSpaceDN w:val="0"/>
        <w:adjustRightInd w:val="0"/>
        <w:snapToGrid w:val="0"/>
        <w:spacing w:line="360" w:lineRule="auto"/>
        <w:ind w:firstLine="420" w:firstLineChars="200"/>
        <w:jc w:val="left"/>
        <w:rPr>
          <w:rFonts w:ascii="宋体" w:hAnsi="宋体" w:cs="宋体"/>
          <w:snapToGrid w:val="0"/>
          <w:color w:val="auto"/>
          <w:szCs w:val="21"/>
          <w:highlight w:val="none"/>
        </w:rPr>
      </w:pPr>
      <w:r>
        <w:rPr>
          <w:rFonts w:hint="eastAsia" w:ascii="宋体" w:hAnsi="宋体" w:cs="宋体"/>
          <w:snapToGrid w:val="0"/>
          <w:color w:val="auto"/>
          <w:szCs w:val="21"/>
          <w:highlight w:val="none"/>
        </w:rPr>
        <w:t>（</w:t>
      </w:r>
      <w:r>
        <w:rPr>
          <w:rFonts w:hint="eastAsia" w:ascii="宋体" w:hAnsi="宋体" w:cs="宋体"/>
          <w:snapToGrid w:val="0"/>
          <w:color w:val="auto"/>
          <w:szCs w:val="21"/>
          <w:highlight w:val="none"/>
          <w:lang w:val="en-US" w:eastAsia="zh-CN"/>
        </w:rPr>
        <w:t>2</w:t>
      </w:r>
      <w:r>
        <w:rPr>
          <w:rFonts w:hint="eastAsia" w:ascii="宋体" w:hAnsi="宋体" w:cs="宋体"/>
          <w:snapToGrid w:val="0"/>
          <w:color w:val="auto"/>
          <w:szCs w:val="21"/>
          <w:highlight w:val="none"/>
        </w:rPr>
        <w:t>）所有</w:t>
      </w:r>
      <w:r>
        <w:rPr>
          <w:rFonts w:hint="eastAsia" w:ascii="宋体" w:hAnsi="宋体" w:cs="宋体"/>
          <w:color w:val="auto"/>
          <w:szCs w:val="21"/>
          <w:highlight w:val="none"/>
          <w:lang w:eastAsia="zh-CN"/>
        </w:rPr>
        <w:t>供应商</w:t>
      </w:r>
      <w:r>
        <w:rPr>
          <w:rFonts w:hint="eastAsia" w:ascii="宋体" w:hAnsi="宋体" w:cs="宋体"/>
          <w:snapToGrid w:val="0"/>
          <w:color w:val="auto"/>
          <w:szCs w:val="21"/>
          <w:highlight w:val="none"/>
        </w:rPr>
        <w:t>登录“郑州市公共资源交易中心门户网站远程开标大厅”后，须先进行签到，其后应一直保持在线状态，保证能准时参加开标大会、投标文件的解密、现场答疑澄清等活动。</w:t>
      </w:r>
    </w:p>
    <w:p w14:paraId="6FAE5EA9">
      <w:pPr>
        <w:autoSpaceDE w:val="0"/>
        <w:autoSpaceDN w:val="0"/>
        <w:adjustRightInd w:val="0"/>
        <w:snapToGrid w:val="0"/>
        <w:spacing w:line="360" w:lineRule="auto"/>
        <w:ind w:firstLine="420" w:firstLineChars="200"/>
        <w:jc w:val="left"/>
        <w:rPr>
          <w:rFonts w:ascii="宋体" w:hAnsi="宋体" w:cs="宋体"/>
          <w:snapToGrid w:val="0"/>
          <w:color w:val="auto"/>
          <w:szCs w:val="21"/>
          <w:highlight w:val="none"/>
        </w:rPr>
      </w:pPr>
      <w:r>
        <w:rPr>
          <w:rFonts w:hint="eastAsia" w:ascii="宋体" w:hAnsi="宋体" w:cs="宋体"/>
          <w:snapToGrid w:val="0"/>
          <w:color w:val="auto"/>
          <w:szCs w:val="21"/>
          <w:highlight w:val="none"/>
        </w:rPr>
        <w:t>（</w:t>
      </w:r>
      <w:r>
        <w:rPr>
          <w:rFonts w:hint="eastAsia" w:ascii="宋体" w:hAnsi="宋体" w:cs="宋体"/>
          <w:snapToGrid w:val="0"/>
          <w:color w:val="auto"/>
          <w:szCs w:val="21"/>
          <w:highlight w:val="none"/>
          <w:lang w:val="en-US" w:eastAsia="zh-CN"/>
        </w:rPr>
        <w:t>3</w:t>
      </w:r>
      <w:r>
        <w:rPr>
          <w:rFonts w:hint="eastAsia" w:ascii="宋体" w:hAnsi="宋体" w:cs="宋体"/>
          <w:snapToGrid w:val="0"/>
          <w:color w:val="auto"/>
          <w:szCs w:val="21"/>
          <w:highlight w:val="none"/>
        </w:rPr>
        <w:t>）不见面开标操作说明详见郑州市公共资源交易中心网站办事指南栏目下政府采购专区中的《郑州市公共资源交易中心不见面开标大厅操作手册（</w:t>
      </w:r>
      <w:r>
        <w:rPr>
          <w:rFonts w:hint="eastAsia" w:ascii="宋体" w:hAnsi="宋体" w:cs="宋体"/>
          <w:snapToGrid w:val="0"/>
          <w:color w:val="auto"/>
          <w:szCs w:val="21"/>
          <w:highlight w:val="none"/>
          <w:lang w:eastAsia="zh-CN"/>
        </w:rPr>
        <w:t>供应商</w:t>
      </w:r>
      <w:r>
        <w:rPr>
          <w:rFonts w:hint="eastAsia" w:ascii="宋体" w:hAnsi="宋体" w:cs="宋体"/>
          <w:snapToGrid w:val="0"/>
          <w:color w:val="auto"/>
          <w:szCs w:val="21"/>
          <w:highlight w:val="none"/>
        </w:rPr>
        <w:t>）V1.0》（</w:t>
      </w:r>
      <w:r>
        <w:rPr>
          <w:rFonts w:hint="default" w:ascii="宋体" w:hAnsi="宋体" w:cs="宋体"/>
          <w:snapToGrid w:val="0"/>
          <w:color w:val="auto"/>
          <w:szCs w:val="21"/>
        </w:rPr>
        <w:t>http://zzggzy.zhengzhou.gov.cn/bszn/009003/subpage.html</w:t>
      </w:r>
      <w:r>
        <w:rPr>
          <w:rFonts w:hint="eastAsia" w:ascii="宋体" w:hAnsi="宋体" w:cs="宋体"/>
          <w:snapToGrid w:val="0"/>
          <w:color w:val="auto"/>
          <w:szCs w:val="21"/>
          <w:highlight w:val="none"/>
        </w:rPr>
        <w:t>）。</w:t>
      </w:r>
    </w:p>
    <w:p w14:paraId="3859C2BA">
      <w:pPr>
        <w:pStyle w:val="9"/>
        <w:spacing w:line="360" w:lineRule="auto"/>
        <w:ind w:firstLine="420" w:firstLineChars="200"/>
        <w:rPr>
          <w:rFonts w:hint="eastAsia" w:ascii="宋体" w:hAnsi="宋体" w:eastAsia="宋体" w:cs="宋体"/>
          <w:snapToGrid w:val="0"/>
          <w:color w:val="auto"/>
          <w:kern w:val="2"/>
          <w:sz w:val="21"/>
          <w:szCs w:val="21"/>
          <w:lang w:val="en-US"/>
        </w:rPr>
      </w:pPr>
      <w:r>
        <w:rPr>
          <w:rFonts w:hint="eastAsia" w:ascii="宋体" w:hAnsi="宋体" w:eastAsia="宋体" w:cs="宋体"/>
          <w:snapToGrid w:val="0"/>
          <w:color w:val="auto"/>
          <w:kern w:val="2"/>
          <w:sz w:val="21"/>
          <w:szCs w:val="21"/>
          <w:lang w:val="en-US" w:eastAsia="zh-CN"/>
        </w:rPr>
        <w:t>3</w:t>
      </w:r>
      <w:r>
        <w:rPr>
          <w:rFonts w:hint="eastAsia" w:ascii="宋体" w:hAnsi="宋体" w:eastAsia="宋体" w:cs="宋体"/>
          <w:snapToGrid w:val="0"/>
          <w:color w:val="auto"/>
          <w:kern w:val="2"/>
          <w:sz w:val="21"/>
          <w:szCs w:val="21"/>
        </w:rPr>
        <w:t>.</w:t>
      </w:r>
      <w:r>
        <w:rPr>
          <w:rFonts w:hint="eastAsia" w:ascii="宋体" w:hAnsi="宋体" w:eastAsia="宋体" w:cs="宋体"/>
          <w:snapToGrid w:val="0"/>
          <w:kern w:val="2"/>
          <w:sz w:val="21"/>
          <w:szCs w:val="21"/>
          <w:lang w:val="en-US" w:eastAsia="zh-CN"/>
        </w:rPr>
        <w:t>本项目执行促进中小型企业发展政策（监狱企业、残疾人福利性企业视同小微企业）、强制采购节能产品、优先采购节能环保产品等政府采购政策。落实《河南省民政厅河南省财政厅关于印发河南省政府购买社会工作服务实施办法的通知》豫民〔2013〕3号、《郑州市民政局郑州市财政局关于印发郑州市政府购买社会工作服务实施办法的通知》郑民文〔2016〕67号、《郑东新区政府购买社会工作服务实施办法》郑东办〔2020〕32号等政府采购政策。</w:t>
      </w:r>
    </w:p>
    <w:p w14:paraId="1EFFF189">
      <w:pPr>
        <w:pStyle w:val="9"/>
        <w:spacing w:line="360" w:lineRule="auto"/>
        <w:ind w:firstLine="420" w:firstLineChars="200"/>
        <w:rPr>
          <w:rFonts w:hint="default" w:ascii="宋体" w:hAnsi="宋体" w:eastAsia="宋体" w:cs="宋体"/>
          <w:snapToGrid w:val="0"/>
          <w:color w:val="auto"/>
          <w:kern w:val="2"/>
          <w:sz w:val="21"/>
          <w:szCs w:val="21"/>
          <w:lang w:val="en-US" w:eastAsia="zh-CN"/>
        </w:rPr>
      </w:pPr>
      <w:r>
        <w:rPr>
          <w:rFonts w:hint="eastAsia" w:ascii="宋体" w:hAnsi="宋体" w:eastAsia="宋体" w:cs="宋体"/>
          <w:snapToGrid w:val="0"/>
          <w:color w:val="auto"/>
          <w:kern w:val="2"/>
          <w:sz w:val="21"/>
          <w:szCs w:val="21"/>
          <w:lang w:val="en-US" w:eastAsia="zh-CN"/>
        </w:rPr>
        <w:t>4.</w:t>
      </w:r>
      <w:r>
        <w:rPr>
          <w:rFonts w:hint="eastAsia" w:ascii="宋体" w:hAnsi="宋体" w:eastAsia="宋体" w:cs="宋体"/>
          <w:snapToGrid w:val="0"/>
          <w:color w:val="auto"/>
          <w:kern w:val="2"/>
          <w:sz w:val="21"/>
          <w:szCs w:val="21"/>
        </w:rPr>
        <w:t>其他要求</w:t>
      </w:r>
    </w:p>
    <w:p w14:paraId="07C8EC75">
      <w:pPr>
        <w:pStyle w:val="9"/>
        <w:spacing w:line="360" w:lineRule="auto"/>
        <w:ind w:firstLine="420" w:firstLineChars="200"/>
        <w:rPr>
          <w:rFonts w:hint="eastAsia" w:ascii="宋体" w:hAnsi="宋体" w:eastAsia="宋体" w:cs="宋体"/>
          <w:snapToGrid w:val="0"/>
          <w:color w:val="auto"/>
          <w:kern w:val="2"/>
          <w:sz w:val="21"/>
          <w:szCs w:val="21"/>
          <w:lang w:val="en-US" w:eastAsia="zh-CN"/>
        </w:rPr>
      </w:pPr>
      <w:r>
        <w:rPr>
          <w:rFonts w:hint="eastAsia" w:ascii="宋体" w:hAnsi="宋体" w:eastAsia="宋体" w:cs="宋体"/>
          <w:snapToGrid w:val="0"/>
          <w:color w:val="auto"/>
          <w:kern w:val="2"/>
          <w:sz w:val="21"/>
          <w:szCs w:val="21"/>
          <w:lang w:val="en-US"/>
        </w:rPr>
        <w:t>供应商可对多个标包进行投报</w:t>
      </w:r>
      <w:r>
        <w:rPr>
          <w:rFonts w:hint="eastAsia" w:ascii="宋体" w:hAnsi="宋体" w:eastAsia="宋体" w:cs="宋体"/>
          <w:snapToGrid w:val="0"/>
          <w:color w:val="auto"/>
          <w:kern w:val="2"/>
          <w:sz w:val="21"/>
          <w:szCs w:val="21"/>
          <w:lang w:val="en-US" w:eastAsia="zh-CN"/>
        </w:rPr>
        <w:t>。</w:t>
      </w:r>
      <w:r>
        <w:rPr>
          <w:rFonts w:hint="eastAsia" w:ascii="宋体" w:hAnsi="宋体" w:eastAsia="宋体" w:cs="宋体"/>
          <w:snapToGrid w:val="0"/>
          <w:color w:val="auto"/>
          <w:kern w:val="2"/>
          <w:sz w:val="21"/>
          <w:szCs w:val="21"/>
          <w:lang w:val="en-US"/>
        </w:rPr>
        <w:t>评审时按照</w:t>
      </w:r>
      <w:r>
        <w:rPr>
          <w:rFonts w:hint="eastAsia" w:ascii="宋体" w:hAnsi="宋体" w:eastAsia="宋体" w:cs="宋体"/>
          <w:snapToGrid w:val="0"/>
          <w:color w:val="auto"/>
          <w:kern w:val="2"/>
          <w:sz w:val="21"/>
          <w:szCs w:val="21"/>
          <w:lang w:val="en-US" w:eastAsia="zh-CN"/>
        </w:rPr>
        <w:t>标包顺序</w:t>
      </w:r>
      <w:r>
        <w:rPr>
          <w:rFonts w:hint="eastAsia" w:ascii="宋体" w:hAnsi="宋体" w:eastAsia="宋体" w:cs="宋体"/>
          <w:snapToGrid w:val="0"/>
          <w:color w:val="auto"/>
          <w:kern w:val="2"/>
          <w:sz w:val="21"/>
          <w:szCs w:val="21"/>
          <w:lang w:val="en-US"/>
        </w:rPr>
        <w:t>进行</w:t>
      </w:r>
      <w:r>
        <w:rPr>
          <w:rFonts w:hint="eastAsia" w:ascii="宋体" w:hAnsi="宋体" w:eastAsia="宋体" w:cs="宋体"/>
          <w:snapToGrid w:val="0"/>
          <w:color w:val="auto"/>
          <w:kern w:val="2"/>
          <w:sz w:val="21"/>
          <w:szCs w:val="21"/>
          <w:lang w:val="en-US" w:eastAsia="zh-CN"/>
        </w:rPr>
        <w:t>评审并推荐中标候选人。</w:t>
      </w:r>
    </w:p>
    <w:p w14:paraId="7F0A92C5">
      <w:pPr>
        <w:pStyle w:val="9"/>
        <w:spacing w:line="360" w:lineRule="auto"/>
        <w:ind w:firstLine="420" w:firstLineChars="200"/>
        <w:rPr>
          <w:rFonts w:hint="eastAsia" w:ascii="宋体" w:hAnsi="宋体" w:eastAsia="宋体" w:cs="宋体"/>
          <w:snapToGrid w:val="0"/>
          <w:color w:val="auto"/>
          <w:kern w:val="2"/>
          <w:sz w:val="21"/>
          <w:szCs w:val="21"/>
          <w:lang w:val="en-US" w:eastAsia="zh-CN"/>
        </w:rPr>
      </w:pPr>
      <w:r>
        <w:rPr>
          <w:rFonts w:hint="eastAsia" w:ascii="宋体" w:hAnsi="宋体" w:eastAsia="宋体" w:cs="宋体"/>
          <w:snapToGrid w:val="0"/>
          <w:color w:val="auto"/>
          <w:kern w:val="2"/>
          <w:sz w:val="21"/>
          <w:szCs w:val="21"/>
          <w:lang w:val="en-US" w:eastAsia="zh-CN"/>
        </w:rPr>
        <w:t>①如果某供应商被推荐为A包的第一中标候选人，则其它标包不再推荐其为中标候选人。</w:t>
      </w:r>
    </w:p>
    <w:p w14:paraId="48DCCD4D">
      <w:pPr>
        <w:pStyle w:val="9"/>
        <w:spacing w:line="360" w:lineRule="auto"/>
        <w:ind w:firstLine="420" w:firstLineChars="200"/>
        <w:rPr>
          <w:rFonts w:hint="eastAsia" w:ascii="宋体" w:hAnsi="宋体" w:eastAsia="宋体" w:cs="宋体"/>
          <w:snapToGrid w:val="0"/>
          <w:color w:val="auto"/>
          <w:kern w:val="2"/>
          <w:sz w:val="21"/>
          <w:szCs w:val="21"/>
          <w:lang w:val="en-US" w:eastAsia="zh-CN"/>
        </w:rPr>
      </w:pPr>
      <w:r>
        <w:rPr>
          <w:rFonts w:hint="eastAsia" w:ascii="宋体" w:hAnsi="宋体" w:eastAsia="宋体" w:cs="宋体"/>
          <w:snapToGrid w:val="0"/>
          <w:kern w:val="2"/>
          <w:sz w:val="21"/>
          <w:szCs w:val="21"/>
          <w:lang w:val="en-US" w:eastAsia="zh-CN"/>
        </w:rPr>
        <w:t>②</w:t>
      </w:r>
      <w:r>
        <w:rPr>
          <w:rFonts w:hint="eastAsia" w:ascii="宋体" w:hAnsi="宋体" w:eastAsia="宋体" w:cs="宋体"/>
          <w:snapToGrid w:val="0"/>
          <w:color w:val="auto"/>
          <w:kern w:val="2"/>
          <w:sz w:val="21"/>
          <w:szCs w:val="21"/>
          <w:lang w:val="en-US" w:eastAsia="zh-CN"/>
        </w:rPr>
        <w:t>如果某供应商在B包至K包评审综合得分由大到小的排序中，在2个以上（含2个）标包中排序第一，则标包顺序排序在前的那个标包推荐此供应商为第一中标候选人（剩余标包顺序排序在后的几个标包不再推荐此供应商为第一中标候选人）。（中标候选人推荐原则详见第三章评标办法。）</w:t>
      </w:r>
    </w:p>
    <w:p w14:paraId="5B898658">
      <w:pPr>
        <w:autoSpaceDE w:val="0"/>
        <w:autoSpaceDN w:val="0"/>
        <w:adjustRightInd w:val="0"/>
        <w:snapToGrid w:val="0"/>
        <w:spacing w:line="360" w:lineRule="auto"/>
        <w:jc w:val="left"/>
        <w:rPr>
          <w:rFonts w:ascii="宋体" w:hAnsi="宋体" w:cs="宋体"/>
          <w:b/>
          <w:bCs/>
          <w:snapToGrid w:val="0"/>
          <w:szCs w:val="21"/>
        </w:rPr>
      </w:pPr>
      <w:r>
        <w:rPr>
          <w:rFonts w:hint="eastAsia" w:ascii="宋体" w:hAnsi="宋体" w:cs="宋体"/>
          <w:b/>
          <w:bCs/>
          <w:snapToGrid w:val="0"/>
          <w:color w:val="auto"/>
          <w:szCs w:val="21"/>
        </w:rPr>
        <w:t>八、凡对本次招标提出询问，请按照以下方式联系</w:t>
      </w:r>
    </w:p>
    <w:p w14:paraId="75FC598A">
      <w:pPr>
        <w:autoSpaceDE w:val="0"/>
        <w:autoSpaceDN w:val="0"/>
        <w:adjustRightInd w:val="0"/>
        <w:snapToGrid w:val="0"/>
        <w:spacing w:line="360" w:lineRule="auto"/>
        <w:ind w:firstLine="420" w:firstLineChars="200"/>
        <w:jc w:val="left"/>
        <w:rPr>
          <w:rFonts w:ascii="宋体" w:hAnsi="宋体" w:cs="宋体"/>
          <w:snapToGrid w:val="0"/>
          <w:szCs w:val="21"/>
        </w:rPr>
      </w:pPr>
      <w:r>
        <w:rPr>
          <w:rFonts w:hint="eastAsia" w:ascii="宋体" w:hAnsi="宋体" w:cs="宋体"/>
          <w:snapToGrid w:val="0"/>
          <w:szCs w:val="21"/>
        </w:rPr>
        <w:t>1.</w:t>
      </w:r>
      <w:r>
        <w:rPr>
          <w:rFonts w:hint="eastAsia" w:ascii="宋体" w:hAnsi="宋体" w:cs="宋体"/>
          <w:snapToGrid w:val="0"/>
          <w:szCs w:val="21"/>
          <w:lang w:eastAsia="zh-CN"/>
        </w:rPr>
        <w:t>采购人</w:t>
      </w:r>
      <w:r>
        <w:rPr>
          <w:rFonts w:hint="eastAsia" w:ascii="宋体" w:hAnsi="宋体" w:cs="宋体"/>
          <w:snapToGrid w:val="0"/>
          <w:szCs w:val="21"/>
        </w:rPr>
        <w:t>信息</w:t>
      </w:r>
    </w:p>
    <w:p w14:paraId="1663CFE0">
      <w:pPr>
        <w:autoSpaceDE w:val="0"/>
        <w:autoSpaceDN w:val="0"/>
        <w:adjustRightInd w:val="0"/>
        <w:snapToGrid w:val="0"/>
        <w:spacing w:line="360" w:lineRule="auto"/>
        <w:ind w:firstLine="630" w:firstLineChars="300"/>
        <w:jc w:val="left"/>
        <w:rPr>
          <w:rFonts w:hint="eastAsia" w:ascii="宋体" w:hAnsi="宋体" w:eastAsia="宋体" w:cs="宋体"/>
          <w:snapToGrid w:val="0"/>
          <w:color w:val="000000" w:themeColor="text1"/>
          <w:szCs w:val="21"/>
          <w:highlight w:val="none"/>
          <w:lang w:eastAsia="zh-CN"/>
          <w14:textFill>
            <w14:solidFill>
              <w14:schemeClr w14:val="tx1"/>
            </w14:solidFill>
          </w14:textFill>
        </w:rPr>
      </w:pPr>
      <w:r>
        <w:rPr>
          <w:rFonts w:hint="eastAsia" w:ascii="宋体" w:hAnsi="宋体" w:cs="宋体"/>
          <w:snapToGrid w:val="0"/>
          <w:color w:val="000000" w:themeColor="text1"/>
          <w:szCs w:val="21"/>
          <w:highlight w:val="none"/>
          <w14:textFill>
            <w14:solidFill>
              <w14:schemeClr w14:val="tx1"/>
            </w14:solidFill>
          </w14:textFill>
        </w:rPr>
        <w:t>名  称：</w:t>
      </w:r>
      <w:r>
        <w:rPr>
          <w:rFonts w:hint="eastAsia" w:ascii="Times New Roman" w:eastAsia="宋体"/>
          <w:color w:val="000000" w:themeColor="text1"/>
          <w:sz w:val="21"/>
          <w:szCs w:val="21"/>
          <w:highlight w:val="none"/>
          <w:lang w:val="en-US" w:eastAsia="zh-CN"/>
          <w14:textFill>
            <w14:solidFill>
              <w14:schemeClr w14:val="tx1"/>
            </w14:solidFill>
          </w14:textFill>
        </w:rPr>
        <w:t>郑州市郑东新区社会事业局</w:t>
      </w:r>
    </w:p>
    <w:p w14:paraId="086D10FF">
      <w:pPr>
        <w:autoSpaceDE w:val="0"/>
        <w:autoSpaceDN w:val="0"/>
        <w:adjustRightInd w:val="0"/>
        <w:snapToGrid w:val="0"/>
        <w:spacing w:line="360" w:lineRule="auto"/>
        <w:ind w:firstLine="630" w:firstLineChars="300"/>
        <w:jc w:val="left"/>
        <w:rPr>
          <w:rFonts w:hint="default" w:ascii="宋体" w:hAnsi="宋体" w:eastAsia="宋体" w:cs="宋体"/>
          <w:snapToGrid w:val="0"/>
          <w:color w:val="000000" w:themeColor="text1"/>
          <w:szCs w:val="21"/>
          <w:highlight w:val="none"/>
          <w:lang w:val="en-US" w:eastAsia="zh-CN"/>
          <w14:textFill>
            <w14:solidFill>
              <w14:schemeClr w14:val="tx1"/>
            </w14:solidFill>
          </w14:textFill>
        </w:rPr>
      </w:pPr>
      <w:r>
        <w:rPr>
          <w:rFonts w:hint="eastAsia" w:ascii="宋体" w:hAnsi="宋体" w:cs="宋体"/>
          <w:snapToGrid w:val="0"/>
          <w:color w:val="000000" w:themeColor="text1"/>
          <w:szCs w:val="21"/>
          <w:highlight w:val="none"/>
          <w14:textFill>
            <w14:solidFill>
              <w14:schemeClr w14:val="tx1"/>
            </w14:solidFill>
          </w14:textFill>
        </w:rPr>
        <w:t>地  址：</w:t>
      </w:r>
      <w:r>
        <w:rPr>
          <w:rFonts w:hint="eastAsia" w:ascii="宋体" w:hAnsi="宋体" w:cs="宋体"/>
          <w:snapToGrid w:val="0"/>
          <w:color w:val="000000" w:themeColor="text1"/>
          <w:szCs w:val="21"/>
          <w:highlight w:val="none"/>
          <w:lang w:val="en-US"/>
          <w14:textFill>
            <w14:solidFill>
              <w14:schemeClr w14:val="tx1"/>
            </w14:solidFill>
          </w14:textFill>
        </w:rPr>
        <w:t>金融智谷2号楼15楼</w:t>
      </w:r>
    </w:p>
    <w:p w14:paraId="0BD34FEE">
      <w:pPr>
        <w:autoSpaceDE w:val="0"/>
        <w:autoSpaceDN w:val="0"/>
        <w:adjustRightInd w:val="0"/>
        <w:snapToGrid w:val="0"/>
        <w:spacing w:line="360" w:lineRule="auto"/>
        <w:ind w:firstLine="630" w:firstLineChars="300"/>
        <w:jc w:val="left"/>
        <w:rPr>
          <w:rFonts w:ascii="宋体" w:hAnsi="宋体" w:cs="宋体"/>
          <w:snapToGrid w:val="0"/>
          <w:color w:val="000000" w:themeColor="text1"/>
          <w:szCs w:val="21"/>
          <w:highlight w:val="none"/>
          <w14:textFill>
            <w14:solidFill>
              <w14:schemeClr w14:val="tx1"/>
            </w14:solidFill>
          </w14:textFill>
        </w:rPr>
      </w:pPr>
      <w:r>
        <w:rPr>
          <w:rFonts w:hint="eastAsia" w:ascii="宋体" w:hAnsi="宋体" w:cs="宋体"/>
          <w:snapToGrid w:val="0"/>
          <w:color w:val="000000" w:themeColor="text1"/>
          <w:szCs w:val="21"/>
          <w:highlight w:val="none"/>
          <w14:textFill>
            <w14:solidFill>
              <w14:schemeClr w14:val="tx1"/>
            </w14:solidFill>
          </w14:textFill>
        </w:rPr>
        <w:t>联系人</w:t>
      </w:r>
      <w:r>
        <w:rPr>
          <w:rFonts w:hint="eastAsia" w:ascii="宋体" w:hAnsi="宋体" w:cs="宋体"/>
          <w:snapToGrid w:val="0"/>
          <w:color w:val="000000" w:themeColor="text1"/>
          <w:szCs w:val="21"/>
          <w:highlight w:val="none"/>
          <w:lang w:eastAsia="zh-CN"/>
          <w14:textFill>
            <w14:solidFill>
              <w14:schemeClr w14:val="tx1"/>
            </w14:solidFill>
          </w14:textFill>
        </w:rPr>
        <w:t>：周金亚</w:t>
      </w:r>
    </w:p>
    <w:p w14:paraId="743B4D34">
      <w:pPr>
        <w:autoSpaceDE w:val="0"/>
        <w:autoSpaceDN w:val="0"/>
        <w:adjustRightInd w:val="0"/>
        <w:snapToGrid w:val="0"/>
        <w:spacing w:line="360" w:lineRule="auto"/>
        <w:ind w:firstLine="630" w:firstLineChars="300"/>
        <w:jc w:val="left"/>
        <w:rPr>
          <w:rFonts w:hint="default" w:ascii="宋体" w:hAnsi="宋体" w:eastAsia="宋体" w:cs="宋体"/>
          <w:snapToGrid w:val="0"/>
          <w:color w:val="000000" w:themeColor="text1"/>
          <w:szCs w:val="21"/>
          <w:highlight w:val="none"/>
          <w:lang w:val="en-US" w:eastAsia="zh-CN"/>
          <w14:textFill>
            <w14:solidFill>
              <w14:schemeClr w14:val="tx1"/>
            </w14:solidFill>
          </w14:textFill>
        </w:rPr>
      </w:pPr>
      <w:r>
        <w:rPr>
          <w:rFonts w:hint="eastAsia" w:ascii="宋体" w:hAnsi="宋体" w:cs="宋体"/>
          <w:snapToGrid w:val="0"/>
          <w:color w:val="000000" w:themeColor="text1"/>
          <w:szCs w:val="21"/>
          <w:highlight w:val="none"/>
          <w14:textFill>
            <w14:solidFill>
              <w14:schemeClr w14:val="tx1"/>
            </w14:solidFill>
          </w14:textFill>
        </w:rPr>
        <w:t>电  话：</w:t>
      </w:r>
      <w:r>
        <w:rPr>
          <w:rFonts w:hint="eastAsia" w:ascii="宋体" w:hAnsi="宋体" w:cs="宋体"/>
          <w:snapToGrid w:val="0"/>
          <w:color w:val="000000" w:themeColor="text1"/>
          <w:szCs w:val="21"/>
          <w:highlight w:val="none"/>
          <w:lang w:val="en-US" w:eastAsia="zh-CN"/>
          <w14:textFill>
            <w14:solidFill>
              <w14:schemeClr w14:val="tx1"/>
            </w14:solidFill>
          </w14:textFill>
        </w:rPr>
        <w:t>0371-67179934</w:t>
      </w:r>
    </w:p>
    <w:p w14:paraId="36EF6BA4">
      <w:pPr>
        <w:autoSpaceDE w:val="0"/>
        <w:autoSpaceDN w:val="0"/>
        <w:adjustRightInd w:val="0"/>
        <w:snapToGrid w:val="0"/>
        <w:spacing w:line="360" w:lineRule="auto"/>
        <w:ind w:firstLine="420" w:firstLineChars="200"/>
        <w:jc w:val="left"/>
        <w:rPr>
          <w:rFonts w:ascii="宋体" w:hAnsi="宋体" w:cs="宋体"/>
          <w:snapToGrid w:val="0"/>
          <w:szCs w:val="21"/>
          <w:highlight w:val="none"/>
        </w:rPr>
      </w:pPr>
      <w:r>
        <w:rPr>
          <w:rFonts w:hint="eastAsia" w:ascii="宋体" w:hAnsi="宋体" w:cs="宋体"/>
          <w:snapToGrid w:val="0"/>
          <w:szCs w:val="21"/>
          <w:highlight w:val="none"/>
        </w:rPr>
        <w:t>2.采购代理机构信息</w:t>
      </w:r>
    </w:p>
    <w:p w14:paraId="383DCEE3">
      <w:pPr>
        <w:autoSpaceDE w:val="0"/>
        <w:autoSpaceDN w:val="0"/>
        <w:adjustRightInd w:val="0"/>
        <w:snapToGrid w:val="0"/>
        <w:spacing w:line="360" w:lineRule="auto"/>
        <w:ind w:firstLine="630" w:firstLineChars="300"/>
        <w:jc w:val="left"/>
        <w:rPr>
          <w:rFonts w:ascii="宋体" w:hAnsi="宋体" w:cs="宋体"/>
          <w:snapToGrid w:val="0"/>
          <w:szCs w:val="21"/>
        </w:rPr>
      </w:pPr>
      <w:r>
        <w:rPr>
          <w:rFonts w:hint="eastAsia" w:ascii="宋体" w:hAnsi="宋体" w:cs="宋体"/>
          <w:snapToGrid w:val="0"/>
          <w:szCs w:val="21"/>
        </w:rPr>
        <w:t>名  称：河南怀德敏行工程管理有限公司</w:t>
      </w:r>
    </w:p>
    <w:p w14:paraId="2B1B1C78">
      <w:pPr>
        <w:autoSpaceDE w:val="0"/>
        <w:autoSpaceDN w:val="0"/>
        <w:adjustRightInd w:val="0"/>
        <w:snapToGrid w:val="0"/>
        <w:spacing w:line="360" w:lineRule="auto"/>
        <w:ind w:firstLine="630" w:firstLineChars="300"/>
        <w:jc w:val="left"/>
        <w:rPr>
          <w:rFonts w:ascii="宋体" w:hAnsi="宋体" w:cs="宋体"/>
          <w:snapToGrid w:val="0"/>
          <w:szCs w:val="21"/>
        </w:rPr>
      </w:pPr>
      <w:r>
        <w:rPr>
          <w:rFonts w:hint="eastAsia" w:ascii="宋体" w:hAnsi="宋体" w:cs="宋体"/>
          <w:snapToGrid w:val="0"/>
          <w:szCs w:val="21"/>
        </w:rPr>
        <w:t>地  址：郑州市二七路新时代广场7楼南户</w:t>
      </w:r>
    </w:p>
    <w:p w14:paraId="683B486B">
      <w:pPr>
        <w:autoSpaceDE w:val="0"/>
        <w:autoSpaceDN w:val="0"/>
        <w:adjustRightInd w:val="0"/>
        <w:snapToGrid w:val="0"/>
        <w:spacing w:line="360" w:lineRule="auto"/>
        <w:ind w:firstLine="630" w:firstLineChars="300"/>
        <w:jc w:val="left"/>
        <w:rPr>
          <w:rFonts w:ascii="宋体" w:hAnsi="宋体" w:cs="宋体"/>
          <w:snapToGrid w:val="0"/>
          <w:szCs w:val="21"/>
        </w:rPr>
      </w:pPr>
      <w:r>
        <w:rPr>
          <w:rFonts w:hint="eastAsia" w:ascii="宋体" w:hAnsi="宋体" w:cs="宋体"/>
          <w:snapToGrid w:val="0"/>
          <w:szCs w:val="21"/>
        </w:rPr>
        <w:t>联系人：乔</w:t>
      </w:r>
      <w:r>
        <w:rPr>
          <w:rFonts w:hint="eastAsia" w:ascii="宋体" w:hAnsi="宋体" w:cs="宋体"/>
          <w:snapToGrid w:val="0"/>
          <w:szCs w:val="21"/>
          <w:lang w:eastAsia="zh-CN"/>
        </w:rPr>
        <w:t>甲正</w:t>
      </w:r>
      <w:r>
        <w:rPr>
          <w:rFonts w:hint="eastAsia" w:ascii="宋体" w:hAnsi="宋体" w:cs="宋体"/>
          <w:snapToGrid w:val="0"/>
          <w:szCs w:val="21"/>
        </w:rPr>
        <w:t xml:space="preserve"> </w:t>
      </w:r>
    </w:p>
    <w:p w14:paraId="69B91BAE">
      <w:pPr>
        <w:autoSpaceDE w:val="0"/>
        <w:autoSpaceDN w:val="0"/>
        <w:adjustRightInd w:val="0"/>
        <w:snapToGrid w:val="0"/>
        <w:spacing w:line="360" w:lineRule="auto"/>
        <w:ind w:firstLine="630" w:firstLineChars="300"/>
        <w:jc w:val="left"/>
        <w:rPr>
          <w:rFonts w:ascii="宋体" w:hAnsi="宋体" w:cs="宋体"/>
          <w:snapToGrid w:val="0"/>
          <w:szCs w:val="21"/>
        </w:rPr>
      </w:pPr>
      <w:r>
        <w:rPr>
          <w:rFonts w:hint="eastAsia" w:ascii="宋体" w:hAnsi="宋体" w:cs="宋体"/>
          <w:snapToGrid w:val="0"/>
          <w:szCs w:val="21"/>
        </w:rPr>
        <w:t xml:space="preserve">联系方式：17739207048  </w:t>
      </w:r>
    </w:p>
    <w:p w14:paraId="5F1C75B9">
      <w:pPr>
        <w:autoSpaceDE w:val="0"/>
        <w:autoSpaceDN w:val="0"/>
        <w:adjustRightInd w:val="0"/>
        <w:snapToGrid w:val="0"/>
        <w:spacing w:line="360" w:lineRule="auto"/>
        <w:ind w:firstLine="420" w:firstLineChars="200"/>
        <w:jc w:val="left"/>
        <w:rPr>
          <w:rFonts w:ascii="宋体" w:hAnsi="宋体" w:cs="宋体"/>
          <w:snapToGrid w:val="0"/>
          <w:szCs w:val="21"/>
        </w:rPr>
      </w:pPr>
      <w:r>
        <w:rPr>
          <w:rFonts w:hint="eastAsia" w:ascii="宋体" w:hAnsi="宋体" w:cs="宋体"/>
          <w:snapToGrid w:val="0"/>
          <w:szCs w:val="21"/>
        </w:rPr>
        <w:t>3.项目联系方式</w:t>
      </w:r>
    </w:p>
    <w:p w14:paraId="12DA52FD">
      <w:pPr>
        <w:autoSpaceDE w:val="0"/>
        <w:autoSpaceDN w:val="0"/>
        <w:adjustRightInd w:val="0"/>
        <w:snapToGrid w:val="0"/>
        <w:spacing w:line="360" w:lineRule="auto"/>
        <w:ind w:firstLine="630" w:firstLineChars="300"/>
        <w:jc w:val="left"/>
        <w:rPr>
          <w:rFonts w:hint="eastAsia" w:ascii="宋体" w:hAnsi="宋体" w:eastAsia="宋体" w:cs="宋体"/>
          <w:snapToGrid w:val="0"/>
          <w:szCs w:val="21"/>
          <w:lang w:eastAsia="zh-CN"/>
        </w:rPr>
      </w:pPr>
      <w:r>
        <w:rPr>
          <w:rFonts w:hint="eastAsia" w:ascii="宋体" w:hAnsi="宋体" w:cs="宋体"/>
          <w:snapToGrid w:val="0"/>
          <w:szCs w:val="21"/>
        </w:rPr>
        <w:t>项目联系人：乔</w:t>
      </w:r>
      <w:r>
        <w:rPr>
          <w:rFonts w:hint="eastAsia" w:ascii="宋体" w:hAnsi="宋体" w:cs="宋体"/>
          <w:snapToGrid w:val="0"/>
          <w:szCs w:val="21"/>
          <w:lang w:eastAsia="zh-CN"/>
        </w:rPr>
        <w:t>甲正</w:t>
      </w:r>
    </w:p>
    <w:p w14:paraId="622F5C23">
      <w:pPr>
        <w:autoSpaceDE w:val="0"/>
        <w:autoSpaceDN w:val="0"/>
        <w:adjustRightInd w:val="0"/>
        <w:snapToGrid w:val="0"/>
        <w:spacing w:line="360" w:lineRule="auto"/>
        <w:ind w:firstLine="630" w:firstLineChars="300"/>
        <w:jc w:val="left"/>
        <w:rPr>
          <w:rFonts w:ascii="宋体" w:hAnsi="宋体" w:cs="宋体"/>
          <w:snapToGrid w:val="0"/>
          <w:szCs w:val="21"/>
        </w:rPr>
      </w:pPr>
      <w:r>
        <w:rPr>
          <w:rFonts w:hint="eastAsia" w:ascii="宋体" w:hAnsi="宋体" w:cs="宋体"/>
          <w:snapToGrid w:val="0"/>
          <w:szCs w:val="21"/>
        </w:rPr>
        <w:t>电  话：17739207048</w:t>
      </w:r>
    </w:p>
    <w:p w14:paraId="1E9AC73D">
      <w:pPr>
        <w:autoSpaceDE w:val="0"/>
        <w:autoSpaceDN w:val="0"/>
        <w:adjustRightInd w:val="0"/>
        <w:snapToGrid w:val="0"/>
        <w:spacing w:line="360" w:lineRule="auto"/>
        <w:jc w:val="left"/>
        <w:rPr>
          <w:rFonts w:ascii="宋体" w:hAnsi="宋体" w:cs="宋体"/>
          <w:b/>
          <w:bCs/>
          <w:snapToGrid w:val="0"/>
          <w:szCs w:val="21"/>
        </w:rPr>
      </w:pPr>
    </w:p>
    <w:p w14:paraId="4967F273">
      <w:pPr>
        <w:autoSpaceDE w:val="0"/>
        <w:autoSpaceDN w:val="0"/>
        <w:adjustRightInd w:val="0"/>
        <w:snapToGrid w:val="0"/>
        <w:spacing w:line="360" w:lineRule="auto"/>
        <w:jc w:val="left"/>
        <w:rPr>
          <w:rFonts w:ascii="宋体" w:hAnsi="宋体" w:cs="宋体"/>
          <w:b/>
          <w:bCs/>
          <w:snapToGrid w:val="0"/>
          <w:szCs w:val="21"/>
        </w:rPr>
      </w:pPr>
    </w:p>
    <w:p w14:paraId="483AB910">
      <w:pPr>
        <w:autoSpaceDE w:val="0"/>
        <w:autoSpaceDN w:val="0"/>
        <w:adjustRightInd w:val="0"/>
        <w:snapToGrid w:val="0"/>
        <w:spacing w:line="360" w:lineRule="auto"/>
        <w:jc w:val="right"/>
        <w:rPr>
          <w:rFonts w:ascii="宋体" w:hAnsi="宋体" w:cs="宋体"/>
          <w:szCs w:val="21"/>
          <w:highlight w:val="none"/>
        </w:rPr>
      </w:pPr>
      <w:r>
        <w:rPr>
          <w:rFonts w:hint="eastAsia" w:ascii="宋体" w:hAnsi="宋体" w:cs="宋体"/>
          <w:szCs w:val="21"/>
        </w:rPr>
        <w:t>发布人：河南怀</w:t>
      </w:r>
      <w:r>
        <w:rPr>
          <w:rFonts w:hint="eastAsia" w:ascii="宋体" w:hAnsi="宋体" w:cs="宋体"/>
          <w:szCs w:val="21"/>
          <w:highlight w:val="none"/>
        </w:rPr>
        <w:t>德敏行工程管理有限公司</w:t>
      </w:r>
    </w:p>
    <w:p w14:paraId="3FFC5D0D">
      <w:pPr>
        <w:autoSpaceDE w:val="0"/>
        <w:autoSpaceDN w:val="0"/>
        <w:adjustRightInd w:val="0"/>
        <w:snapToGrid w:val="0"/>
        <w:spacing w:line="360" w:lineRule="auto"/>
        <w:jc w:val="right"/>
        <w:rPr>
          <w:rFonts w:ascii="宋体" w:hAnsi="宋体" w:cs="宋体"/>
          <w:b/>
          <w:bCs/>
          <w:snapToGrid w:val="0"/>
          <w:szCs w:val="21"/>
          <w:highlight w:val="none"/>
        </w:rPr>
      </w:pPr>
      <w:r>
        <w:rPr>
          <w:rFonts w:hint="eastAsia" w:ascii="宋体" w:hAnsi="宋体" w:cs="宋体"/>
          <w:szCs w:val="21"/>
          <w:highlight w:val="none"/>
        </w:rPr>
        <w:t>发布时间：</w:t>
      </w:r>
      <w:r>
        <w:rPr>
          <w:rFonts w:hint="eastAsia" w:ascii="宋体" w:hAnsi="宋体" w:cs="宋体"/>
          <w:szCs w:val="21"/>
          <w:highlight w:val="none"/>
          <w:lang w:val="en-US" w:eastAsia="zh-CN"/>
        </w:rPr>
        <w:t xml:space="preserve">2024 </w:t>
      </w:r>
      <w:r>
        <w:rPr>
          <w:rFonts w:hint="eastAsia" w:ascii="宋体" w:hAnsi="宋体" w:cs="宋体"/>
          <w:szCs w:val="21"/>
          <w:highlight w:val="none"/>
        </w:rPr>
        <w:t>年</w:t>
      </w:r>
      <w:r>
        <w:rPr>
          <w:rFonts w:hint="eastAsia" w:ascii="宋体" w:hAnsi="宋体" w:cs="宋体"/>
          <w:szCs w:val="21"/>
          <w:highlight w:val="none"/>
          <w:lang w:val="en-US" w:eastAsia="zh-CN"/>
        </w:rPr>
        <w:t xml:space="preserve"> 08 </w:t>
      </w:r>
      <w:r>
        <w:rPr>
          <w:rFonts w:hint="eastAsia" w:ascii="宋体" w:hAnsi="宋体" w:cs="宋体"/>
          <w:szCs w:val="21"/>
          <w:highlight w:val="none"/>
        </w:rPr>
        <w:t>月</w:t>
      </w:r>
      <w:r>
        <w:rPr>
          <w:rFonts w:hint="eastAsia" w:ascii="宋体" w:hAnsi="宋体" w:cs="宋体"/>
          <w:szCs w:val="21"/>
          <w:highlight w:val="none"/>
          <w:lang w:val="en-US" w:eastAsia="zh-CN"/>
        </w:rPr>
        <w:t xml:space="preserve"> 22 </w:t>
      </w:r>
      <w:r>
        <w:rPr>
          <w:rFonts w:hint="eastAsia" w:ascii="宋体" w:hAnsi="宋体" w:cs="宋体"/>
          <w:szCs w:val="21"/>
          <w:highlight w:val="none"/>
        </w:rPr>
        <w:t>日</w:t>
      </w:r>
    </w:p>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14:paraId="5465B5C2">
      <w:pPr>
        <w:rPr>
          <w:rFonts w:ascii="宋体" w:hAnsi="宋体" w:cs="宋体"/>
        </w:rPr>
      </w:pPr>
      <w:bookmarkStart w:id="49" w:name="_Toc3376"/>
      <w:bookmarkStart w:id="50" w:name="_Toc13902"/>
      <w:bookmarkStart w:id="51" w:name="_Toc2164"/>
      <w:r>
        <w:rPr>
          <w:rFonts w:hint="eastAsia" w:ascii="宋体" w:hAnsi="宋体" w:cs="宋体"/>
        </w:rPr>
        <w:br w:type="page"/>
      </w:r>
    </w:p>
    <w:p w14:paraId="603674FC">
      <w:pPr>
        <w:pStyle w:val="3"/>
        <w:spacing w:before="156" w:beforeLines="50"/>
        <w:jc w:val="center"/>
        <w:rPr>
          <w:rFonts w:hint="eastAsia" w:ascii="宋体" w:hAnsi="宋体" w:eastAsia="宋体" w:cs="宋体"/>
          <w:lang w:eastAsia="zh-CN"/>
        </w:rPr>
      </w:pPr>
      <w:bookmarkStart w:id="52" w:name="_Toc9458"/>
      <w:bookmarkStart w:id="53" w:name="OLE_LINK30"/>
      <w:r>
        <w:rPr>
          <w:rFonts w:hint="eastAsia" w:ascii="宋体" w:hAnsi="宋体" w:cs="宋体"/>
        </w:rPr>
        <w:t xml:space="preserve">第二章 </w:t>
      </w:r>
      <w:bookmarkEnd w:id="26"/>
      <w:bookmarkEnd w:id="49"/>
      <w:bookmarkEnd w:id="50"/>
      <w:bookmarkEnd w:id="51"/>
      <w:bookmarkEnd w:id="52"/>
      <w:r>
        <w:rPr>
          <w:rFonts w:hint="eastAsia" w:ascii="宋体" w:hAnsi="宋体" w:cs="宋体"/>
          <w:lang w:eastAsia="zh-CN"/>
        </w:rPr>
        <w:t>供应商须知</w:t>
      </w:r>
      <w:bookmarkEnd w:id="53"/>
    </w:p>
    <w:p w14:paraId="7B1AAD14">
      <w:pPr>
        <w:spacing w:line="360" w:lineRule="auto"/>
        <w:jc w:val="center"/>
        <w:rPr>
          <w:rFonts w:ascii="宋体" w:hAnsi="宋体" w:cs="宋体"/>
          <w:b/>
          <w:sz w:val="24"/>
        </w:rPr>
      </w:pPr>
      <w:bookmarkStart w:id="54" w:name="_Toc184635070"/>
      <w:bookmarkStart w:id="55" w:name="OLE_LINK45"/>
      <w:r>
        <w:rPr>
          <w:rFonts w:hint="eastAsia" w:ascii="宋体" w:hAnsi="宋体" w:cs="宋体"/>
          <w:b/>
          <w:sz w:val="24"/>
          <w:lang w:eastAsia="zh-CN"/>
        </w:rPr>
        <w:t>供应商须知</w:t>
      </w:r>
      <w:r>
        <w:rPr>
          <w:rFonts w:hint="eastAsia" w:ascii="宋体" w:hAnsi="宋体" w:cs="宋体"/>
          <w:b/>
          <w:sz w:val="24"/>
        </w:rPr>
        <w:t>前附表</w:t>
      </w:r>
      <w:bookmarkEnd w:id="54"/>
    </w:p>
    <w:bookmarkEnd w:id="55"/>
    <w:tbl>
      <w:tblPr>
        <w:tblStyle w:val="26"/>
        <w:tblW w:w="9354" w:type="dxa"/>
        <w:tblInd w:w="-19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7"/>
        <w:gridCol w:w="2186"/>
        <w:gridCol w:w="6271"/>
      </w:tblGrid>
      <w:tr w14:paraId="63E8F6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5" w:hRule="atLeast"/>
        </w:trPr>
        <w:tc>
          <w:tcPr>
            <w:tcW w:w="897" w:type="dxa"/>
            <w:vAlign w:val="center"/>
          </w:tcPr>
          <w:p w14:paraId="67FC29E1">
            <w:pPr>
              <w:spacing w:line="360" w:lineRule="auto"/>
              <w:jc w:val="center"/>
              <w:rPr>
                <w:rFonts w:ascii="宋体" w:hAnsi="宋体" w:cs="宋体"/>
                <w:b/>
                <w:szCs w:val="21"/>
              </w:rPr>
            </w:pPr>
            <w:r>
              <w:rPr>
                <w:rFonts w:hint="eastAsia" w:ascii="宋体" w:hAnsi="宋体" w:cs="宋体"/>
                <w:b/>
                <w:szCs w:val="21"/>
              </w:rPr>
              <w:t>条款号</w:t>
            </w:r>
          </w:p>
        </w:tc>
        <w:tc>
          <w:tcPr>
            <w:tcW w:w="2186" w:type="dxa"/>
            <w:vAlign w:val="center"/>
          </w:tcPr>
          <w:p w14:paraId="77C14BAF">
            <w:pPr>
              <w:spacing w:line="360" w:lineRule="auto"/>
              <w:jc w:val="center"/>
              <w:rPr>
                <w:rFonts w:ascii="宋体" w:hAnsi="宋体" w:cs="宋体"/>
                <w:b/>
                <w:szCs w:val="21"/>
              </w:rPr>
            </w:pPr>
            <w:r>
              <w:rPr>
                <w:rFonts w:hint="eastAsia" w:ascii="宋体" w:hAnsi="宋体" w:cs="宋体"/>
                <w:b/>
                <w:szCs w:val="21"/>
              </w:rPr>
              <w:t>条 款 名 称</w:t>
            </w:r>
          </w:p>
        </w:tc>
        <w:tc>
          <w:tcPr>
            <w:tcW w:w="6271" w:type="dxa"/>
            <w:vAlign w:val="center"/>
          </w:tcPr>
          <w:p w14:paraId="45CA3D30">
            <w:pPr>
              <w:spacing w:line="360" w:lineRule="auto"/>
              <w:jc w:val="center"/>
              <w:rPr>
                <w:rFonts w:ascii="宋体" w:hAnsi="宋体" w:cs="宋体"/>
                <w:b/>
                <w:szCs w:val="21"/>
              </w:rPr>
            </w:pPr>
            <w:r>
              <w:rPr>
                <w:rFonts w:hint="eastAsia" w:ascii="宋体" w:hAnsi="宋体" w:cs="宋体"/>
                <w:b/>
                <w:szCs w:val="21"/>
              </w:rPr>
              <w:t>编 列 内 容</w:t>
            </w:r>
          </w:p>
        </w:tc>
      </w:tr>
      <w:tr w14:paraId="194F9F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8" w:hRule="atLeast"/>
        </w:trPr>
        <w:tc>
          <w:tcPr>
            <w:tcW w:w="897" w:type="dxa"/>
            <w:vAlign w:val="center"/>
          </w:tcPr>
          <w:p w14:paraId="4667A682">
            <w:pPr>
              <w:spacing w:line="360" w:lineRule="auto"/>
              <w:jc w:val="center"/>
              <w:rPr>
                <w:rFonts w:ascii="宋体" w:hAnsi="宋体" w:cs="宋体"/>
                <w:szCs w:val="21"/>
              </w:rPr>
            </w:pPr>
            <w:r>
              <w:rPr>
                <w:rFonts w:hint="eastAsia" w:ascii="宋体" w:hAnsi="宋体" w:cs="宋体"/>
                <w:szCs w:val="21"/>
              </w:rPr>
              <w:t>1.1.2</w:t>
            </w:r>
          </w:p>
        </w:tc>
        <w:tc>
          <w:tcPr>
            <w:tcW w:w="2186" w:type="dxa"/>
            <w:vAlign w:val="center"/>
          </w:tcPr>
          <w:p w14:paraId="0D115B6C">
            <w:pPr>
              <w:spacing w:line="360" w:lineRule="auto"/>
              <w:jc w:val="center"/>
              <w:rPr>
                <w:rFonts w:hint="eastAsia" w:ascii="宋体" w:hAnsi="宋体" w:eastAsia="宋体" w:cs="宋体"/>
                <w:color w:val="000000" w:themeColor="text1"/>
                <w:szCs w:val="21"/>
                <w:highlight w:val="none"/>
                <w:lang w:eastAsia="zh-CN"/>
                <w14:textFill>
                  <w14:solidFill>
                    <w14:schemeClr w14:val="tx1"/>
                  </w14:solidFill>
                </w14:textFill>
              </w:rPr>
            </w:pPr>
            <w:r>
              <w:rPr>
                <w:rFonts w:hint="eastAsia" w:ascii="宋体" w:hAnsi="宋体" w:cs="宋体"/>
                <w:color w:val="000000" w:themeColor="text1"/>
                <w:szCs w:val="21"/>
                <w:highlight w:val="none"/>
                <w:lang w:eastAsia="zh-CN"/>
                <w14:textFill>
                  <w14:solidFill>
                    <w14:schemeClr w14:val="tx1"/>
                  </w14:solidFill>
                </w14:textFill>
              </w:rPr>
              <w:t>采购人</w:t>
            </w:r>
          </w:p>
        </w:tc>
        <w:tc>
          <w:tcPr>
            <w:tcW w:w="6271" w:type="dxa"/>
            <w:vAlign w:val="center"/>
          </w:tcPr>
          <w:p w14:paraId="63CBE0BB">
            <w:pPr>
              <w:autoSpaceDE w:val="0"/>
              <w:autoSpaceDN w:val="0"/>
              <w:adjustRightInd w:val="0"/>
              <w:snapToGrid w:val="0"/>
              <w:spacing w:line="360" w:lineRule="auto"/>
              <w:jc w:val="left"/>
              <w:rPr>
                <w:rFonts w:hint="eastAsia" w:ascii="宋体" w:hAnsi="宋体" w:eastAsia="宋体" w:cs="宋体"/>
                <w:snapToGrid w:val="0"/>
                <w:color w:val="000000" w:themeColor="text1"/>
                <w:szCs w:val="21"/>
                <w:highlight w:val="none"/>
                <w:lang w:eastAsia="zh-CN"/>
                <w14:textFill>
                  <w14:solidFill>
                    <w14:schemeClr w14:val="tx1"/>
                  </w14:solidFill>
                </w14:textFill>
              </w:rPr>
            </w:pPr>
            <w:r>
              <w:rPr>
                <w:rFonts w:hint="eastAsia" w:ascii="宋体" w:hAnsi="宋体" w:cs="宋体"/>
                <w:snapToGrid w:val="0"/>
                <w:color w:val="000000" w:themeColor="text1"/>
                <w:szCs w:val="21"/>
                <w:highlight w:val="none"/>
                <w14:textFill>
                  <w14:solidFill>
                    <w14:schemeClr w14:val="tx1"/>
                  </w14:solidFill>
                </w14:textFill>
              </w:rPr>
              <w:t>名  称：</w:t>
            </w:r>
            <w:r>
              <w:rPr>
                <w:rFonts w:hint="eastAsia" w:ascii="宋体" w:hAnsi="宋体" w:cs="宋体"/>
                <w:snapToGrid w:val="0"/>
                <w:color w:val="000000" w:themeColor="text1"/>
                <w:szCs w:val="21"/>
                <w:highlight w:val="none"/>
                <w:lang w:eastAsia="zh-CN"/>
                <w14:textFill>
                  <w14:solidFill>
                    <w14:schemeClr w14:val="tx1"/>
                  </w14:solidFill>
                </w14:textFill>
              </w:rPr>
              <w:t>郑州市郑东新区社会事业局</w:t>
            </w:r>
          </w:p>
          <w:p w14:paraId="7BAAF96B">
            <w:pPr>
              <w:autoSpaceDE w:val="0"/>
              <w:autoSpaceDN w:val="0"/>
              <w:adjustRightInd w:val="0"/>
              <w:snapToGrid w:val="0"/>
              <w:spacing w:line="360" w:lineRule="auto"/>
              <w:jc w:val="left"/>
              <w:rPr>
                <w:rFonts w:hint="eastAsia" w:ascii="宋体" w:hAnsi="宋体" w:eastAsia="宋体" w:cs="宋体"/>
                <w:snapToGrid w:val="0"/>
                <w:color w:val="000000" w:themeColor="text1"/>
                <w:szCs w:val="21"/>
                <w:highlight w:val="none"/>
                <w:lang w:val="en-US" w:eastAsia="zh-CN"/>
                <w14:textFill>
                  <w14:solidFill>
                    <w14:schemeClr w14:val="tx1"/>
                  </w14:solidFill>
                </w14:textFill>
              </w:rPr>
            </w:pPr>
            <w:r>
              <w:rPr>
                <w:rFonts w:hint="eastAsia" w:ascii="宋体" w:hAnsi="宋体" w:cs="宋体"/>
                <w:snapToGrid w:val="0"/>
                <w:color w:val="000000" w:themeColor="text1"/>
                <w:szCs w:val="21"/>
                <w:highlight w:val="none"/>
                <w14:textFill>
                  <w14:solidFill>
                    <w14:schemeClr w14:val="tx1"/>
                  </w14:solidFill>
                </w14:textFill>
              </w:rPr>
              <w:t>地  址：</w:t>
            </w:r>
            <w:r>
              <w:rPr>
                <w:rFonts w:hint="default"/>
                <w:color w:val="000000" w:themeColor="text1"/>
                <w:sz w:val="21"/>
                <w:szCs w:val="21"/>
                <w:highlight w:val="none"/>
                <w:lang w:val="en-US"/>
                <w14:textFill>
                  <w14:solidFill>
                    <w14:schemeClr w14:val="tx1"/>
                  </w14:solidFill>
                </w14:textFill>
              </w:rPr>
              <w:t>金融智谷2号楼15楼</w:t>
            </w:r>
          </w:p>
          <w:p w14:paraId="6B6E2C47">
            <w:pPr>
              <w:autoSpaceDE w:val="0"/>
              <w:autoSpaceDN w:val="0"/>
              <w:adjustRightInd w:val="0"/>
              <w:snapToGrid w:val="0"/>
              <w:spacing w:line="360" w:lineRule="auto"/>
              <w:jc w:val="left"/>
              <w:rPr>
                <w:rFonts w:hint="eastAsia" w:ascii="宋体" w:hAnsi="宋体" w:eastAsia="宋体" w:cs="宋体"/>
                <w:snapToGrid w:val="0"/>
                <w:color w:val="000000" w:themeColor="text1"/>
                <w:szCs w:val="21"/>
                <w:highlight w:val="none"/>
                <w:lang w:eastAsia="zh-CN"/>
                <w14:textFill>
                  <w14:solidFill>
                    <w14:schemeClr w14:val="tx1"/>
                  </w14:solidFill>
                </w14:textFill>
              </w:rPr>
            </w:pPr>
            <w:r>
              <w:rPr>
                <w:rFonts w:hint="eastAsia" w:ascii="宋体" w:hAnsi="宋体" w:cs="宋体"/>
                <w:snapToGrid w:val="0"/>
                <w:color w:val="000000" w:themeColor="text1"/>
                <w:szCs w:val="21"/>
                <w:highlight w:val="none"/>
                <w14:textFill>
                  <w14:solidFill>
                    <w14:schemeClr w14:val="tx1"/>
                  </w14:solidFill>
                </w14:textFill>
              </w:rPr>
              <w:t>联系人：</w:t>
            </w:r>
            <w:r>
              <w:rPr>
                <w:rFonts w:hint="eastAsia" w:ascii="宋体" w:hAnsi="宋体" w:cs="宋体"/>
                <w:snapToGrid w:val="0"/>
                <w:color w:val="000000" w:themeColor="text1"/>
                <w:szCs w:val="21"/>
                <w:highlight w:val="none"/>
                <w:lang w:eastAsia="zh-CN"/>
                <w14:textFill>
                  <w14:solidFill>
                    <w14:schemeClr w14:val="tx1"/>
                  </w14:solidFill>
                </w14:textFill>
              </w:rPr>
              <w:t>周金亚</w:t>
            </w:r>
          </w:p>
          <w:p w14:paraId="40F014F7">
            <w:pPr>
              <w:autoSpaceDE w:val="0"/>
              <w:autoSpaceDN w:val="0"/>
              <w:adjustRightInd w:val="0"/>
              <w:snapToGrid w:val="0"/>
              <w:spacing w:line="360" w:lineRule="auto"/>
              <w:jc w:val="left"/>
              <w:rPr>
                <w:rFonts w:hint="default" w:ascii="宋体" w:hAnsi="宋体" w:eastAsia="宋体" w:cs="宋体"/>
                <w:color w:val="000000" w:themeColor="text1"/>
                <w:szCs w:val="21"/>
                <w:highlight w:val="none"/>
                <w:lang w:val="en-US" w:eastAsia="zh-CN"/>
                <w14:textFill>
                  <w14:solidFill>
                    <w14:schemeClr w14:val="tx1"/>
                  </w14:solidFill>
                </w14:textFill>
              </w:rPr>
            </w:pPr>
            <w:r>
              <w:rPr>
                <w:rFonts w:hint="eastAsia" w:ascii="宋体" w:hAnsi="宋体" w:cs="宋体"/>
                <w:snapToGrid w:val="0"/>
                <w:color w:val="000000" w:themeColor="text1"/>
                <w:szCs w:val="21"/>
                <w:highlight w:val="none"/>
                <w14:textFill>
                  <w14:solidFill>
                    <w14:schemeClr w14:val="tx1"/>
                  </w14:solidFill>
                </w14:textFill>
              </w:rPr>
              <w:t>电  话：</w:t>
            </w:r>
            <w:r>
              <w:rPr>
                <w:rFonts w:hint="eastAsia" w:ascii="宋体" w:hAnsi="宋体" w:cs="宋体"/>
                <w:snapToGrid w:val="0"/>
                <w:color w:val="000000" w:themeColor="text1"/>
                <w:szCs w:val="21"/>
                <w:highlight w:val="none"/>
                <w:lang w:val="en-US" w:eastAsia="zh-CN"/>
                <w14:textFill>
                  <w14:solidFill>
                    <w14:schemeClr w14:val="tx1"/>
                  </w14:solidFill>
                </w14:textFill>
              </w:rPr>
              <w:t>0371-67179934</w:t>
            </w:r>
          </w:p>
        </w:tc>
      </w:tr>
      <w:tr w14:paraId="0F2803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6" w:hRule="atLeast"/>
        </w:trPr>
        <w:tc>
          <w:tcPr>
            <w:tcW w:w="897" w:type="dxa"/>
            <w:vAlign w:val="center"/>
          </w:tcPr>
          <w:p w14:paraId="1E10A877">
            <w:pPr>
              <w:spacing w:line="360" w:lineRule="auto"/>
              <w:jc w:val="center"/>
              <w:rPr>
                <w:rFonts w:ascii="宋体" w:hAnsi="宋体" w:cs="宋体"/>
                <w:szCs w:val="21"/>
              </w:rPr>
            </w:pPr>
            <w:r>
              <w:rPr>
                <w:rFonts w:hint="eastAsia" w:ascii="宋体" w:hAnsi="宋体" w:cs="宋体"/>
                <w:szCs w:val="21"/>
              </w:rPr>
              <w:t>1.1.3</w:t>
            </w:r>
          </w:p>
        </w:tc>
        <w:tc>
          <w:tcPr>
            <w:tcW w:w="2186" w:type="dxa"/>
            <w:vAlign w:val="center"/>
          </w:tcPr>
          <w:p w14:paraId="68FE04F5">
            <w:pPr>
              <w:spacing w:line="360" w:lineRule="auto"/>
              <w:jc w:val="center"/>
              <w:rPr>
                <w:rFonts w:ascii="宋体" w:hAnsi="宋体" w:cs="宋体"/>
              </w:rPr>
            </w:pPr>
            <w:r>
              <w:rPr>
                <w:rFonts w:hint="eastAsia" w:ascii="宋体" w:hAnsi="宋体" w:cs="宋体"/>
              </w:rPr>
              <w:t>采购代理机构</w:t>
            </w:r>
          </w:p>
        </w:tc>
        <w:tc>
          <w:tcPr>
            <w:tcW w:w="6271" w:type="dxa"/>
            <w:vAlign w:val="center"/>
          </w:tcPr>
          <w:p w14:paraId="667236C2">
            <w:pPr>
              <w:spacing w:line="360" w:lineRule="auto"/>
              <w:rPr>
                <w:rFonts w:ascii="宋体" w:hAnsi="宋体" w:cs="宋体"/>
              </w:rPr>
            </w:pPr>
            <w:r>
              <w:rPr>
                <w:rFonts w:hint="eastAsia" w:ascii="宋体" w:hAnsi="宋体" w:cs="宋体"/>
              </w:rPr>
              <w:t>名  称：河南怀德敏行工程管理有限公司</w:t>
            </w:r>
          </w:p>
          <w:p w14:paraId="2A814D3E">
            <w:pPr>
              <w:spacing w:line="360" w:lineRule="auto"/>
              <w:rPr>
                <w:rFonts w:ascii="宋体" w:hAnsi="宋体" w:cs="宋体"/>
              </w:rPr>
            </w:pPr>
            <w:r>
              <w:rPr>
                <w:rFonts w:hint="eastAsia" w:ascii="宋体" w:hAnsi="宋体" w:cs="宋体"/>
              </w:rPr>
              <w:t>地  址：郑州市二七路新时代广场7楼南户</w:t>
            </w:r>
          </w:p>
          <w:p w14:paraId="2218E7F6">
            <w:pPr>
              <w:spacing w:line="360" w:lineRule="auto"/>
              <w:rPr>
                <w:rFonts w:hint="eastAsia" w:ascii="宋体" w:hAnsi="宋体" w:eastAsia="宋体" w:cs="宋体"/>
                <w:lang w:eastAsia="zh-CN"/>
              </w:rPr>
            </w:pPr>
            <w:r>
              <w:rPr>
                <w:rFonts w:hint="eastAsia" w:ascii="宋体" w:hAnsi="宋体" w:cs="宋体"/>
              </w:rPr>
              <w:t>联系人：乔</w:t>
            </w:r>
            <w:r>
              <w:rPr>
                <w:rFonts w:hint="eastAsia" w:ascii="宋体" w:hAnsi="宋体" w:cs="宋体"/>
                <w:lang w:eastAsia="zh-CN"/>
              </w:rPr>
              <w:t>甲正</w:t>
            </w:r>
          </w:p>
          <w:p w14:paraId="6C47720E">
            <w:pPr>
              <w:spacing w:line="360" w:lineRule="auto"/>
              <w:rPr>
                <w:rFonts w:ascii="宋体" w:hAnsi="宋体" w:cs="宋体"/>
              </w:rPr>
            </w:pPr>
            <w:r>
              <w:rPr>
                <w:rFonts w:hint="eastAsia" w:ascii="宋体" w:hAnsi="宋体" w:cs="宋体"/>
              </w:rPr>
              <w:t xml:space="preserve">联系方式：17739207048 </w:t>
            </w:r>
          </w:p>
        </w:tc>
      </w:tr>
      <w:tr w14:paraId="566B13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9" w:hRule="atLeast"/>
        </w:trPr>
        <w:tc>
          <w:tcPr>
            <w:tcW w:w="897" w:type="dxa"/>
            <w:vAlign w:val="center"/>
          </w:tcPr>
          <w:p w14:paraId="4E6E4F42">
            <w:pPr>
              <w:spacing w:line="360" w:lineRule="auto"/>
              <w:jc w:val="center"/>
              <w:rPr>
                <w:rFonts w:ascii="宋体" w:hAnsi="宋体" w:cs="宋体"/>
                <w:szCs w:val="21"/>
              </w:rPr>
            </w:pPr>
            <w:r>
              <w:rPr>
                <w:rFonts w:hint="eastAsia" w:ascii="宋体" w:hAnsi="宋体" w:cs="宋体"/>
                <w:szCs w:val="21"/>
              </w:rPr>
              <w:t>1.1.4</w:t>
            </w:r>
          </w:p>
        </w:tc>
        <w:tc>
          <w:tcPr>
            <w:tcW w:w="2186" w:type="dxa"/>
            <w:vAlign w:val="center"/>
          </w:tcPr>
          <w:p w14:paraId="20BC81C4">
            <w:pPr>
              <w:spacing w:line="360" w:lineRule="auto"/>
              <w:jc w:val="center"/>
              <w:rPr>
                <w:rFonts w:ascii="宋体" w:hAnsi="宋体" w:cs="宋体"/>
                <w:szCs w:val="21"/>
              </w:rPr>
            </w:pPr>
            <w:r>
              <w:rPr>
                <w:rFonts w:hint="eastAsia" w:ascii="宋体" w:hAnsi="宋体" w:cs="宋体"/>
                <w:szCs w:val="21"/>
              </w:rPr>
              <w:t>项目名称</w:t>
            </w:r>
          </w:p>
        </w:tc>
        <w:tc>
          <w:tcPr>
            <w:tcW w:w="6271" w:type="dxa"/>
            <w:vAlign w:val="center"/>
          </w:tcPr>
          <w:p w14:paraId="59BC6039">
            <w:pPr>
              <w:spacing w:line="360" w:lineRule="auto"/>
              <w:jc w:val="left"/>
              <w:rPr>
                <w:rFonts w:hint="eastAsia" w:ascii="宋体" w:hAnsi="宋体" w:cs="宋体"/>
                <w:szCs w:val="21"/>
                <w:lang w:eastAsia="zh-CN"/>
              </w:rPr>
            </w:pPr>
            <w:r>
              <w:rPr>
                <w:rFonts w:hint="eastAsia" w:ascii="宋体" w:hAnsi="宋体" w:cs="宋体"/>
                <w:szCs w:val="21"/>
                <w:lang w:val="en-US" w:eastAsia="zh-CN"/>
              </w:rPr>
              <w:t>郑州市郑东新区社会事业局郑州市郑东新区2024年政府购买社会工作服务项目</w:t>
            </w:r>
          </w:p>
        </w:tc>
      </w:tr>
      <w:tr w14:paraId="1B61FF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97" w:type="dxa"/>
            <w:vAlign w:val="center"/>
          </w:tcPr>
          <w:p w14:paraId="2C54E775">
            <w:pPr>
              <w:spacing w:line="360" w:lineRule="auto"/>
              <w:jc w:val="center"/>
              <w:rPr>
                <w:rFonts w:ascii="宋体" w:hAnsi="宋体" w:cs="宋体"/>
                <w:szCs w:val="21"/>
              </w:rPr>
            </w:pPr>
            <w:r>
              <w:rPr>
                <w:rFonts w:hint="eastAsia" w:ascii="宋体" w:hAnsi="宋体" w:cs="宋体"/>
                <w:szCs w:val="21"/>
              </w:rPr>
              <w:t>1.1.5</w:t>
            </w:r>
          </w:p>
        </w:tc>
        <w:tc>
          <w:tcPr>
            <w:tcW w:w="2186" w:type="dxa"/>
            <w:vAlign w:val="center"/>
          </w:tcPr>
          <w:p w14:paraId="605A2CD7">
            <w:pPr>
              <w:spacing w:line="360" w:lineRule="auto"/>
              <w:jc w:val="center"/>
              <w:rPr>
                <w:rFonts w:ascii="宋体" w:hAnsi="宋体" w:cs="宋体"/>
                <w:szCs w:val="21"/>
              </w:rPr>
            </w:pPr>
            <w:r>
              <w:rPr>
                <w:rFonts w:hint="eastAsia" w:ascii="宋体" w:hAnsi="宋体" w:cs="宋体"/>
                <w:szCs w:val="21"/>
              </w:rPr>
              <w:t>项目地点</w:t>
            </w:r>
          </w:p>
        </w:tc>
        <w:tc>
          <w:tcPr>
            <w:tcW w:w="6271" w:type="dxa"/>
            <w:vAlign w:val="center"/>
          </w:tcPr>
          <w:p w14:paraId="303E6F1C">
            <w:pPr>
              <w:spacing w:line="360" w:lineRule="auto"/>
              <w:rPr>
                <w:rFonts w:ascii="宋体" w:hAnsi="宋体" w:cs="宋体"/>
                <w:szCs w:val="21"/>
              </w:rPr>
            </w:pPr>
            <w:r>
              <w:rPr>
                <w:rFonts w:hint="eastAsia"/>
                <w:lang w:eastAsia="zh-CN"/>
              </w:rPr>
              <w:t>采购人</w:t>
            </w:r>
            <w:r>
              <w:rPr>
                <w:rFonts w:hint="eastAsia"/>
              </w:rPr>
              <w:t>指定地点</w:t>
            </w:r>
          </w:p>
        </w:tc>
      </w:tr>
      <w:tr w14:paraId="3C311C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97" w:type="dxa"/>
            <w:vAlign w:val="center"/>
          </w:tcPr>
          <w:p w14:paraId="06FF79DD">
            <w:pPr>
              <w:spacing w:line="360" w:lineRule="auto"/>
              <w:jc w:val="center"/>
              <w:rPr>
                <w:rFonts w:ascii="宋体" w:hAnsi="宋体" w:cs="宋体"/>
                <w:szCs w:val="21"/>
              </w:rPr>
            </w:pPr>
            <w:r>
              <w:rPr>
                <w:rFonts w:hint="eastAsia" w:ascii="宋体" w:hAnsi="宋体" w:cs="宋体"/>
                <w:szCs w:val="21"/>
              </w:rPr>
              <w:t>1.2.1</w:t>
            </w:r>
          </w:p>
        </w:tc>
        <w:tc>
          <w:tcPr>
            <w:tcW w:w="2186" w:type="dxa"/>
            <w:vAlign w:val="center"/>
          </w:tcPr>
          <w:p w14:paraId="556C1955">
            <w:pPr>
              <w:spacing w:line="360" w:lineRule="auto"/>
              <w:jc w:val="center"/>
              <w:rPr>
                <w:rFonts w:ascii="宋体" w:hAnsi="宋体" w:cs="宋体"/>
                <w:szCs w:val="21"/>
              </w:rPr>
            </w:pPr>
            <w:r>
              <w:rPr>
                <w:rFonts w:hint="eastAsia" w:ascii="宋体" w:hAnsi="宋体" w:cs="宋体"/>
                <w:szCs w:val="21"/>
              </w:rPr>
              <w:t>资金来源</w:t>
            </w:r>
          </w:p>
        </w:tc>
        <w:tc>
          <w:tcPr>
            <w:tcW w:w="6271" w:type="dxa"/>
            <w:vAlign w:val="center"/>
          </w:tcPr>
          <w:p w14:paraId="3CD66D20">
            <w:pPr>
              <w:spacing w:line="360" w:lineRule="auto"/>
              <w:rPr>
                <w:rFonts w:ascii="宋体" w:hAnsi="宋体" w:cs="宋体"/>
                <w:szCs w:val="21"/>
              </w:rPr>
            </w:pPr>
            <w:r>
              <w:rPr>
                <w:rFonts w:hint="eastAsia" w:ascii="宋体" w:hAnsi="宋体" w:cs="宋体"/>
                <w:szCs w:val="21"/>
              </w:rPr>
              <w:t>财政资金</w:t>
            </w:r>
          </w:p>
        </w:tc>
      </w:tr>
      <w:tr w14:paraId="766A64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rPr>
        <w:tc>
          <w:tcPr>
            <w:tcW w:w="897" w:type="dxa"/>
            <w:vAlign w:val="center"/>
          </w:tcPr>
          <w:p w14:paraId="32E89A93">
            <w:pPr>
              <w:spacing w:line="360" w:lineRule="auto"/>
              <w:jc w:val="center"/>
              <w:rPr>
                <w:rFonts w:ascii="宋体" w:hAnsi="宋体" w:cs="宋体"/>
                <w:szCs w:val="21"/>
              </w:rPr>
            </w:pPr>
            <w:r>
              <w:rPr>
                <w:rFonts w:hint="eastAsia" w:ascii="宋体" w:hAnsi="宋体" w:cs="宋体"/>
                <w:szCs w:val="21"/>
              </w:rPr>
              <w:t>1.2.2</w:t>
            </w:r>
          </w:p>
        </w:tc>
        <w:tc>
          <w:tcPr>
            <w:tcW w:w="2186" w:type="dxa"/>
            <w:vAlign w:val="center"/>
          </w:tcPr>
          <w:p w14:paraId="126DA308">
            <w:pPr>
              <w:spacing w:line="360" w:lineRule="auto"/>
              <w:jc w:val="center"/>
              <w:rPr>
                <w:rFonts w:ascii="宋体" w:hAnsi="宋体" w:cs="宋体"/>
                <w:szCs w:val="21"/>
              </w:rPr>
            </w:pPr>
            <w:r>
              <w:rPr>
                <w:rFonts w:hint="eastAsia" w:ascii="宋体" w:hAnsi="宋体" w:cs="宋体"/>
                <w:szCs w:val="21"/>
              </w:rPr>
              <w:t>出资比例</w:t>
            </w:r>
          </w:p>
        </w:tc>
        <w:tc>
          <w:tcPr>
            <w:tcW w:w="6271" w:type="dxa"/>
            <w:vAlign w:val="center"/>
          </w:tcPr>
          <w:p w14:paraId="0F557425">
            <w:pPr>
              <w:spacing w:line="360" w:lineRule="auto"/>
              <w:rPr>
                <w:rFonts w:ascii="宋体" w:hAnsi="宋体" w:cs="宋体"/>
                <w:szCs w:val="21"/>
              </w:rPr>
            </w:pPr>
            <w:r>
              <w:rPr>
                <w:rFonts w:hint="eastAsia" w:ascii="宋体" w:hAnsi="宋体" w:cs="宋体"/>
                <w:szCs w:val="21"/>
              </w:rPr>
              <w:t>100%</w:t>
            </w:r>
          </w:p>
        </w:tc>
      </w:tr>
      <w:tr w14:paraId="096C16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897" w:type="dxa"/>
            <w:vAlign w:val="center"/>
          </w:tcPr>
          <w:p w14:paraId="00833DC1">
            <w:pPr>
              <w:spacing w:line="360" w:lineRule="auto"/>
              <w:jc w:val="center"/>
              <w:rPr>
                <w:rFonts w:ascii="宋体" w:hAnsi="宋体" w:cs="宋体"/>
                <w:szCs w:val="21"/>
              </w:rPr>
            </w:pPr>
            <w:r>
              <w:rPr>
                <w:rFonts w:hint="eastAsia" w:ascii="宋体" w:hAnsi="宋体" w:cs="宋体"/>
                <w:szCs w:val="21"/>
              </w:rPr>
              <w:t>1.2.3</w:t>
            </w:r>
          </w:p>
        </w:tc>
        <w:tc>
          <w:tcPr>
            <w:tcW w:w="2186" w:type="dxa"/>
            <w:vAlign w:val="center"/>
          </w:tcPr>
          <w:p w14:paraId="7C1FD78A">
            <w:pPr>
              <w:spacing w:line="360" w:lineRule="auto"/>
              <w:jc w:val="center"/>
              <w:rPr>
                <w:rFonts w:ascii="宋体" w:hAnsi="宋体" w:cs="宋体"/>
                <w:szCs w:val="21"/>
              </w:rPr>
            </w:pPr>
            <w:r>
              <w:rPr>
                <w:rFonts w:hint="eastAsia" w:ascii="宋体" w:hAnsi="宋体" w:cs="宋体"/>
                <w:szCs w:val="21"/>
              </w:rPr>
              <w:t>资金落实情况</w:t>
            </w:r>
          </w:p>
        </w:tc>
        <w:tc>
          <w:tcPr>
            <w:tcW w:w="6271" w:type="dxa"/>
            <w:vAlign w:val="center"/>
          </w:tcPr>
          <w:p w14:paraId="030973AD">
            <w:pPr>
              <w:spacing w:line="360" w:lineRule="auto"/>
              <w:jc w:val="left"/>
              <w:rPr>
                <w:rFonts w:ascii="宋体" w:hAnsi="宋体" w:cs="宋体"/>
                <w:sz w:val="24"/>
              </w:rPr>
            </w:pPr>
            <w:r>
              <w:rPr>
                <w:rFonts w:hint="eastAsia" w:ascii="宋体" w:hAnsi="宋体" w:cs="宋体"/>
                <w:szCs w:val="21"/>
              </w:rPr>
              <w:t>已落实</w:t>
            </w:r>
          </w:p>
        </w:tc>
      </w:tr>
      <w:tr w14:paraId="42BD52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trPr>
        <w:tc>
          <w:tcPr>
            <w:tcW w:w="897" w:type="dxa"/>
            <w:vAlign w:val="center"/>
          </w:tcPr>
          <w:p w14:paraId="4F5B619F">
            <w:pPr>
              <w:spacing w:line="360" w:lineRule="auto"/>
              <w:jc w:val="center"/>
              <w:rPr>
                <w:rFonts w:ascii="宋体" w:hAnsi="宋体" w:cs="宋体"/>
                <w:szCs w:val="21"/>
              </w:rPr>
            </w:pPr>
            <w:r>
              <w:rPr>
                <w:rFonts w:hint="eastAsia" w:ascii="宋体" w:hAnsi="宋体" w:cs="宋体"/>
                <w:szCs w:val="21"/>
              </w:rPr>
              <w:t>1.3.1</w:t>
            </w:r>
          </w:p>
        </w:tc>
        <w:tc>
          <w:tcPr>
            <w:tcW w:w="2186" w:type="dxa"/>
            <w:vAlign w:val="center"/>
          </w:tcPr>
          <w:p w14:paraId="612B3FF9">
            <w:pPr>
              <w:spacing w:line="360" w:lineRule="auto"/>
              <w:jc w:val="center"/>
              <w:rPr>
                <w:rFonts w:hint="eastAsia" w:ascii="宋体" w:hAnsi="宋体" w:eastAsia="宋体" w:cs="宋体"/>
                <w:kern w:val="0"/>
                <w:szCs w:val="21"/>
                <w:lang w:eastAsia="zh-CN"/>
              </w:rPr>
            </w:pPr>
            <w:r>
              <w:rPr>
                <w:rFonts w:hint="eastAsia" w:ascii="宋体" w:hAnsi="宋体" w:cs="宋体"/>
                <w:snapToGrid w:val="0"/>
                <w:szCs w:val="21"/>
                <w:lang w:eastAsia="zh-CN"/>
              </w:rPr>
              <w:t>服务内容</w:t>
            </w:r>
          </w:p>
        </w:tc>
        <w:tc>
          <w:tcPr>
            <w:tcW w:w="6271" w:type="dxa"/>
            <w:vAlign w:val="center"/>
          </w:tcPr>
          <w:p w14:paraId="12D92D2F">
            <w:pPr>
              <w:spacing w:line="360" w:lineRule="auto"/>
              <w:rPr>
                <w:rFonts w:hint="eastAsia" w:ascii="宋体" w:hAnsi="宋体" w:eastAsia="宋体" w:cs="宋体"/>
                <w:szCs w:val="21"/>
                <w:lang w:val="en-US" w:eastAsia="zh-CN"/>
              </w:rPr>
            </w:pPr>
            <w:r>
              <w:rPr>
                <w:rFonts w:hint="eastAsia" w:ascii="宋体" w:hAnsi="宋体" w:eastAsia="宋体" w:cs="宋体"/>
                <w:szCs w:val="21"/>
                <w:lang w:val="en-US" w:eastAsia="zh-CN"/>
              </w:rPr>
              <w:t>A包：</w:t>
            </w:r>
            <w:r>
              <w:rPr>
                <w:rFonts w:hint="eastAsia" w:ascii="宋体" w:hAnsi="宋体" w:eastAsia="宋体" w:cs="宋体"/>
                <w:szCs w:val="21"/>
              </w:rPr>
              <w:t>“第三方评估”服务项目</w:t>
            </w:r>
          </w:p>
          <w:p w14:paraId="5DE4CBFF">
            <w:pPr>
              <w:spacing w:line="360" w:lineRule="auto"/>
              <w:rPr>
                <w:rFonts w:hint="eastAsia" w:ascii="宋体" w:hAnsi="宋体" w:eastAsia="宋体" w:cs="宋体"/>
                <w:szCs w:val="21"/>
                <w:lang w:val="en-US" w:eastAsia="zh-CN"/>
              </w:rPr>
            </w:pPr>
            <w:r>
              <w:rPr>
                <w:rFonts w:hint="eastAsia" w:ascii="宋体" w:hAnsi="宋体" w:eastAsia="宋体" w:cs="宋体"/>
                <w:szCs w:val="21"/>
                <w:lang w:val="en-US" w:eastAsia="zh-CN"/>
              </w:rPr>
              <w:t>B包：</w:t>
            </w:r>
            <w:r>
              <w:rPr>
                <w:rFonts w:hint="eastAsia" w:ascii="宋体" w:hAnsi="Times New Roman" w:eastAsia="宋体" w:cs="宋体"/>
                <w:color w:val="000000"/>
                <w:kern w:val="0"/>
                <w:sz w:val="21"/>
                <w:szCs w:val="21"/>
                <w:lang w:val="en-US" w:eastAsia="zh-CN" w:bidi="ar-SA"/>
              </w:rPr>
              <w:t>万安街社区社工站、黄河南路社区社工站、鑫苑花园社区社工站</w:t>
            </w:r>
          </w:p>
          <w:p w14:paraId="352C18BE">
            <w:pPr>
              <w:spacing w:line="360" w:lineRule="auto"/>
              <w:rPr>
                <w:rFonts w:hint="eastAsia" w:ascii="宋体" w:hAnsi="宋体" w:eastAsia="宋体" w:cs="宋体"/>
                <w:szCs w:val="21"/>
              </w:rPr>
            </w:pPr>
            <w:r>
              <w:rPr>
                <w:rFonts w:hint="eastAsia" w:ascii="宋体" w:hAnsi="宋体" w:eastAsia="宋体" w:cs="宋体"/>
                <w:szCs w:val="21"/>
                <w:lang w:val="en-US" w:eastAsia="zh-CN"/>
              </w:rPr>
              <w:t>C包：</w:t>
            </w:r>
            <w:r>
              <w:rPr>
                <w:rFonts w:hint="eastAsia" w:ascii="宋体" w:hAnsi="Times New Roman" w:eastAsia="宋体" w:cs="宋体"/>
                <w:color w:val="000000"/>
                <w:kern w:val="0"/>
                <w:sz w:val="21"/>
                <w:szCs w:val="21"/>
                <w:lang w:val="en-US" w:eastAsia="zh-CN" w:bidi="ar-SA"/>
              </w:rPr>
              <w:t>心怡路社区社工站、正弘山社区社工站</w:t>
            </w:r>
            <w:r>
              <w:rPr>
                <w:rFonts w:hint="eastAsia" w:ascii="宋体" w:eastAsia="宋体" w:cs="宋体"/>
                <w:color w:val="000000"/>
                <w:kern w:val="0"/>
                <w:sz w:val="21"/>
                <w:szCs w:val="21"/>
                <w:lang w:val="en-US" w:eastAsia="zh-CN" w:bidi="ar-SA"/>
              </w:rPr>
              <w:t>、</w:t>
            </w:r>
            <w:r>
              <w:rPr>
                <w:rFonts w:hint="eastAsia" w:ascii="宋体" w:hAnsi="Times New Roman" w:eastAsia="宋体" w:cs="宋体"/>
                <w:color w:val="000000"/>
                <w:kern w:val="0"/>
                <w:sz w:val="21"/>
                <w:szCs w:val="21"/>
                <w:lang w:val="en-US" w:eastAsia="zh-CN" w:bidi="ar-SA"/>
              </w:rPr>
              <w:t>翡翠社区社工站</w:t>
            </w:r>
          </w:p>
          <w:p w14:paraId="622EF22C">
            <w:pPr>
              <w:spacing w:line="360" w:lineRule="auto"/>
              <w:rPr>
                <w:rFonts w:hint="eastAsia" w:ascii="宋体" w:hAnsi="宋体" w:eastAsia="宋体" w:cs="宋体"/>
                <w:szCs w:val="21"/>
                <w:lang w:val="en-US" w:eastAsia="zh-CN"/>
              </w:rPr>
            </w:pPr>
            <w:r>
              <w:rPr>
                <w:rFonts w:hint="eastAsia" w:ascii="宋体" w:hAnsi="宋体" w:eastAsia="宋体" w:cs="宋体"/>
                <w:szCs w:val="21"/>
                <w:lang w:val="en-US" w:eastAsia="zh-CN"/>
              </w:rPr>
              <w:t>D包：</w:t>
            </w:r>
            <w:r>
              <w:rPr>
                <w:rFonts w:hint="eastAsia" w:ascii="宋体" w:hAnsi="Times New Roman" w:eastAsia="宋体" w:cs="宋体"/>
                <w:color w:val="000000"/>
                <w:kern w:val="0"/>
                <w:sz w:val="21"/>
                <w:szCs w:val="21"/>
                <w:lang w:val="en-US" w:eastAsia="zh-CN" w:bidi="ar-SA"/>
              </w:rPr>
              <w:t>知启街社区社工站</w:t>
            </w:r>
            <w:r>
              <w:rPr>
                <w:rFonts w:hint="eastAsia" w:ascii="宋体" w:eastAsia="宋体" w:cs="宋体"/>
                <w:color w:val="000000"/>
                <w:kern w:val="0"/>
                <w:sz w:val="21"/>
                <w:szCs w:val="21"/>
                <w:lang w:val="en-US" w:eastAsia="zh-CN" w:bidi="ar-SA"/>
              </w:rPr>
              <w:t>、</w:t>
            </w:r>
            <w:r>
              <w:rPr>
                <w:rFonts w:hint="eastAsia" w:ascii="宋体" w:hAnsi="Times New Roman" w:eastAsia="宋体" w:cs="宋体"/>
                <w:color w:val="000000"/>
                <w:kern w:val="0"/>
                <w:sz w:val="21"/>
                <w:szCs w:val="21"/>
                <w:lang w:val="en-US" w:eastAsia="zh-CN" w:bidi="ar-SA"/>
              </w:rPr>
              <w:t>河大社区社工站</w:t>
            </w:r>
            <w:r>
              <w:rPr>
                <w:rFonts w:hint="eastAsia" w:ascii="宋体" w:eastAsia="宋体" w:cs="宋体"/>
                <w:color w:val="000000"/>
                <w:kern w:val="0"/>
                <w:sz w:val="21"/>
                <w:szCs w:val="21"/>
                <w:lang w:val="en-US" w:eastAsia="zh-CN" w:bidi="ar-SA"/>
              </w:rPr>
              <w:t>、</w:t>
            </w:r>
            <w:r>
              <w:rPr>
                <w:rFonts w:hint="eastAsia" w:ascii="宋体" w:hAnsi="Times New Roman" w:eastAsia="宋体" w:cs="宋体"/>
                <w:color w:val="000000"/>
                <w:kern w:val="0"/>
                <w:sz w:val="21"/>
                <w:szCs w:val="21"/>
                <w:lang w:val="en-US" w:eastAsia="zh-CN" w:bidi="ar-SA"/>
              </w:rPr>
              <w:t>龙子湖南路社区社工站</w:t>
            </w:r>
          </w:p>
          <w:p w14:paraId="135929A9">
            <w:pPr>
              <w:spacing w:line="360" w:lineRule="auto"/>
              <w:rPr>
                <w:rFonts w:hint="eastAsia" w:ascii="宋体" w:hAnsi="宋体" w:eastAsia="宋体" w:cs="宋体"/>
                <w:szCs w:val="21"/>
              </w:rPr>
            </w:pPr>
            <w:r>
              <w:rPr>
                <w:rFonts w:hint="eastAsia" w:ascii="宋体" w:hAnsi="宋体" w:eastAsia="宋体" w:cs="宋体"/>
                <w:szCs w:val="21"/>
                <w:lang w:val="en-US" w:eastAsia="zh-CN"/>
              </w:rPr>
              <w:t>E包：</w:t>
            </w:r>
            <w:r>
              <w:rPr>
                <w:rFonts w:hint="eastAsia" w:ascii="宋体" w:hAnsi="Times New Roman" w:eastAsia="宋体" w:cs="宋体"/>
                <w:color w:val="000000"/>
                <w:kern w:val="0"/>
                <w:sz w:val="21"/>
                <w:szCs w:val="21"/>
                <w:lang w:val="en-US" w:eastAsia="zh-CN" w:bidi="ar-SA"/>
              </w:rPr>
              <w:t>天时路社区社工站</w:t>
            </w:r>
            <w:r>
              <w:rPr>
                <w:rFonts w:hint="eastAsia" w:ascii="宋体" w:eastAsia="宋体" w:cs="宋体"/>
                <w:color w:val="000000"/>
                <w:kern w:val="0"/>
                <w:sz w:val="21"/>
                <w:szCs w:val="21"/>
                <w:lang w:val="en-US" w:eastAsia="zh-CN" w:bidi="ar-SA"/>
              </w:rPr>
              <w:t>、</w:t>
            </w:r>
            <w:r>
              <w:rPr>
                <w:rFonts w:hint="eastAsia" w:ascii="宋体" w:hAnsi="Times New Roman" w:eastAsia="宋体" w:cs="宋体"/>
                <w:color w:val="000000"/>
                <w:kern w:val="0"/>
                <w:sz w:val="21"/>
                <w:szCs w:val="21"/>
                <w:lang w:val="en-US" w:eastAsia="zh-CN" w:bidi="ar-SA"/>
              </w:rPr>
              <w:t>联盟新城社区社工站</w:t>
            </w:r>
          </w:p>
          <w:p w14:paraId="751D34C4">
            <w:pPr>
              <w:spacing w:line="360" w:lineRule="auto"/>
              <w:rPr>
                <w:rFonts w:hint="eastAsia" w:ascii="宋体" w:hAnsi="宋体" w:eastAsia="宋体" w:cs="宋体"/>
                <w:szCs w:val="21"/>
                <w:lang w:val="en-US" w:eastAsia="zh-CN"/>
              </w:rPr>
            </w:pPr>
            <w:r>
              <w:rPr>
                <w:rFonts w:hint="eastAsia" w:ascii="宋体" w:hAnsi="宋体" w:eastAsia="宋体" w:cs="宋体"/>
                <w:szCs w:val="21"/>
                <w:lang w:val="en-US" w:eastAsia="zh-CN"/>
              </w:rPr>
              <w:t>F包：</w:t>
            </w:r>
            <w:r>
              <w:rPr>
                <w:rFonts w:hint="eastAsia" w:ascii="宋体" w:hAnsi="Times New Roman" w:eastAsia="宋体" w:cs="宋体"/>
                <w:color w:val="000000"/>
                <w:kern w:val="0"/>
                <w:sz w:val="21"/>
                <w:szCs w:val="21"/>
                <w:lang w:val="en-US" w:eastAsia="zh-CN" w:bidi="ar-SA"/>
              </w:rPr>
              <w:t>如意东路社区社工站</w:t>
            </w:r>
            <w:r>
              <w:rPr>
                <w:rFonts w:hint="eastAsia" w:ascii="宋体" w:eastAsia="宋体" w:cs="宋体"/>
                <w:color w:val="000000"/>
                <w:kern w:val="0"/>
                <w:sz w:val="21"/>
                <w:szCs w:val="21"/>
                <w:lang w:val="en-US" w:eastAsia="zh-CN" w:bidi="ar-SA"/>
              </w:rPr>
              <w:t>、</w:t>
            </w:r>
            <w:r>
              <w:rPr>
                <w:rFonts w:hint="eastAsia" w:ascii="宋体" w:hAnsi="Times New Roman" w:eastAsia="宋体" w:cs="宋体"/>
                <w:color w:val="000000"/>
                <w:kern w:val="0"/>
                <w:sz w:val="21"/>
                <w:szCs w:val="21"/>
                <w:lang w:val="en-US" w:eastAsia="zh-CN" w:bidi="ar-SA"/>
              </w:rPr>
              <w:t>龙源嘉苑社区社工站</w:t>
            </w:r>
            <w:r>
              <w:rPr>
                <w:rFonts w:hint="eastAsia" w:ascii="宋体" w:eastAsia="宋体" w:cs="宋体"/>
                <w:color w:val="000000"/>
                <w:kern w:val="0"/>
                <w:sz w:val="21"/>
                <w:szCs w:val="21"/>
                <w:lang w:val="en-US" w:eastAsia="zh-CN" w:bidi="ar-SA"/>
              </w:rPr>
              <w:t>、</w:t>
            </w:r>
            <w:r>
              <w:rPr>
                <w:rFonts w:hint="eastAsia" w:ascii="宋体" w:hAnsi="Times New Roman" w:eastAsia="宋体" w:cs="宋体"/>
                <w:color w:val="000000"/>
                <w:kern w:val="0"/>
                <w:sz w:val="21"/>
                <w:szCs w:val="21"/>
                <w:lang w:val="en-US" w:eastAsia="zh-CN" w:bidi="ar-SA"/>
              </w:rPr>
              <w:t>馨悦苑社区社工站</w:t>
            </w:r>
          </w:p>
          <w:p w14:paraId="2F54F520">
            <w:pPr>
              <w:spacing w:line="360" w:lineRule="auto"/>
              <w:rPr>
                <w:rFonts w:hint="default" w:ascii="宋体" w:hAnsi="宋体" w:eastAsia="宋体" w:cs="宋体"/>
                <w:szCs w:val="21"/>
                <w:lang w:val="en-US" w:eastAsia="zh-CN"/>
              </w:rPr>
            </w:pPr>
            <w:r>
              <w:rPr>
                <w:rFonts w:hint="eastAsia" w:ascii="宋体" w:hAnsi="宋体" w:eastAsia="宋体" w:cs="宋体"/>
                <w:szCs w:val="21"/>
                <w:lang w:val="en-US" w:eastAsia="zh-CN"/>
              </w:rPr>
              <w:t>G包：</w:t>
            </w:r>
            <w:r>
              <w:rPr>
                <w:rFonts w:hint="eastAsia" w:ascii="宋体" w:hAnsi="Times New Roman" w:eastAsia="宋体" w:cs="宋体"/>
                <w:color w:val="000000"/>
                <w:kern w:val="0"/>
                <w:sz w:val="21"/>
                <w:szCs w:val="21"/>
                <w:lang w:val="en-US" w:eastAsia="zh-CN" w:bidi="ar-SA"/>
              </w:rPr>
              <w:t>龙之梦社区社工站</w:t>
            </w:r>
            <w:r>
              <w:rPr>
                <w:rFonts w:hint="eastAsia" w:ascii="宋体" w:eastAsia="宋体" w:cs="宋体"/>
                <w:color w:val="000000"/>
                <w:kern w:val="0"/>
                <w:sz w:val="21"/>
                <w:szCs w:val="21"/>
                <w:lang w:val="en-US" w:eastAsia="zh-CN" w:bidi="ar-SA"/>
              </w:rPr>
              <w:t>、</w:t>
            </w:r>
            <w:r>
              <w:rPr>
                <w:rFonts w:hint="eastAsia" w:ascii="宋体" w:hAnsi="Times New Roman" w:eastAsia="宋体" w:cs="宋体"/>
                <w:color w:val="000000"/>
                <w:kern w:val="0"/>
                <w:sz w:val="21"/>
                <w:szCs w:val="21"/>
                <w:lang w:val="en-US" w:eastAsia="zh-CN" w:bidi="ar-SA"/>
              </w:rPr>
              <w:t>相济路社区社工站</w:t>
            </w:r>
          </w:p>
          <w:p w14:paraId="304DDEB6">
            <w:pPr>
              <w:spacing w:line="360" w:lineRule="auto"/>
              <w:rPr>
                <w:rFonts w:hint="default" w:ascii="宋体" w:hAnsi="宋体" w:eastAsia="宋体" w:cs="宋体"/>
                <w:szCs w:val="21"/>
                <w:lang w:val="en-US" w:eastAsia="zh-CN"/>
              </w:rPr>
            </w:pPr>
            <w:r>
              <w:rPr>
                <w:rFonts w:hint="eastAsia" w:ascii="宋体" w:hAnsi="宋体" w:eastAsia="宋体" w:cs="宋体"/>
                <w:szCs w:val="21"/>
                <w:lang w:val="en-US" w:eastAsia="zh-CN"/>
              </w:rPr>
              <w:t>H包：</w:t>
            </w:r>
            <w:r>
              <w:rPr>
                <w:rFonts w:hint="eastAsia" w:ascii="宋体" w:hAnsi="Times New Roman" w:eastAsia="宋体" w:cs="宋体"/>
                <w:color w:val="000000"/>
                <w:kern w:val="0"/>
                <w:sz w:val="21"/>
                <w:szCs w:val="21"/>
                <w:lang w:val="en-US" w:eastAsia="zh-CN" w:bidi="ar-SA"/>
              </w:rPr>
              <w:t>学理路社区社工站</w:t>
            </w:r>
            <w:r>
              <w:rPr>
                <w:rFonts w:hint="eastAsia" w:ascii="宋体" w:eastAsia="宋体" w:cs="宋体"/>
                <w:color w:val="000000"/>
                <w:kern w:val="0"/>
                <w:sz w:val="21"/>
                <w:szCs w:val="21"/>
                <w:lang w:val="en-US" w:eastAsia="zh-CN" w:bidi="ar-SA"/>
              </w:rPr>
              <w:t>、</w:t>
            </w:r>
            <w:r>
              <w:rPr>
                <w:rFonts w:hint="eastAsia" w:ascii="宋体" w:hAnsi="Times New Roman" w:eastAsia="宋体" w:cs="宋体"/>
                <w:color w:val="000000"/>
                <w:kern w:val="0"/>
                <w:sz w:val="21"/>
                <w:szCs w:val="21"/>
                <w:lang w:val="en-US" w:eastAsia="zh-CN" w:bidi="ar-SA"/>
              </w:rPr>
              <w:t>明理路社区社工站</w:t>
            </w:r>
            <w:r>
              <w:rPr>
                <w:rFonts w:hint="eastAsia" w:ascii="宋体" w:eastAsia="宋体" w:cs="宋体"/>
                <w:color w:val="000000"/>
                <w:kern w:val="0"/>
                <w:sz w:val="21"/>
                <w:szCs w:val="21"/>
                <w:lang w:val="en-US" w:eastAsia="zh-CN" w:bidi="ar-SA"/>
              </w:rPr>
              <w:t>、</w:t>
            </w:r>
            <w:r>
              <w:rPr>
                <w:rFonts w:hint="eastAsia" w:ascii="宋体" w:hAnsi="Times New Roman" w:eastAsia="宋体" w:cs="宋体"/>
                <w:color w:val="000000"/>
                <w:kern w:val="0"/>
                <w:sz w:val="21"/>
                <w:szCs w:val="21"/>
                <w:lang w:val="en-US" w:eastAsia="zh-CN" w:bidi="ar-SA"/>
              </w:rPr>
              <w:t>后贾东街社区社工站</w:t>
            </w:r>
          </w:p>
          <w:p w14:paraId="146CC596">
            <w:pPr>
              <w:spacing w:line="360" w:lineRule="auto"/>
              <w:rPr>
                <w:rFonts w:hint="default" w:ascii="宋体" w:hAnsi="宋体" w:eastAsia="宋体" w:cs="宋体"/>
                <w:szCs w:val="21"/>
                <w:lang w:val="en-US" w:eastAsia="zh-CN"/>
              </w:rPr>
            </w:pPr>
            <w:r>
              <w:rPr>
                <w:rFonts w:hint="eastAsia" w:ascii="宋体" w:hAnsi="宋体" w:eastAsia="宋体" w:cs="宋体"/>
                <w:szCs w:val="21"/>
                <w:lang w:val="en-US" w:eastAsia="zh-CN"/>
              </w:rPr>
              <w:t>I包：</w:t>
            </w:r>
            <w:r>
              <w:rPr>
                <w:rFonts w:hint="eastAsia" w:ascii="宋体" w:hAnsi="Times New Roman" w:eastAsia="宋体" w:cs="宋体"/>
                <w:color w:val="000000"/>
                <w:kern w:val="0"/>
                <w:sz w:val="21"/>
                <w:szCs w:val="21"/>
                <w:lang w:val="en-US" w:eastAsia="zh-CN" w:bidi="ar-SA"/>
              </w:rPr>
              <w:t>普惠社区社工站</w:t>
            </w:r>
            <w:r>
              <w:rPr>
                <w:rFonts w:hint="eastAsia" w:ascii="宋体" w:eastAsia="宋体" w:cs="宋体"/>
                <w:color w:val="000000"/>
                <w:kern w:val="0"/>
                <w:sz w:val="21"/>
                <w:szCs w:val="21"/>
                <w:lang w:val="en-US" w:eastAsia="zh-CN" w:bidi="ar-SA"/>
              </w:rPr>
              <w:t>、</w:t>
            </w:r>
            <w:r>
              <w:rPr>
                <w:rFonts w:hint="eastAsia" w:ascii="宋体" w:hAnsi="Times New Roman" w:eastAsia="宋体" w:cs="宋体"/>
                <w:color w:val="000000"/>
                <w:kern w:val="0"/>
                <w:sz w:val="21"/>
                <w:szCs w:val="21"/>
                <w:lang w:val="en-US" w:eastAsia="zh-CN" w:bidi="ar-SA"/>
              </w:rPr>
              <w:t>圃田嘉苑社区社工站</w:t>
            </w:r>
          </w:p>
          <w:p w14:paraId="5C8D1E68">
            <w:pPr>
              <w:spacing w:line="360" w:lineRule="auto"/>
              <w:rPr>
                <w:rFonts w:hint="default" w:ascii="宋体" w:hAnsi="宋体" w:eastAsia="宋体" w:cs="宋体"/>
                <w:szCs w:val="21"/>
                <w:lang w:val="en-US" w:eastAsia="zh-CN"/>
              </w:rPr>
            </w:pPr>
            <w:r>
              <w:rPr>
                <w:rFonts w:hint="eastAsia" w:ascii="宋体" w:hAnsi="宋体" w:eastAsia="宋体" w:cs="宋体"/>
                <w:szCs w:val="21"/>
                <w:lang w:val="en-US" w:eastAsia="zh-CN"/>
              </w:rPr>
              <w:t>J包：</w:t>
            </w:r>
            <w:r>
              <w:rPr>
                <w:rFonts w:hint="eastAsia" w:ascii="宋体" w:hAnsi="Times New Roman" w:eastAsia="宋体" w:cs="宋体"/>
                <w:color w:val="000000"/>
                <w:kern w:val="0"/>
                <w:sz w:val="21"/>
                <w:szCs w:val="21"/>
                <w:lang w:val="en-US" w:eastAsia="zh-CN" w:bidi="ar-SA"/>
              </w:rPr>
              <w:t>白沙社工站</w:t>
            </w:r>
            <w:r>
              <w:rPr>
                <w:rFonts w:hint="eastAsia" w:ascii="宋体" w:eastAsia="宋体" w:cs="宋体"/>
                <w:color w:val="000000"/>
                <w:kern w:val="0"/>
                <w:sz w:val="21"/>
                <w:szCs w:val="21"/>
                <w:lang w:val="en-US" w:eastAsia="zh-CN" w:bidi="ar-SA"/>
              </w:rPr>
              <w:t>、</w:t>
            </w:r>
            <w:r>
              <w:rPr>
                <w:rFonts w:hint="eastAsia" w:ascii="宋体" w:hAnsi="Times New Roman" w:eastAsia="宋体" w:cs="宋体"/>
                <w:color w:val="000000"/>
                <w:kern w:val="0"/>
                <w:sz w:val="21"/>
                <w:szCs w:val="21"/>
                <w:lang w:val="en-US" w:eastAsia="zh-CN" w:bidi="ar-SA"/>
              </w:rPr>
              <w:t>贾陈社区社工站</w:t>
            </w:r>
          </w:p>
          <w:p w14:paraId="3EB8BBBC">
            <w:pPr>
              <w:spacing w:line="360" w:lineRule="auto"/>
              <w:rPr>
                <w:rFonts w:hint="default"/>
                <w:lang w:val="en-US" w:eastAsia="zh-CN"/>
              </w:rPr>
            </w:pPr>
            <w:r>
              <w:rPr>
                <w:rFonts w:hint="eastAsia" w:ascii="宋体" w:hAnsi="宋体" w:eastAsia="宋体" w:cs="宋体"/>
                <w:szCs w:val="21"/>
                <w:lang w:val="en-US" w:eastAsia="zh-CN"/>
              </w:rPr>
              <w:t>K包：</w:t>
            </w:r>
            <w:r>
              <w:rPr>
                <w:rFonts w:hint="eastAsia" w:ascii="宋体" w:hAnsi="Times New Roman" w:eastAsia="宋体" w:cs="宋体"/>
                <w:color w:val="000000"/>
                <w:kern w:val="0"/>
                <w:sz w:val="21"/>
                <w:szCs w:val="21"/>
                <w:lang w:val="en-US" w:eastAsia="zh-CN" w:bidi="ar-SA"/>
              </w:rPr>
              <w:t>杨桥办事处</w:t>
            </w:r>
            <w:r>
              <w:rPr>
                <w:rFonts w:hint="eastAsia" w:ascii="宋体" w:eastAsia="宋体" w:cs="宋体"/>
                <w:color w:val="000000"/>
                <w:kern w:val="0"/>
                <w:sz w:val="21"/>
                <w:szCs w:val="21"/>
                <w:lang w:val="en-US" w:eastAsia="zh-CN" w:bidi="ar-SA"/>
              </w:rPr>
              <w:t>、</w:t>
            </w:r>
            <w:r>
              <w:rPr>
                <w:rFonts w:hint="eastAsia" w:ascii="宋体" w:hAnsi="Times New Roman" w:eastAsia="宋体" w:cs="宋体"/>
                <w:color w:val="000000"/>
                <w:kern w:val="0"/>
                <w:sz w:val="21"/>
                <w:szCs w:val="21"/>
                <w:lang w:val="en-US" w:eastAsia="zh-CN" w:bidi="ar-SA"/>
              </w:rPr>
              <w:t>豫兴路办事处</w:t>
            </w:r>
          </w:p>
        </w:tc>
      </w:tr>
      <w:tr w14:paraId="4717A9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97" w:type="dxa"/>
            <w:tcBorders>
              <w:bottom w:val="single" w:color="auto" w:sz="4" w:space="0"/>
            </w:tcBorders>
            <w:vAlign w:val="center"/>
          </w:tcPr>
          <w:p w14:paraId="1E071E95">
            <w:pPr>
              <w:spacing w:line="360" w:lineRule="auto"/>
              <w:jc w:val="center"/>
              <w:rPr>
                <w:rFonts w:ascii="宋体" w:hAnsi="宋体" w:cs="宋体"/>
                <w:szCs w:val="21"/>
              </w:rPr>
            </w:pPr>
            <w:r>
              <w:rPr>
                <w:rFonts w:hint="eastAsia" w:ascii="宋体" w:hAnsi="宋体" w:cs="宋体"/>
                <w:szCs w:val="21"/>
              </w:rPr>
              <w:t>1.3.2</w:t>
            </w:r>
          </w:p>
        </w:tc>
        <w:tc>
          <w:tcPr>
            <w:tcW w:w="2186" w:type="dxa"/>
            <w:tcBorders>
              <w:bottom w:val="single" w:color="auto" w:sz="4" w:space="0"/>
            </w:tcBorders>
            <w:vAlign w:val="center"/>
          </w:tcPr>
          <w:p w14:paraId="39ADECCC">
            <w:pPr>
              <w:spacing w:line="360" w:lineRule="auto"/>
              <w:jc w:val="center"/>
              <w:rPr>
                <w:rFonts w:ascii="宋体" w:hAnsi="宋体" w:cs="宋体"/>
                <w:szCs w:val="21"/>
              </w:rPr>
            </w:pPr>
            <w:r>
              <w:rPr>
                <w:rFonts w:hint="eastAsia" w:ascii="宋体" w:hAnsi="宋体" w:cs="宋体"/>
                <w:snapToGrid w:val="0"/>
                <w:szCs w:val="21"/>
              </w:rPr>
              <w:t>服务质量</w:t>
            </w:r>
          </w:p>
        </w:tc>
        <w:tc>
          <w:tcPr>
            <w:tcW w:w="6271" w:type="dxa"/>
            <w:tcBorders>
              <w:bottom w:val="single" w:color="auto" w:sz="4" w:space="0"/>
            </w:tcBorders>
            <w:vAlign w:val="center"/>
          </w:tcPr>
          <w:p w14:paraId="56BCB034">
            <w:pPr>
              <w:spacing w:line="360" w:lineRule="auto"/>
              <w:rPr>
                <w:rFonts w:hint="default"/>
                <w:lang w:val="en-US"/>
              </w:rPr>
            </w:pPr>
            <w:r>
              <w:rPr>
                <w:rFonts w:hint="eastAsia" w:ascii="宋体" w:hAnsi="宋体" w:cs="宋体"/>
                <w:snapToGrid w:val="0"/>
                <w:szCs w:val="21"/>
              </w:rPr>
              <w:t>符合国家相关规定，满足</w:t>
            </w:r>
            <w:r>
              <w:rPr>
                <w:rFonts w:hint="eastAsia" w:ascii="宋体" w:hAnsi="宋体" w:cs="宋体"/>
                <w:snapToGrid w:val="0"/>
                <w:szCs w:val="21"/>
                <w:lang w:eastAsia="zh-CN"/>
              </w:rPr>
              <w:t>采购人</w:t>
            </w:r>
            <w:r>
              <w:rPr>
                <w:rFonts w:hint="eastAsia" w:ascii="宋体" w:hAnsi="宋体" w:cs="宋体"/>
                <w:snapToGrid w:val="0"/>
                <w:szCs w:val="21"/>
              </w:rPr>
              <w:t>要求</w:t>
            </w:r>
          </w:p>
        </w:tc>
      </w:tr>
      <w:tr w14:paraId="065833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trPr>
        <w:tc>
          <w:tcPr>
            <w:tcW w:w="897" w:type="dxa"/>
            <w:tcBorders>
              <w:bottom w:val="single" w:color="auto" w:sz="4" w:space="0"/>
            </w:tcBorders>
            <w:vAlign w:val="center"/>
          </w:tcPr>
          <w:p w14:paraId="74B30E88">
            <w:pPr>
              <w:spacing w:line="360" w:lineRule="auto"/>
              <w:jc w:val="center"/>
              <w:rPr>
                <w:rFonts w:ascii="宋体" w:hAnsi="宋体" w:cs="宋体"/>
                <w:szCs w:val="21"/>
              </w:rPr>
            </w:pPr>
            <w:r>
              <w:rPr>
                <w:rFonts w:hint="eastAsia" w:ascii="宋体" w:hAnsi="宋体" w:cs="宋体"/>
                <w:szCs w:val="21"/>
              </w:rPr>
              <w:t>1.3.3</w:t>
            </w:r>
          </w:p>
        </w:tc>
        <w:tc>
          <w:tcPr>
            <w:tcW w:w="2186" w:type="dxa"/>
            <w:tcBorders>
              <w:bottom w:val="single" w:color="auto" w:sz="4" w:space="0"/>
            </w:tcBorders>
            <w:vAlign w:val="center"/>
          </w:tcPr>
          <w:p w14:paraId="0426A228">
            <w:pPr>
              <w:spacing w:line="360" w:lineRule="auto"/>
              <w:jc w:val="center"/>
              <w:rPr>
                <w:rFonts w:ascii="宋体" w:hAnsi="宋体" w:cs="宋体"/>
                <w:szCs w:val="21"/>
              </w:rPr>
            </w:pPr>
            <w:r>
              <w:rPr>
                <w:rFonts w:hint="eastAsia" w:ascii="宋体" w:hAnsi="宋体" w:cs="宋体"/>
                <w:szCs w:val="21"/>
              </w:rPr>
              <w:t>标段划分</w:t>
            </w:r>
          </w:p>
        </w:tc>
        <w:tc>
          <w:tcPr>
            <w:tcW w:w="6271" w:type="dxa"/>
            <w:tcBorders>
              <w:bottom w:val="single" w:color="auto" w:sz="4" w:space="0"/>
            </w:tcBorders>
            <w:vAlign w:val="center"/>
          </w:tcPr>
          <w:p w14:paraId="22C2CFC9">
            <w:pPr>
              <w:spacing w:line="360" w:lineRule="auto"/>
              <w:rPr>
                <w:rFonts w:ascii="宋体" w:hAnsi="宋体" w:cs="宋体"/>
                <w:szCs w:val="21"/>
              </w:rPr>
            </w:pPr>
            <w:r>
              <w:rPr>
                <w:rFonts w:hint="eastAsia" w:ascii="宋体" w:hAnsi="宋体" w:cs="宋体"/>
                <w:snapToGrid w:val="0"/>
                <w:szCs w:val="21"/>
                <w:lang w:val="en-US" w:eastAsia="zh-CN"/>
              </w:rPr>
              <w:t>11</w:t>
            </w:r>
            <w:r>
              <w:rPr>
                <w:rFonts w:hint="eastAsia" w:ascii="宋体" w:hAnsi="宋体" w:cs="宋体"/>
                <w:snapToGrid w:val="0"/>
                <w:szCs w:val="21"/>
              </w:rPr>
              <w:t>个</w:t>
            </w:r>
          </w:p>
        </w:tc>
      </w:tr>
      <w:tr w14:paraId="2D0307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trPr>
        <w:tc>
          <w:tcPr>
            <w:tcW w:w="897" w:type="dxa"/>
            <w:tcBorders>
              <w:top w:val="single" w:color="auto" w:sz="4" w:space="0"/>
              <w:left w:val="single" w:color="auto" w:sz="4" w:space="0"/>
              <w:bottom w:val="single" w:color="auto" w:sz="4" w:space="0"/>
            </w:tcBorders>
            <w:vAlign w:val="center"/>
          </w:tcPr>
          <w:p w14:paraId="3D02FDA6">
            <w:pPr>
              <w:spacing w:line="360" w:lineRule="auto"/>
              <w:jc w:val="center"/>
              <w:rPr>
                <w:rFonts w:ascii="宋体" w:hAnsi="宋体" w:cs="宋体"/>
                <w:szCs w:val="21"/>
              </w:rPr>
            </w:pPr>
            <w:r>
              <w:rPr>
                <w:rFonts w:hint="eastAsia" w:ascii="宋体" w:hAnsi="宋体" w:cs="宋体"/>
                <w:szCs w:val="21"/>
              </w:rPr>
              <w:t>1.3.4</w:t>
            </w:r>
          </w:p>
        </w:tc>
        <w:tc>
          <w:tcPr>
            <w:tcW w:w="2186" w:type="dxa"/>
            <w:tcBorders>
              <w:top w:val="single" w:color="auto" w:sz="4" w:space="0"/>
              <w:bottom w:val="single" w:color="auto" w:sz="4" w:space="0"/>
            </w:tcBorders>
            <w:shd w:val="clear" w:color="auto" w:fill="auto"/>
            <w:vAlign w:val="center"/>
          </w:tcPr>
          <w:p w14:paraId="4D3F96F9">
            <w:pPr>
              <w:spacing w:line="360" w:lineRule="auto"/>
              <w:jc w:val="center"/>
              <w:rPr>
                <w:rFonts w:ascii="宋体" w:hAnsi="宋体" w:cs="宋体"/>
                <w:szCs w:val="21"/>
              </w:rPr>
            </w:pPr>
            <w:r>
              <w:rPr>
                <w:rFonts w:hint="eastAsia" w:ascii="宋体" w:hAnsi="宋体" w:cs="宋体"/>
                <w:szCs w:val="21"/>
              </w:rPr>
              <w:t>合同履行期限</w:t>
            </w:r>
          </w:p>
        </w:tc>
        <w:tc>
          <w:tcPr>
            <w:tcW w:w="6271" w:type="dxa"/>
            <w:tcBorders>
              <w:top w:val="single" w:color="auto" w:sz="4" w:space="0"/>
              <w:bottom w:val="single" w:color="auto" w:sz="4" w:space="0"/>
              <w:right w:val="single" w:color="auto" w:sz="4" w:space="0"/>
            </w:tcBorders>
            <w:shd w:val="clear" w:color="auto" w:fill="auto"/>
            <w:vAlign w:val="center"/>
          </w:tcPr>
          <w:p w14:paraId="4053CE26">
            <w:pPr>
              <w:spacing w:line="360" w:lineRule="auto"/>
            </w:pPr>
            <w:r>
              <w:rPr>
                <w:rFonts w:hint="eastAsia" w:ascii="宋体" w:hAnsi="宋体" w:cs="宋体"/>
                <w:snapToGrid w:val="0"/>
                <w:szCs w:val="21"/>
              </w:rPr>
              <w:t>自合同签订之日起1年</w:t>
            </w:r>
          </w:p>
        </w:tc>
      </w:tr>
      <w:tr w14:paraId="29BBA0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trPr>
        <w:tc>
          <w:tcPr>
            <w:tcW w:w="897" w:type="dxa"/>
            <w:tcBorders>
              <w:top w:val="single" w:color="auto" w:sz="4" w:space="0"/>
              <w:left w:val="single" w:color="auto" w:sz="4" w:space="0"/>
              <w:bottom w:val="single" w:color="auto" w:sz="4" w:space="0"/>
            </w:tcBorders>
            <w:vAlign w:val="center"/>
          </w:tcPr>
          <w:p w14:paraId="6DA25EB1">
            <w:pPr>
              <w:spacing w:line="360" w:lineRule="auto"/>
              <w:jc w:val="center"/>
              <w:rPr>
                <w:rFonts w:ascii="宋体" w:hAnsi="宋体" w:cs="宋体"/>
                <w:szCs w:val="21"/>
              </w:rPr>
            </w:pPr>
            <w:r>
              <w:rPr>
                <w:rFonts w:hint="eastAsia" w:ascii="宋体" w:hAnsi="宋体" w:cs="宋体"/>
                <w:szCs w:val="21"/>
              </w:rPr>
              <w:t>1.4.1</w:t>
            </w:r>
          </w:p>
        </w:tc>
        <w:tc>
          <w:tcPr>
            <w:tcW w:w="2186" w:type="dxa"/>
            <w:tcBorders>
              <w:top w:val="single" w:color="auto" w:sz="4" w:space="0"/>
              <w:bottom w:val="single" w:color="auto" w:sz="4" w:space="0"/>
            </w:tcBorders>
            <w:vAlign w:val="center"/>
          </w:tcPr>
          <w:p w14:paraId="7131A7EB">
            <w:pPr>
              <w:spacing w:line="360" w:lineRule="auto"/>
              <w:jc w:val="center"/>
              <w:rPr>
                <w:rFonts w:hint="eastAsia" w:ascii="宋体" w:hAnsi="宋体" w:eastAsia="宋体" w:cs="宋体"/>
                <w:szCs w:val="21"/>
                <w:highlight w:val="green"/>
                <w:lang w:eastAsia="zh-CN"/>
              </w:rPr>
            </w:pPr>
            <w:r>
              <w:rPr>
                <w:rFonts w:hint="eastAsia" w:ascii="宋体" w:hAnsi="宋体" w:cs="宋体"/>
                <w:szCs w:val="21"/>
                <w:lang w:eastAsia="zh-CN"/>
              </w:rPr>
              <w:t>供应商资格要求</w:t>
            </w:r>
          </w:p>
        </w:tc>
        <w:tc>
          <w:tcPr>
            <w:tcW w:w="6271" w:type="dxa"/>
            <w:tcBorders>
              <w:top w:val="single" w:color="auto" w:sz="4" w:space="0"/>
              <w:bottom w:val="single" w:color="auto" w:sz="4" w:space="0"/>
              <w:right w:val="single" w:color="auto" w:sz="4" w:space="0"/>
            </w:tcBorders>
            <w:vAlign w:val="center"/>
          </w:tcPr>
          <w:p w14:paraId="7A85D615">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firstLine="420" w:firstLineChars="200"/>
              <w:jc w:val="left"/>
              <w:textAlignment w:val="auto"/>
              <w:rPr>
                <w:rFonts w:hint="eastAsia"/>
                <w:lang w:val="en-US" w:eastAsia="zh-CN"/>
              </w:rPr>
            </w:pPr>
            <w:r>
              <w:rPr>
                <w:rFonts w:hint="eastAsia"/>
                <w:lang w:val="en-US" w:eastAsia="zh-CN"/>
              </w:rPr>
              <w:t>1.满足《中华人民共和国政府采购法》第二十二条规定(投标人参加投标时，1.1-1.6 项内容按照规定提供《资格承诺声明函》，详见投标文件格式：</w:t>
            </w:r>
          </w:p>
          <w:p w14:paraId="7A7D3145">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firstLine="420" w:firstLineChars="200"/>
              <w:jc w:val="left"/>
              <w:textAlignment w:val="auto"/>
              <w:rPr>
                <w:rFonts w:hint="eastAsia"/>
                <w:lang w:val="en-US" w:eastAsia="zh-CN"/>
              </w:rPr>
            </w:pPr>
            <w:r>
              <w:rPr>
                <w:rFonts w:hint="eastAsia"/>
                <w:lang w:val="en-US" w:eastAsia="zh-CN"/>
              </w:rPr>
              <w:t>1.1 具有独立承担民事责任的能力。</w:t>
            </w:r>
          </w:p>
          <w:p w14:paraId="63998DDB">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firstLine="420" w:firstLineChars="200"/>
              <w:jc w:val="left"/>
              <w:textAlignment w:val="auto"/>
              <w:rPr>
                <w:rFonts w:hint="eastAsia"/>
                <w:lang w:val="en-US" w:eastAsia="zh-CN"/>
              </w:rPr>
            </w:pPr>
            <w:r>
              <w:rPr>
                <w:rFonts w:hint="eastAsia"/>
                <w:lang w:val="en-US" w:eastAsia="zh-CN"/>
              </w:rPr>
              <w:t>1.2 具有良好的商业信誉和健全的财务会计制度。</w:t>
            </w:r>
          </w:p>
          <w:p w14:paraId="6C2A42DD">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firstLine="420" w:firstLineChars="200"/>
              <w:jc w:val="left"/>
              <w:textAlignment w:val="auto"/>
              <w:rPr>
                <w:rFonts w:hint="eastAsia"/>
                <w:lang w:val="en-US" w:eastAsia="zh-CN"/>
              </w:rPr>
            </w:pPr>
            <w:r>
              <w:rPr>
                <w:rFonts w:hint="eastAsia"/>
                <w:lang w:val="en-US" w:eastAsia="zh-CN"/>
              </w:rPr>
              <w:t>1.3 具有履行合同所必需的设备和专业技术能力。</w:t>
            </w:r>
          </w:p>
          <w:p w14:paraId="71DB6FD5">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firstLine="420" w:firstLineChars="200"/>
              <w:jc w:val="left"/>
              <w:textAlignment w:val="auto"/>
              <w:rPr>
                <w:rFonts w:hint="eastAsia"/>
                <w:lang w:val="en-US" w:eastAsia="zh-CN"/>
              </w:rPr>
            </w:pPr>
            <w:r>
              <w:rPr>
                <w:rFonts w:hint="eastAsia"/>
                <w:lang w:val="en-US" w:eastAsia="zh-CN"/>
              </w:rPr>
              <w:t>1.4 有依法缴纳税收和社会保障资金的良好记录。</w:t>
            </w:r>
          </w:p>
          <w:p w14:paraId="437E8583">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firstLine="420" w:firstLineChars="200"/>
              <w:jc w:val="left"/>
              <w:textAlignment w:val="auto"/>
              <w:rPr>
                <w:rFonts w:hint="eastAsia"/>
                <w:lang w:val="en-US" w:eastAsia="zh-CN"/>
              </w:rPr>
            </w:pPr>
            <w:r>
              <w:rPr>
                <w:rFonts w:hint="eastAsia"/>
                <w:lang w:val="en-US" w:eastAsia="zh-CN"/>
              </w:rPr>
              <w:t>1.5 参加政府采购活动前三年内，在经营活动中没有重大违法记录。</w:t>
            </w:r>
          </w:p>
          <w:p w14:paraId="2CF2B265">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firstLine="420" w:firstLineChars="200"/>
              <w:jc w:val="left"/>
              <w:textAlignment w:val="auto"/>
              <w:rPr>
                <w:rFonts w:hint="eastAsia"/>
                <w:lang w:val="en-US" w:eastAsia="zh-CN"/>
              </w:rPr>
            </w:pPr>
            <w:r>
              <w:rPr>
                <w:rFonts w:hint="eastAsia"/>
                <w:lang w:val="en-US" w:eastAsia="zh-CN"/>
              </w:rPr>
              <w:t>1.6</w:t>
            </w:r>
            <w:bookmarkStart w:id="56" w:name="OLE_LINK25"/>
            <w:r>
              <w:rPr>
                <w:rFonts w:hint="eastAsia"/>
                <w:lang w:val="en-US" w:eastAsia="zh-CN"/>
              </w:rPr>
              <w:t>法律、行政法规规定的其他条件</w:t>
            </w:r>
            <w:bookmarkEnd w:id="56"/>
            <w:r>
              <w:rPr>
                <w:rFonts w:hint="eastAsia"/>
                <w:lang w:val="en-US" w:eastAsia="zh-CN"/>
              </w:rPr>
              <w:t>。</w:t>
            </w:r>
          </w:p>
          <w:p w14:paraId="58363CB4">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firstLine="420" w:firstLineChars="200"/>
              <w:jc w:val="left"/>
              <w:textAlignment w:val="auto"/>
              <w:rPr>
                <w:rFonts w:hint="eastAsia"/>
                <w:lang w:val="en-US" w:eastAsia="zh-CN"/>
              </w:rPr>
            </w:pPr>
            <w:r>
              <w:rPr>
                <w:rFonts w:hint="eastAsia"/>
                <w:lang w:val="en-US" w:eastAsia="zh-CN"/>
              </w:rPr>
              <w:t>2.落实政府采购政策满足的资格要求：</w:t>
            </w:r>
            <w:r>
              <w:rPr>
                <w:rFonts w:hint="eastAsia"/>
                <w:sz w:val="21"/>
                <w:szCs w:val="21"/>
                <w:highlight w:val="none"/>
                <w:lang w:val="en-US" w:eastAsia="zh-CN"/>
              </w:rPr>
              <w:t>/</w:t>
            </w:r>
            <w:r>
              <w:rPr>
                <w:rFonts w:hint="eastAsia"/>
                <w:lang w:val="en-US" w:eastAsia="zh-CN"/>
              </w:rPr>
              <w:t>。</w:t>
            </w:r>
          </w:p>
          <w:p w14:paraId="291BB237">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firstLine="420" w:firstLineChars="200"/>
              <w:jc w:val="left"/>
              <w:textAlignment w:val="auto"/>
              <w:rPr>
                <w:rFonts w:hint="eastAsia"/>
                <w:lang w:val="en-US" w:eastAsia="zh-CN"/>
              </w:rPr>
            </w:pPr>
            <w:r>
              <w:rPr>
                <w:rFonts w:hint="eastAsia"/>
                <w:lang w:val="en-US" w:eastAsia="zh-CN"/>
              </w:rPr>
              <w:t>3.本项目的特定资格要求</w:t>
            </w:r>
          </w:p>
          <w:p w14:paraId="5D321154">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firstLine="420" w:firstLineChars="200"/>
              <w:jc w:val="left"/>
              <w:textAlignment w:val="auto"/>
              <w:rPr>
                <w:rFonts w:hint="eastAsia"/>
                <w:lang w:val="en-US" w:eastAsia="zh-CN"/>
              </w:rPr>
            </w:pPr>
            <w:r>
              <w:rPr>
                <w:rFonts w:hint="eastAsia"/>
                <w:lang w:val="en-US" w:eastAsia="zh-CN"/>
              </w:rPr>
              <w:t>3.1信誉要求</w:t>
            </w:r>
          </w:p>
          <w:p w14:paraId="676793B6">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firstLine="420" w:firstLineChars="200"/>
              <w:jc w:val="left"/>
              <w:textAlignment w:val="auto"/>
              <w:rPr>
                <w:rFonts w:hint="eastAsia"/>
                <w:lang w:val="en-US" w:eastAsia="zh-CN"/>
              </w:rPr>
            </w:pPr>
            <w:r>
              <w:rPr>
                <w:rFonts w:hint="eastAsia"/>
                <w:lang w:val="en-US" w:eastAsia="zh-CN"/>
              </w:rPr>
              <w:t>根据《关于在政府采购活动中查询及使用信用记录有关问题的通知》(财库[2016]125号)和豫财购[2016]15 号的规定，对列入失信被执行人、重大税收违法失信主体、政府采购严重违法失信行为记录名单的企业，拒绝参与本项目政府采购活动；</w:t>
            </w:r>
          </w:p>
          <w:p w14:paraId="6931E867">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firstLine="420" w:firstLineChars="200"/>
              <w:jc w:val="left"/>
              <w:textAlignment w:val="auto"/>
              <w:rPr>
                <w:rFonts w:hint="eastAsia"/>
                <w:lang w:val="en-US" w:eastAsia="zh-CN"/>
              </w:rPr>
            </w:pPr>
            <w:r>
              <w:rPr>
                <w:rFonts w:hint="eastAsia"/>
                <w:lang w:val="en-US" w:eastAsia="zh-CN"/>
              </w:rPr>
              <w:t>3.2单位负责人为同一人或者存在直接控股、管理关系的不同供应商，不得参加同一合同项下的政府采购活动，提供“国家企业信用信息公示系统”中查询打印的相关信息（须显示基础信息中的“营业执照信息”和“股东信息”，非企业性质的供应商无法在该公示系统查询的，则针对此项做出书面承诺，格式自拟并加盖公章）；</w:t>
            </w:r>
          </w:p>
          <w:p w14:paraId="4878EA7E">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firstLine="420" w:firstLineChars="200"/>
              <w:jc w:val="left"/>
              <w:textAlignment w:val="auto"/>
              <w:rPr>
                <w:rFonts w:hint="eastAsia"/>
                <w:lang w:val="en-US" w:eastAsia="zh-CN"/>
              </w:rPr>
            </w:pPr>
            <w:r>
              <w:rPr>
                <w:rFonts w:hint="eastAsia"/>
                <w:lang w:val="en-US" w:eastAsia="zh-CN"/>
              </w:rPr>
              <w:t>3.3本次招标不接受联合体投标。</w:t>
            </w:r>
          </w:p>
        </w:tc>
      </w:tr>
      <w:tr w14:paraId="69538D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897" w:type="dxa"/>
            <w:tcBorders>
              <w:top w:val="single" w:color="auto" w:sz="4" w:space="0"/>
            </w:tcBorders>
            <w:vAlign w:val="center"/>
          </w:tcPr>
          <w:p w14:paraId="0C38E4CB">
            <w:pPr>
              <w:spacing w:line="360" w:lineRule="auto"/>
              <w:jc w:val="center"/>
              <w:rPr>
                <w:rFonts w:ascii="宋体" w:hAnsi="宋体" w:cs="宋体"/>
                <w:szCs w:val="21"/>
              </w:rPr>
            </w:pPr>
            <w:r>
              <w:rPr>
                <w:rFonts w:hint="eastAsia" w:ascii="宋体" w:hAnsi="宋体" w:cs="宋体"/>
                <w:szCs w:val="21"/>
              </w:rPr>
              <w:t>1.4.2</w:t>
            </w:r>
          </w:p>
        </w:tc>
        <w:tc>
          <w:tcPr>
            <w:tcW w:w="2186" w:type="dxa"/>
            <w:tcBorders>
              <w:top w:val="single" w:color="auto" w:sz="4" w:space="0"/>
            </w:tcBorders>
            <w:vAlign w:val="center"/>
          </w:tcPr>
          <w:p w14:paraId="0BF9834C">
            <w:pPr>
              <w:spacing w:line="360" w:lineRule="auto"/>
              <w:jc w:val="center"/>
              <w:rPr>
                <w:rFonts w:ascii="宋体" w:hAnsi="宋体" w:cs="宋体"/>
                <w:szCs w:val="21"/>
              </w:rPr>
            </w:pPr>
            <w:r>
              <w:rPr>
                <w:rFonts w:hint="eastAsia" w:ascii="宋体" w:hAnsi="宋体" w:cs="宋体"/>
                <w:szCs w:val="21"/>
              </w:rPr>
              <w:t>是否接受联合体投标</w:t>
            </w:r>
          </w:p>
        </w:tc>
        <w:tc>
          <w:tcPr>
            <w:tcW w:w="6271" w:type="dxa"/>
            <w:tcBorders>
              <w:top w:val="single" w:color="auto" w:sz="4" w:space="0"/>
            </w:tcBorders>
            <w:vAlign w:val="center"/>
          </w:tcPr>
          <w:p w14:paraId="4BD0D9EF">
            <w:pPr>
              <w:spacing w:line="360" w:lineRule="auto"/>
              <w:rPr>
                <w:rFonts w:ascii="宋体" w:hAnsi="宋体" w:cs="宋体"/>
                <w:szCs w:val="21"/>
              </w:rPr>
            </w:pPr>
            <w:r>
              <w:rPr>
                <w:rFonts w:hint="eastAsia" w:ascii="宋体" w:hAnsi="宋体" w:cs="宋体"/>
                <w:szCs w:val="21"/>
              </w:rPr>
              <w:t>不接受</w:t>
            </w:r>
          </w:p>
        </w:tc>
      </w:tr>
      <w:tr w14:paraId="202149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6" w:hRule="atLeast"/>
        </w:trPr>
        <w:tc>
          <w:tcPr>
            <w:tcW w:w="897" w:type="dxa"/>
            <w:vAlign w:val="center"/>
          </w:tcPr>
          <w:p w14:paraId="32C46D34">
            <w:pPr>
              <w:spacing w:line="360" w:lineRule="auto"/>
              <w:jc w:val="center"/>
              <w:rPr>
                <w:rFonts w:ascii="宋体" w:hAnsi="宋体" w:cs="宋体"/>
                <w:szCs w:val="21"/>
              </w:rPr>
            </w:pPr>
            <w:r>
              <w:rPr>
                <w:rFonts w:hint="eastAsia" w:ascii="宋体" w:hAnsi="宋体" w:cs="宋体"/>
                <w:szCs w:val="21"/>
              </w:rPr>
              <w:t>1.9.1</w:t>
            </w:r>
          </w:p>
        </w:tc>
        <w:tc>
          <w:tcPr>
            <w:tcW w:w="2186" w:type="dxa"/>
            <w:vAlign w:val="center"/>
          </w:tcPr>
          <w:p w14:paraId="25407394">
            <w:pPr>
              <w:spacing w:line="360" w:lineRule="auto"/>
              <w:jc w:val="center"/>
              <w:rPr>
                <w:rFonts w:ascii="宋体" w:hAnsi="宋体" w:cs="宋体"/>
                <w:szCs w:val="21"/>
              </w:rPr>
            </w:pPr>
            <w:r>
              <w:rPr>
                <w:rFonts w:hint="eastAsia" w:ascii="宋体" w:hAnsi="宋体" w:cs="宋体"/>
                <w:szCs w:val="21"/>
              </w:rPr>
              <w:t>踏勘现场</w:t>
            </w:r>
          </w:p>
        </w:tc>
        <w:tc>
          <w:tcPr>
            <w:tcW w:w="6271" w:type="dxa"/>
            <w:vAlign w:val="center"/>
          </w:tcPr>
          <w:p w14:paraId="65170B27">
            <w:pPr>
              <w:spacing w:line="360" w:lineRule="auto"/>
              <w:rPr>
                <w:rFonts w:ascii="宋体" w:hAnsi="宋体" w:cs="宋体"/>
                <w:szCs w:val="21"/>
              </w:rPr>
            </w:pPr>
            <w:r>
              <w:rPr>
                <w:rFonts w:hint="eastAsia" w:ascii="宋体" w:hAnsi="宋体" w:cs="宋体"/>
                <w:kern w:val="0"/>
                <w:szCs w:val="21"/>
              </w:rPr>
              <w:t>不组织</w:t>
            </w:r>
          </w:p>
        </w:tc>
      </w:tr>
      <w:tr w14:paraId="248A70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897" w:type="dxa"/>
            <w:vAlign w:val="center"/>
          </w:tcPr>
          <w:p w14:paraId="7D5B9F50">
            <w:pPr>
              <w:spacing w:line="360" w:lineRule="auto"/>
              <w:jc w:val="center"/>
              <w:rPr>
                <w:rFonts w:ascii="宋体" w:hAnsi="宋体" w:cs="宋体"/>
                <w:szCs w:val="21"/>
              </w:rPr>
            </w:pPr>
            <w:r>
              <w:rPr>
                <w:rFonts w:hint="eastAsia" w:ascii="宋体" w:hAnsi="宋体" w:cs="宋体"/>
                <w:szCs w:val="21"/>
              </w:rPr>
              <w:t>1.10.1</w:t>
            </w:r>
          </w:p>
        </w:tc>
        <w:tc>
          <w:tcPr>
            <w:tcW w:w="2186" w:type="dxa"/>
            <w:vAlign w:val="center"/>
          </w:tcPr>
          <w:p w14:paraId="192DEA13">
            <w:pPr>
              <w:spacing w:line="360" w:lineRule="auto"/>
              <w:jc w:val="center"/>
              <w:rPr>
                <w:rFonts w:ascii="宋体" w:hAnsi="宋体" w:cs="宋体"/>
                <w:szCs w:val="21"/>
              </w:rPr>
            </w:pPr>
            <w:r>
              <w:rPr>
                <w:rFonts w:hint="eastAsia" w:ascii="宋体" w:hAnsi="宋体" w:cs="宋体"/>
                <w:szCs w:val="21"/>
              </w:rPr>
              <w:t>投标预备会</w:t>
            </w:r>
          </w:p>
        </w:tc>
        <w:tc>
          <w:tcPr>
            <w:tcW w:w="6271" w:type="dxa"/>
            <w:vAlign w:val="center"/>
          </w:tcPr>
          <w:p w14:paraId="0C0B3028">
            <w:pPr>
              <w:spacing w:line="360" w:lineRule="auto"/>
              <w:rPr>
                <w:rFonts w:ascii="宋体" w:hAnsi="宋体" w:cs="宋体"/>
                <w:szCs w:val="21"/>
              </w:rPr>
            </w:pPr>
            <w:r>
              <w:rPr>
                <w:rFonts w:hint="eastAsia" w:ascii="宋体" w:hAnsi="宋体" w:cs="宋体"/>
                <w:szCs w:val="21"/>
              </w:rPr>
              <w:t>不召开</w:t>
            </w:r>
          </w:p>
        </w:tc>
      </w:tr>
      <w:tr w14:paraId="17398D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897" w:type="dxa"/>
            <w:vAlign w:val="center"/>
          </w:tcPr>
          <w:p w14:paraId="64F9C9B5">
            <w:pPr>
              <w:spacing w:line="360" w:lineRule="auto"/>
              <w:jc w:val="center"/>
              <w:rPr>
                <w:rFonts w:ascii="宋体" w:hAnsi="宋体" w:cs="宋体"/>
                <w:szCs w:val="21"/>
              </w:rPr>
            </w:pPr>
            <w:r>
              <w:rPr>
                <w:rFonts w:hint="eastAsia" w:ascii="宋体" w:hAnsi="宋体" w:cs="宋体"/>
                <w:szCs w:val="21"/>
              </w:rPr>
              <w:t>1.10.2</w:t>
            </w:r>
          </w:p>
        </w:tc>
        <w:tc>
          <w:tcPr>
            <w:tcW w:w="2186" w:type="dxa"/>
            <w:vAlign w:val="center"/>
          </w:tcPr>
          <w:p w14:paraId="1712FB2B">
            <w:pPr>
              <w:spacing w:line="360" w:lineRule="auto"/>
              <w:jc w:val="center"/>
              <w:rPr>
                <w:rFonts w:ascii="宋体" w:hAnsi="宋体" w:cs="宋体"/>
                <w:szCs w:val="21"/>
              </w:rPr>
            </w:pPr>
            <w:r>
              <w:rPr>
                <w:rFonts w:hint="eastAsia" w:ascii="宋体" w:hAnsi="宋体" w:cs="宋体"/>
                <w:szCs w:val="21"/>
              </w:rPr>
              <w:t>投标人提出异议的截止时间</w:t>
            </w:r>
          </w:p>
        </w:tc>
        <w:tc>
          <w:tcPr>
            <w:tcW w:w="6271" w:type="dxa"/>
            <w:vAlign w:val="center"/>
          </w:tcPr>
          <w:p w14:paraId="40C9B8C7">
            <w:pPr>
              <w:spacing w:line="360" w:lineRule="auto"/>
              <w:rPr>
                <w:rFonts w:ascii="宋体" w:hAnsi="宋体" w:cs="宋体"/>
                <w:szCs w:val="21"/>
              </w:rPr>
            </w:pPr>
            <w:r>
              <w:rPr>
                <w:rFonts w:hint="eastAsia" w:ascii="宋体" w:hAnsi="宋体" w:cs="宋体"/>
                <w:szCs w:val="21"/>
              </w:rPr>
              <w:t>投标人对招标文件有异议的，应当在投标文件递交截止时间10日前在交易平台上提出</w:t>
            </w:r>
          </w:p>
        </w:tc>
      </w:tr>
      <w:tr w14:paraId="682D18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897" w:type="dxa"/>
            <w:vAlign w:val="center"/>
          </w:tcPr>
          <w:p w14:paraId="61C15FB8">
            <w:pPr>
              <w:spacing w:line="360" w:lineRule="auto"/>
              <w:jc w:val="center"/>
              <w:rPr>
                <w:rFonts w:ascii="宋体" w:hAnsi="宋体" w:cs="宋体"/>
                <w:szCs w:val="21"/>
              </w:rPr>
            </w:pPr>
            <w:r>
              <w:rPr>
                <w:rFonts w:hint="eastAsia" w:ascii="宋体" w:hAnsi="宋体" w:cs="宋体"/>
                <w:szCs w:val="21"/>
              </w:rPr>
              <w:t>1.10.3</w:t>
            </w:r>
          </w:p>
        </w:tc>
        <w:tc>
          <w:tcPr>
            <w:tcW w:w="2186" w:type="dxa"/>
            <w:vAlign w:val="center"/>
          </w:tcPr>
          <w:p w14:paraId="5F9E1DD5">
            <w:pPr>
              <w:spacing w:line="360" w:lineRule="auto"/>
              <w:jc w:val="center"/>
              <w:rPr>
                <w:rFonts w:ascii="宋体" w:hAnsi="宋体" w:cs="宋体"/>
                <w:szCs w:val="21"/>
              </w:rPr>
            </w:pPr>
            <w:r>
              <w:rPr>
                <w:rFonts w:hint="eastAsia" w:ascii="宋体" w:hAnsi="宋体" w:cs="宋体"/>
                <w:szCs w:val="21"/>
                <w:lang w:eastAsia="zh-CN"/>
              </w:rPr>
              <w:t>采购人</w:t>
            </w:r>
            <w:r>
              <w:rPr>
                <w:rFonts w:hint="eastAsia" w:ascii="宋体" w:hAnsi="宋体" w:cs="宋体"/>
                <w:szCs w:val="21"/>
              </w:rPr>
              <w:t>书面澄清的时间</w:t>
            </w:r>
          </w:p>
        </w:tc>
        <w:tc>
          <w:tcPr>
            <w:tcW w:w="6271" w:type="dxa"/>
            <w:vAlign w:val="center"/>
          </w:tcPr>
          <w:p w14:paraId="0AC3BE4E">
            <w:pPr>
              <w:spacing w:line="360" w:lineRule="auto"/>
              <w:rPr>
                <w:rFonts w:ascii="宋体" w:hAnsi="宋体" w:cs="宋体"/>
                <w:szCs w:val="21"/>
              </w:rPr>
            </w:pPr>
            <w:r>
              <w:rPr>
                <w:rFonts w:hint="eastAsia" w:ascii="宋体" w:hAnsi="宋体" w:cs="宋体"/>
                <w:szCs w:val="21"/>
              </w:rPr>
              <w:t>投标文件递交截止时间15日前回复，但不指明问题来源</w:t>
            </w:r>
          </w:p>
        </w:tc>
      </w:tr>
      <w:tr w14:paraId="6C127B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97" w:type="dxa"/>
            <w:vAlign w:val="center"/>
          </w:tcPr>
          <w:p w14:paraId="67D3329F">
            <w:pPr>
              <w:spacing w:line="360" w:lineRule="auto"/>
              <w:jc w:val="center"/>
              <w:rPr>
                <w:rFonts w:ascii="宋体" w:hAnsi="宋体" w:cs="宋体"/>
                <w:szCs w:val="21"/>
              </w:rPr>
            </w:pPr>
            <w:r>
              <w:rPr>
                <w:rFonts w:hint="eastAsia" w:ascii="宋体" w:hAnsi="宋体" w:cs="宋体"/>
                <w:szCs w:val="21"/>
              </w:rPr>
              <w:t>1.11</w:t>
            </w:r>
          </w:p>
        </w:tc>
        <w:tc>
          <w:tcPr>
            <w:tcW w:w="2186" w:type="dxa"/>
            <w:vAlign w:val="center"/>
          </w:tcPr>
          <w:p w14:paraId="038817C3">
            <w:pPr>
              <w:spacing w:line="360" w:lineRule="auto"/>
              <w:jc w:val="center"/>
              <w:rPr>
                <w:rFonts w:ascii="宋体" w:hAnsi="宋体" w:cs="宋体"/>
                <w:szCs w:val="21"/>
              </w:rPr>
            </w:pPr>
            <w:r>
              <w:rPr>
                <w:rFonts w:hint="eastAsia" w:ascii="宋体" w:hAnsi="宋体" w:cs="宋体"/>
                <w:szCs w:val="21"/>
              </w:rPr>
              <w:t>分包</w:t>
            </w:r>
          </w:p>
        </w:tc>
        <w:tc>
          <w:tcPr>
            <w:tcW w:w="6271" w:type="dxa"/>
            <w:vAlign w:val="center"/>
          </w:tcPr>
          <w:p w14:paraId="12928295">
            <w:pPr>
              <w:spacing w:line="360" w:lineRule="auto"/>
              <w:rPr>
                <w:rFonts w:hint="eastAsia" w:ascii="宋体" w:hAnsi="宋体" w:eastAsia="宋体" w:cs="宋体"/>
                <w:szCs w:val="21"/>
                <w:lang w:eastAsia="zh-CN"/>
              </w:rPr>
            </w:pPr>
            <w:r>
              <w:rPr>
                <w:rFonts w:hint="eastAsia" w:ascii="宋体" w:hAnsi="宋体" w:cs="宋体"/>
                <w:szCs w:val="21"/>
                <w:lang w:val="en-US" w:eastAsia="zh-CN"/>
              </w:rPr>
              <w:t>不允许</w:t>
            </w:r>
          </w:p>
        </w:tc>
      </w:tr>
      <w:tr w14:paraId="2AB6C9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897" w:type="dxa"/>
            <w:vAlign w:val="center"/>
          </w:tcPr>
          <w:p w14:paraId="4D3D351E">
            <w:pPr>
              <w:spacing w:line="360" w:lineRule="auto"/>
              <w:jc w:val="center"/>
              <w:rPr>
                <w:rFonts w:ascii="宋体" w:hAnsi="宋体" w:cs="宋体"/>
                <w:szCs w:val="21"/>
              </w:rPr>
            </w:pPr>
            <w:r>
              <w:rPr>
                <w:rFonts w:hint="eastAsia" w:ascii="宋体" w:hAnsi="宋体" w:cs="宋体"/>
                <w:szCs w:val="21"/>
              </w:rPr>
              <w:t>1.12</w:t>
            </w:r>
          </w:p>
        </w:tc>
        <w:tc>
          <w:tcPr>
            <w:tcW w:w="2186" w:type="dxa"/>
            <w:vAlign w:val="center"/>
          </w:tcPr>
          <w:p w14:paraId="023EC6FD">
            <w:pPr>
              <w:spacing w:line="360" w:lineRule="auto"/>
              <w:jc w:val="center"/>
              <w:rPr>
                <w:rFonts w:ascii="宋体" w:hAnsi="宋体" w:cs="宋体"/>
                <w:szCs w:val="21"/>
              </w:rPr>
            </w:pPr>
            <w:r>
              <w:rPr>
                <w:rFonts w:hint="eastAsia" w:ascii="宋体" w:hAnsi="宋体" w:cs="宋体"/>
                <w:szCs w:val="21"/>
              </w:rPr>
              <w:t>偏离</w:t>
            </w:r>
          </w:p>
        </w:tc>
        <w:tc>
          <w:tcPr>
            <w:tcW w:w="6271" w:type="dxa"/>
            <w:vAlign w:val="center"/>
          </w:tcPr>
          <w:p w14:paraId="2F2A1204">
            <w:pPr>
              <w:spacing w:line="360" w:lineRule="auto"/>
              <w:rPr>
                <w:rFonts w:ascii="宋体" w:hAnsi="宋体" w:cs="宋体"/>
                <w:szCs w:val="21"/>
              </w:rPr>
            </w:pPr>
            <w:r>
              <w:rPr>
                <w:rFonts w:hint="eastAsia" w:ascii="宋体" w:hAnsi="宋体" w:cs="宋体"/>
                <w:szCs w:val="21"/>
              </w:rPr>
              <w:t>不允许偏离</w:t>
            </w:r>
          </w:p>
        </w:tc>
      </w:tr>
      <w:tr w14:paraId="17A4B6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897" w:type="dxa"/>
            <w:vAlign w:val="center"/>
          </w:tcPr>
          <w:p w14:paraId="55D8BC77">
            <w:pPr>
              <w:spacing w:line="360" w:lineRule="auto"/>
              <w:jc w:val="center"/>
              <w:rPr>
                <w:rFonts w:ascii="宋体" w:hAnsi="宋体" w:cs="宋体"/>
                <w:szCs w:val="21"/>
              </w:rPr>
            </w:pPr>
            <w:r>
              <w:rPr>
                <w:rFonts w:hint="eastAsia" w:ascii="宋体" w:hAnsi="宋体" w:cs="宋体"/>
                <w:szCs w:val="21"/>
              </w:rPr>
              <w:t>2.1</w:t>
            </w:r>
          </w:p>
        </w:tc>
        <w:tc>
          <w:tcPr>
            <w:tcW w:w="2186" w:type="dxa"/>
            <w:vAlign w:val="center"/>
          </w:tcPr>
          <w:p w14:paraId="169E9F67">
            <w:pPr>
              <w:spacing w:line="360" w:lineRule="auto"/>
              <w:jc w:val="center"/>
              <w:rPr>
                <w:rFonts w:ascii="宋体" w:hAnsi="宋体" w:cs="宋体"/>
                <w:szCs w:val="21"/>
              </w:rPr>
            </w:pPr>
            <w:r>
              <w:rPr>
                <w:rFonts w:hint="eastAsia" w:ascii="宋体" w:hAnsi="宋体" w:cs="宋体"/>
                <w:szCs w:val="21"/>
              </w:rPr>
              <w:t>构成招标文件的其他材料</w:t>
            </w:r>
          </w:p>
        </w:tc>
        <w:tc>
          <w:tcPr>
            <w:tcW w:w="6271" w:type="dxa"/>
            <w:vAlign w:val="center"/>
          </w:tcPr>
          <w:p w14:paraId="23E1EFFA">
            <w:pPr>
              <w:spacing w:line="360" w:lineRule="auto"/>
              <w:rPr>
                <w:rFonts w:ascii="宋体" w:hAnsi="宋体" w:cs="宋体"/>
                <w:szCs w:val="21"/>
              </w:rPr>
            </w:pPr>
            <w:r>
              <w:rPr>
                <w:rFonts w:hint="eastAsia" w:ascii="宋体" w:hAnsi="宋体" w:cs="宋体"/>
                <w:szCs w:val="21"/>
                <w:lang w:eastAsia="zh-CN"/>
              </w:rPr>
              <w:t>采购人</w:t>
            </w:r>
            <w:r>
              <w:rPr>
                <w:rFonts w:hint="eastAsia" w:ascii="宋体" w:hAnsi="宋体" w:cs="宋体"/>
                <w:szCs w:val="21"/>
              </w:rPr>
              <w:t>发出的答疑或补充文件</w:t>
            </w:r>
          </w:p>
        </w:tc>
      </w:tr>
      <w:tr w14:paraId="7C5D34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897" w:type="dxa"/>
            <w:vAlign w:val="center"/>
          </w:tcPr>
          <w:p w14:paraId="300E4894">
            <w:pPr>
              <w:spacing w:line="360" w:lineRule="auto"/>
              <w:jc w:val="center"/>
              <w:rPr>
                <w:rFonts w:ascii="宋体" w:hAnsi="宋体" w:cs="宋体"/>
                <w:szCs w:val="21"/>
              </w:rPr>
            </w:pPr>
            <w:r>
              <w:rPr>
                <w:rFonts w:hint="eastAsia" w:ascii="宋体" w:hAnsi="宋体" w:cs="宋体"/>
                <w:szCs w:val="21"/>
              </w:rPr>
              <w:t>2.2.1</w:t>
            </w:r>
          </w:p>
        </w:tc>
        <w:tc>
          <w:tcPr>
            <w:tcW w:w="2186" w:type="dxa"/>
            <w:vAlign w:val="center"/>
          </w:tcPr>
          <w:p w14:paraId="74847496">
            <w:pPr>
              <w:spacing w:line="360" w:lineRule="auto"/>
              <w:jc w:val="center"/>
              <w:rPr>
                <w:rFonts w:ascii="宋体" w:hAnsi="宋体" w:cs="宋体"/>
                <w:szCs w:val="21"/>
              </w:rPr>
            </w:pPr>
            <w:r>
              <w:rPr>
                <w:rFonts w:hint="eastAsia" w:ascii="宋体" w:hAnsi="宋体" w:cs="宋体"/>
                <w:szCs w:val="21"/>
                <w:lang w:eastAsia="zh-CN"/>
              </w:rPr>
              <w:t>采购人</w:t>
            </w:r>
            <w:r>
              <w:rPr>
                <w:rFonts w:hint="eastAsia" w:ascii="宋体" w:hAnsi="宋体" w:cs="宋体"/>
                <w:szCs w:val="21"/>
              </w:rPr>
              <w:t>答复投标人提出异议的截止时间</w:t>
            </w:r>
          </w:p>
        </w:tc>
        <w:tc>
          <w:tcPr>
            <w:tcW w:w="6271" w:type="dxa"/>
            <w:vAlign w:val="center"/>
          </w:tcPr>
          <w:p w14:paraId="69034C22">
            <w:pPr>
              <w:spacing w:line="360" w:lineRule="auto"/>
              <w:rPr>
                <w:rFonts w:ascii="宋体" w:hAnsi="宋体" w:cs="宋体"/>
                <w:szCs w:val="21"/>
              </w:rPr>
            </w:pPr>
            <w:r>
              <w:rPr>
                <w:rFonts w:hint="eastAsia" w:ascii="宋体" w:hAnsi="宋体" w:cs="宋体"/>
                <w:szCs w:val="21"/>
              </w:rPr>
              <w:t>自收到异议之日起3日内</w:t>
            </w:r>
          </w:p>
        </w:tc>
      </w:tr>
      <w:tr w14:paraId="473C25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trPr>
        <w:tc>
          <w:tcPr>
            <w:tcW w:w="897" w:type="dxa"/>
            <w:vAlign w:val="center"/>
          </w:tcPr>
          <w:p w14:paraId="4EB82AEC">
            <w:pPr>
              <w:spacing w:line="360" w:lineRule="auto"/>
              <w:jc w:val="center"/>
              <w:rPr>
                <w:rFonts w:ascii="宋体" w:hAnsi="宋体" w:cs="宋体"/>
                <w:szCs w:val="21"/>
                <w:highlight w:val="none"/>
              </w:rPr>
            </w:pPr>
            <w:r>
              <w:rPr>
                <w:rFonts w:hint="eastAsia" w:ascii="宋体" w:hAnsi="宋体" w:cs="宋体"/>
                <w:szCs w:val="21"/>
                <w:highlight w:val="none"/>
              </w:rPr>
              <w:t>2.2.2</w:t>
            </w:r>
          </w:p>
        </w:tc>
        <w:tc>
          <w:tcPr>
            <w:tcW w:w="2186" w:type="dxa"/>
            <w:vAlign w:val="center"/>
          </w:tcPr>
          <w:p w14:paraId="66C19094">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投标文件递交截止时间</w:t>
            </w:r>
          </w:p>
        </w:tc>
        <w:tc>
          <w:tcPr>
            <w:tcW w:w="6271" w:type="dxa"/>
            <w:vAlign w:val="center"/>
          </w:tcPr>
          <w:p w14:paraId="6FC1B26E">
            <w:pPr>
              <w:spacing w:line="360" w:lineRule="auto"/>
              <w:rPr>
                <w:rFonts w:ascii="宋体" w:hAnsi="宋体" w:cs="宋体"/>
                <w:color w:val="auto"/>
                <w:szCs w:val="21"/>
                <w:highlight w:val="none"/>
              </w:rPr>
            </w:pPr>
            <w:r>
              <w:rPr>
                <w:rFonts w:hint="eastAsia" w:ascii="宋体" w:hAnsi="宋体" w:cs="宋体"/>
                <w:color w:val="auto"/>
                <w:szCs w:val="21"/>
                <w:highlight w:val="none"/>
              </w:rPr>
              <w:t>202</w:t>
            </w:r>
            <w:r>
              <w:rPr>
                <w:rFonts w:hint="eastAsia" w:ascii="宋体" w:hAnsi="宋体" w:cs="宋体"/>
                <w:color w:val="auto"/>
                <w:szCs w:val="21"/>
                <w:highlight w:val="none"/>
                <w:lang w:val="en-US" w:eastAsia="zh-CN"/>
              </w:rPr>
              <w:t>4</w:t>
            </w:r>
            <w:r>
              <w:rPr>
                <w:rFonts w:hint="eastAsia" w:ascii="宋体" w:hAnsi="宋体" w:cs="宋体"/>
                <w:color w:val="auto"/>
                <w:szCs w:val="21"/>
                <w:highlight w:val="none"/>
              </w:rPr>
              <w:t>年</w:t>
            </w:r>
            <w:r>
              <w:rPr>
                <w:rFonts w:hint="eastAsia" w:ascii="宋体" w:hAnsi="宋体" w:cs="宋体"/>
                <w:color w:val="auto"/>
                <w:szCs w:val="21"/>
                <w:highlight w:val="none"/>
                <w:lang w:val="en-US" w:eastAsia="zh-CN"/>
              </w:rPr>
              <w:t xml:space="preserve"> 09 月 19 日</w:t>
            </w:r>
            <w:r>
              <w:rPr>
                <w:rFonts w:hint="eastAsia" w:ascii="宋体" w:hAnsi="宋体" w:cs="宋体"/>
                <w:color w:val="auto"/>
                <w:szCs w:val="21"/>
                <w:highlight w:val="none"/>
              </w:rPr>
              <w:t>10时00分（北京时间）</w:t>
            </w:r>
          </w:p>
        </w:tc>
      </w:tr>
      <w:tr w14:paraId="3799C1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trPr>
        <w:tc>
          <w:tcPr>
            <w:tcW w:w="897" w:type="dxa"/>
            <w:vAlign w:val="center"/>
          </w:tcPr>
          <w:p w14:paraId="72F6FE2F">
            <w:pPr>
              <w:spacing w:line="360" w:lineRule="auto"/>
              <w:jc w:val="center"/>
              <w:rPr>
                <w:rFonts w:ascii="宋体" w:hAnsi="宋体" w:cs="宋体"/>
                <w:szCs w:val="21"/>
              </w:rPr>
            </w:pPr>
            <w:r>
              <w:rPr>
                <w:rFonts w:hint="eastAsia" w:ascii="宋体" w:hAnsi="宋体" w:cs="宋体"/>
                <w:szCs w:val="21"/>
              </w:rPr>
              <w:t>3.3.1</w:t>
            </w:r>
          </w:p>
        </w:tc>
        <w:tc>
          <w:tcPr>
            <w:tcW w:w="2186" w:type="dxa"/>
            <w:vAlign w:val="center"/>
          </w:tcPr>
          <w:p w14:paraId="175E5854">
            <w:pPr>
              <w:spacing w:line="360" w:lineRule="auto"/>
              <w:jc w:val="center"/>
              <w:rPr>
                <w:rFonts w:ascii="宋体" w:hAnsi="宋体" w:cs="宋体"/>
                <w:szCs w:val="21"/>
              </w:rPr>
            </w:pPr>
            <w:r>
              <w:rPr>
                <w:rFonts w:hint="eastAsia" w:ascii="宋体" w:hAnsi="宋体" w:cs="宋体"/>
                <w:szCs w:val="21"/>
              </w:rPr>
              <w:t>投标有效期</w:t>
            </w:r>
          </w:p>
        </w:tc>
        <w:tc>
          <w:tcPr>
            <w:tcW w:w="6271" w:type="dxa"/>
            <w:vAlign w:val="center"/>
          </w:tcPr>
          <w:p w14:paraId="6AFC7B39">
            <w:pPr>
              <w:spacing w:line="360" w:lineRule="auto"/>
              <w:rPr>
                <w:rFonts w:ascii="宋体" w:hAnsi="宋体" w:cs="宋体"/>
                <w:szCs w:val="21"/>
              </w:rPr>
            </w:pPr>
            <w:r>
              <w:rPr>
                <w:rFonts w:ascii="宋体" w:hAnsi="宋体"/>
                <w:bCs/>
                <w:color w:val="000000"/>
                <w:sz w:val="21"/>
                <w:szCs w:val="21"/>
                <w:highlight w:val="none"/>
              </w:rPr>
              <w:t>自投标截止之日起</w:t>
            </w:r>
            <w:r>
              <w:rPr>
                <w:rFonts w:hint="eastAsia" w:ascii="宋体" w:hAnsi="宋体"/>
                <w:bCs/>
                <w:color w:val="000000"/>
                <w:sz w:val="21"/>
                <w:szCs w:val="21"/>
                <w:highlight w:val="none"/>
                <w:u w:val="none"/>
                <w:lang w:val="en-US" w:eastAsia="zh-CN"/>
              </w:rPr>
              <w:t>60</w:t>
            </w:r>
            <w:r>
              <w:rPr>
                <w:rFonts w:hint="eastAsia" w:ascii="宋体" w:hAnsi="宋体" w:cs="宋体"/>
                <w:szCs w:val="21"/>
              </w:rPr>
              <w:t>日历天</w:t>
            </w:r>
          </w:p>
        </w:tc>
      </w:tr>
      <w:tr w14:paraId="47A357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897" w:type="dxa"/>
            <w:vAlign w:val="center"/>
          </w:tcPr>
          <w:p w14:paraId="61ED3340">
            <w:pPr>
              <w:spacing w:line="360" w:lineRule="auto"/>
              <w:jc w:val="center"/>
              <w:rPr>
                <w:rFonts w:ascii="宋体" w:hAnsi="宋体" w:cs="宋体"/>
                <w:szCs w:val="21"/>
              </w:rPr>
            </w:pPr>
            <w:r>
              <w:rPr>
                <w:rFonts w:hint="eastAsia" w:ascii="宋体" w:hAnsi="宋体" w:cs="宋体"/>
                <w:szCs w:val="21"/>
              </w:rPr>
              <w:t>3.4.1</w:t>
            </w:r>
          </w:p>
        </w:tc>
        <w:tc>
          <w:tcPr>
            <w:tcW w:w="2186" w:type="dxa"/>
            <w:vAlign w:val="center"/>
          </w:tcPr>
          <w:p w14:paraId="3D42624B">
            <w:pPr>
              <w:spacing w:line="360" w:lineRule="auto"/>
              <w:jc w:val="center"/>
              <w:rPr>
                <w:rFonts w:ascii="宋体" w:hAnsi="宋体" w:cs="宋体"/>
                <w:szCs w:val="21"/>
              </w:rPr>
            </w:pPr>
            <w:r>
              <w:rPr>
                <w:rFonts w:hint="eastAsia" w:ascii="宋体" w:hAnsi="宋体" w:cs="宋体"/>
                <w:szCs w:val="21"/>
              </w:rPr>
              <w:t>投标保证金</w:t>
            </w:r>
          </w:p>
        </w:tc>
        <w:tc>
          <w:tcPr>
            <w:tcW w:w="6271" w:type="dxa"/>
            <w:vAlign w:val="center"/>
          </w:tcPr>
          <w:p w14:paraId="1C454423">
            <w:pPr>
              <w:spacing w:line="360" w:lineRule="auto"/>
              <w:rPr>
                <w:rFonts w:ascii="宋体" w:hAnsi="宋体" w:cs="宋体"/>
                <w:b/>
                <w:szCs w:val="21"/>
              </w:rPr>
            </w:pPr>
            <w:r>
              <w:rPr>
                <w:rFonts w:hint="eastAsia" w:ascii="宋体" w:hAnsi="宋体" w:cs="宋体"/>
                <w:bCs/>
                <w:szCs w:val="21"/>
              </w:rPr>
              <w:t>无</w:t>
            </w:r>
          </w:p>
        </w:tc>
      </w:tr>
      <w:tr w14:paraId="71EBA9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2" w:hRule="atLeast"/>
        </w:trPr>
        <w:tc>
          <w:tcPr>
            <w:tcW w:w="897" w:type="dxa"/>
            <w:vAlign w:val="center"/>
          </w:tcPr>
          <w:p w14:paraId="5B2CD8F9">
            <w:pPr>
              <w:spacing w:line="360" w:lineRule="auto"/>
              <w:jc w:val="center"/>
              <w:rPr>
                <w:rFonts w:ascii="宋体" w:hAnsi="宋体" w:cs="宋体"/>
                <w:szCs w:val="21"/>
              </w:rPr>
            </w:pPr>
            <w:r>
              <w:rPr>
                <w:rFonts w:hint="eastAsia" w:ascii="宋体" w:hAnsi="宋体" w:cs="宋体"/>
                <w:szCs w:val="21"/>
              </w:rPr>
              <w:t>3.5.2</w:t>
            </w:r>
          </w:p>
        </w:tc>
        <w:tc>
          <w:tcPr>
            <w:tcW w:w="2186" w:type="dxa"/>
            <w:vAlign w:val="center"/>
          </w:tcPr>
          <w:p w14:paraId="47837232">
            <w:pPr>
              <w:spacing w:line="360" w:lineRule="auto"/>
              <w:jc w:val="center"/>
              <w:rPr>
                <w:rFonts w:ascii="宋体" w:hAnsi="宋体" w:cs="宋体"/>
                <w:szCs w:val="21"/>
              </w:rPr>
            </w:pPr>
            <w:r>
              <w:rPr>
                <w:rFonts w:hint="eastAsia" w:ascii="宋体" w:hAnsi="宋体" w:cs="宋体"/>
                <w:szCs w:val="21"/>
              </w:rPr>
              <w:t>近年财务状况的年份要求</w:t>
            </w:r>
          </w:p>
        </w:tc>
        <w:tc>
          <w:tcPr>
            <w:tcW w:w="6271" w:type="dxa"/>
            <w:vAlign w:val="center"/>
          </w:tcPr>
          <w:p w14:paraId="2178C7A3">
            <w:pPr>
              <w:spacing w:line="360" w:lineRule="auto"/>
              <w:rPr>
                <w:rFonts w:hint="eastAsia" w:ascii="宋体" w:hAnsi="宋体" w:eastAsia="宋体" w:cs="宋体"/>
                <w:szCs w:val="21"/>
                <w:lang w:val="en-US" w:eastAsia="zh-CN"/>
              </w:rPr>
            </w:pPr>
            <w:r>
              <w:rPr>
                <w:rFonts w:hint="eastAsia" w:ascii="宋体" w:hAnsi="宋体" w:cs="宋体"/>
                <w:szCs w:val="21"/>
                <w:lang w:val="en-US" w:eastAsia="zh-CN"/>
              </w:rPr>
              <w:t>/</w:t>
            </w:r>
          </w:p>
        </w:tc>
      </w:tr>
      <w:tr w14:paraId="78871F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trPr>
        <w:tc>
          <w:tcPr>
            <w:tcW w:w="897" w:type="dxa"/>
            <w:vAlign w:val="center"/>
          </w:tcPr>
          <w:p w14:paraId="3A0C85ED">
            <w:pPr>
              <w:spacing w:line="360" w:lineRule="auto"/>
              <w:jc w:val="center"/>
              <w:rPr>
                <w:rFonts w:ascii="宋体" w:hAnsi="宋体" w:cs="宋体"/>
                <w:szCs w:val="21"/>
              </w:rPr>
            </w:pPr>
            <w:r>
              <w:rPr>
                <w:rFonts w:hint="eastAsia" w:ascii="宋体" w:hAnsi="宋体" w:cs="宋体"/>
                <w:szCs w:val="21"/>
              </w:rPr>
              <w:t>3.5.3</w:t>
            </w:r>
          </w:p>
        </w:tc>
        <w:tc>
          <w:tcPr>
            <w:tcW w:w="2186" w:type="dxa"/>
            <w:vAlign w:val="center"/>
          </w:tcPr>
          <w:p w14:paraId="6BB9001C">
            <w:pPr>
              <w:spacing w:line="360" w:lineRule="auto"/>
              <w:jc w:val="center"/>
              <w:rPr>
                <w:rFonts w:ascii="宋体" w:hAnsi="宋体" w:cs="宋体"/>
                <w:szCs w:val="21"/>
              </w:rPr>
            </w:pPr>
            <w:r>
              <w:rPr>
                <w:rFonts w:hint="eastAsia" w:ascii="宋体" w:hAnsi="宋体" w:cs="宋体"/>
                <w:szCs w:val="21"/>
              </w:rPr>
              <w:t>近年完成的类似项目的年份要求</w:t>
            </w:r>
          </w:p>
        </w:tc>
        <w:tc>
          <w:tcPr>
            <w:tcW w:w="6271" w:type="dxa"/>
            <w:vAlign w:val="center"/>
          </w:tcPr>
          <w:p w14:paraId="636F5270">
            <w:pPr>
              <w:spacing w:line="360" w:lineRule="auto"/>
              <w:rPr>
                <w:rFonts w:hint="default" w:ascii="宋体" w:hAnsi="宋体" w:eastAsia="宋体" w:cs="宋体"/>
                <w:szCs w:val="21"/>
                <w:u w:val="single"/>
                <w:lang w:val="en-US" w:eastAsia="zh-CN"/>
              </w:rPr>
            </w:pPr>
            <w:r>
              <w:rPr>
                <w:rFonts w:hint="eastAsia" w:ascii="宋体" w:hAnsi="宋体" w:cs="宋体"/>
                <w:szCs w:val="21"/>
                <w:lang w:val="en-US" w:eastAsia="zh-CN"/>
              </w:rPr>
              <w:t>2020年</w:t>
            </w:r>
          </w:p>
        </w:tc>
      </w:tr>
      <w:tr w14:paraId="5ACA0B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trPr>
        <w:tc>
          <w:tcPr>
            <w:tcW w:w="897" w:type="dxa"/>
            <w:vAlign w:val="center"/>
          </w:tcPr>
          <w:p w14:paraId="6F2FE634">
            <w:pPr>
              <w:spacing w:line="360" w:lineRule="auto"/>
              <w:jc w:val="center"/>
              <w:rPr>
                <w:rFonts w:hint="default" w:ascii="宋体" w:hAnsi="宋体" w:eastAsia="宋体" w:cs="宋体"/>
                <w:szCs w:val="21"/>
                <w:highlight w:val="none"/>
                <w:lang w:val="en-US" w:eastAsia="zh-CN"/>
              </w:rPr>
            </w:pPr>
            <w:r>
              <w:rPr>
                <w:rFonts w:hint="eastAsia" w:ascii="宋体" w:hAnsi="宋体" w:cs="宋体"/>
                <w:szCs w:val="21"/>
                <w:highlight w:val="none"/>
                <w:lang w:val="en-US" w:eastAsia="zh-CN"/>
              </w:rPr>
              <w:t>3.5.4</w:t>
            </w:r>
          </w:p>
        </w:tc>
        <w:tc>
          <w:tcPr>
            <w:tcW w:w="2186" w:type="dxa"/>
            <w:vAlign w:val="center"/>
          </w:tcPr>
          <w:p w14:paraId="357014DD">
            <w:pPr>
              <w:keepNext w:val="0"/>
              <w:keepLines w:val="0"/>
              <w:pageBreakBefore w:val="0"/>
              <w:widowControl w:val="0"/>
              <w:kinsoku/>
              <w:wordWrap/>
              <w:overflowPunct/>
              <w:topLinePunct w:val="0"/>
              <w:autoSpaceDE/>
              <w:autoSpaceDN/>
              <w:bidi w:val="0"/>
              <w:adjustRightInd w:val="0"/>
              <w:snapToGrid/>
              <w:spacing w:line="360" w:lineRule="auto"/>
              <w:jc w:val="center"/>
              <w:textAlignment w:val="auto"/>
              <w:rPr>
                <w:rFonts w:hint="eastAsia" w:ascii="宋体" w:hAnsi="宋体" w:cs="宋体"/>
                <w:szCs w:val="21"/>
                <w:highlight w:val="none"/>
              </w:rPr>
            </w:pPr>
            <w:r>
              <w:rPr>
                <w:rFonts w:hint="eastAsia" w:ascii="宋体" w:hAnsi="宋体"/>
                <w:color w:val="000000"/>
                <w:sz w:val="21"/>
                <w:szCs w:val="21"/>
                <w:highlight w:val="none"/>
              </w:rPr>
              <w:t>授权委托书</w:t>
            </w:r>
          </w:p>
        </w:tc>
        <w:tc>
          <w:tcPr>
            <w:tcW w:w="6271" w:type="dxa"/>
            <w:vAlign w:val="center"/>
          </w:tcPr>
          <w:p w14:paraId="77FBD77D">
            <w:pPr>
              <w:keepNext w:val="0"/>
              <w:keepLines w:val="0"/>
              <w:pageBreakBefore w:val="0"/>
              <w:widowControl w:val="0"/>
              <w:kinsoku/>
              <w:wordWrap/>
              <w:overflowPunct/>
              <w:topLinePunct w:val="0"/>
              <w:autoSpaceDE/>
              <w:autoSpaceDN/>
              <w:bidi w:val="0"/>
              <w:snapToGrid/>
              <w:spacing w:line="360" w:lineRule="auto"/>
              <w:textAlignment w:val="auto"/>
              <w:rPr>
                <w:rFonts w:hint="eastAsia" w:ascii="宋体" w:hAnsi="宋体" w:cs="宋体"/>
                <w:szCs w:val="21"/>
                <w:highlight w:val="none"/>
                <w:lang w:val="en-US" w:eastAsia="zh-CN"/>
              </w:rPr>
            </w:pPr>
            <w:r>
              <w:rPr>
                <w:rFonts w:hint="eastAsia" w:ascii="宋体" w:hAnsi="宋体"/>
                <w:color w:val="000000"/>
                <w:sz w:val="21"/>
                <w:szCs w:val="21"/>
                <w:highlight w:val="none"/>
              </w:rPr>
              <w:t>提供</w:t>
            </w:r>
          </w:p>
        </w:tc>
      </w:tr>
      <w:tr w14:paraId="471E10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trPr>
        <w:tc>
          <w:tcPr>
            <w:tcW w:w="897" w:type="dxa"/>
            <w:vAlign w:val="center"/>
          </w:tcPr>
          <w:p w14:paraId="7A965B93">
            <w:pPr>
              <w:spacing w:line="360" w:lineRule="auto"/>
              <w:jc w:val="center"/>
              <w:rPr>
                <w:rFonts w:hint="default" w:ascii="宋体" w:hAnsi="宋体" w:eastAsia="宋体" w:cs="宋体"/>
                <w:szCs w:val="21"/>
                <w:highlight w:val="none"/>
                <w:lang w:val="en-US" w:eastAsia="zh-CN"/>
              </w:rPr>
            </w:pPr>
            <w:r>
              <w:rPr>
                <w:rFonts w:hint="eastAsia" w:ascii="宋体" w:hAnsi="宋体" w:cs="宋体"/>
                <w:szCs w:val="21"/>
                <w:highlight w:val="none"/>
                <w:lang w:val="en-US" w:eastAsia="zh-CN"/>
              </w:rPr>
              <w:t>3.5.5</w:t>
            </w:r>
          </w:p>
        </w:tc>
        <w:tc>
          <w:tcPr>
            <w:tcW w:w="2186" w:type="dxa"/>
            <w:vAlign w:val="center"/>
          </w:tcPr>
          <w:p w14:paraId="136A2461">
            <w:pPr>
              <w:keepNext w:val="0"/>
              <w:keepLines w:val="0"/>
              <w:pageBreakBefore w:val="0"/>
              <w:widowControl w:val="0"/>
              <w:kinsoku/>
              <w:wordWrap/>
              <w:overflowPunct/>
              <w:topLinePunct w:val="0"/>
              <w:autoSpaceDE/>
              <w:autoSpaceDN/>
              <w:bidi w:val="0"/>
              <w:adjustRightInd w:val="0"/>
              <w:snapToGrid/>
              <w:spacing w:line="360" w:lineRule="auto"/>
              <w:jc w:val="center"/>
              <w:textAlignment w:val="auto"/>
              <w:rPr>
                <w:rFonts w:hint="eastAsia" w:ascii="宋体" w:hAnsi="宋体" w:cs="宋体"/>
                <w:szCs w:val="21"/>
                <w:highlight w:val="none"/>
              </w:rPr>
            </w:pPr>
            <w:r>
              <w:rPr>
                <w:rFonts w:hint="eastAsia" w:ascii="宋体" w:hAnsi="宋体"/>
                <w:color w:val="000000"/>
                <w:sz w:val="21"/>
                <w:szCs w:val="21"/>
                <w:highlight w:val="none"/>
              </w:rPr>
              <w:t>反商业贿赂承诺书及书面声明</w:t>
            </w:r>
          </w:p>
        </w:tc>
        <w:tc>
          <w:tcPr>
            <w:tcW w:w="6271" w:type="dxa"/>
            <w:vAlign w:val="center"/>
          </w:tcPr>
          <w:p w14:paraId="567A6113">
            <w:pPr>
              <w:keepNext w:val="0"/>
              <w:keepLines w:val="0"/>
              <w:pageBreakBefore w:val="0"/>
              <w:widowControl w:val="0"/>
              <w:kinsoku/>
              <w:wordWrap/>
              <w:overflowPunct/>
              <w:topLinePunct w:val="0"/>
              <w:autoSpaceDE/>
              <w:autoSpaceDN/>
              <w:bidi w:val="0"/>
              <w:snapToGrid/>
              <w:spacing w:line="360" w:lineRule="auto"/>
              <w:textAlignment w:val="auto"/>
              <w:rPr>
                <w:rFonts w:hint="eastAsia" w:ascii="宋体" w:hAnsi="宋体" w:cs="宋体"/>
                <w:szCs w:val="21"/>
                <w:highlight w:val="none"/>
                <w:lang w:val="en-US" w:eastAsia="zh-CN"/>
              </w:rPr>
            </w:pPr>
            <w:r>
              <w:rPr>
                <w:rFonts w:hint="eastAsia" w:ascii="宋体" w:hAnsi="宋体"/>
                <w:color w:val="000000"/>
                <w:sz w:val="21"/>
                <w:szCs w:val="21"/>
                <w:highlight w:val="none"/>
              </w:rPr>
              <w:t>提供</w:t>
            </w:r>
          </w:p>
        </w:tc>
      </w:tr>
      <w:tr w14:paraId="1F12A6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trPr>
        <w:tc>
          <w:tcPr>
            <w:tcW w:w="897" w:type="dxa"/>
            <w:vAlign w:val="center"/>
          </w:tcPr>
          <w:p w14:paraId="08920855">
            <w:pPr>
              <w:spacing w:line="360" w:lineRule="auto"/>
              <w:jc w:val="center"/>
              <w:rPr>
                <w:rFonts w:ascii="宋体" w:hAnsi="宋体" w:cs="宋体"/>
                <w:szCs w:val="21"/>
              </w:rPr>
            </w:pPr>
            <w:r>
              <w:rPr>
                <w:rFonts w:hint="eastAsia" w:ascii="宋体" w:hAnsi="宋体" w:cs="宋体"/>
                <w:szCs w:val="21"/>
              </w:rPr>
              <w:t>3.6</w:t>
            </w:r>
          </w:p>
        </w:tc>
        <w:tc>
          <w:tcPr>
            <w:tcW w:w="2186" w:type="dxa"/>
            <w:vAlign w:val="center"/>
          </w:tcPr>
          <w:p w14:paraId="3D2833DD">
            <w:pPr>
              <w:spacing w:line="360" w:lineRule="auto"/>
              <w:jc w:val="center"/>
              <w:rPr>
                <w:rFonts w:ascii="宋体" w:hAnsi="宋体" w:cs="宋体"/>
                <w:szCs w:val="21"/>
              </w:rPr>
            </w:pPr>
            <w:r>
              <w:rPr>
                <w:rFonts w:hint="eastAsia" w:ascii="宋体" w:hAnsi="宋体" w:cs="宋体"/>
                <w:szCs w:val="21"/>
              </w:rPr>
              <w:t>是否允许递交备选投标方案</w:t>
            </w:r>
          </w:p>
        </w:tc>
        <w:tc>
          <w:tcPr>
            <w:tcW w:w="6271" w:type="dxa"/>
            <w:vAlign w:val="center"/>
          </w:tcPr>
          <w:p w14:paraId="73E78BC7">
            <w:pPr>
              <w:spacing w:line="360" w:lineRule="auto"/>
              <w:rPr>
                <w:rFonts w:ascii="宋体" w:hAnsi="宋体" w:cs="宋体"/>
                <w:szCs w:val="21"/>
              </w:rPr>
            </w:pPr>
            <w:r>
              <w:rPr>
                <w:rFonts w:hint="eastAsia" w:ascii="宋体" w:hAnsi="宋体" w:cs="宋体"/>
                <w:szCs w:val="21"/>
              </w:rPr>
              <w:t>不允许</w:t>
            </w:r>
          </w:p>
        </w:tc>
      </w:tr>
      <w:tr w14:paraId="6302F5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897" w:type="dxa"/>
            <w:vAlign w:val="center"/>
          </w:tcPr>
          <w:p w14:paraId="59C3326F">
            <w:pPr>
              <w:spacing w:line="360" w:lineRule="auto"/>
              <w:jc w:val="center"/>
              <w:rPr>
                <w:rFonts w:ascii="宋体" w:hAnsi="宋体" w:cs="宋体"/>
                <w:szCs w:val="21"/>
              </w:rPr>
            </w:pPr>
            <w:r>
              <w:rPr>
                <w:rFonts w:hint="eastAsia" w:ascii="宋体" w:hAnsi="宋体" w:cs="宋体"/>
                <w:szCs w:val="21"/>
              </w:rPr>
              <w:t>3.7.3</w:t>
            </w:r>
          </w:p>
        </w:tc>
        <w:tc>
          <w:tcPr>
            <w:tcW w:w="2186" w:type="dxa"/>
            <w:vAlign w:val="center"/>
          </w:tcPr>
          <w:p w14:paraId="18619EC7">
            <w:pPr>
              <w:spacing w:line="360" w:lineRule="auto"/>
              <w:jc w:val="center"/>
              <w:rPr>
                <w:rFonts w:ascii="宋体" w:hAnsi="宋体" w:cs="宋体"/>
                <w:szCs w:val="21"/>
              </w:rPr>
            </w:pPr>
            <w:r>
              <w:rPr>
                <w:rFonts w:hint="eastAsia" w:ascii="宋体" w:hAnsi="宋体" w:cs="宋体"/>
                <w:szCs w:val="21"/>
              </w:rPr>
              <w:t>签字或盖章要求</w:t>
            </w:r>
          </w:p>
        </w:tc>
        <w:tc>
          <w:tcPr>
            <w:tcW w:w="6271" w:type="dxa"/>
            <w:vAlign w:val="center"/>
          </w:tcPr>
          <w:p w14:paraId="6CB33F74">
            <w:pPr>
              <w:spacing w:line="360" w:lineRule="auto"/>
              <w:rPr>
                <w:rFonts w:ascii="宋体" w:hAnsi="宋体" w:cs="宋体"/>
                <w:szCs w:val="21"/>
              </w:rPr>
            </w:pPr>
            <w:r>
              <w:rPr>
                <w:rFonts w:hint="eastAsia" w:ascii="宋体" w:hAnsi="宋体" w:cs="宋体"/>
                <w:szCs w:val="21"/>
              </w:rPr>
              <w:t>投标文件应按招标文件要求加盖单位公章和法定代表人或授权委托人签字</w:t>
            </w:r>
          </w:p>
        </w:tc>
      </w:tr>
      <w:tr w14:paraId="107AAF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 w:hRule="atLeast"/>
        </w:trPr>
        <w:tc>
          <w:tcPr>
            <w:tcW w:w="897" w:type="dxa"/>
            <w:vAlign w:val="center"/>
          </w:tcPr>
          <w:p w14:paraId="56201E57">
            <w:pPr>
              <w:spacing w:line="360" w:lineRule="auto"/>
              <w:jc w:val="center"/>
              <w:rPr>
                <w:rFonts w:ascii="宋体" w:hAnsi="宋体" w:cs="宋体"/>
                <w:szCs w:val="21"/>
              </w:rPr>
            </w:pPr>
            <w:r>
              <w:rPr>
                <w:rFonts w:hint="eastAsia" w:ascii="宋体" w:hAnsi="宋体" w:cs="宋体"/>
                <w:szCs w:val="21"/>
              </w:rPr>
              <w:t>3.7.4</w:t>
            </w:r>
          </w:p>
        </w:tc>
        <w:tc>
          <w:tcPr>
            <w:tcW w:w="2186" w:type="dxa"/>
            <w:vAlign w:val="center"/>
          </w:tcPr>
          <w:p w14:paraId="388F6AE1">
            <w:pPr>
              <w:spacing w:line="360" w:lineRule="auto"/>
              <w:jc w:val="center"/>
              <w:rPr>
                <w:rFonts w:ascii="宋体" w:hAnsi="宋体" w:cs="宋体"/>
                <w:szCs w:val="21"/>
                <w:highlight w:val="none"/>
              </w:rPr>
            </w:pPr>
            <w:r>
              <w:rPr>
                <w:rFonts w:hint="eastAsia" w:ascii="宋体" w:hAnsi="宋体" w:cs="宋体"/>
                <w:szCs w:val="21"/>
                <w:highlight w:val="none"/>
              </w:rPr>
              <w:t>投标文件份数</w:t>
            </w:r>
          </w:p>
        </w:tc>
        <w:tc>
          <w:tcPr>
            <w:tcW w:w="6271" w:type="dxa"/>
            <w:vAlign w:val="center"/>
          </w:tcPr>
          <w:p w14:paraId="2F1465B0">
            <w:pPr>
              <w:spacing w:line="360" w:lineRule="auto"/>
              <w:rPr>
                <w:rFonts w:hint="eastAsia" w:ascii="宋体" w:hAnsi="宋体" w:cs="宋体"/>
                <w:szCs w:val="21"/>
                <w:highlight w:val="none"/>
              </w:rPr>
            </w:pPr>
            <w:r>
              <w:rPr>
                <w:rFonts w:hint="eastAsia" w:ascii="宋体" w:hAnsi="宋体" w:cs="宋体"/>
                <w:szCs w:val="21"/>
                <w:highlight w:val="none"/>
                <w:lang w:val="en-US" w:eastAsia="zh-CN"/>
              </w:rPr>
              <w:t>1.</w:t>
            </w:r>
            <w:r>
              <w:rPr>
                <w:rFonts w:hint="eastAsia" w:ascii="宋体" w:hAnsi="宋体" w:cs="宋体"/>
                <w:szCs w:val="21"/>
                <w:highlight w:val="none"/>
              </w:rPr>
              <w:t>加密电子投标文件一份（加密的电子投标文件（.ZZTF格式）须在截止时间前通过“郑州市公共资源交易中心（</w:t>
            </w:r>
            <w:r>
              <w:rPr>
                <w:rFonts w:hint="eastAsia" w:ascii="宋体" w:hAnsi="宋体" w:cs="宋体"/>
                <w:snapToGrid w:val="0"/>
                <w:szCs w:val="21"/>
                <w:highlight w:val="none"/>
              </w:rPr>
              <w:t>https://zzggzy.zhengzhou.gov.cn</w:t>
            </w:r>
            <w:r>
              <w:rPr>
                <w:rFonts w:hint="eastAsia" w:ascii="宋体" w:hAnsi="宋体" w:cs="宋体"/>
                <w:szCs w:val="21"/>
                <w:highlight w:val="none"/>
              </w:rPr>
              <w:t>）”电子交易平台加密上传）</w:t>
            </w:r>
          </w:p>
          <w:p w14:paraId="603C9504">
            <w:pPr>
              <w:pStyle w:val="2"/>
              <w:spacing w:line="360" w:lineRule="auto"/>
              <w:rPr>
                <w:rFonts w:hint="eastAsia" w:ascii="宋体" w:hAnsi="宋体" w:eastAsia="宋体" w:cs="宋体"/>
                <w:b/>
                <w:bCs/>
                <w:kern w:val="2"/>
                <w:sz w:val="21"/>
                <w:szCs w:val="21"/>
                <w:highlight w:val="none"/>
                <w:lang w:val="en-US" w:eastAsia="zh-CN" w:bidi="ar-SA"/>
              </w:rPr>
            </w:pPr>
            <w:r>
              <w:rPr>
                <w:rFonts w:hint="eastAsia" w:ascii="宋体" w:hAnsi="宋体" w:eastAsia="宋体" w:cs="宋体"/>
                <w:b/>
                <w:bCs/>
                <w:kern w:val="2"/>
                <w:sz w:val="21"/>
                <w:szCs w:val="21"/>
                <w:highlight w:val="none"/>
                <w:lang w:val="en-US" w:eastAsia="zh-CN" w:bidi="ar-SA"/>
              </w:rPr>
              <w:t>2.纸质文件要求:</w:t>
            </w:r>
          </w:p>
          <w:p w14:paraId="39D90145">
            <w:pPr>
              <w:pStyle w:val="2"/>
              <w:spacing w:line="360" w:lineRule="auto"/>
              <w:rPr>
                <w:rFonts w:hint="default"/>
                <w:highlight w:val="none"/>
                <w:lang w:val="en-US" w:eastAsia="zh-CN"/>
              </w:rPr>
            </w:pPr>
            <w:r>
              <w:rPr>
                <w:rFonts w:hint="eastAsia" w:ascii="宋体" w:hAnsi="宋体" w:eastAsia="宋体" w:cs="宋体"/>
                <w:b/>
                <w:bCs/>
                <w:kern w:val="2"/>
                <w:sz w:val="21"/>
                <w:szCs w:val="21"/>
                <w:highlight w:val="none"/>
                <w:lang w:val="en-US" w:eastAsia="zh-CN" w:bidi="ar-SA"/>
              </w:rPr>
              <w:t>中标后，领取中标通知书时，中标单位需再提交纸质投标文件2套，投标文件为开标时上传的电子投标文件的完整打印件。</w:t>
            </w:r>
          </w:p>
        </w:tc>
      </w:tr>
      <w:tr w14:paraId="0F013E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trPr>
        <w:tc>
          <w:tcPr>
            <w:tcW w:w="897" w:type="dxa"/>
            <w:vAlign w:val="center"/>
          </w:tcPr>
          <w:p w14:paraId="5E2DBBB7">
            <w:pPr>
              <w:spacing w:line="360" w:lineRule="auto"/>
              <w:jc w:val="center"/>
              <w:rPr>
                <w:rFonts w:ascii="宋体" w:hAnsi="宋体" w:cs="宋体"/>
                <w:szCs w:val="21"/>
                <w:highlight w:val="none"/>
              </w:rPr>
            </w:pPr>
            <w:r>
              <w:rPr>
                <w:rFonts w:hint="eastAsia" w:ascii="宋体" w:hAnsi="宋体" w:cs="宋体"/>
                <w:szCs w:val="21"/>
                <w:highlight w:val="none"/>
              </w:rPr>
              <w:t>3.7.5</w:t>
            </w:r>
          </w:p>
        </w:tc>
        <w:tc>
          <w:tcPr>
            <w:tcW w:w="2186" w:type="dxa"/>
            <w:vAlign w:val="center"/>
          </w:tcPr>
          <w:p w14:paraId="15D4CC06">
            <w:pPr>
              <w:spacing w:line="360" w:lineRule="auto"/>
              <w:jc w:val="center"/>
              <w:rPr>
                <w:rFonts w:ascii="宋体" w:hAnsi="宋体" w:cs="宋体"/>
                <w:szCs w:val="21"/>
                <w:highlight w:val="none"/>
              </w:rPr>
            </w:pPr>
            <w:r>
              <w:rPr>
                <w:rFonts w:hint="eastAsia" w:ascii="宋体" w:hAnsi="宋体" w:cs="宋体"/>
                <w:szCs w:val="21"/>
                <w:highlight w:val="none"/>
              </w:rPr>
              <w:t>投标文件装订要求</w:t>
            </w:r>
          </w:p>
        </w:tc>
        <w:tc>
          <w:tcPr>
            <w:tcW w:w="6271" w:type="dxa"/>
            <w:vAlign w:val="center"/>
          </w:tcPr>
          <w:p w14:paraId="50D3EA2E">
            <w:pPr>
              <w:pStyle w:val="2"/>
              <w:spacing w:line="360" w:lineRule="auto"/>
              <w:rPr>
                <w:rFonts w:hint="eastAsia" w:ascii="宋体" w:hAnsi="宋体" w:eastAsia="宋体" w:cs="宋体"/>
                <w:b/>
                <w:bCs/>
                <w:kern w:val="2"/>
                <w:sz w:val="21"/>
                <w:szCs w:val="21"/>
                <w:highlight w:val="none"/>
                <w:lang w:val="en-US" w:eastAsia="zh-CN" w:bidi="ar-SA"/>
              </w:rPr>
            </w:pPr>
            <w:r>
              <w:rPr>
                <w:rFonts w:hint="eastAsia" w:ascii="宋体" w:hAnsi="宋体" w:eastAsia="宋体" w:cs="宋体"/>
                <w:b/>
                <w:bCs/>
                <w:kern w:val="2"/>
                <w:sz w:val="21"/>
                <w:szCs w:val="21"/>
                <w:highlight w:val="none"/>
                <w:lang w:val="en-US" w:eastAsia="zh-CN" w:bidi="ar-SA"/>
              </w:rPr>
              <w:t>中标单位需提交的投标文件要求：</w:t>
            </w:r>
          </w:p>
          <w:p w14:paraId="4FE8FD61">
            <w:pPr>
              <w:pStyle w:val="2"/>
              <w:spacing w:line="360" w:lineRule="auto"/>
              <w:rPr>
                <w:rFonts w:hint="eastAsia" w:ascii="宋体" w:hAnsi="宋体" w:eastAsia="宋体" w:cs="宋体"/>
                <w:b w:val="0"/>
                <w:kern w:val="2"/>
                <w:sz w:val="21"/>
                <w:szCs w:val="21"/>
                <w:highlight w:val="none"/>
                <w:lang w:val="en-US" w:eastAsia="zh-CN" w:bidi="ar-SA"/>
              </w:rPr>
            </w:pPr>
            <w:r>
              <w:rPr>
                <w:rFonts w:hint="eastAsia" w:ascii="宋体" w:hAnsi="宋体" w:eastAsia="宋体" w:cs="宋体"/>
                <w:b w:val="0"/>
                <w:kern w:val="2"/>
                <w:sz w:val="21"/>
                <w:szCs w:val="21"/>
                <w:highlight w:val="none"/>
                <w:lang w:val="en-US" w:eastAsia="zh-CN" w:bidi="ar-SA"/>
              </w:rPr>
              <w:t>（1）投标文件应采用左侧胶粘方式装订，不得采用活页夹等可随时拆换的方式装订。</w:t>
            </w:r>
          </w:p>
          <w:p w14:paraId="1C849EE0">
            <w:pPr>
              <w:pStyle w:val="2"/>
              <w:spacing w:line="360" w:lineRule="auto"/>
              <w:rPr>
                <w:rFonts w:hint="eastAsia" w:ascii="宋体" w:hAnsi="宋体" w:eastAsia="宋体" w:cs="宋体"/>
                <w:b w:val="0"/>
                <w:kern w:val="2"/>
                <w:sz w:val="21"/>
                <w:szCs w:val="21"/>
                <w:highlight w:val="none"/>
                <w:lang w:val="en-US" w:eastAsia="zh-CN" w:bidi="ar-SA"/>
              </w:rPr>
            </w:pPr>
            <w:r>
              <w:rPr>
                <w:rFonts w:hint="eastAsia" w:ascii="宋体" w:hAnsi="宋体" w:eastAsia="宋体" w:cs="宋体"/>
                <w:b w:val="0"/>
                <w:kern w:val="2"/>
                <w:sz w:val="21"/>
                <w:szCs w:val="21"/>
                <w:highlight w:val="none"/>
                <w:lang w:val="en-US" w:eastAsia="zh-CN" w:bidi="ar-SA"/>
              </w:rPr>
              <w:t>（2）在书脊上注明：项目名称、供应商名称、第</w:t>
            </w:r>
            <w:r>
              <w:rPr>
                <w:rFonts w:hint="eastAsia" w:ascii="宋体" w:hAnsi="宋体" w:eastAsia="宋体" w:cs="宋体"/>
                <w:b w:val="0"/>
                <w:kern w:val="2"/>
                <w:sz w:val="21"/>
                <w:szCs w:val="21"/>
                <w:highlight w:val="none"/>
                <w:u w:val="single"/>
                <w:lang w:val="en-US" w:eastAsia="zh-CN" w:bidi="ar-SA"/>
              </w:rPr>
              <w:t xml:space="preserve">  </w:t>
            </w:r>
            <w:r>
              <w:rPr>
                <w:rFonts w:hint="eastAsia" w:ascii="宋体" w:hAnsi="宋体" w:eastAsia="宋体" w:cs="宋体"/>
                <w:b w:val="0"/>
                <w:kern w:val="2"/>
                <w:sz w:val="21"/>
                <w:szCs w:val="21"/>
                <w:highlight w:val="none"/>
                <w:lang w:val="en-US" w:eastAsia="zh-CN" w:bidi="ar-SA"/>
              </w:rPr>
              <w:t>册，共</w:t>
            </w:r>
            <w:r>
              <w:rPr>
                <w:rFonts w:hint="eastAsia" w:ascii="宋体" w:hAnsi="宋体" w:eastAsia="宋体" w:cs="宋体"/>
                <w:b w:val="0"/>
                <w:kern w:val="2"/>
                <w:sz w:val="21"/>
                <w:szCs w:val="21"/>
                <w:highlight w:val="none"/>
                <w:u w:val="single"/>
                <w:lang w:val="en-US" w:eastAsia="zh-CN" w:bidi="ar-SA"/>
              </w:rPr>
              <w:t xml:space="preserve">  </w:t>
            </w:r>
            <w:r>
              <w:rPr>
                <w:rFonts w:hint="eastAsia" w:ascii="宋体" w:hAnsi="宋体" w:eastAsia="宋体" w:cs="宋体"/>
                <w:b w:val="0"/>
                <w:kern w:val="2"/>
                <w:sz w:val="21"/>
                <w:szCs w:val="21"/>
                <w:highlight w:val="none"/>
                <w:lang w:val="en-US" w:eastAsia="zh-CN" w:bidi="ar-SA"/>
              </w:rPr>
              <w:t>册。</w:t>
            </w:r>
          </w:p>
          <w:p w14:paraId="0C5535D2">
            <w:pPr>
              <w:spacing w:line="360" w:lineRule="auto"/>
              <w:jc w:val="left"/>
              <w:rPr>
                <w:rFonts w:ascii="宋体" w:hAnsi="宋体" w:cs="宋体"/>
                <w:szCs w:val="21"/>
                <w:highlight w:val="none"/>
              </w:rPr>
            </w:pPr>
            <w:r>
              <w:rPr>
                <w:rFonts w:hint="eastAsia" w:ascii="宋体" w:hAnsi="宋体" w:eastAsia="宋体" w:cs="宋体"/>
                <w:b w:val="0"/>
                <w:kern w:val="2"/>
                <w:sz w:val="21"/>
                <w:szCs w:val="21"/>
                <w:highlight w:val="none"/>
                <w:lang w:val="en-US" w:eastAsia="zh-CN" w:bidi="ar-SA"/>
              </w:rPr>
              <w:t>（3）投标文件应编制目录，文件中插入连续页码。</w:t>
            </w:r>
          </w:p>
        </w:tc>
      </w:tr>
      <w:tr w14:paraId="54675E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 w:hRule="atLeast"/>
        </w:trPr>
        <w:tc>
          <w:tcPr>
            <w:tcW w:w="897" w:type="dxa"/>
            <w:vAlign w:val="center"/>
          </w:tcPr>
          <w:p w14:paraId="5A3FA3BD">
            <w:pPr>
              <w:spacing w:line="360" w:lineRule="auto"/>
              <w:jc w:val="center"/>
              <w:rPr>
                <w:rFonts w:ascii="宋体" w:hAnsi="宋体" w:cs="宋体"/>
                <w:szCs w:val="21"/>
              </w:rPr>
            </w:pPr>
            <w:r>
              <w:rPr>
                <w:rFonts w:hint="eastAsia" w:ascii="宋体" w:hAnsi="宋体" w:cs="宋体"/>
                <w:szCs w:val="21"/>
              </w:rPr>
              <w:t>4.1.2</w:t>
            </w:r>
          </w:p>
        </w:tc>
        <w:tc>
          <w:tcPr>
            <w:tcW w:w="2186" w:type="dxa"/>
            <w:vAlign w:val="center"/>
          </w:tcPr>
          <w:p w14:paraId="5F42C44F">
            <w:pPr>
              <w:spacing w:line="360" w:lineRule="auto"/>
              <w:jc w:val="center"/>
              <w:rPr>
                <w:rFonts w:ascii="宋体" w:hAnsi="宋体" w:cs="宋体"/>
                <w:szCs w:val="21"/>
              </w:rPr>
            </w:pPr>
            <w:r>
              <w:rPr>
                <w:rFonts w:hint="eastAsia" w:ascii="宋体" w:hAnsi="宋体" w:cs="宋体"/>
                <w:szCs w:val="21"/>
              </w:rPr>
              <w:t>封套上写明</w:t>
            </w:r>
          </w:p>
        </w:tc>
        <w:tc>
          <w:tcPr>
            <w:tcW w:w="6271" w:type="dxa"/>
          </w:tcPr>
          <w:p w14:paraId="3F107A8E">
            <w:pPr>
              <w:spacing w:line="360" w:lineRule="auto"/>
              <w:ind w:left="4" w:hanging="4" w:hangingChars="2"/>
              <w:rPr>
                <w:rFonts w:ascii="宋体" w:hAnsi="宋体" w:cs="宋体"/>
                <w:szCs w:val="21"/>
              </w:rPr>
            </w:pPr>
            <w:r>
              <w:rPr>
                <w:rFonts w:hint="eastAsia" w:ascii="宋体" w:hAnsi="宋体" w:cs="宋体"/>
                <w:szCs w:val="21"/>
              </w:rPr>
              <w:t>/</w:t>
            </w:r>
          </w:p>
        </w:tc>
      </w:tr>
      <w:tr w14:paraId="6E58BE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897" w:type="dxa"/>
            <w:vAlign w:val="center"/>
          </w:tcPr>
          <w:p w14:paraId="7454A85A">
            <w:pPr>
              <w:spacing w:line="360" w:lineRule="auto"/>
              <w:jc w:val="center"/>
              <w:rPr>
                <w:rFonts w:ascii="宋体" w:hAnsi="宋体" w:cs="宋体"/>
                <w:szCs w:val="21"/>
              </w:rPr>
            </w:pPr>
            <w:r>
              <w:rPr>
                <w:rFonts w:hint="eastAsia" w:ascii="宋体" w:hAnsi="宋体" w:cs="宋体"/>
                <w:szCs w:val="21"/>
              </w:rPr>
              <w:t>4.2.2</w:t>
            </w:r>
          </w:p>
        </w:tc>
        <w:tc>
          <w:tcPr>
            <w:tcW w:w="2186" w:type="dxa"/>
            <w:vAlign w:val="center"/>
          </w:tcPr>
          <w:p w14:paraId="2666E297">
            <w:pPr>
              <w:spacing w:line="360" w:lineRule="auto"/>
              <w:jc w:val="center"/>
              <w:rPr>
                <w:rFonts w:ascii="宋体" w:hAnsi="宋体" w:cs="宋体"/>
                <w:szCs w:val="21"/>
              </w:rPr>
            </w:pPr>
            <w:r>
              <w:rPr>
                <w:rFonts w:hint="eastAsia" w:ascii="宋体" w:hAnsi="宋体" w:cs="宋体"/>
                <w:szCs w:val="21"/>
              </w:rPr>
              <w:t>递交投标文件地点</w:t>
            </w:r>
          </w:p>
        </w:tc>
        <w:tc>
          <w:tcPr>
            <w:tcW w:w="6271" w:type="dxa"/>
            <w:vAlign w:val="center"/>
          </w:tcPr>
          <w:p w14:paraId="3FC6E202">
            <w:pPr>
              <w:spacing w:line="360" w:lineRule="auto"/>
              <w:rPr>
                <w:rFonts w:ascii="宋体" w:hAnsi="宋体" w:cs="宋体"/>
                <w:szCs w:val="21"/>
                <w:highlight w:val="none"/>
              </w:rPr>
            </w:pPr>
            <w:r>
              <w:rPr>
                <w:rFonts w:hint="eastAsia" w:ascii="宋体" w:hAnsi="宋体" w:cs="宋体"/>
                <w:szCs w:val="21"/>
                <w:highlight w:val="none"/>
              </w:rPr>
              <w:t>郑州市公共资源交易中心（</w:t>
            </w:r>
            <w:r>
              <w:rPr>
                <w:rFonts w:hint="eastAsia" w:ascii="宋体" w:hAnsi="宋体" w:cs="宋体"/>
                <w:snapToGrid w:val="0"/>
                <w:szCs w:val="21"/>
              </w:rPr>
              <w:t>https://zzggzy.zhengzhou.gov.cn</w:t>
            </w:r>
            <w:r>
              <w:rPr>
                <w:rFonts w:hint="eastAsia" w:ascii="宋体" w:hAnsi="宋体" w:cs="宋体"/>
                <w:szCs w:val="21"/>
                <w:highlight w:val="none"/>
              </w:rPr>
              <w:t>）电子交易平台</w:t>
            </w:r>
          </w:p>
        </w:tc>
      </w:tr>
      <w:tr w14:paraId="7BEE21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4" w:hRule="atLeast"/>
        </w:trPr>
        <w:tc>
          <w:tcPr>
            <w:tcW w:w="897" w:type="dxa"/>
            <w:vAlign w:val="center"/>
          </w:tcPr>
          <w:p w14:paraId="3B8F1DC2">
            <w:pPr>
              <w:spacing w:line="360" w:lineRule="auto"/>
              <w:jc w:val="center"/>
              <w:rPr>
                <w:rFonts w:ascii="宋体" w:hAnsi="宋体" w:cs="宋体"/>
                <w:szCs w:val="21"/>
              </w:rPr>
            </w:pPr>
            <w:r>
              <w:rPr>
                <w:rFonts w:hint="eastAsia" w:ascii="宋体" w:hAnsi="宋体" w:cs="宋体"/>
                <w:szCs w:val="21"/>
              </w:rPr>
              <w:t>4.2.3</w:t>
            </w:r>
          </w:p>
        </w:tc>
        <w:tc>
          <w:tcPr>
            <w:tcW w:w="2186" w:type="dxa"/>
            <w:vAlign w:val="center"/>
          </w:tcPr>
          <w:p w14:paraId="21B3337D">
            <w:pPr>
              <w:spacing w:line="360" w:lineRule="auto"/>
              <w:jc w:val="center"/>
              <w:rPr>
                <w:rFonts w:ascii="宋体" w:hAnsi="宋体" w:cs="宋体"/>
                <w:szCs w:val="21"/>
              </w:rPr>
            </w:pPr>
            <w:r>
              <w:rPr>
                <w:rFonts w:hint="eastAsia" w:ascii="宋体" w:hAnsi="宋体" w:cs="宋体"/>
                <w:szCs w:val="21"/>
              </w:rPr>
              <w:t>是否退还投标文件</w:t>
            </w:r>
          </w:p>
        </w:tc>
        <w:tc>
          <w:tcPr>
            <w:tcW w:w="6271" w:type="dxa"/>
            <w:vAlign w:val="center"/>
          </w:tcPr>
          <w:p w14:paraId="1428E1E4">
            <w:pPr>
              <w:spacing w:line="360" w:lineRule="auto"/>
              <w:rPr>
                <w:rFonts w:ascii="宋体" w:hAnsi="宋体" w:cs="宋体"/>
                <w:szCs w:val="21"/>
              </w:rPr>
            </w:pPr>
            <w:r>
              <w:rPr>
                <w:rFonts w:hint="eastAsia" w:ascii="宋体" w:hAnsi="宋体" w:cs="宋体"/>
                <w:szCs w:val="21"/>
              </w:rPr>
              <w:t>否</w:t>
            </w:r>
          </w:p>
        </w:tc>
      </w:tr>
      <w:tr w14:paraId="53200F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trPr>
        <w:tc>
          <w:tcPr>
            <w:tcW w:w="897" w:type="dxa"/>
            <w:vAlign w:val="center"/>
          </w:tcPr>
          <w:p w14:paraId="4D696D11">
            <w:pPr>
              <w:spacing w:line="360" w:lineRule="auto"/>
              <w:jc w:val="center"/>
              <w:rPr>
                <w:rFonts w:ascii="宋体" w:hAnsi="宋体" w:cs="宋体"/>
                <w:szCs w:val="21"/>
              </w:rPr>
            </w:pPr>
            <w:r>
              <w:rPr>
                <w:rFonts w:hint="eastAsia" w:ascii="宋体" w:hAnsi="宋体" w:cs="宋体"/>
                <w:szCs w:val="21"/>
              </w:rPr>
              <w:t>5.1</w:t>
            </w:r>
          </w:p>
        </w:tc>
        <w:tc>
          <w:tcPr>
            <w:tcW w:w="2186" w:type="dxa"/>
            <w:vAlign w:val="center"/>
          </w:tcPr>
          <w:p w14:paraId="529E425B">
            <w:pPr>
              <w:spacing w:line="360" w:lineRule="auto"/>
              <w:jc w:val="center"/>
              <w:rPr>
                <w:rFonts w:ascii="宋体" w:hAnsi="宋体" w:cs="宋体"/>
                <w:szCs w:val="21"/>
                <w:highlight w:val="none"/>
              </w:rPr>
            </w:pPr>
            <w:r>
              <w:rPr>
                <w:rFonts w:hint="eastAsia" w:ascii="宋体" w:hAnsi="宋体" w:cs="宋体"/>
                <w:szCs w:val="21"/>
                <w:highlight w:val="none"/>
              </w:rPr>
              <w:t>开标时间和地点</w:t>
            </w:r>
          </w:p>
        </w:tc>
        <w:tc>
          <w:tcPr>
            <w:tcW w:w="6271" w:type="dxa"/>
            <w:vAlign w:val="center"/>
          </w:tcPr>
          <w:p w14:paraId="01CB2DD5">
            <w:pPr>
              <w:spacing w:line="360" w:lineRule="auto"/>
              <w:rPr>
                <w:rFonts w:ascii="宋体" w:hAnsi="宋体" w:cs="宋体"/>
                <w:szCs w:val="21"/>
                <w:highlight w:val="none"/>
              </w:rPr>
            </w:pPr>
            <w:r>
              <w:rPr>
                <w:rFonts w:hint="eastAsia" w:ascii="宋体" w:hAnsi="宋体" w:cs="宋体"/>
                <w:szCs w:val="21"/>
                <w:highlight w:val="none"/>
              </w:rPr>
              <w:t>开标时间：</w:t>
            </w:r>
            <w:r>
              <w:rPr>
                <w:rFonts w:hint="eastAsia" w:ascii="宋体" w:hAnsi="宋体" w:cs="宋体"/>
                <w:snapToGrid w:val="0"/>
                <w:szCs w:val="21"/>
                <w:highlight w:val="none"/>
                <w:lang w:val="en-US" w:eastAsia="zh-CN"/>
              </w:rPr>
              <w:t>2024</w:t>
            </w:r>
            <w:r>
              <w:rPr>
                <w:rFonts w:hint="eastAsia" w:ascii="宋体" w:hAnsi="宋体" w:cs="宋体"/>
                <w:snapToGrid w:val="0"/>
                <w:szCs w:val="21"/>
                <w:highlight w:val="none"/>
              </w:rPr>
              <w:t>年</w:t>
            </w:r>
            <w:r>
              <w:rPr>
                <w:rFonts w:hint="eastAsia" w:ascii="宋体" w:hAnsi="宋体" w:cs="宋体"/>
                <w:snapToGrid w:val="0"/>
                <w:szCs w:val="21"/>
                <w:highlight w:val="none"/>
                <w:lang w:val="en-US" w:eastAsia="zh-CN"/>
              </w:rPr>
              <w:t xml:space="preserve"> 09 </w:t>
            </w:r>
            <w:r>
              <w:rPr>
                <w:rFonts w:hint="eastAsia" w:ascii="宋体" w:hAnsi="宋体" w:cs="宋体"/>
                <w:snapToGrid w:val="0"/>
                <w:szCs w:val="21"/>
                <w:highlight w:val="none"/>
              </w:rPr>
              <w:t>月</w:t>
            </w:r>
            <w:r>
              <w:rPr>
                <w:rFonts w:hint="eastAsia" w:ascii="宋体" w:hAnsi="宋体" w:cs="宋体"/>
                <w:snapToGrid w:val="0"/>
                <w:szCs w:val="21"/>
                <w:highlight w:val="none"/>
                <w:lang w:val="en-US" w:eastAsia="zh-CN"/>
              </w:rPr>
              <w:t xml:space="preserve"> 19 </w:t>
            </w:r>
            <w:r>
              <w:rPr>
                <w:rFonts w:hint="eastAsia" w:ascii="宋体" w:hAnsi="宋体" w:cs="宋体"/>
                <w:snapToGrid w:val="0"/>
                <w:szCs w:val="21"/>
                <w:highlight w:val="none"/>
              </w:rPr>
              <w:t>日10时00分（北京时间）</w:t>
            </w:r>
          </w:p>
          <w:p w14:paraId="2B34B9B8">
            <w:pPr>
              <w:spacing w:line="360" w:lineRule="auto"/>
              <w:rPr>
                <w:rFonts w:ascii="宋体" w:hAnsi="宋体" w:cs="宋体"/>
                <w:szCs w:val="21"/>
                <w:highlight w:val="none"/>
              </w:rPr>
            </w:pPr>
            <w:r>
              <w:rPr>
                <w:rFonts w:hint="eastAsia" w:ascii="宋体" w:hAnsi="宋体" w:cs="宋体"/>
                <w:szCs w:val="21"/>
                <w:highlight w:val="none"/>
              </w:rPr>
              <w:t>地点：郑州市公共资源交易中心门户网站远程开标大厅</w:t>
            </w:r>
          </w:p>
          <w:p w14:paraId="3F49E59F">
            <w:pPr>
              <w:spacing w:line="360" w:lineRule="auto"/>
              <w:ind w:left="210" w:hanging="210" w:hangingChars="100"/>
              <w:rPr>
                <w:rFonts w:ascii="宋体" w:hAnsi="宋体" w:cs="宋体"/>
                <w:szCs w:val="21"/>
                <w:highlight w:val="none"/>
              </w:rPr>
            </w:pPr>
            <w:r>
              <w:rPr>
                <w:rFonts w:hint="eastAsia" w:ascii="宋体" w:hAnsi="宋体" w:cs="宋体"/>
                <w:szCs w:val="21"/>
                <w:highlight w:val="none"/>
              </w:rPr>
              <w:t>（</w:t>
            </w:r>
            <w:r>
              <w:rPr>
                <w:rFonts w:hint="eastAsia" w:ascii="宋体" w:hAnsi="宋体" w:cs="宋体"/>
                <w:snapToGrid w:val="0"/>
                <w:szCs w:val="21"/>
                <w:lang w:val="en-US" w:eastAsia="zh-CN"/>
              </w:rPr>
              <w:t>https://zzggzy.zhengzhou.gov.cn/BidOpening/</w:t>
            </w:r>
            <w:r>
              <w:rPr>
                <w:rFonts w:hint="eastAsia" w:ascii="宋体" w:hAnsi="宋体" w:cs="宋体"/>
                <w:szCs w:val="21"/>
                <w:highlight w:val="none"/>
              </w:rPr>
              <w:t>）</w:t>
            </w:r>
            <w:r>
              <w:rPr>
                <w:rFonts w:hint="eastAsia" w:ascii="宋体" w:hAnsi="宋体" w:cs="宋体"/>
                <w:szCs w:val="21"/>
                <w:highlight w:val="none"/>
                <w:lang w:val="en-US" w:eastAsia="zh-CN"/>
              </w:rPr>
              <w:t xml:space="preserve"> A </w:t>
            </w:r>
            <w:r>
              <w:rPr>
                <w:rFonts w:hint="eastAsia" w:ascii="宋体" w:hAnsi="宋体" w:cs="宋体"/>
                <w:szCs w:val="21"/>
                <w:highlight w:val="none"/>
              </w:rPr>
              <w:t>区第</w:t>
            </w:r>
            <w:r>
              <w:rPr>
                <w:rFonts w:hint="eastAsia" w:ascii="宋体" w:hAnsi="宋体" w:cs="宋体"/>
                <w:szCs w:val="21"/>
                <w:highlight w:val="none"/>
                <w:lang w:val="en-US" w:eastAsia="zh-CN"/>
              </w:rPr>
              <w:t xml:space="preserve">      六</w:t>
            </w:r>
            <w:r>
              <w:rPr>
                <w:rFonts w:hint="eastAsia" w:ascii="宋体" w:hAnsi="宋体" w:cs="宋体"/>
                <w:szCs w:val="21"/>
                <w:highlight w:val="none"/>
              </w:rPr>
              <w:t>开标室</w:t>
            </w:r>
          </w:p>
          <w:p w14:paraId="00519947">
            <w:pPr>
              <w:spacing w:line="360" w:lineRule="auto"/>
              <w:rPr>
                <w:rFonts w:ascii="宋体" w:hAnsi="宋体" w:cs="宋体"/>
                <w:szCs w:val="21"/>
                <w:highlight w:val="none"/>
              </w:rPr>
            </w:pPr>
            <w:r>
              <w:rPr>
                <w:rFonts w:hint="eastAsia" w:ascii="宋体" w:hAnsi="宋体" w:cs="宋体"/>
                <w:szCs w:val="21"/>
                <w:highlight w:val="none"/>
              </w:rPr>
              <w:t>本项目采用“远程不见面”开标方式，投标人无需到市交易中心现场参加开标会议</w:t>
            </w:r>
          </w:p>
        </w:tc>
      </w:tr>
      <w:tr w14:paraId="7D8D5B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trPr>
        <w:tc>
          <w:tcPr>
            <w:tcW w:w="897" w:type="dxa"/>
            <w:vAlign w:val="center"/>
          </w:tcPr>
          <w:p w14:paraId="4A1C1BAA">
            <w:pPr>
              <w:spacing w:line="360" w:lineRule="auto"/>
              <w:jc w:val="center"/>
              <w:rPr>
                <w:rFonts w:ascii="宋体" w:hAnsi="宋体" w:cs="宋体"/>
                <w:szCs w:val="21"/>
              </w:rPr>
            </w:pPr>
            <w:r>
              <w:rPr>
                <w:rFonts w:hint="eastAsia" w:ascii="宋体" w:hAnsi="宋体" w:cs="宋体"/>
                <w:szCs w:val="21"/>
              </w:rPr>
              <w:t>5.2</w:t>
            </w:r>
          </w:p>
        </w:tc>
        <w:tc>
          <w:tcPr>
            <w:tcW w:w="2186" w:type="dxa"/>
            <w:vAlign w:val="center"/>
          </w:tcPr>
          <w:p w14:paraId="587C2124">
            <w:pPr>
              <w:spacing w:line="360" w:lineRule="auto"/>
              <w:jc w:val="center"/>
              <w:rPr>
                <w:rFonts w:ascii="宋体" w:hAnsi="宋体" w:cs="宋体"/>
                <w:szCs w:val="21"/>
              </w:rPr>
            </w:pPr>
            <w:r>
              <w:rPr>
                <w:rFonts w:hint="eastAsia" w:ascii="宋体" w:hAnsi="宋体" w:cs="宋体"/>
                <w:szCs w:val="21"/>
              </w:rPr>
              <w:t>开标程序</w:t>
            </w:r>
          </w:p>
        </w:tc>
        <w:tc>
          <w:tcPr>
            <w:tcW w:w="6271" w:type="dxa"/>
            <w:vAlign w:val="center"/>
          </w:tcPr>
          <w:p w14:paraId="2B625D07">
            <w:pPr>
              <w:spacing w:line="360" w:lineRule="auto"/>
              <w:rPr>
                <w:rFonts w:ascii="宋体" w:hAnsi="宋体" w:cs="宋体"/>
                <w:szCs w:val="21"/>
                <w:highlight w:val="none"/>
              </w:rPr>
            </w:pPr>
            <w:r>
              <w:rPr>
                <w:rFonts w:hint="eastAsia" w:ascii="宋体" w:hAnsi="宋体" w:cs="宋体"/>
                <w:szCs w:val="21"/>
                <w:highlight w:val="none"/>
              </w:rPr>
              <w:t>1.所有投标人应提前30分钟，登录“郑州市公共资源交易中心门户网站远程开标大厅进行远程开标准备工作。</w:t>
            </w:r>
          </w:p>
          <w:p w14:paraId="5774076E">
            <w:pPr>
              <w:spacing w:line="360" w:lineRule="auto"/>
              <w:rPr>
                <w:rFonts w:ascii="宋体" w:hAnsi="宋体" w:cs="宋体"/>
                <w:szCs w:val="21"/>
                <w:highlight w:val="none"/>
              </w:rPr>
            </w:pPr>
            <w:r>
              <w:rPr>
                <w:rFonts w:hint="eastAsia" w:ascii="宋体" w:hAnsi="宋体" w:cs="宋体"/>
                <w:szCs w:val="21"/>
                <w:highlight w:val="none"/>
              </w:rPr>
              <w:t>（</w:t>
            </w:r>
            <w:r>
              <w:rPr>
                <w:rFonts w:hint="eastAsia" w:ascii="宋体" w:hAnsi="宋体" w:cs="宋体"/>
                <w:snapToGrid w:val="0"/>
                <w:szCs w:val="21"/>
                <w:lang w:val="en-US" w:eastAsia="zh-CN"/>
              </w:rPr>
              <w:t>https://zzggzy.zhengzhou.gov.cn/BidOpening/</w:t>
            </w:r>
            <w:r>
              <w:rPr>
                <w:rFonts w:hint="eastAsia" w:ascii="宋体" w:hAnsi="宋体" w:cs="宋体"/>
                <w:szCs w:val="21"/>
                <w:highlight w:val="none"/>
              </w:rPr>
              <w:t>）</w:t>
            </w:r>
          </w:p>
          <w:p w14:paraId="7BD17983">
            <w:pPr>
              <w:spacing w:line="360" w:lineRule="auto"/>
              <w:rPr>
                <w:rFonts w:ascii="宋体" w:hAnsi="宋体" w:cs="宋体"/>
                <w:szCs w:val="21"/>
                <w:highlight w:val="none"/>
              </w:rPr>
            </w:pPr>
            <w:r>
              <w:rPr>
                <w:rFonts w:hint="eastAsia" w:ascii="宋体" w:hAnsi="宋体" w:cs="宋体"/>
                <w:szCs w:val="21"/>
                <w:highlight w:val="none"/>
              </w:rPr>
              <w:t>2.登录“郑州市公共资源交易中心门户网站远程开标大厅”后，须先进行签到，其后应一直保持在线状态，保证能准时参加开标大会、投标文件的解密、现场答疑澄清等活动。</w:t>
            </w:r>
          </w:p>
          <w:p w14:paraId="20ED2F25">
            <w:pPr>
              <w:spacing w:line="360" w:lineRule="auto"/>
              <w:rPr>
                <w:rFonts w:ascii="宋体" w:hAnsi="宋体" w:cs="宋体"/>
                <w:szCs w:val="21"/>
                <w:highlight w:val="none"/>
              </w:rPr>
            </w:pPr>
            <w:r>
              <w:rPr>
                <w:rFonts w:hint="eastAsia" w:ascii="宋体" w:hAnsi="宋体" w:cs="宋体"/>
                <w:szCs w:val="21"/>
                <w:highlight w:val="none"/>
              </w:rPr>
              <w:t>3.投标截止时间到，公布投标人名单</w:t>
            </w:r>
          </w:p>
          <w:p w14:paraId="1BB64850">
            <w:pPr>
              <w:spacing w:line="360" w:lineRule="auto"/>
              <w:rPr>
                <w:rFonts w:ascii="宋体" w:hAnsi="宋体" w:cs="宋体"/>
                <w:szCs w:val="21"/>
                <w:highlight w:val="none"/>
              </w:rPr>
            </w:pPr>
            <w:r>
              <w:rPr>
                <w:rFonts w:hint="eastAsia" w:ascii="宋体" w:hAnsi="宋体" w:cs="宋体"/>
                <w:szCs w:val="21"/>
                <w:highlight w:val="none"/>
              </w:rPr>
              <w:t>4.按照电子交易平台解密的顺序开标并唱标。</w:t>
            </w:r>
          </w:p>
        </w:tc>
      </w:tr>
      <w:tr w14:paraId="0B496A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trPr>
        <w:tc>
          <w:tcPr>
            <w:tcW w:w="897" w:type="dxa"/>
            <w:vAlign w:val="center"/>
          </w:tcPr>
          <w:p w14:paraId="39C7E8CF">
            <w:pPr>
              <w:spacing w:line="360" w:lineRule="auto"/>
              <w:jc w:val="center"/>
              <w:rPr>
                <w:rFonts w:ascii="宋体" w:hAnsi="宋体" w:cs="宋体"/>
                <w:szCs w:val="21"/>
              </w:rPr>
            </w:pPr>
            <w:r>
              <w:rPr>
                <w:rFonts w:hint="eastAsia" w:ascii="宋体" w:hAnsi="宋体" w:cs="宋体"/>
                <w:szCs w:val="21"/>
              </w:rPr>
              <w:t>6.</w:t>
            </w:r>
            <w:r>
              <w:rPr>
                <w:rFonts w:hint="eastAsia" w:ascii="宋体" w:hAnsi="宋体" w:cs="宋体"/>
                <w:szCs w:val="21"/>
                <w:lang w:val="en-US" w:eastAsia="zh-CN"/>
              </w:rPr>
              <w:t>2</w:t>
            </w:r>
            <w:r>
              <w:rPr>
                <w:rFonts w:hint="eastAsia" w:ascii="宋体" w:hAnsi="宋体" w:cs="宋体"/>
                <w:szCs w:val="21"/>
              </w:rPr>
              <w:t>.1</w:t>
            </w:r>
          </w:p>
        </w:tc>
        <w:tc>
          <w:tcPr>
            <w:tcW w:w="2186" w:type="dxa"/>
            <w:vAlign w:val="center"/>
          </w:tcPr>
          <w:p w14:paraId="008A7CB2">
            <w:pPr>
              <w:spacing w:line="360" w:lineRule="auto"/>
              <w:jc w:val="center"/>
              <w:rPr>
                <w:rFonts w:ascii="宋体" w:hAnsi="宋体" w:cs="宋体"/>
                <w:szCs w:val="21"/>
              </w:rPr>
            </w:pPr>
            <w:r>
              <w:rPr>
                <w:rFonts w:hint="eastAsia" w:ascii="宋体" w:hAnsi="宋体" w:cs="宋体"/>
                <w:szCs w:val="21"/>
              </w:rPr>
              <w:t>评标委员会的组建</w:t>
            </w:r>
          </w:p>
        </w:tc>
        <w:tc>
          <w:tcPr>
            <w:tcW w:w="6271" w:type="dxa"/>
            <w:vAlign w:val="center"/>
          </w:tcPr>
          <w:p w14:paraId="2821C237">
            <w:pPr>
              <w:autoSpaceDE w:val="0"/>
              <w:autoSpaceDN w:val="0"/>
              <w:adjustRightInd w:val="0"/>
              <w:spacing w:line="360" w:lineRule="auto"/>
              <w:ind w:left="210" w:hanging="210" w:hangingChars="100"/>
              <w:jc w:val="left"/>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评标委员会构成：</w:t>
            </w:r>
            <w:r>
              <w:rPr>
                <w:rFonts w:hint="eastAsia" w:ascii="宋体" w:hAnsi="宋体" w:cs="宋体"/>
                <w:color w:val="000000" w:themeColor="text1"/>
                <w:kern w:val="0"/>
                <w:szCs w:val="21"/>
                <w:lang w:val="en-US" w:eastAsia="zh-CN"/>
                <w14:textFill>
                  <w14:solidFill>
                    <w14:schemeClr w14:val="tx1"/>
                  </w14:solidFill>
                </w14:textFill>
              </w:rPr>
              <w:t>7</w:t>
            </w:r>
            <w:r>
              <w:rPr>
                <w:rFonts w:hint="eastAsia" w:ascii="宋体" w:hAnsi="宋体" w:cs="宋体"/>
                <w:color w:val="000000" w:themeColor="text1"/>
                <w:kern w:val="0"/>
                <w:szCs w:val="21"/>
                <w14:textFill>
                  <w14:solidFill>
                    <w14:schemeClr w14:val="tx1"/>
                  </w14:solidFill>
                </w14:textFill>
              </w:rPr>
              <w:t>人（由业主代表</w:t>
            </w:r>
            <w:r>
              <w:rPr>
                <w:rFonts w:hint="eastAsia" w:ascii="宋体" w:hAnsi="宋体" w:cs="宋体"/>
                <w:color w:val="000000" w:themeColor="text1"/>
                <w:kern w:val="0"/>
                <w:szCs w:val="21"/>
                <w:lang w:val="en-US" w:eastAsia="zh-CN"/>
                <w14:textFill>
                  <w14:solidFill>
                    <w14:schemeClr w14:val="tx1"/>
                  </w14:solidFill>
                </w14:textFill>
              </w:rPr>
              <w:t>2</w:t>
            </w:r>
            <w:r>
              <w:rPr>
                <w:rFonts w:hint="eastAsia" w:ascii="宋体" w:hAnsi="宋体" w:cs="宋体"/>
                <w:color w:val="000000" w:themeColor="text1"/>
                <w:kern w:val="0"/>
                <w:szCs w:val="21"/>
                <w14:textFill>
                  <w14:solidFill>
                    <w14:schemeClr w14:val="tx1"/>
                  </w14:solidFill>
                </w14:textFill>
              </w:rPr>
              <w:t>人，技术、经济等方面的专家</w:t>
            </w:r>
            <w:r>
              <w:rPr>
                <w:rFonts w:hint="eastAsia" w:ascii="宋体" w:hAnsi="宋体" w:cs="宋体"/>
                <w:color w:val="000000" w:themeColor="text1"/>
                <w:kern w:val="0"/>
                <w:szCs w:val="21"/>
                <w:lang w:val="en-US" w:eastAsia="zh-CN"/>
                <w14:textFill>
                  <w14:solidFill>
                    <w14:schemeClr w14:val="tx1"/>
                  </w14:solidFill>
                </w14:textFill>
              </w:rPr>
              <w:t>5</w:t>
            </w:r>
            <w:r>
              <w:rPr>
                <w:rFonts w:hint="eastAsia" w:ascii="宋体" w:hAnsi="宋体" w:cs="宋体"/>
                <w:color w:val="000000" w:themeColor="text1"/>
                <w:kern w:val="0"/>
                <w:szCs w:val="21"/>
                <w14:textFill>
                  <w14:solidFill>
                    <w14:schemeClr w14:val="tx1"/>
                  </w14:solidFill>
                </w14:textFill>
              </w:rPr>
              <w:t>人组成）</w:t>
            </w:r>
          </w:p>
          <w:p w14:paraId="09D06BD8">
            <w:pPr>
              <w:spacing w:line="360" w:lineRule="auto"/>
              <w:jc w:val="left"/>
              <w:rPr>
                <w:rFonts w:ascii="宋体" w:hAnsi="宋体" w:cs="宋体"/>
                <w:szCs w:val="21"/>
                <w:highlight w:val="yellow"/>
              </w:rPr>
            </w:pPr>
            <w:r>
              <w:rPr>
                <w:rFonts w:hint="eastAsia" w:ascii="宋体" w:hAnsi="宋体" w:cs="宋体"/>
                <w:kern w:val="0"/>
                <w:szCs w:val="21"/>
              </w:rPr>
              <w:t>评标专家确定方式：从河南省政府采购专家库中随机抽取。</w:t>
            </w:r>
          </w:p>
        </w:tc>
      </w:tr>
      <w:tr w14:paraId="33D01C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897" w:type="dxa"/>
            <w:vAlign w:val="center"/>
          </w:tcPr>
          <w:p w14:paraId="0E559EBA">
            <w:pPr>
              <w:autoSpaceDE w:val="0"/>
              <w:autoSpaceDN w:val="0"/>
              <w:adjustRightInd w:val="0"/>
              <w:spacing w:line="360" w:lineRule="auto"/>
              <w:jc w:val="center"/>
              <w:rPr>
                <w:rFonts w:ascii="宋体" w:hAnsi="宋体" w:cs="宋体"/>
                <w:szCs w:val="21"/>
              </w:rPr>
            </w:pPr>
            <w:r>
              <w:rPr>
                <w:rFonts w:hint="eastAsia" w:ascii="宋体" w:hAnsi="宋体" w:cs="宋体"/>
                <w:kern w:val="0"/>
                <w:szCs w:val="21"/>
              </w:rPr>
              <w:t>7.1</w:t>
            </w:r>
          </w:p>
        </w:tc>
        <w:tc>
          <w:tcPr>
            <w:tcW w:w="2186" w:type="dxa"/>
            <w:vAlign w:val="center"/>
          </w:tcPr>
          <w:p w14:paraId="47630542">
            <w:pPr>
              <w:autoSpaceDE w:val="0"/>
              <w:autoSpaceDN w:val="0"/>
              <w:adjustRightInd w:val="0"/>
              <w:spacing w:line="360" w:lineRule="auto"/>
              <w:jc w:val="center"/>
              <w:rPr>
                <w:rFonts w:ascii="宋体" w:hAnsi="宋体" w:cs="宋体"/>
                <w:szCs w:val="21"/>
              </w:rPr>
            </w:pPr>
            <w:r>
              <w:rPr>
                <w:rFonts w:hint="eastAsia" w:ascii="宋体" w:hAnsi="宋体" w:cs="宋体"/>
                <w:kern w:val="0"/>
                <w:szCs w:val="21"/>
              </w:rPr>
              <w:t>是否授权评标委员会确定中标人</w:t>
            </w:r>
          </w:p>
        </w:tc>
        <w:tc>
          <w:tcPr>
            <w:tcW w:w="6271" w:type="dxa"/>
            <w:vAlign w:val="center"/>
          </w:tcPr>
          <w:p w14:paraId="4E33E836">
            <w:pPr>
              <w:spacing w:line="360" w:lineRule="auto"/>
              <w:jc w:val="left"/>
              <w:rPr>
                <w:rFonts w:ascii="宋体" w:hAnsi="宋体" w:cs="宋体"/>
              </w:rPr>
            </w:pPr>
            <w:r>
              <w:rPr>
                <w:rFonts w:hint="eastAsia" w:ascii="宋体" w:hAnsi="宋体" w:cs="宋体"/>
              </w:rPr>
              <w:t>否，推荐的中标候选人数：3名。</w:t>
            </w:r>
          </w:p>
        </w:tc>
      </w:tr>
      <w:tr w14:paraId="5BA1A2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897" w:type="dxa"/>
            <w:vAlign w:val="center"/>
          </w:tcPr>
          <w:p w14:paraId="0065E083">
            <w:pPr>
              <w:autoSpaceDE w:val="0"/>
              <w:autoSpaceDN w:val="0"/>
              <w:adjustRightInd w:val="0"/>
              <w:spacing w:line="360" w:lineRule="auto"/>
              <w:jc w:val="center"/>
              <w:rPr>
                <w:rFonts w:hint="default" w:ascii="宋体" w:hAnsi="宋体" w:eastAsia="宋体" w:cs="宋体"/>
                <w:kern w:val="0"/>
                <w:szCs w:val="21"/>
                <w:lang w:val="en-US" w:eastAsia="zh-CN"/>
              </w:rPr>
            </w:pPr>
            <w:r>
              <w:rPr>
                <w:rFonts w:hint="eastAsia" w:ascii="宋体" w:hAnsi="宋体" w:cs="宋体"/>
                <w:kern w:val="0"/>
                <w:szCs w:val="21"/>
                <w:lang w:val="en-US" w:eastAsia="zh-CN"/>
              </w:rPr>
              <w:t>7.2</w:t>
            </w:r>
          </w:p>
        </w:tc>
        <w:tc>
          <w:tcPr>
            <w:tcW w:w="2186" w:type="dxa"/>
            <w:vAlign w:val="center"/>
          </w:tcPr>
          <w:p w14:paraId="52CB5B40">
            <w:pPr>
              <w:autoSpaceDE w:val="0"/>
              <w:autoSpaceDN w:val="0"/>
              <w:adjustRightInd w:val="0"/>
              <w:spacing w:line="360" w:lineRule="auto"/>
              <w:jc w:val="center"/>
              <w:rPr>
                <w:rFonts w:hint="eastAsia" w:ascii="宋体" w:hAnsi="宋体" w:cs="宋体"/>
                <w:kern w:val="0"/>
                <w:szCs w:val="21"/>
              </w:rPr>
            </w:pPr>
            <w:r>
              <w:rPr>
                <w:rFonts w:ascii="宋体" w:hAnsi="宋体"/>
                <w:color w:val="000000"/>
                <w:sz w:val="21"/>
                <w:szCs w:val="21"/>
                <w:highlight w:val="none"/>
              </w:rPr>
              <w:t>中标</w:t>
            </w:r>
            <w:r>
              <w:rPr>
                <w:rFonts w:hint="eastAsia" w:ascii="宋体" w:hAnsi="宋体"/>
                <w:color w:val="000000"/>
                <w:sz w:val="21"/>
                <w:szCs w:val="21"/>
                <w:highlight w:val="none"/>
                <w:lang w:val="en-US" w:eastAsia="zh-CN"/>
              </w:rPr>
              <w:t>公示</w:t>
            </w:r>
          </w:p>
        </w:tc>
        <w:tc>
          <w:tcPr>
            <w:tcW w:w="6271" w:type="dxa"/>
            <w:vAlign w:val="center"/>
          </w:tcPr>
          <w:p w14:paraId="0BCC58D6">
            <w:pPr>
              <w:spacing w:line="360" w:lineRule="auto"/>
              <w:jc w:val="left"/>
              <w:rPr>
                <w:rFonts w:hint="eastAsia" w:ascii="宋体" w:hAnsi="宋体" w:cs="宋体"/>
              </w:rPr>
            </w:pPr>
            <w:r>
              <w:rPr>
                <w:rFonts w:ascii="宋体" w:hAnsi="宋体"/>
                <w:color w:val="000000"/>
                <w:sz w:val="21"/>
                <w:szCs w:val="21"/>
                <w:highlight w:val="none"/>
              </w:rPr>
              <w:t>中标</w:t>
            </w:r>
            <w:r>
              <w:rPr>
                <w:rFonts w:hint="eastAsia" w:ascii="宋体" w:hAnsi="宋体"/>
                <w:color w:val="000000"/>
                <w:sz w:val="21"/>
                <w:szCs w:val="21"/>
                <w:highlight w:val="none"/>
                <w:lang w:val="en-US" w:eastAsia="zh-CN"/>
              </w:rPr>
              <w:t>公示</w:t>
            </w:r>
          </w:p>
        </w:tc>
      </w:tr>
      <w:tr w14:paraId="32C771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trPr>
        <w:tc>
          <w:tcPr>
            <w:tcW w:w="897" w:type="dxa"/>
            <w:vAlign w:val="center"/>
          </w:tcPr>
          <w:p w14:paraId="011EA8A9">
            <w:pPr>
              <w:spacing w:line="360" w:lineRule="auto"/>
              <w:jc w:val="center"/>
              <w:rPr>
                <w:rFonts w:ascii="宋体" w:hAnsi="宋体" w:cs="宋体"/>
                <w:szCs w:val="21"/>
                <w:highlight w:val="none"/>
              </w:rPr>
            </w:pPr>
            <w:bookmarkStart w:id="57" w:name="OLE_LINK31" w:colFirst="0" w:colLast="1"/>
            <w:r>
              <w:rPr>
                <w:rFonts w:hint="eastAsia" w:ascii="宋体" w:hAnsi="宋体" w:cs="宋体"/>
                <w:szCs w:val="21"/>
                <w:highlight w:val="none"/>
              </w:rPr>
              <w:t>7.</w:t>
            </w:r>
            <w:r>
              <w:rPr>
                <w:rFonts w:hint="eastAsia" w:ascii="宋体" w:hAnsi="宋体" w:cs="宋体"/>
                <w:szCs w:val="21"/>
                <w:highlight w:val="none"/>
                <w:lang w:val="en-US" w:eastAsia="zh-CN"/>
              </w:rPr>
              <w:t>4</w:t>
            </w:r>
            <w:r>
              <w:rPr>
                <w:rFonts w:hint="eastAsia" w:ascii="宋体" w:hAnsi="宋体" w:cs="宋体"/>
                <w:szCs w:val="21"/>
                <w:highlight w:val="none"/>
              </w:rPr>
              <w:t>.1</w:t>
            </w:r>
          </w:p>
        </w:tc>
        <w:tc>
          <w:tcPr>
            <w:tcW w:w="2186" w:type="dxa"/>
            <w:vAlign w:val="center"/>
          </w:tcPr>
          <w:p w14:paraId="286E153F">
            <w:pPr>
              <w:spacing w:line="360" w:lineRule="auto"/>
              <w:jc w:val="center"/>
              <w:rPr>
                <w:rFonts w:hint="eastAsia" w:ascii="宋体" w:hAnsi="宋体" w:eastAsia="宋体" w:cs="宋体"/>
                <w:color w:val="000000" w:themeColor="text1"/>
                <w:szCs w:val="21"/>
                <w:highlight w:val="none"/>
                <w:lang w:eastAsia="zh-CN"/>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履约</w:t>
            </w:r>
            <w:r>
              <w:rPr>
                <w:rFonts w:hint="eastAsia" w:ascii="宋体" w:hAnsi="宋体" w:cs="宋体"/>
                <w:color w:val="000000" w:themeColor="text1"/>
                <w:szCs w:val="21"/>
                <w:highlight w:val="none"/>
                <w:lang w:eastAsia="zh-CN"/>
                <w14:textFill>
                  <w14:solidFill>
                    <w14:schemeClr w14:val="tx1"/>
                  </w14:solidFill>
                </w14:textFill>
              </w:rPr>
              <w:t>保证金</w:t>
            </w:r>
          </w:p>
        </w:tc>
        <w:tc>
          <w:tcPr>
            <w:tcW w:w="6271" w:type="dxa"/>
            <w:vAlign w:val="center"/>
          </w:tcPr>
          <w:p w14:paraId="52E615ED">
            <w:pPr>
              <w:spacing w:line="360" w:lineRule="auto"/>
              <w:rPr>
                <w:rFonts w:hint="default"/>
                <w:color w:val="000000" w:themeColor="text1"/>
                <w:highlight w:val="none"/>
                <w:lang w:val="en-US" w:eastAsia="zh-CN"/>
                <w14:textFill>
                  <w14:solidFill>
                    <w14:schemeClr w14:val="tx1"/>
                  </w14:solidFill>
                </w14:textFill>
              </w:rPr>
            </w:pPr>
            <w:r>
              <w:rPr>
                <w:rFonts w:hint="default"/>
                <w:color w:val="000000" w:themeColor="text1"/>
                <w:highlight w:val="none"/>
                <w:lang w:val="en-US" w:eastAsia="zh-CN"/>
                <w14:textFill>
                  <w14:solidFill>
                    <w14:schemeClr w14:val="tx1"/>
                  </w14:solidFill>
                </w14:textFill>
              </w:rPr>
              <w:t>根据采购人要求</w:t>
            </w:r>
            <w:r>
              <w:rPr>
                <w:rFonts w:hint="eastAsia"/>
                <w:color w:val="000000" w:themeColor="text1"/>
                <w:highlight w:val="none"/>
                <w:lang w:val="en-US" w:eastAsia="zh-CN"/>
                <w14:textFill>
                  <w14:solidFill>
                    <w14:schemeClr w14:val="tx1"/>
                  </w14:solidFill>
                </w14:textFill>
              </w:rPr>
              <w:t>。</w:t>
            </w:r>
          </w:p>
        </w:tc>
      </w:tr>
      <w:tr w14:paraId="47B8D1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trPr>
        <w:tc>
          <w:tcPr>
            <w:tcW w:w="897" w:type="dxa"/>
            <w:vAlign w:val="center"/>
          </w:tcPr>
          <w:p w14:paraId="6969D352">
            <w:pPr>
              <w:spacing w:line="360" w:lineRule="auto"/>
              <w:jc w:val="center"/>
              <w:rPr>
                <w:rFonts w:ascii="宋体" w:hAnsi="宋体" w:cs="宋体"/>
                <w:szCs w:val="21"/>
              </w:rPr>
            </w:pPr>
            <w:r>
              <w:rPr>
                <w:rFonts w:hint="eastAsia" w:ascii="宋体" w:hAnsi="宋体" w:cs="宋体"/>
                <w:szCs w:val="21"/>
              </w:rPr>
              <w:t>10</w:t>
            </w:r>
          </w:p>
        </w:tc>
        <w:tc>
          <w:tcPr>
            <w:tcW w:w="8457" w:type="dxa"/>
            <w:gridSpan w:val="2"/>
            <w:vAlign w:val="center"/>
          </w:tcPr>
          <w:p w14:paraId="6094F512">
            <w:pPr>
              <w:spacing w:line="360" w:lineRule="auto"/>
              <w:rPr>
                <w:rFonts w:ascii="宋体" w:hAnsi="宋体" w:cs="宋体"/>
                <w:szCs w:val="21"/>
              </w:rPr>
            </w:pPr>
            <w:r>
              <w:rPr>
                <w:rFonts w:hint="eastAsia" w:ascii="宋体" w:hAnsi="宋体" w:cs="宋体"/>
                <w:szCs w:val="21"/>
              </w:rPr>
              <w:t>需要补充的其他内容</w:t>
            </w:r>
          </w:p>
        </w:tc>
      </w:tr>
      <w:bookmarkEnd w:id="57"/>
      <w:tr w14:paraId="0494AC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trPr>
        <w:tc>
          <w:tcPr>
            <w:tcW w:w="897" w:type="dxa"/>
            <w:vAlign w:val="center"/>
          </w:tcPr>
          <w:p w14:paraId="1D41AC69">
            <w:pPr>
              <w:spacing w:line="360" w:lineRule="auto"/>
              <w:jc w:val="center"/>
              <w:rPr>
                <w:rFonts w:ascii="宋体" w:hAnsi="宋体" w:cs="宋体"/>
                <w:szCs w:val="21"/>
              </w:rPr>
            </w:pPr>
            <w:r>
              <w:rPr>
                <w:rFonts w:hint="eastAsia" w:ascii="宋体" w:hAnsi="宋体" w:cs="宋体"/>
                <w:szCs w:val="21"/>
              </w:rPr>
              <w:t>10.1</w:t>
            </w:r>
          </w:p>
        </w:tc>
        <w:tc>
          <w:tcPr>
            <w:tcW w:w="2186" w:type="dxa"/>
            <w:vAlign w:val="center"/>
          </w:tcPr>
          <w:p w14:paraId="6A0C90CE">
            <w:pPr>
              <w:spacing w:line="360" w:lineRule="auto"/>
              <w:jc w:val="center"/>
              <w:rPr>
                <w:rFonts w:ascii="宋体" w:hAnsi="宋体" w:cs="宋体"/>
                <w:szCs w:val="21"/>
              </w:rPr>
            </w:pPr>
            <w:r>
              <w:rPr>
                <w:rFonts w:hint="eastAsia" w:ascii="宋体" w:hAnsi="宋体" w:cs="宋体"/>
                <w:szCs w:val="21"/>
              </w:rPr>
              <w:t>类似项目</w:t>
            </w:r>
          </w:p>
        </w:tc>
        <w:tc>
          <w:tcPr>
            <w:tcW w:w="6271" w:type="dxa"/>
            <w:vAlign w:val="center"/>
          </w:tcPr>
          <w:p w14:paraId="21B74698">
            <w:pPr>
              <w:spacing w:line="360" w:lineRule="auto"/>
              <w:jc w:val="left"/>
              <w:rPr>
                <w:rFonts w:hint="eastAsia" w:ascii="宋体" w:hAnsi="宋体" w:eastAsia="宋体" w:cs="宋体"/>
                <w:szCs w:val="21"/>
                <w:lang w:val="en-US" w:eastAsia="zh-CN"/>
              </w:rPr>
            </w:pPr>
            <w:r>
              <w:rPr>
                <w:rFonts w:hint="eastAsia" w:ascii="宋体" w:hAnsi="宋体" w:cs="宋体"/>
                <w:szCs w:val="21"/>
                <w:lang w:val="en-US" w:eastAsia="zh-CN"/>
              </w:rPr>
              <w:t>/</w:t>
            </w:r>
          </w:p>
        </w:tc>
      </w:tr>
      <w:tr w14:paraId="17AFC3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trPr>
        <w:tc>
          <w:tcPr>
            <w:tcW w:w="897" w:type="dxa"/>
            <w:vAlign w:val="center"/>
          </w:tcPr>
          <w:p w14:paraId="600FAF36">
            <w:pPr>
              <w:spacing w:line="360" w:lineRule="auto"/>
              <w:jc w:val="center"/>
              <w:rPr>
                <w:rFonts w:ascii="宋体" w:hAnsi="宋体" w:cs="宋体"/>
                <w:szCs w:val="21"/>
              </w:rPr>
            </w:pPr>
            <w:r>
              <w:rPr>
                <w:rFonts w:hint="eastAsia" w:ascii="宋体" w:hAnsi="宋体" w:cs="宋体"/>
                <w:szCs w:val="21"/>
              </w:rPr>
              <w:t>10.2</w:t>
            </w:r>
          </w:p>
        </w:tc>
        <w:tc>
          <w:tcPr>
            <w:tcW w:w="2186" w:type="dxa"/>
            <w:vAlign w:val="center"/>
          </w:tcPr>
          <w:p w14:paraId="7E2D3FF2">
            <w:pPr>
              <w:spacing w:line="360" w:lineRule="auto"/>
              <w:jc w:val="center"/>
              <w:rPr>
                <w:rFonts w:ascii="宋体" w:hAnsi="宋体" w:cs="宋体"/>
                <w:szCs w:val="21"/>
              </w:rPr>
            </w:pPr>
            <w:r>
              <w:rPr>
                <w:rFonts w:hint="eastAsia" w:ascii="宋体" w:hAnsi="宋体" w:cs="宋体"/>
                <w:szCs w:val="21"/>
              </w:rPr>
              <w:t>招标文件售价</w:t>
            </w:r>
          </w:p>
        </w:tc>
        <w:tc>
          <w:tcPr>
            <w:tcW w:w="6271" w:type="dxa"/>
            <w:vAlign w:val="center"/>
          </w:tcPr>
          <w:p w14:paraId="1434D427">
            <w:pPr>
              <w:spacing w:line="360" w:lineRule="auto"/>
              <w:jc w:val="left"/>
              <w:rPr>
                <w:rFonts w:ascii="宋体" w:hAnsi="宋体" w:cs="宋体"/>
                <w:b/>
                <w:kern w:val="0"/>
                <w:szCs w:val="21"/>
              </w:rPr>
            </w:pPr>
            <w:r>
              <w:rPr>
                <w:rFonts w:hint="eastAsia" w:ascii="宋体" w:hAnsi="宋体" w:cs="宋体"/>
                <w:szCs w:val="21"/>
              </w:rPr>
              <w:t>0元</w:t>
            </w:r>
          </w:p>
        </w:tc>
      </w:tr>
      <w:tr w14:paraId="2A57A6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2" w:hRule="atLeast"/>
        </w:trPr>
        <w:tc>
          <w:tcPr>
            <w:tcW w:w="897" w:type="dxa"/>
            <w:vAlign w:val="center"/>
          </w:tcPr>
          <w:p w14:paraId="145BA64E">
            <w:pPr>
              <w:adjustRightInd w:val="0"/>
              <w:spacing w:line="360" w:lineRule="auto"/>
              <w:jc w:val="center"/>
              <w:textAlignment w:val="baseline"/>
              <w:rPr>
                <w:rFonts w:ascii="宋体" w:hAnsi="宋体" w:cs="宋体"/>
                <w:szCs w:val="21"/>
              </w:rPr>
            </w:pPr>
            <w:r>
              <w:rPr>
                <w:rFonts w:hint="eastAsia" w:ascii="宋体" w:hAnsi="宋体" w:cs="宋体"/>
                <w:szCs w:val="21"/>
              </w:rPr>
              <w:t>10.3</w:t>
            </w:r>
          </w:p>
        </w:tc>
        <w:tc>
          <w:tcPr>
            <w:tcW w:w="2186" w:type="dxa"/>
            <w:vAlign w:val="center"/>
          </w:tcPr>
          <w:p w14:paraId="3D166426">
            <w:pPr>
              <w:spacing w:line="360" w:lineRule="auto"/>
              <w:jc w:val="center"/>
              <w:rPr>
                <w:rFonts w:ascii="宋体" w:hAnsi="宋体" w:cs="宋体"/>
                <w:szCs w:val="21"/>
              </w:rPr>
            </w:pPr>
            <w:r>
              <w:rPr>
                <w:rFonts w:hint="eastAsia" w:ascii="宋体" w:hAnsi="宋体" w:cs="宋体"/>
                <w:b/>
                <w:bCs/>
                <w:szCs w:val="21"/>
              </w:rPr>
              <w:t>招标代理服务费</w:t>
            </w:r>
          </w:p>
        </w:tc>
        <w:tc>
          <w:tcPr>
            <w:tcW w:w="6271" w:type="dxa"/>
            <w:vAlign w:val="center"/>
          </w:tcPr>
          <w:p w14:paraId="671FF66A">
            <w:pPr>
              <w:spacing w:line="360" w:lineRule="auto"/>
              <w:rPr>
                <w:rFonts w:ascii="宋体" w:hAnsi="宋体" w:cs="宋体"/>
                <w:szCs w:val="21"/>
              </w:rPr>
            </w:pPr>
            <w:r>
              <w:rPr>
                <w:rFonts w:hint="eastAsia" w:ascii="宋体" w:hAnsi="宋体" w:cs="宋体"/>
                <w:szCs w:val="21"/>
                <w:lang w:val="en-US" w:eastAsia="zh-CN"/>
              </w:rPr>
              <w:t>招标代理服务费参照</w:t>
            </w:r>
            <w:r>
              <w:rPr>
                <w:rFonts w:hint="eastAsia" w:ascii="宋体" w:hAnsi="宋体" w:eastAsia="宋体" w:cs="宋体"/>
                <w:szCs w:val="21"/>
                <w:lang w:val="en-US" w:eastAsia="zh-CN"/>
              </w:rPr>
              <w:t>《河南省招标代理服务收费指导意见》的通知（豫招协[2023]002号）等相关规定的80%收取中标服务费。</w:t>
            </w:r>
          </w:p>
        </w:tc>
      </w:tr>
      <w:tr w14:paraId="225DB1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897" w:type="dxa"/>
            <w:vAlign w:val="center"/>
          </w:tcPr>
          <w:p w14:paraId="607718C6">
            <w:pPr>
              <w:adjustRightInd w:val="0"/>
              <w:spacing w:line="360" w:lineRule="auto"/>
              <w:jc w:val="center"/>
              <w:textAlignment w:val="baseline"/>
              <w:rPr>
                <w:rFonts w:ascii="宋体" w:hAnsi="宋体" w:cs="宋体"/>
                <w:szCs w:val="21"/>
              </w:rPr>
            </w:pPr>
            <w:r>
              <w:rPr>
                <w:rFonts w:hint="eastAsia" w:ascii="宋体" w:hAnsi="宋体" w:cs="宋体"/>
                <w:szCs w:val="21"/>
              </w:rPr>
              <w:t>10.4</w:t>
            </w:r>
          </w:p>
        </w:tc>
        <w:tc>
          <w:tcPr>
            <w:tcW w:w="2186" w:type="dxa"/>
            <w:vAlign w:val="center"/>
          </w:tcPr>
          <w:p w14:paraId="72E82E8E">
            <w:pPr>
              <w:spacing w:line="360" w:lineRule="auto"/>
              <w:jc w:val="center"/>
              <w:rPr>
                <w:rFonts w:ascii="宋体" w:hAnsi="宋体" w:cs="宋体"/>
                <w:b/>
                <w:bCs/>
                <w:szCs w:val="21"/>
              </w:rPr>
            </w:pPr>
            <w:r>
              <w:rPr>
                <w:rFonts w:hint="eastAsia" w:ascii="宋体" w:hAnsi="宋体" w:cs="宋体"/>
                <w:b/>
                <w:bCs/>
                <w:szCs w:val="21"/>
              </w:rPr>
              <w:t>招标最高限价</w:t>
            </w:r>
          </w:p>
        </w:tc>
        <w:tc>
          <w:tcPr>
            <w:tcW w:w="6271" w:type="dxa"/>
            <w:vAlign w:val="center"/>
          </w:tcPr>
          <w:p w14:paraId="01F84541">
            <w:pPr>
              <w:spacing w:line="360" w:lineRule="auto"/>
              <w:rPr>
                <w:rFonts w:hint="eastAsia" w:ascii="宋体" w:hAnsi="宋体" w:eastAsia="宋体" w:cs="宋体"/>
                <w:b w:val="0"/>
                <w:bCs/>
                <w:snapToGrid w:val="0"/>
                <w:color w:val="auto"/>
                <w:kern w:val="2"/>
                <w:sz w:val="21"/>
                <w:szCs w:val="21"/>
                <w:lang w:val="en-US" w:eastAsia="zh-CN" w:bidi="ar-SA"/>
              </w:rPr>
            </w:pPr>
            <w:bookmarkStart w:id="58" w:name="OLE_LINK21"/>
            <w:r>
              <w:rPr>
                <w:rFonts w:hint="eastAsia" w:ascii="宋体" w:hAnsi="宋体" w:cs="宋体"/>
                <w:b w:val="0"/>
                <w:bCs/>
                <w:szCs w:val="21"/>
                <w:highlight w:val="none"/>
                <w:lang w:val="en-US" w:eastAsia="zh-CN"/>
              </w:rPr>
              <w:t>A包</w:t>
            </w:r>
            <w:r>
              <w:rPr>
                <w:rFonts w:hint="eastAsia" w:ascii="宋体" w:hAnsi="Times New Roman" w:eastAsia="宋体" w:cs="宋体"/>
                <w:b w:val="0"/>
                <w:bCs/>
                <w:color w:val="000000"/>
                <w:kern w:val="0"/>
                <w:sz w:val="21"/>
                <w:szCs w:val="21"/>
                <w:lang w:val="en-US" w:eastAsia="zh-CN" w:bidi="ar-SA"/>
              </w:rPr>
              <w:t>“第三方评估”服务项目</w:t>
            </w:r>
            <w:r>
              <w:rPr>
                <w:rFonts w:hint="eastAsia" w:ascii="宋体" w:hAnsi="宋体" w:cs="宋体"/>
                <w:b w:val="0"/>
                <w:bCs/>
                <w:szCs w:val="21"/>
                <w:highlight w:val="none"/>
                <w:lang w:val="en-US" w:eastAsia="zh-CN"/>
              </w:rPr>
              <w:t>最高限价：</w:t>
            </w:r>
            <w:r>
              <w:rPr>
                <w:rFonts w:hint="default" w:ascii="宋体" w:hAnsi="宋体" w:eastAsia="宋体" w:cs="宋体"/>
                <w:b w:val="0"/>
                <w:bCs/>
                <w:snapToGrid w:val="0"/>
                <w:color w:val="auto"/>
                <w:kern w:val="2"/>
                <w:sz w:val="21"/>
                <w:szCs w:val="21"/>
                <w:lang w:val="en-US" w:eastAsia="zh-CN" w:bidi="ar-SA"/>
              </w:rPr>
              <w:t>120000</w:t>
            </w:r>
            <w:r>
              <w:rPr>
                <w:rFonts w:hint="eastAsia" w:ascii="宋体" w:hAnsi="宋体" w:eastAsia="宋体" w:cs="宋体"/>
                <w:b w:val="0"/>
                <w:bCs/>
                <w:snapToGrid w:val="0"/>
                <w:color w:val="auto"/>
                <w:kern w:val="2"/>
                <w:sz w:val="21"/>
                <w:szCs w:val="21"/>
                <w:lang w:val="en-US" w:eastAsia="zh-CN" w:bidi="ar-SA"/>
              </w:rPr>
              <w:t>元；</w:t>
            </w:r>
          </w:p>
          <w:bookmarkEnd w:id="58"/>
          <w:p w14:paraId="2244C773">
            <w:pPr>
              <w:spacing w:line="360" w:lineRule="auto"/>
              <w:rPr>
                <w:rFonts w:hint="eastAsia" w:ascii="宋体" w:hAnsi="宋体" w:eastAsia="宋体" w:cs="宋体"/>
                <w:b w:val="0"/>
                <w:bCs/>
                <w:snapToGrid w:val="0"/>
                <w:color w:val="auto"/>
                <w:kern w:val="2"/>
                <w:sz w:val="21"/>
                <w:szCs w:val="21"/>
                <w:lang w:val="en-US" w:eastAsia="zh-CN" w:bidi="ar-SA"/>
              </w:rPr>
            </w:pPr>
            <w:r>
              <w:rPr>
                <w:rFonts w:hint="eastAsia" w:ascii="宋体" w:hAnsi="宋体" w:cs="宋体"/>
                <w:b w:val="0"/>
                <w:bCs/>
                <w:szCs w:val="21"/>
                <w:highlight w:val="none"/>
                <w:lang w:val="en-US" w:eastAsia="zh-CN"/>
              </w:rPr>
              <w:t>B包</w:t>
            </w:r>
            <w:r>
              <w:rPr>
                <w:rFonts w:hint="eastAsia" w:ascii="宋体" w:hAnsi="Times New Roman" w:eastAsia="宋体" w:cs="宋体"/>
                <w:color w:val="000000"/>
                <w:kern w:val="0"/>
                <w:sz w:val="21"/>
                <w:szCs w:val="21"/>
                <w:lang w:val="en-US" w:eastAsia="zh-CN" w:bidi="ar-SA"/>
              </w:rPr>
              <w:t>万安街社区社工站、黄河南路社区社工站、鑫苑花园社区社工站</w:t>
            </w:r>
            <w:r>
              <w:rPr>
                <w:rFonts w:hint="eastAsia" w:ascii="宋体" w:hAnsi="宋体" w:cs="宋体"/>
                <w:b w:val="0"/>
                <w:bCs/>
                <w:szCs w:val="21"/>
                <w:highlight w:val="none"/>
                <w:lang w:val="en-US" w:eastAsia="zh-CN"/>
              </w:rPr>
              <w:t>最高限价：</w:t>
            </w:r>
            <w:bookmarkStart w:id="59" w:name="OLE_LINK23"/>
            <w:r>
              <w:rPr>
                <w:rFonts w:hint="eastAsia" w:ascii="宋体" w:hAnsi="宋体" w:eastAsia="宋体" w:cs="宋体"/>
                <w:b w:val="0"/>
                <w:bCs/>
                <w:snapToGrid w:val="0"/>
                <w:color w:val="auto"/>
                <w:kern w:val="2"/>
                <w:sz w:val="21"/>
                <w:szCs w:val="21"/>
                <w:lang w:val="en-US" w:eastAsia="zh-CN" w:bidi="ar-SA"/>
              </w:rPr>
              <w:t>607500</w:t>
            </w:r>
            <w:bookmarkEnd w:id="59"/>
            <w:r>
              <w:rPr>
                <w:rFonts w:hint="eastAsia" w:ascii="宋体" w:hAnsi="宋体" w:eastAsia="宋体" w:cs="宋体"/>
                <w:b w:val="0"/>
                <w:bCs/>
                <w:snapToGrid w:val="0"/>
                <w:color w:val="auto"/>
                <w:kern w:val="2"/>
                <w:sz w:val="21"/>
                <w:szCs w:val="21"/>
                <w:lang w:val="en-US" w:eastAsia="zh-CN" w:bidi="ar-SA"/>
              </w:rPr>
              <w:t>元；</w:t>
            </w:r>
          </w:p>
          <w:p w14:paraId="341BDBAD">
            <w:pPr>
              <w:spacing w:line="360" w:lineRule="auto"/>
              <w:rPr>
                <w:rFonts w:hint="eastAsia" w:ascii="宋体" w:hAnsi="宋体" w:eastAsia="宋体" w:cs="宋体"/>
                <w:b w:val="0"/>
                <w:bCs/>
                <w:snapToGrid w:val="0"/>
                <w:color w:val="auto"/>
                <w:kern w:val="2"/>
                <w:sz w:val="21"/>
                <w:szCs w:val="21"/>
                <w:lang w:val="en-US" w:eastAsia="zh-CN" w:bidi="ar-SA"/>
              </w:rPr>
            </w:pPr>
            <w:r>
              <w:rPr>
                <w:rFonts w:hint="eastAsia" w:ascii="宋体" w:hAnsi="宋体" w:cs="宋体"/>
                <w:b w:val="0"/>
                <w:bCs/>
                <w:szCs w:val="21"/>
                <w:highlight w:val="none"/>
                <w:lang w:val="en-US" w:eastAsia="zh-CN"/>
              </w:rPr>
              <w:t>C包</w:t>
            </w:r>
            <w:r>
              <w:rPr>
                <w:rFonts w:hint="eastAsia" w:ascii="宋体" w:hAnsi="Times New Roman" w:eastAsia="宋体" w:cs="宋体"/>
                <w:color w:val="000000"/>
                <w:kern w:val="0"/>
                <w:sz w:val="21"/>
                <w:szCs w:val="21"/>
                <w:lang w:val="en-US" w:eastAsia="zh-CN" w:bidi="ar-SA"/>
              </w:rPr>
              <w:t>心怡路社区社工站、正弘山社区社工站</w:t>
            </w:r>
            <w:r>
              <w:rPr>
                <w:rFonts w:hint="eastAsia" w:ascii="宋体" w:eastAsia="宋体" w:cs="宋体"/>
                <w:color w:val="000000"/>
                <w:kern w:val="0"/>
                <w:sz w:val="21"/>
                <w:szCs w:val="21"/>
                <w:lang w:val="en-US" w:eastAsia="zh-CN" w:bidi="ar-SA"/>
              </w:rPr>
              <w:t>、</w:t>
            </w:r>
            <w:r>
              <w:rPr>
                <w:rFonts w:hint="eastAsia" w:ascii="宋体" w:hAnsi="Times New Roman" w:eastAsia="宋体" w:cs="宋体"/>
                <w:color w:val="000000"/>
                <w:kern w:val="0"/>
                <w:sz w:val="21"/>
                <w:szCs w:val="21"/>
                <w:lang w:val="en-US" w:eastAsia="zh-CN" w:bidi="ar-SA"/>
              </w:rPr>
              <w:t>翡翠社区社工站</w:t>
            </w:r>
            <w:r>
              <w:rPr>
                <w:rFonts w:hint="eastAsia" w:ascii="宋体" w:hAnsi="宋体" w:cs="宋体"/>
                <w:b w:val="0"/>
                <w:bCs/>
                <w:szCs w:val="21"/>
                <w:highlight w:val="none"/>
                <w:lang w:val="en-US" w:eastAsia="zh-CN"/>
              </w:rPr>
              <w:t>最高限价：</w:t>
            </w:r>
            <w:r>
              <w:rPr>
                <w:rFonts w:hint="eastAsia" w:ascii="宋体" w:hAnsi="宋体" w:eastAsia="宋体" w:cs="宋体"/>
                <w:b w:val="0"/>
                <w:bCs/>
                <w:snapToGrid w:val="0"/>
                <w:color w:val="auto"/>
                <w:kern w:val="2"/>
                <w:sz w:val="21"/>
                <w:szCs w:val="21"/>
                <w:lang w:val="en-US" w:eastAsia="zh-CN" w:bidi="ar-SA"/>
              </w:rPr>
              <w:t>607500元；</w:t>
            </w:r>
          </w:p>
          <w:p w14:paraId="7549FEE8">
            <w:pPr>
              <w:spacing w:line="360" w:lineRule="auto"/>
              <w:rPr>
                <w:rFonts w:hint="eastAsia" w:ascii="宋体" w:hAnsi="宋体" w:eastAsia="宋体" w:cs="宋体"/>
                <w:b w:val="0"/>
                <w:bCs/>
                <w:snapToGrid w:val="0"/>
                <w:color w:val="auto"/>
                <w:kern w:val="2"/>
                <w:sz w:val="21"/>
                <w:szCs w:val="21"/>
                <w:lang w:val="en-US" w:eastAsia="zh-CN" w:bidi="ar-SA"/>
              </w:rPr>
            </w:pPr>
            <w:r>
              <w:rPr>
                <w:rFonts w:hint="eastAsia" w:ascii="宋体" w:hAnsi="宋体" w:cs="宋体"/>
                <w:b w:val="0"/>
                <w:bCs/>
                <w:szCs w:val="21"/>
                <w:highlight w:val="none"/>
                <w:lang w:val="en-US" w:eastAsia="zh-CN"/>
              </w:rPr>
              <w:t>D包</w:t>
            </w:r>
            <w:r>
              <w:rPr>
                <w:rFonts w:hint="eastAsia" w:ascii="宋体" w:hAnsi="Times New Roman" w:eastAsia="宋体" w:cs="宋体"/>
                <w:color w:val="000000"/>
                <w:kern w:val="0"/>
                <w:sz w:val="21"/>
                <w:szCs w:val="21"/>
                <w:lang w:val="en-US" w:eastAsia="zh-CN" w:bidi="ar-SA"/>
              </w:rPr>
              <w:t>知启街社区社工站</w:t>
            </w:r>
            <w:r>
              <w:rPr>
                <w:rFonts w:hint="eastAsia" w:ascii="宋体" w:eastAsia="宋体" w:cs="宋体"/>
                <w:color w:val="000000"/>
                <w:kern w:val="0"/>
                <w:sz w:val="21"/>
                <w:szCs w:val="21"/>
                <w:lang w:val="en-US" w:eastAsia="zh-CN" w:bidi="ar-SA"/>
              </w:rPr>
              <w:t>、</w:t>
            </w:r>
            <w:r>
              <w:rPr>
                <w:rFonts w:hint="eastAsia" w:ascii="宋体" w:hAnsi="Times New Roman" w:eastAsia="宋体" w:cs="宋体"/>
                <w:color w:val="000000"/>
                <w:kern w:val="0"/>
                <w:sz w:val="21"/>
                <w:szCs w:val="21"/>
                <w:lang w:val="en-US" w:eastAsia="zh-CN" w:bidi="ar-SA"/>
              </w:rPr>
              <w:t>河大社区社工站</w:t>
            </w:r>
            <w:r>
              <w:rPr>
                <w:rFonts w:hint="eastAsia" w:ascii="宋体" w:eastAsia="宋体" w:cs="宋体"/>
                <w:color w:val="000000"/>
                <w:kern w:val="0"/>
                <w:sz w:val="21"/>
                <w:szCs w:val="21"/>
                <w:lang w:val="en-US" w:eastAsia="zh-CN" w:bidi="ar-SA"/>
              </w:rPr>
              <w:t>、</w:t>
            </w:r>
            <w:r>
              <w:rPr>
                <w:rFonts w:hint="eastAsia" w:ascii="宋体" w:hAnsi="Times New Roman" w:eastAsia="宋体" w:cs="宋体"/>
                <w:color w:val="000000"/>
                <w:kern w:val="0"/>
                <w:sz w:val="21"/>
                <w:szCs w:val="21"/>
                <w:lang w:val="en-US" w:eastAsia="zh-CN" w:bidi="ar-SA"/>
              </w:rPr>
              <w:t>龙子湖南路社区社工站</w:t>
            </w:r>
            <w:r>
              <w:rPr>
                <w:rFonts w:hint="eastAsia" w:ascii="宋体" w:hAnsi="宋体" w:cs="宋体"/>
                <w:b w:val="0"/>
                <w:bCs/>
                <w:szCs w:val="21"/>
                <w:highlight w:val="none"/>
                <w:lang w:val="en-US" w:eastAsia="zh-CN"/>
              </w:rPr>
              <w:t>最高限价：</w:t>
            </w:r>
            <w:r>
              <w:rPr>
                <w:rFonts w:hint="eastAsia" w:ascii="宋体" w:hAnsi="宋体" w:eastAsia="宋体" w:cs="宋体"/>
                <w:b w:val="0"/>
                <w:bCs/>
                <w:snapToGrid w:val="0"/>
                <w:color w:val="auto"/>
                <w:kern w:val="2"/>
                <w:sz w:val="21"/>
                <w:szCs w:val="21"/>
                <w:lang w:val="en-US" w:eastAsia="zh-CN" w:bidi="ar-SA"/>
              </w:rPr>
              <w:t>607500元；</w:t>
            </w:r>
          </w:p>
          <w:p w14:paraId="105ECF44">
            <w:pPr>
              <w:spacing w:line="360" w:lineRule="auto"/>
              <w:rPr>
                <w:rFonts w:hint="eastAsia" w:ascii="宋体" w:hAnsi="宋体" w:eastAsia="宋体" w:cs="宋体"/>
                <w:b w:val="0"/>
                <w:bCs/>
                <w:snapToGrid w:val="0"/>
                <w:color w:val="auto"/>
                <w:kern w:val="2"/>
                <w:sz w:val="21"/>
                <w:szCs w:val="21"/>
                <w:lang w:val="en-US" w:eastAsia="zh-CN" w:bidi="ar-SA"/>
              </w:rPr>
            </w:pPr>
            <w:r>
              <w:rPr>
                <w:rFonts w:hint="eastAsia" w:ascii="宋体" w:hAnsi="宋体" w:cs="宋体"/>
                <w:b w:val="0"/>
                <w:bCs/>
                <w:szCs w:val="21"/>
                <w:highlight w:val="none"/>
                <w:lang w:val="en-US" w:eastAsia="zh-CN"/>
              </w:rPr>
              <w:t>E包</w:t>
            </w:r>
            <w:r>
              <w:rPr>
                <w:rFonts w:hint="eastAsia" w:ascii="宋体" w:hAnsi="Times New Roman" w:eastAsia="宋体" w:cs="宋体"/>
                <w:color w:val="000000"/>
                <w:kern w:val="0"/>
                <w:sz w:val="21"/>
                <w:szCs w:val="21"/>
                <w:lang w:val="en-US" w:eastAsia="zh-CN" w:bidi="ar-SA"/>
              </w:rPr>
              <w:t>天时路社区社工站</w:t>
            </w:r>
            <w:r>
              <w:rPr>
                <w:rFonts w:hint="eastAsia" w:ascii="宋体" w:eastAsia="宋体" w:cs="宋体"/>
                <w:color w:val="000000"/>
                <w:kern w:val="0"/>
                <w:sz w:val="21"/>
                <w:szCs w:val="21"/>
                <w:lang w:val="en-US" w:eastAsia="zh-CN" w:bidi="ar-SA"/>
              </w:rPr>
              <w:t>、</w:t>
            </w:r>
            <w:r>
              <w:rPr>
                <w:rFonts w:hint="eastAsia" w:ascii="宋体" w:hAnsi="Times New Roman" w:eastAsia="宋体" w:cs="宋体"/>
                <w:color w:val="000000"/>
                <w:kern w:val="0"/>
                <w:sz w:val="21"/>
                <w:szCs w:val="21"/>
                <w:lang w:val="en-US" w:eastAsia="zh-CN" w:bidi="ar-SA"/>
              </w:rPr>
              <w:t>联盟新城社区社工站</w:t>
            </w:r>
            <w:r>
              <w:rPr>
                <w:rFonts w:hint="eastAsia" w:ascii="宋体" w:hAnsi="宋体" w:cs="宋体"/>
                <w:b w:val="0"/>
                <w:bCs/>
                <w:szCs w:val="21"/>
                <w:highlight w:val="none"/>
                <w:lang w:val="en-US" w:eastAsia="zh-CN"/>
              </w:rPr>
              <w:t>最高限价：</w:t>
            </w:r>
            <w:r>
              <w:rPr>
                <w:rFonts w:hint="eastAsia" w:ascii="宋体" w:hAnsi="宋体" w:eastAsia="宋体" w:cs="宋体"/>
                <w:b w:val="0"/>
                <w:bCs/>
                <w:snapToGrid w:val="0"/>
                <w:color w:val="auto"/>
                <w:kern w:val="2"/>
                <w:sz w:val="21"/>
                <w:szCs w:val="21"/>
                <w:lang w:val="en-US" w:eastAsia="zh-CN" w:bidi="ar-SA"/>
              </w:rPr>
              <w:t>405000元；</w:t>
            </w:r>
          </w:p>
          <w:p w14:paraId="3B8FF549">
            <w:pPr>
              <w:spacing w:line="360" w:lineRule="auto"/>
              <w:rPr>
                <w:rFonts w:hint="eastAsia" w:ascii="宋体" w:hAnsi="宋体" w:eastAsia="宋体" w:cs="宋体"/>
                <w:b w:val="0"/>
                <w:bCs/>
                <w:snapToGrid w:val="0"/>
                <w:color w:val="auto"/>
                <w:kern w:val="2"/>
                <w:sz w:val="21"/>
                <w:szCs w:val="21"/>
                <w:lang w:val="en-US" w:eastAsia="zh-CN" w:bidi="ar-SA"/>
              </w:rPr>
            </w:pPr>
            <w:r>
              <w:rPr>
                <w:rFonts w:hint="eastAsia" w:ascii="宋体" w:hAnsi="宋体" w:cs="宋体"/>
                <w:b w:val="0"/>
                <w:bCs/>
                <w:szCs w:val="21"/>
                <w:highlight w:val="none"/>
                <w:lang w:val="en-US" w:eastAsia="zh-CN"/>
              </w:rPr>
              <w:t>F包</w:t>
            </w:r>
            <w:r>
              <w:rPr>
                <w:rFonts w:hint="eastAsia" w:ascii="宋体" w:hAnsi="Times New Roman" w:eastAsia="宋体" w:cs="宋体"/>
                <w:color w:val="000000"/>
                <w:kern w:val="0"/>
                <w:sz w:val="21"/>
                <w:szCs w:val="21"/>
                <w:lang w:val="en-US" w:eastAsia="zh-CN" w:bidi="ar-SA"/>
              </w:rPr>
              <w:t>如意东路社区社工站</w:t>
            </w:r>
            <w:r>
              <w:rPr>
                <w:rFonts w:hint="eastAsia" w:ascii="宋体" w:eastAsia="宋体" w:cs="宋体"/>
                <w:color w:val="000000"/>
                <w:kern w:val="0"/>
                <w:sz w:val="21"/>
                <w:szCs w:val="21"/>
                <w:lang w:val="en-US" w:eastAsia="zh-CN" w:bidi="ar-SA"/>
              </w:rPr>
              <w:t>、</w:t>
            </w:r>
            <w:r>
              <w:rPr>
                <w:rFonts w:hint="eastAsia" w:ascii="宋体" w:hAnsi="Times New Roman" w:eastAsia="宋体" w:cs="宋体"/>
                <w:color w:val="000000"/>
                <w:kern w:val="0"/>
                <w:sz w:val="21"/>
                <w:szCs w:val="21"/>
                <w:lang w:val="en-US" w:eastAsia="zh-CN" w:bidi="ar-SA"/>
              </w:rPr>
              <w:t>龙源嘉苑社区社工站</w:t>
            </w:r>
            <w:r>
              <w:rPr>
                <w:rFonts w:hint="eastAsia" w:ascii="宋体" w:eastAsia="宋体" w:cs="宋体"/>
                <w:color w:val="000000"/>
                <w:kern w:val="0"/>
                <w:sz w:val="21"/>
                <w:szCs w:val="21"/>
                <w:lang w:val="en-US" w:eastAsia="zh-CN" w:bidi="ar-SA"/>
              </w:rPr>
              <w:t>、</w:t>
            </w:r>
            <w:r>
              <w:rPr>
                <w:rFonts w:hint="eastAsia" w:ascii="宋体" w:hAnsi="Times New Roman" w:eastAsia="宋体" w:cs="宋体"/>
                <w:color w:val="000000"/>
                <w:kern w:val="0"/>
                <w:sz w:val="21"/>
                <w:szCs w:val="21"/>
                <w:lang w:val="en-US" w:eastAsia="zh-CN" w:bidi="ar-SA"/>
              </w:rPr>
              <w:t>馨悦苑社区社工站</w:t>
            </w:r>
            <w:r>
              <w:rPr>
                <w:rFonts w:hint="eastAsia" w:ascii="宋体" w:hAnsi="宋体" w:cs="宋体"/>
                <w:b w:val="0"/>
                <w:bCs/>
                <w:szCs w:val="21"/>
                <w:highlight w:val="none"/>
                <w:lang w:val="en-US" w:eastAsia="zh-CN"/>
              </w:rPr>
              <w:t>最高限价：</w:t>
            </w:r>
            <w:r>
              <w:rPr>
                <w:rFonts w:hint="eastAsia" w:ascii="宋体" w:hAnsi="宋体" w:eastAsia="宋体" w:cs="宋体"/>
                <w:b w:val="0"/>
                <w:bCs/>
                <w:snapToGrid w:val="0"/>
                <w:color w:val="auto"/>
                <w:kern w:val="2"/>
                <w:sz w:val="21"/>
                <w:szCs w:val="21"/>
                <w:lang w:val="en-US" w:eastAsia="zh-CN" w:bidi="ar-SA"/>
              </w:rPr>
              <w:t>607500元；</w:t>
            </w:r>
          </w:p>
          <w:p w14:paraId="1725F3B2">
            <w:pPr>
              <w:spacing w:line="360" w:lineRule="auto"/>
              <w:rPr>
                <w:rFonts w:hint="eastAsia" w:ascii="宋体" w:hAnsi="宋体" w:eastAsia="宋体" w:cs="宋体"/>
                <w:b w:val="0"/>
                <w:bCs/>
                <w:snapToGrid w:val="0"/>
                <w:color w:val="auto"/>
                <w:kern w:val="2"/>
                <w:sz w:val="21"/>
                <w:szCs w:val="21"/>
                <w:lang w:val="en-US" w:eastAsia="zh-CN" w:bidi="ar-SA"/>
              </w:rPr>
            </w:pPr>
            <w:r>
              <w:rPr>
                <w:rFonts w:hint="eastAsia" w:ascii="宋体" w:hAnsi="宋体" w:cs="宋体"/>
                <w:b w:val="0"/>
                <w:bCs/>
                <w:szCs w:val="21"/>
                <w:highlight w:val="none"/>
                <w:lang w:val="en-US" w:eastAsia="zh-CN"/>
              </w:rPr>
              <w:t>G包</w:t>
            </w:r>
            <w:r>
              <w:rPr>
                <w:rFonts w:hint="eastAsia" w:ascii="宋体" w:hAnsi="Times New Roman" w:eastAsia="宋体" w:cs="宋体"/>
                <w:color w:val="000000"/>
                <w:kern w:val="0"/>
                <w:sz w:val="21"/>
                <w:szCs w:val="21"/>
                <w:lang w:val="en-US" w:eastAsia="zh-CN" w:bidi="ar-SA"/>
              </w:rPr>
              <w:t>龙之梦社区社工站</w:t>
            </w:r>
            <w:r>
              <w:rPr>
                <w:rFonts w:hint="eastAsia" w:ascii="宋体" w:eastAsia="宋体" w:cs="宋体"/>
                <w:color w:val="000000"/>
                <w:kern w:val="0"/>
                <w:sz w:val="21"/>
                <w:szCs w:val="21"/>
                <w:lang w:val="en-US" w:eastAsia="zh-CN" w:bidi="ar-SA"/>
              </w:rPr>
              <w:t>、</w:t>
            </w:r>
            <w:r>
              <w:rPr>
                <w:rFonts w:hint="eastAsia" w:ascii="宋体" w:hAnsi="Times New Roman" w:eastAsia="宋体" w:cs="宋体"/>
                <w:color w:val="000000"/>
                <w:kern w:val="0"/>
                <w:sz w:val="21"/>
                <w:szCs w:val="21"/>
                <w:lang w:val="en-US" w:eastAsia="zh-CN" w:bidi="ar-SA"/>
              </w:rPr>
              <w:t>相济路社区社工站</w:t>
            </w:r>
            <w:r>
              <w:rPr>
                <w:rFonts w:hint="eastAsia" w:ascii="宋体" w:hAnsi="宋体" w:cs="宋体"/>
                <w:b w:val="0"/>
                <w:bCs/>
                <w:szCs w:val="21"/>
                <w:highlight w:val="none"/>
                <w:lang w:val="en-US" w:eastAsia="zh-CN"/>
              </w:rPr>
              <w:t>最高限价：</w:t>
            </w:r>
            <w:r>
              <w:rPr>
                <w:rFonts w:hint="eastAsia" w:ascii="宋体" w:hAnsi="宋体" w:eastAsia="宋体" w:cs="宋体"/>
                <w:b w:val="0"/>
                <w:bCs/>
                <w:snapToGrid w:val="0"/>
                <w:color w:val="auto"/>
                <w:kern w:val="2"/>
                <w:sz w:val="21"/>
                <w:szCs w:val="21"/>
                <w:lang w:val="en-US" w:eastAsia="zh-CN" w:bidi="ar-SA"/>
              </w:rPr>
              <w:t>405000元；</w:t>
            </w:r>
          </w:p>
          <w:p w14:paraId="4443E8BA">
            <w:pPr>
              <w:spacing w:line="360" w:lineRule="auto"/>
              <w:rPr>
                <w:rFonts w:hint="eastAsia" w:ascii="宋体" w:hAnsi="宋体" w:eastAsia="宋体" w:cs="宋体"/>
                <w:b w:val="0"/>
                <w:bCs/>
                <w:snapToGrid w:val="0"/>
                <w:color w:val="auto"/>
                <w:kern w:val="2"/>
                <w:sz w:val="21"/>
                <w:szCs w:val="21"/>
                <w:lang w:val="en-US" w:eastAsia="zh-CN" w:bidi="ar-SA"/>
              </w:rPr>
            </w:pPr>
            <w:r>
              <w:rPr>
                <w:rFonts w:hint="eastAsia" w:ascii="宋体" w:hAnsi="宋体" w:cs="宋体"/>
                <w:b w:val="0"/>
                <w:bCs/>
                <w:szCs w:val="21"/>
                <w:highlight w:val="none"/>
                <w:lang w:val="en-US" w:eastAsia="zh-CN"/>
              </w:rPr>
              <w:t>H包</w:t>
            </w:r>
            <w:r>
              <w:rPr>
                <w:rFonts w:hint="eastAsia" w:ascii="宋体" w:hAnsi="Times New Roman" w:eastAsia="宋体" w:cs="宋体"/>
                <w:color w:val="000000"/>
                <w:kern w:val="0"/>
                <w:sz w:val="21"/>
                <w:szCs w:val="21"/>
                <w:lang w:val="en-US" w:eastAsia="zh-CN" w:bidi="ar-SA"/>
              </w:rPr>
              <w:t>学理路社区社工站</w:t>
            </w:r>
            <w:r>
              <w:rPr>
                <w:rFonts w:hint="eastAsia" w:ascii="宋体" w:eastAsia="宋体" w:cs="宋体"/>
                <w:color w:val="000000"/>
                <w:kern w:val="0"/>
                <w:sz w:val="21"/>
                <w:szCs w:val="21"/>
                <w:lang w:val="en-US" w:eastAsia="zh-CN" w:bidi="ar-SA"/>
              </w:rPr>
              <w:t>、</w:t>
            </w:r>
            <w:r>
              <w:rPr>
                <w:rFonts w:hint="eastAsia" w:ascii="宋体" w:hAnsi="Times New Roman" w:eastAsia="宋体" w:cs="宋体"/>
                <w:color w:val="000000"/>
                <w:kern w:val="0"/>
                <w:sz w:val="21"/>
                <w:szCs w:val="21"/>
                <w:lang w:val="en-US" w:eastAsia="zh-CN" w:bidi="ar-SA"/>
              </w:rPr>
              <w:t>明理路社区社工站</w:t>
            </w:r>
            <w:r>
              <w:rPr>
                <w:rFonts w:hint="eastAsia" w:ascii="宋体" w:eastAsia="宋体" w:cs="宋体"/>
                <w:color w:val="000000"/>
                <w:kern w:val="0"/>
                <w:sz w:val="21"/>
                <w:szCs w:val="21"/>
                <w:lang w:val="en-US" w:eastAsia="zh-CN" w:bidi="ar-SA"/>
              </w:rPr>
              <w:t>、</w:t>
            </w:r>
            <w:r>
              <w:rPr>
                <w:rFonts w:hint="eastAsia" w:ascii="宋体" w:hAnsi="Times New Roman" w:eastAsia="宋体" w:cs="宋体"/>
                <w:color w:val="000000"/>
                <w:kern w:val="0"/>
                <w:sz w:val="21"/>
                <w:szCs w:val="21"/>
                <w:lang w:val="en-US" w:eastAsia="zh-CN" w:bidi="ar-SA"/>
              </w:rPr>
              <w:t>后贾东街社区社工站</w:t>
            </w:r>
            <w:r>
              <w:rPr>
                <w:rFonts w:hint="eastAsia" w:ascii="宋体" w:hAnsi="宋体" w:cs="宋体"/>
                <w:b w:val="0"/>
                <w:bCs/>
                <w:szCs w:val="21"/>
                <w:highlight w:val="none"/>
                <w:lang w:val="en-US" w:eastAsia="zh-CN"/>
              </w:rPr>
              <w:t>最高限价：</w:t>
            </w:r>
            <w:r>
              <w:rPr>
                <w:rFonts w:hint="eastAsia" w:ascii="宋体" w:hAnsi="宋体" w:eastAsia="宋体" w:cs="宋体"/>
                <w:b w:val="0"/>
                <w:bCs/>
                <w:snapToGrid w:val="0"/>
                <w:color w:val="auto"/>
                <w:kern w:val="2"/>
                <w:sz w:val="21"/>
                <w:szCs w:val="21"/>
                <w:lang w:val="en-US" w:eastAsia="zh-CN" w:bidi="ar-SA"/>
              </w:rPr>
              <w:t>607500元；</w:t>
            </w:r>
          </w:p>
          <w:p w14:paraId="1296DF72">
            <w:pPr>
              <w:spacing w:line="360" w:lineRule="auto"/>
              <w:rPr>
                <w:rFonts w:hint="eastAsia" w:ascii="宋体" w:hAnsi="宋体" w:eastAsia="宋体" w:cs="宋体"/>
                <w:b w:val="0"/>
                <w:bCs/>
                <w:snapToGrid w:val="0"/>
                <w:color w:val="auto"/>
                <w:kern w:val="2"/>
                <w:sz w:val="21"/>
                <w:szCs w:val="21"/>
                <w:lang w:val="en-US" w:eastAsia="zh-CN" w:bidi="ar-SA"/>
              </w:rPr>
            </w:pPr>
            <w:r>
              <w:rPr>
                <w:rFonts w:hint="eastAsia" w:ascii="宋体" w:hAnsi="宋体" w:cs="宋体"/>
                <w:b w:val="0"/>
                <w:bCs/>
                <w:szCs w:val="21"/>
                <w:highlight w:val="none"/>
                <w:lang w:val="en-US" w:eastAsia="zh-CN"/>
              </w:rPr>
              <w:t>I包</w:t>
            </w:r>
            <w:r>
              <w:rPr>
                <w:rFonts w:hint="eastAsia" w:ascii="宋体" w:hAnsi="Times New Roman" w:eastAsia="宋体" w:cs="宋体"/>
                <w:color w:val="000000"/>
                <w:kern w:val="0"/>
                <w:sz w:val="21"/>
                <w:szCs w:val="21"/>
                <w:lang w:val="en-US" w:eastAsia="zh-CN" w:bidi="ar-SA"/>
              </w:rPr>
              <w:t>普惠社区社工站</w:t>
            </w:r>
            <w:r>
              <w:rPr>
                <w:rFonts w:hint="eastAsia" w:ascii="宋体" w:eastAsia="宋体" w:cs="宋体"/>
                <w:color w:val="000000"/>
                <w:kern w:val="0"/>
                <w:sz w:val="21"/>
                <w:szCs w:val="21"/>
                <w:lang w:val="en-US" w:eastAsia="zh-CN" w:bidi="ar-SA"/>
              </w:rPr>
              <w:t>、</w:t>
            </w:r>
            <w:r>
              <w:rPr>
                <w:rFonts w:hint="eastAsia" w:ascii="宋体" w:hAnsi="Times New Roman" w:eastAsia="宋体" w:cs="宋体"/>
                <w:color w:val="000000"/>
                <w:kern w:val="0"/>
                <w:sz w:val="21"/>
                <w:szCs w:val="21"/>
                <w:lang w:val="en-US" w:eastAsia="zh-CN" w:bidi="ar-SA"/>
              </w:rPr>
              <w:t>圃田嘉苑社区社工站</w:t>
            </w:r>
            <w:r>
              <w:rPr>
                <w:rFonts w:hint="eastAsia" w:ascii="宋体" w:hAnsi="宋体" w:cs="宋体"/>
                <w:b w:val="0"/>
                <w:bCs/>
                <w:szCs w:val="21"/>
                <w:highlight w:val="none"/>
                <w:lang w:val="en-US" w:eastAsia="zh-CN"/>
              </w:rPr>
              <w:t>最高限价：</w:t>
            </w:r>
            <w:r>
              <w:rPr>
                <w:rFonts w:hint="eastAsia" w:ascii="宋体" w:hAnsi="宋体" w:eastAsia="宋体" w:cs="宋体"/>
                <w:b w:val="0"/>
                <w:bCs/>
                <w:snapToGrid w:val="0"/>
                <w:color w:val="auto"/>
                <w:kern w:val="2"/>
                <w:sz w:val="21"/>
                <w:szCs w:val="21"/>
                <w:lang w:val="en-US" w:eastAsia="zh-CN" w:bidi="ar-SA"/>
              </w:rPr>
              <w:t>405000元；</w:t>
            </w:r>
          </w:p>
          <w:p w14:paraId="0478824B">
            <w:pPr>
              <w:spacing w:line="360" w:lineRule="auto"/>
              <w:rPr>
                <w:rFonts w:hint="eastAsia" w:ascii="宋体" w:hAnsi="宋体" w:eastAsia="宋体" w:cs="宋体"/>
                <w:b w:val="0"/>
                <w:bCs/>
                <w:snapToGrid w:val="0"/>
                <w:color w:val="auto"/>
                <w:kern w:val="2"/>
                <w:sz w:val="21"/>
                <w:szCs w:val="21"/>
                <w:lang w:val="en-US" w:eastAsia="zh-CN" w:bidi="ar-SA"/>
              </w:rPr>
            </w:pPr>
            <w:r>
              <w:rPr>
                <w:rFonts w:hint="eastAsia" w:ascii="宋体" w:hAnsi="宋体" w:cs="宋体"/>
                <w:b w:val="0"/>
                <w:bCs/>
                <w:szCs w:val="21"/>
                <w:highlight w:val="none"/>
                <w:lang w:val="en-US" w:eastAsia="zh-CN"/>
              </w:rPr>
              <w:t>J包</w:t>
            </w:r>
            <w:r>
              <w:rPr>
                <w:rFonts w:hint="eastAsia" w:ascii="宋体" w:hAnsi="Times New Roman" w:eastAsia="宋体" w:cs="宋体"/>
                <w:color w:val="000000"/>
                <w:kern w:val="0"/>
                <w:sz w:val="21"/>
                <w:szCs w:val="21"/>
                <w:lang w:val="en-US" w:eastAsia="zh-CN" w:bidi="ar-SA"/>
              </w:rPr>
              <w:t>白沙社工站</w:t>
            </w:r>
            <w:r>
              <w:rPr>
                <w:rFonts w:hint="eastAsia" w:ascii="宋体" w:eastAsia="宋体" w:cs="宋体"/>
                <w:color w:val="000000"/>
                <w:kern w:val="0"/>
                <w:sz w:val="21"/>
                <w:szCs w:val="21"/>
                <w:lang w:val="en-US" w:eastAsia="zh-CN" w:bidi="ar-SA"/>
              </w:rPr>
              <w:t>、</w:t>
            </w:r>
            <w:r>
              <w:rPr>
                <w:rFonts w:hint="eastAsia" w:ascii="宋体" w:hAnsi="Times New Roman" w:eastAsia="宋体" w:cs="宋体"/>
                <w:color w:val="000000"/>
                <w:kern w:val="0"/>
                <w:sz w:val="21"/>
                <w:szCs w:val="21"/>
                <w:lang w:val="en-US" w:eastAsia="zh-CN" w:bidi="ar-SA"/>
              </w:rPr>
              <w:t>贾陈社区社工站</w:t>
            </w:r>
            <w:r>
              <w:rPr>
                <w:rFonts w:hint="eastAsia" w:ascii="宋体" w:hAnsi="宋体" w:cs="宋体"/>
                <w:b w:val="0"/>
                <w:bCs/>
                <w:szCs w:val="21"/>
                <w:highlight w:val="none"/>
                <w:lang w:val="en-US" w:eastAsia="zh-CN"/>
              </w:rPr>
              <w:t>最高限价：</w:t>
            </w:r>
            <w:r>
              <w:rPr>
                <w:rFonts w:hint="eastAsia" w:ascii="宋体" w:hAnsi="宋体" w:eastAsia="宋体" w:cs="宋体"/>
                <w:b w:val="0"/>
                <w:bCs/>
                <w:snapToGrid w:val="0"/>
                <w:color w:val="auto"/>
                <w:kern w:val="2"/>
                <w:sz w:val="21"/>
                <w:szCs w:val="21"/>
                <w:lang w:val="en-US" w:eastAsia="zh-CN" w:bidi="ar-SA"/>
              </w:rPr>
              <w:t>405000元；</w:t>
            </w:r>
          </w:p>
          <w:p w14:paraId="114D7D25">
            <w:pPr>
              <w:spacing w:line="360" w:lineRule="auto"/>
              <w:rPr>
                <w:rFonts w:hint="eastAsia"/>
                <w:b w:val="0"/>
                <w:bCs/>
                <w:lang w:val="en-US" w:eastAsia="zh-CN"/>
              </w:rPr>
            </w:pPr>
            <w:r>
              <w:rPr>
                <w:rFonts w:hint="eastAsia" w:ascii="宋体" w:hAnsi="宋体" w:cs="宋体"/>
                <w:b w:val="0"/>
                <w:bCs/>
                <w:szCs w:val="21"/>
                <w:highlight w:val="none"/>
                <w:lang w:val="en-US" w:eastAsia="zh-CN"/>
              </w:rPr>
              <w:t>K包</w:t>
            </w:r>
            <w:r>
              <w:rPr>
                <w:rFonts w:hint="eastAsia" w:ascii="宋体" w:hAnsi="Times New Roman" w:eastAsia="宋体" w:cs="宋体"/>
                <w:color w:val="000000"/>
                <w:kern w:val="0"/>
                <w:sz w:val="21"/>
                <w:szCs w:val="21"/>
                <w:lang w:val="en-US" w:eastAsia="zh-CN" w:bidi="ar-SA"/>
              </w:rPr>
              <w:t>杨桥办事处</w:t>
            </w:r>
            <w:r>
              <w:rPr>
                <w:rFonts w:hint="eastAsia" w:ascii="宋体" w:eastAsia="宋体" w:cs="宋体"/>
                <w:color w:val="000000"/>
                <w:kern w:val="0"/>
                <w:sz w:val="21"/>
                <w:szCs w:val="21"/>
                <w:lang w:val="en-US" w:eastAsia="zh-CN" w:bidi="ar-SA"/>
              </w:rPr>
              <w:t>、</w:t>
            </w:r>
            <w:r>
              <w:rPr>
                <w:rFonts w:hint="eastAsia" w:ascii="宋体" w:hAnsi="Times New Roman" w:eastAsia="宋体" w:cs="宋体"/>
                <w:color w:val="000000"/>
                <w:kern w:val="0"/>
                <w:sz w:val="21"/>
                <w:szCs w:val="21"/>
                <w:lang w:val="en-US" w:eastAsia="zh-CN" w:bidi="ar-SA"/>
              </w:rPr>
              <w:t>豫兴路办事处</w:t>
            </w:r>
            <w:r>
              <w:rPr>
                <w:rFonts w:hint="eastAsia" w:ascii="宋体" w:hAnsi="宋体" w:cs="宋体"/>
                <w:b w:val="0"/>
                <w:bCs/>
                <w:szCs w:val="21"/>
                <w:highlight w:val="none"/>
                <w:lang w:val="en-US" w:eastAsia="zh-CN"/>
              </w:rPr>
              <w:t>最高限价：</w:t>
            </w:r>
            <w:r>
              <w:rPr>
                <w:rFonts w:hint="eastAsia" w:ascii="宋体" w:hAnsi="宋体" w:eastAsia="宋体" w:cs="宋体"/>
                <w:b w:val="0"/>
                <w:bCs/>
                <w:snapToGrid w:val="0"/>
                <w:color w:val="auto"/>
                <w:kern w:val="2"/>
                <w:sz w:val="21"/>
                <w:szCs w:val="21"/>
                <w:lang w:val="en-US" w:eastAsia="zh-CN" w:bidi="ar-SA"/>
              </w:rPr>
              <w:t>405000元；</w:t>
            </w:r>
          </w:p>
          <w:p w14:paraId="172F7DCF">
            <w:pPr>
              <w:spacing w:line="360" w:lineRule="auto"/>
              <w:rPr>
                <w:rFonts w:ascii="宋体" w:hAnsi="宋体" w:cs="宋体"/>
                <w:b/>
                <w:szCs w:val="21"/>
              </w:rPr>
            </w:pPr>
            <w:r>
              <w:rPr>
                <w:rFonts w:hint="eastAsia" w:ascii="宋体" w:hAnsi="宋体" w:cs="宋体"/>
                <w:b w:val="0"/>
                <w:bCs/>
                <w:szCs w:val="21"/>
                <w:highlight w:val="none"/>
              </w:rPr>
              <w:t>投标人的投标报价超出招标最高限价</w:t>
            </w:r>
            <w:r>
              <w:rPr>
                <w:rFonts w:hint="eastAsia" w:ascii="宋体" w:hAnsi="宋体" w:cs="宋体"/>
                <w:b w:val="0"/>
                <w:bCs/>
                <w:kern w:val="0"/>
                <w:szCs w:val="21"/>
                <w:highlight w:val="none"/>
              </w:rPr>
              <w:t>（不含等于招标最高限价）</w:t>
            </w:r>
            <w:r>
              <w:rPr>
                <w:rFonts w:hint="eastAsia" w:ascii="宋体" w:hAnsi="宋体" w:cs="宋体"/>
                <w:b w:val="0"/>
                <w:bCs/>
                <w:szCs w:val="21"/>
                <w:highlight w:val="none"/>
              </w:rPr>
              <w:t>的为无效投标，其投标将被否决。</w:t>
            </w:r>
          </w:p>
        </w:tc>
      </w:tr>
      <w:tr w14:paraId="39A264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trPr>
        <w:tc>
          <w:tcPr>
            <w:tcW w:w="897" w:type="dxa"/>
            <w:vAlign w:val="center"/>
          </w:tcPr>
          <w:p w14:paraId="2A4021F5">
            <w:pPr>
              <w:adjustRightInd w:val="0"/>
              <w:spacing w:line="360" w:lineRule="auto"/>
              <w:jc w:val="center"/>
              <w:textAlignment w:val="baseline"/>
              <w:rPr>
                <w:rFonts w:ascii="宋体" w:hAnsi="宋体" w:cs="宋体"/>
                <w:szCs w:val="21"/>
              </w:rPr>
            </w:pPr>
            <w:r>
              <w:rPr>
                <w:rFonts w:hint="eastAsia" w:ascii="宋体" w:hAnsi="宋体" w:cs="宋体"/>
                <w:szCs w:val="21"/>
              </w:rPr>
              <w:t>10.5</w:t>
            </w:r>
          </w:p>
        </w:tc>
        <w:tc>
          <w:tcPr>
            <w:tcW w:w="2186" w:type="dxa"/>
            <w:vAlign w:val="center"/>
          </w:tcPr>
          <w:p w14:paraId="6753D930">
            <w:pPr>
              <w:tabs>
                <w:tab w:val="center" w:pos="1045"/>
                <w:tab w:val="right" w:pos="1970"/>
              </w:tabs>
              <w:spacing w:line="360" w:lineRule="auto"/>
              <w:jc w:val="left"/>
              <w:rPr>
                <w:rFonts w:ascii="宋体" w:hAnsi="宋体" w:cs="宋体"/>
                <w:b/>
                <w:bCs/>
                <w:szCs w:val="21"/>
                <w:highlight w:val="none"/>
              </w:rPr>
            </w:pPr>
            <w:r>
              <w:rPr>
                <w:rFonts w:hint="eastAsia" w:ascii="宋体" w:hAnsi="宋体" w:cs="宋体"/>
                <w:highlight w:val="none"/>
              </w:rPr>
              <w:tab/>
            </w:r>
            <w:r>
              <w:rPr>
                <w:rFonts w:hint="eastAsia" w:ascii="宋体" w:hAnsi="宋体" w:cs="宋体"/>
                <w:highlight w:val="none"/>
              </w:rPr>
              <w:t>付款方式</w:t>
            </w:r>
            <w:r>
              <w:rPr>
                <w:rFonts w:hint="eastAsia" w:ascii="宋体" w:hAnsi="宋体" w:cs="宋体"/>
                <w:highlight w:val="none"/>
              </w:rPr>
              <w:tab/>
            </w:r>
          </w:p>
        </w:tc>
        <w:tc>
          <w:tcPr>
            <w:tcW w:w="6271" w:type="dxa"/>
            <w:vAlign w:val="center"/>
          </w:tcPr>
          <w:p w14:paraId="2C4DA9C6">
            <w:pPr>
              <w:spacing w:line="360" w:lineRule="auto"/>
              <w:rPr>
                <w:rFonts w:hint="eastAsia" w:ascii="宋体" w:hAnsi="宋体" w:eastAsia="宋体" w:cs="宋体"/>
                <w:b/>
                <w:szCs w:val="21"/>
                <w:highlight w:val="none"/>
                <w:lang w:eastAsia="zh-CN"/>
              </w:rPr>
            </w:pPr>
            <w:r>
              <w:rPr>
                <w:rFonts w:hint="eastAsia" w:ascii="宋体" w:hAnsi="宋体" w:eastAsia="宋体" w:cs="宋体"/>
                <w:b/>
                <w:szCs w:val="21"/>
                <w:highlight w:val="none"/>
                <w:lang w:eastAsia="zh-CN"/>
              </w:rPr>
              <w:t>项目付款比例依据各阶段第三方评估结果档次而定，总分分为四个档次，依据评估分数分为“优秀、良好、合格、不合格”。</w:t>
            </w:r>
          </w:p>
          <w:p w14:paraId="4905BCD9">
            <w:pPr>
              <w:spacing w:line="360" w:lineRule="auto"/>
              <w:rPr>
                <w:rFonts w:hint="eastAsia" w:ascii="宋体" w:hAnsi="宋体" w:eastAsia="宋体" w:cs="宋体"/>
                <w:b/>
                <w:szCs w:val="21"/>
                <w:highlight w:val="none"/>
                <w:lang w:eastAsia="zh-CN"/>
              </w:rPr>
            </w:pPr>
            <w:r>
              <w:rPr>
                <w:rFonts w:hint="eastAsia" w:ascii="宋体" w:hAnsi="宋体" w:eastAsia="宋体" w:cs="宋体"/>
                <w:b/>
                <w:szCs w:val="21"/>
                <w:highlight w:val="none"/>
                <w:lang w:eastAsia="zh-CN"/>
              </w:rPr>
              <w:t>所有项目通过转账形式付款，分三次拨付。第一次，甲方于项目合同签订之日起30天内拨付服务总经费的50%。第二次，项目通过中期评估等级为“合格”及以上的拨付30%，“不合格”不予拨付。第三次，项目末期评估为“合格”及以上的拨付20%，为“不合格”的拨付5%。</w:t>
            </w:r>
          </w:p>
        </w:tc>
      </w:tr>
      <w:tr w14:paraId="5F1458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97" w:type="dxa"/>
            <w:vAlign w:val="center"/>
          </w:tcPr>
          <w:p w14:paraId="6BD0A4A1">
            <w:pPr>
              <w:adjustRightInd w:val="0"/>
              <w:spacing w:line="360" w:lineRule="auto"/>
              <w:jc w:val="center"/>
              <w:textAlignment w:val="baseline"/>
              <w:rPr>
                <w:rFonts w:hint="eastAsia" w:ascii="宋体" w:hAnsi="宋体" w:eastAsia="宋体" w:cs="宋体"/>
                <w:szCs w:val="21"/>
                <w:lang w:eastAsia="zh-CN"/>
              </w:rPr>
            </w:pPr>
            <w:r>
              <w:rPr>
                <w:rFonts w:hint="eastAsia" w:ascii="宋体" w:hAnsi="宋体" w:cs="宋体"/>
                <w:szCs w:val="21"/>
              </w:rPr>
              <w:t>10.</w:t>
            </w:r>
            <w:r>
              <w:rPr>
                <w:rFonts w:hint="eastAsia" w:ascii="宋体" w:hAnsi="宋体" w:cs="宋体"/>
                <w:szCs w:val="21"/>
                <w:lang w:val="en-US" w:eastAsia="zh-CN"/>
              </w:rPr>
              <w:t>6</w:t>
            </w:r>
          </w:p>
        </w:tc>
        <w:tc>
          <w:tcPr>
            <w:tcW w:w="2186" w:type="dxa"/>
            <w:vAlign w:val="center"/>
          </w:tcPr>
          <w:p w14:paraId="2570A36E">
            <w:pPr>
              <w:spacing w:line="360" w:lineRule="auto"/>
              <w:jc w:val="center"/>
              <w:rPr>
                <w:rFonts w:ascii="宋体" w:hAnsi="宋体" w:cs="宋体"/>
              </w:rPr>
            </w:pPr>
            <w:r>
              <w:rPr>
                <w:rFonts w:hint="eastAsia" w:ascii="宋体" w:hAnsi="宋体" w:cs="宋体"/>
              </w:rPr>
              <w:t>电子招投标要求</w:t>
            </w:r>
          </w:p>
        </w:tc>
        <w:tc>
          <w:tcPr>
            <w:tcW w:w="6271" w:type="dxa"/>
            <w:vAlign w:val="center"/>
          </w:tcPr>
          <w:p w14:paraId="1BF0A084">
            <w:pPr>
              <w:spacing w:line="360" w:lineRule="auto"/>
              <w:ind w:firstLine="211" w:firstLineChars="100"/>
              <w:rPr>
                <w:rFonts w:hint="eastAsia" w:ascii="宋体" w:hAnsi="宋体" w:cs="宋体" w:eastAsiaTheme="minorEastAsia"/>
                <w:b/>
                <w:bCs w:val="0"/>
                <w:lang w:val="en-US" w:eastAsia="zh-CN"/>
              </w:rPr>
            </w:pPr>
            <w:r>
              <w:rPr>
                <w:rFonts w:hint="eastAsia" w:ascii="宋体" w:hAnsi="宋体" w:cs="宋体"/>
                <w:b/>
                <w:bCs w:val="0"/>
                <w:szCs w:val="21"/>
              </w:rPr>
              <w:t>1</w:t>
            </w:r>
            <w:r>
              <w:rPr>
                <w:rFonts w:hint="eastAsia" w:ascii="宋体" w:hAnsi="宋体" w:cs="宋体" w:eastAsiaTheme="minorEastAsia"/>
                <w:b/>
                <w:bCs w:val="0"/>
                <w:lang w:val="en-US" w:eastAsia="zh-CN"/>
              </w:rPr>
              <w:t>、投标人注册</w:t>
            </w:r>
          </w:p>
          <w:p w14:paraId="24D23DC6">
            <w:pPr>
              <w:spacing w:line="360" w:lineRule="auto"/>
              <w:ind w:firstLine="210" w:firstLineChars="100"/>
              <w:rPr>
                <w:rFonts w:hint="eastAsia" w:ascii="宋体" w:hAnsi="宋体" w:cs="宋体" w:eastAsiaTheme="minorEastAsia"/>
                <w:lang w:val="en-US" w:eastAsia="zh-CN"/>
              </w:rPr>
            </w:pPr>
            <w:r>
              <w:rPr>
                <w:rFonts w:hint="eastAsia" w:ascii="宋体" w:hAnsi="宋体" w:cs="宋体" w:eastAsiaTheme="minorEastAsia"/>
                <w:lang w:val="en-US" w:eastAsia="zh-CN"/>
              </w:rPr>
              <w:t>投标人须注册成为《郑州市公共资源交易中心网站》会员，并取得CA密钥，凭CA密钥登录系统。</w:t>
            </w:r>
          </w:p>
          <w:p w14:paraId="7232B55C">
            <w:pPr>
              <w:spacing w:line="360" w:lineRule="auto"/>
              <w:ind w:firstLine="211" w:firstLineChars="100"/>
              <w:rPr>
                <w:rFonts w:hint="eastAsia" w:ascii="宋体" w:hAnsi="宋体" w:cs="宋体" w:eastAsiaTheme="minorEastAsia"/>
                <w:b/>
                <w:bCs/>
                <w:lang w:val="en-US" w:eastAsia="zh-CN"/>
              </w:rPr>
            </w:pPr>
            <w:r>
              <w:rPr>
                <w:rFonts w:hint="eastAsia" w:ascii="宋体" w:hAnsi="宋体" w:cs="宋体" w:eastAsiaTheme="minorEastAsia"/>
                <w:b/>
                <w:bCs/>
                <w:lang w:val="en-US" w:eastAsia="zh-CN"/>
              </w:rPr>
              <w:t>2、投标文件制作</w:t>
            </w:r>
          </w:p>
          <w:p w14:paraId="73D60CE2">
            <w:pPr>
              <w:spacing w:line="360" w:lineRule="auto"/>
              <w:ind w:firstLine="210" w:firstLineChars="100"/>
              <w:rPr>
                <w:rFonts w:hint="eastAsia" w:ascii="宋体" w:hAnsi="宋体" w:cs="宋体" w:eastAsiaTheme="minorEastAsia"/>
                <w:lang w:val="en-US" w:eastAsia="zh-CN"/>
              </w:rPr>
            </w:pPr>
            <w:r>
              <w:rPr>
                <w:rFonts w:hint="eastAsia" w:ascii="宋体" w:hAnsi="宋体" w:cs="宋体" w:eastAsiaTheme="minorEastAsia"/>
                <w:lang w:val="en-US" w:eastAsia="zh-CN"/>
              </w:rPr>
              <w:t>2.1投标人通过郑州市公共资源交易中心网站-公共服务-下载专区栏目下载最新版本的投标文件制作工具安装包和签章软件，并使用安装后的最新版本投标文件制作工具制作电子投标文件。</w:t>
            </w:r>
          </w:p>
          <w:p w14:paraId="05EF34DA">
            <w:pPr>
              <w:spacing w:line="360" w:lineRule="auto"/>
              <w:ind w:firstLine="210" w:firstLineChars="100"/>
              <w:rPr>
                <w:rFonts w:hint="eastAsia" w:ascii="宋体" w:hAnsi="宋体" w:cs="宋体" w:eastAsiaTheme="minorEastAsia"/>
                <w:lang w:val="en-US" w:eastAsia="zh-CN"/>
              </w:rPr>
            </w:pPr>
            <w:r>
              <w:rPr>
                <w:rFonts w:hint="eastAsia" w:ascii="宋体" w:hAnsi="宋体" w:cs="宋体" w:eastAsiaTheme="minorEastAsia"/>
                <w:lang w:val="en-US" w:eastAsia="zh-CN"/>
              </w:rPr>
              <w:t>2.2投标人凭CA密钥登陆会员专区下载招标文件。</w:t>
            </w:r>
          </w:p>
          <w:p w14:paraId="0C5F51EF">
            <w:pPr>
              <w:spacing w:line="360" w:lineRule="auto"/>
              <w:ind w:firstLine="210" w:firstLineChars="100"/>
              <w:rPr>
                <w:rFonts w:hint="eastAsia" w:ascii="宋体" w:hAnsi="宋体" w:cs="宋体" w:eastAsiaTheme="minorEastAsia"/>
                <w:highlight w:val="none"/>
                <w:lang w:val="en-US" w:eastAsia="zh-CN"/>
              </w:rPr>
            </w:pPr>
            <w:r>
              <w:rPr>
                <w:rFonts w:hint="eastAsia" w:ascii="宋体" w:hAnsi="宋体" w:cs="宋体" w:eastAsiaTheme="minorEastAsia"/>
                <w:lang w:val="en-US" w:eastAsia="zh-CN"/>
              </w:rPr>
              <w:t>2.3加密的电子投标文件为“郑州市公共资源交易中心网站（h</w:t>
            </w:r>
            <w:r>
              <w:rPr>
                <w:rFonts w:hint="eastAsia" w:ascii="宋体" w:hAnsi="宋体" w:eastAsia="宋体" w:cs="宋体"/>
                <w:snapToGrid w:val="0"/>
                <w:szCs w:val="21"/>
                <w:lang w:val="en-US" w:eastAsia="zh-CN"/>
              </w:rPr>
              <w:t>http://z</w:t>
            </w:r>
            <w:r>
              <w:rPr>
                <w:rFonts w:hint="eastAsia" w:ascii="宋体" w:hAnsi="宋体" w:eastAsia="宋体" w:cs="宋体"/>
                <w:snapToGrid w:val="0"/>
                <w:szCs w:val="21"/>
                <w:highlight w:val="none"/>
                <w:lang w:val="en-US" w:eastAsia="zh-CN"/>
              </w:rPr>
              <w:t>zggzy.zhengzhou.gov.cn/</w:t>
            </w:r>
            <w:r>
              <w:rPr>
                <w:rFonts w:hint="eastAsia" w:ascii="宋体" w:hAnsi="宋体" w:cs="宋体" w:eastAsiaTheme="minorEastAsia"/>
                <w:highlight w:val="none"/>
                <w:lang w:val="en-US" w:eastAsia="zh-CN"/>
              </w:rPr>
              <w:t>）”网站提供的“投标文件制作工具”软件制作生成的加密版投标文件。</w:t>
            </w:r>
          </w:p>
          <w:p w14:paraId="206FCD87">
            <w:pPr>
              <w:spacing w:line="360" w:lineRule="auto"/>
              <w:ind w:firstLine="210" w:firstLineChars="100"/>
              <w:rPr>
                <w:rFonts w:hint="eastAsia" w:ascii="宋体" w:hAnsi="宋体" w:cs="宋体" w:eastAsiaTheme="minorEastAsia"/>
                <w:highlight w:val="none"/>
                <w:lang w:val="en-US" w:eastAsia="zh-CN"/>
              </w:rPr>
            </w:pPr>
            <w:r>
              <w:rPr>
                <w:rFonts w:hint="eastAsia" w:ascii="宋体" w:hAnsi="宋体" w:cs="宋体" w:eastAsiaTheme="minorEastAsia"/>
                <w:highlight w:val="none"/>
                <w:lang w:val="en-US" w:eastAsia="zh-CN"/>
              </w:rPr>
              <w:t>2.4投标人在制作电子投标文件时，要求签字盖章的招标文件格式内容若无法用电子签章完成的，投标人可以将盖章签字后的扫描图片替换到相应格式中。</w:t>
            </w:r>
          </w:p>
          <w:p w14:paraId="73CE5FB0">
            <w:pPr>
              <w:spacing w:line="360" w:lineRule="auto"/>
              <w:ind w:firstLine="210" w:firstLineChars="100"/>
              <w:rPr>
                <w:rFonts w:hint="eastAsia" w:ascii="宋体" w:hAnsi="宋体" w:cs="宋体" w:eastAsiaTheme="minorEastAsia"/>
                <w:highlight w:val="none"/>
                <w:lang w:val="en-US" w:eastAsia="zh-CN"/>
              </w:rPr>
            </w:pPr>
            <w:r>
              <w:rPr>
                <w:rFonts w:hint="eastAsia" w:ascii="宋体" w:hAnsi="宋体" w:cs="宋体" w:eastAsiaTheme="minorEastAsia"/>
                <w:highlight w:val="none"/>
                <w:lang w:val="en-US" w:eastAsia="zh-CN"/>
              </w:rPr>
              <w:t>2.5招标文件格式所要求包含的全部资料应全部制作在投标文件内，严格按照本项目招标文件所有格式如实填写（不涉及的内容除外），不应存在漏项或缺项，否则将存在投标文件被拒绝的风险。</w:t>
            </w:r>
          </w:p>
          <w:p w14:paraId="4C8FF89D">
            <w:pPr>
              <w:spacing w:line="360" w:lineRule="auto"/>
              <w:ind w:firstLine="210" w:firstLineChars="100"/>
              <w:rPr>
                <w:rFonts w:hint="eastAsia" w:ascii="宋体" w:hAnsi="宋体" w:cs="宋体" w:eastAsiaTheme="minorEastAsia"/>
                <w:highlight w:val="none"/>
                <w:lang w:val="en-US" w:eastAsia="zh-CN"/>
              </w:rPr>
            </w:pPr>
            <w:r>
              <w:rPr>
                <w:rFonts w:hint="eastAsia" w:ascii="宋体" w:hAnsi="宋体" w:cs="宋体" w:eastAsiaTheme="minorEastAsia"/>
                <w:highlight w:val="none"/>
                <w:lang w:val="en-US" w:eastAsia="zh-CN"/>
              </w:rPr>
              <w:t>2.6由于本项目为不见面开标，投标人无需到开标现场参与投标签到，无需递交任何纸质资料或证明，无需交纳原件（投标文件中应附清晰的复印件或扫描件，由于模糊不清导致评标委员会无法辨别的，后果由投标人自行承担）；</w:t>
            </w:r>
          </w:p>
          <w:p w14:paraId="701515C4">
            <w:pPr>
              <w:spacing w:line="360" w:lineRule="auto"/>
              <w:ind w:firstLine="210" w:firstLineChars="100"/>
              <w:rPr>
                <w:rFonts w:hint="eastAsia" w:ascii="宋体" w:hAnsi="宋体" w:cs="宋体" w:eastAsiaTheme="minorEastAsia"/>
                <w:highlight w:val="none"/>
                <w:lang w:val="en-US" w:eastAsia="zh-CN"/>
              </w:rPr>
            </w:pPr>
            <w:r>
              <w:rPr>
                <w:rFonts w:hint="eastAsia" w:ascii="宋体" w:hAnsi="宋体" w:cs="宋体" w:eastAsiaTheme="minorEastAsia"/>
                <w:highlight w:val="none"/>
                <w:lang w:val="en-US" w:eastAsia="zh-CN"/>
              </w:rPr>
              <w:t>2.7投标人应严格按照相关操作规程及要求参加远程开标会议，否则后果自负，如遇问题，可按不见面开标大厅操作手册提供的联系方式或拨打技术服务单位（国泰新点）电话：4009980000，寻求技术支持。</w:t>
            </w:r>
          </w:p>
          <w:p w14:paraId="07DE6DEE">
            <w:pPr>
              <w:spacing w:line="360" w:lineRule="auto"/>
              <w:ind w:firstLine="211" w:firstLineChars="100"/>
              <w:rPr>
                <w:rFonts w:hint="eastAsia" w:ascii="宋体" w:hAnsi="宋体" w:cs="宋体" w:eastAsiaTheme="minorEastAsia"/>
                <w:b/>
                <w:bCs/>
                <w:highlight w:val="none"/>
                <w:lang w:val="en-US" w:eastAsia="zh-CN"/>
              </w:rPr>
            </w:pPr>
            <w:r>
              <w:rPr>
                <w:rFonts w:hint="eastAsia" w:ascii="宋体" w:hAnsi="宋体" w:cs="宋体" w:eastAsiaTheme="minorEastAsia"/>
                <w:b/>
                <w:bCs/>
                <w:highlight w:val="none"/>
                <w:lang w:val="en-US" w:eastAsia="zh-CN"/>
              </w:rPr>
              <w:t>3、投标文件的递交</w:t>
            </w:r>
          </w:p>
          <w:p w14:paraId="0CA129E7">
            <w:pPr>
              <w:spacing w:line="360" w:lineRule="auto"/>
              <w:ind w:firstLine="210" w:firstLineChars="100"/>
              <w:rPr>
                <w:rFonts w:hint="eastAsia" w:ascii="宋体" w:hAnsi="宋体" w:cs="宋体" w:eastAsiaTheme="minorEastAsia"/>
                <w:highlight w:val="none"/>
                <w:lang w:val="en-US" w:eastAsia="zh-CN"/>
              </w:rPr>
            </w:pPr>
            <w:r>
              <w:rPr>
                <w:rFonts w:hint="eastAsia" w:ascii="宋体" w:hAnsi="宋体" w:cs="宋体" w:eastAsiaTheme="minorEastAsia"/>
                <w:highlight w:val="none"/>
                <w:lang w:val="en-US" w:eastAsia="zh-CN"/>
              </w:rPr>
              <w:t>3.1加密的电子投标文件（.ZZTF格式）须在投标截止时间前通过“郑州市公共资源交易中心（</w:t>
            </w:r>
            <w:r>
              <w:rPr>
                <w:rFonts w:hint="eastAsia" w:ascii="宋体" w:hAnsi="宋体" w:cs="宋体"/>
                <w:snapToGrid w:val="0"/>
                <w:szCs w:val="21"/>
              </w:rPr>
              <w:t>https://zzggzy.zhengzhou.gov.cn</w:t>
            </w:r>
            <w:r>
              <w:rPr>
                <w:rFonts w:hint="eastAsia" w:ascii="宋体" w:hAnsi="宋体" w:cs="宋体" w:eastAsiaTheme="minorEastAsia"/>
                <w:highlight w:val="none"/>
                <w:lang w:val="en-US" w:eastAsia="zh-CN"/>
              </w:rPr>
              <w:t>）”电子交易平台加密上传；</w:t>
            </w:r>
          </w:p>
          <w:p w14:paraId="10CDF4D5">
            <w:pPr>
              <w:spacing w:line="360" w:lineRule="auto"/>
              <w:ind w:firstLine="210" w:firstLineChars="100"/>
              <w:rPr>
                <w:rFonts w:hint="eastAsia" w:ascii="宋体" w:hAnsi="宋体" w:cs="宋体" w:eastAsiaTheme="minorEastAsia"/>
                <w:highlight w:val="none"/>
                <w:lang w:val="en-US" w:eastAsia="zh-CN"/>
              </w:rPr>
            </w:pPr>
            <w:r>
              <w:rPr>
                <w:rFonts w:hint="eastAsia" w:ascii="宋体" w:hAnsi="宋体" w:cs="宋体" w:eastAsiaTheme="minorEastAsia"/>
                <w:highlight w:val="none"/>
                <w:lang w:val="en-US" w:eastAsia="zh-CN"/>
              </w:rPr>
              <w:t>3.2投标人无需到交易中心现场参加开标会议，评标委员会不再对投标文件中涉及的相关资料原件进行验证。所有投标单位不需提供证书原件。</w:t>
            </w:r>
          </w:p>
          <w:p w14:paraId="65CB45C2">
            <w:pPr>
              <w:spacing w:line="360" w:lineRule="auto"/>
              <w:ind w:firstLine="210" w:firstLineChars="100"/>
              <w:rPr>
                <w:rFonts w:hint="eastAsia" w:ascii="宋体" w:hAnsi="宋体" w:cs="宋体" w:eastAsiaTheme="minorEastAsia"/>
                <w:highlight w:val="none"/>
                <w:lang w:val="en-US" w:eastAsia="zh-CN"/>
              </w:rPr>
            </w:pPr>
            <w:r>
              <w:rPr>
                <w:rFonts w:hint="eastAsia" w:ascii="宋体" w:hAnsi="宋体" w:cs="宋体" w:eastAsiaTheme="minorEastAsia"/>
                <w:highlight w:val="none"/>
                <w:lang w:val="en-US" w:eastAsia="zh-CN"/>
              </w:rPr>
              <w:t>3.3所有投标人应提前30分钟，登录“郑州市公共资源交易中心门户网站远程开标大厅”进行远程开标准备工作。</w:t>
            </w:r>
          </w:p>
          <w:p w14:paraId="3C699EBF">
            <w:pPr>
              <w:spacing w:line="360" w:lineRule="auto"/>
              <w:ind w:firstLine="210" w:firstLineChars="100"/>
              <w:rPr>
                <w:rFonts w:hint="eastAsia" w:ascii="宋体" w:hAnsi="宋体" w:cs="宋体" w:eastAsiaTheme="minorEastAsia"/>
                <w:highlight w:val="none"/>
                <w:lang w:val="en-US" w:eastAsia="zh-CN"/>
              </w:rPr>
            </w:pPr>
            <w:r>
              <w:rPr>
                <w:rFonts w:hint="eastAsia" w:ascii="宋体" w:hAnsi="宋体" w:cs="宋体" w:eastAsiaTheme="minorEastAsia"/>
                <w:highlight w:val="none"/>
                <w:lang w:val="en-US" w:eastAsia="zh-CN"/>
              </w:rPr>
              <w:t>（</w:t>
            </w:r>
            <w:r>
              <w:rPr>
                <w:rFonts w:hint="eastAsia" w:ascii="宋体" w:hAnsi="宋体" w:cs="宋体"/>
                <w:snapToGrid w:val="0"/>
                <w:szCs w:val="21"/>
                <w:lang w:val="en-US" w:eastAsia="zh-CN"/>
              </w:rPr>
              <w:t>https://zzggzy.zhengzhou.gov.cn/BidOpening/</w:t>
            </w:r>
            <w:r>
              <w:rPr>
                <w:rFonts w:hint="eastAsia" w:ascii="宋体" w:hAnsi="宋体" w:cs="宋体" w:eastAsiaTheme="minorEastAsia"/>
                <w:highlight w:val="none"/>
                <w:lang w:val="en-US" w:eastAsia="zh-CN"/>
              </w:rPr>
              <w:t>）</w:t>
            </w:r>
          </w:p>
          <w:p w14:paraId="13746C13">
            <w:pPr>
              <w:spacing w:line="360" w:lineRule="auto"/>
              <w:ind w:firstLine="210" w:firstLineChars="100"/>
              <w:rPr>
                <w:rFonts w:hint="eastAsia" w:ascii="宋体" w:hAnsi="宋体" w:cs="宋体" w:eastAsiaTheme="minorEastAsia"/>
                <w:highlight w:val="none"/>
                <w:lang w:val="en-US" w:eastAsia="zh-CN"/>
              </w:rPr>
            </w:pPr>
            <w:r>
              <w:rPr>
                <w:rFonts w:hint="eastAsia" w:ascii="宋体" w:hAnsi="宋体" w:cs="宋体" w:eastAsiaTheme="minorEastAsia"/>
                <w:highlight w:val="none"/>
                <w:lang w:val="en-US" w:eastAsia="zh-CN"/>
              </w:rPr>
              <w:t>3.4登录“郑州市公共资源交易中心门户网站远程开标大厅”后，须先进行签到，其后应一直保持在线状态，保证能准时参加开标大会、投标文件的解密、现场答疑澄清等活动。</w:t>
            </w:r>
          </w:p>
          <w:p w14:paraId="7E6803F0">
            <w:pPr>
              <w:spacing w:line="360" w:lineRule="auto"/>
              <w:ind w:firstLine="210" w:firstLineChars="100"/>
              <w:rPr>
                <w:rFonts w:hint="eastAsia" w:ascii="宋体" w:hAnsi="宋体" w:cs="宋体" w:eastAsiaTheme="minorEastAsia"/>
                <w:highlight w:val="none"/>
                <w:lang w:val="en-US" w:eastAsia="zh-CN"/>
              </w:rPr>
            </w:pPr>
            <w:r>
              <w:rPr>
                <w:rFonts w:hint="eastAsia" w:ascii="宋体" w:hAnsi="宋体" w:cs="宋体" w:eastAsiaTheme="minorEastAsia"/>
                <w:highlight w:val="none"/>
                <w:lang w:val="en-US" w:eastAsia="zh-CN"/>
              </w:rPr>
              <w:t>3.5投标人应在解密时间内插入企业CA锁，输入密码，进行解密；如果在解密时间内解密失败，可再次解密；如解密时间已到不可解密；</w:t>
            </w:r>
          </w:p>
          <w:p w14:paraId="59EE4F3E">
            <w:pPr>
              <w:spacing w:line="360" w:lineRule="auto"/>
              <w:ind w:firstLine="210" w:firstLineChars="100"/>
              <w:rPr>
                <w:rFonts w:hint="eastAsia" w:ascii="宋体" w:hAnsi="宋体" w:cs="宋体" w:eastAsiaTheme="minorEastAsia"/>
                <w:lang w:val="en-US" w:eastAsia="zh-CN"/>
              </w:rPr>
            </w:pPr>
            <w:r>
              <w:rPr>
                <w:rFonts w:hint="eastAsia" w:ascii="宋体" w:hAnsi="宋体" w:cs="宋体" w:eastAsiaTheme="minorEastAsia"/>
                <w:highlight w:val="none"/>
                <w:lang w:val="en-US" w:eastAsia="zh-CN"/>
              </w:rPr>
              <w:t>3.6不见面开标操作说明详见郑州市公共资源交易中心网站办事指南栏目下政府采购专区中的《郑州市公共资源交易中心不见面开标大厅操作手册（投标人）V1.0》（</w:t>
            </w:r>
            <w:r>
              <w:rPr>
                <w:rFonts w:hint="eastAsia" w:ascii="宋体" w:hAnsi="宋体" w:eastAsia="宋体" w:cs="宋体"/>
                <w:snapToGrid w:val="0"/>
                <w:szCs w:val="21"/>
                <w:highlight w:val="none"/>
              </w:rPr>
              <w:t>http://zzggzy.zhengzhou.gov.cn/bszn/009003/subpage.html</w:t>
            </w:r>
            <w:r>
              <w:rPr>
                <w:rFonts w:hint="eastAsia" w:ascii="宋体" w:hAnsi="宋体" w:cs="宋体" w:eastAsiaTheme="minorEastAsia"/>
                <w:highlight w:val="none"/>
                <w:lang w:val="en-US" w:eastAsia="zh-CN"/>
              </w:rPr>
              <w:t>）。否则由此可能引起的签到失败、解密失败</w:t>
            </w:r>
            <w:r>
              <w:rPr>
                <w:rFonts w:hint="eastAsia" w:ascii="宋体" w:hAnsi="宋体" w:cs="宋体" w:eastAsiaTheme="minorEastAsia"/>
                <w:lang w:val="en-US" w:eastAsia="zh-CN"/>
              </w:rPr>
              <w:t>或无法解密等问题由投标人自行承担；</w:t>
            </w:r>
          </w:p>
          <w:p w14:paraId="0FC6475A">
            <w:pPr>
              <w:spacing w:line="360" w:lineRule="auto"/>
              <w:ind w:firstLine="210" w:firstLineChars="100"/>
              <w:rPr>
                <w:rFonts w:hint="eastAsia" w:ascii="宋体" w:hAnsi="宋体" w:cs="宋体" w:eastAsiaTheme="minorEastAsia"/>
                <w:lang w:val="en-US" w:eastAsia="zh-CN"/>
              </w:rPr>
            </w:pPr>
            <w:r>
              <w:rPr>
                <w:rFonts w:hint="eastAsia" w:ascii="宋体" w:hAnsi="宋体" w:cs="宋体" w:eastAsiaTheme="minorEastAsia"/>
                <w:lang w:val="en-US" w:eastAsia="zh-CN"/>
              </w:rPr>
              <w:t>3.7逾期上传的或者未上传的投标文件，采购人不予受理。</w:t>
            </w:r>
          </w:p>
          <w:p w14:paraId="573399C7">
            <w:pPr>
              <w:spacing w:line="360" w:lineRule="auto"/>
              <w:ind w:firstLine="210" w:firstLineChars="100"/>
              <w:rPr>
                <w:rFonts w:hint="eastAsia" w:ascii="宋体" w:hAnsi="宋体" w:cs="宋体" w:eastAsiaTheme="minorEastAsia"/>
                <w:lang w:val="en-US" w:eastAsia="zh-CN"/>
              </w:rPr>
            </w:pPr>
            <w:r>
              <w:rPr>
                <w:rFonts w:hint="eastAsia" w:ascii="宋体" w:hAnsi="宋体" w:cs="宋体" w:eastAsiaTheme="minorEastAsia"/>
                <w:lang w:val="en-US" w:eastAsia="zh-CN"/>
              </w:rPr>
              <w:t>3.8凡未按上述要求格式提交的投标文件，将被拒收或被认定为无效投标。</w:t>
            </w:r>
          </w:p>
          <w:p w14:paraId="1CAE08F9">
            <w:pPr>
              <w:spacing w:line="360" w:lineRule="auto"/>
              <w:ind w:firstLine="211" w:firstLineChars="100"/>
              <w:rPr>
                <w:rFonts w:hint="eastAsia" w:ascii="宋体" w:hAnsi="宋体" w:cs="宋体" w:eastAsiaTheme="minorEastAsia"/>
                <w:b/>
                <w:bCs/>
                <w:lang w:val="en-US" w:eastAsia="zh-CN"/>
              </w:rPr>
            </w:pPr>
            <w:r>
              <w:rPr>
                <w:rFonts w:hint="eastAsia" w:ascii="宋体" w:hAnsi="宋体" w:cs="宋体" w:eastAsiaTheme="minorEastAsia"/>
                <w:b/>
                <w:bCs/>
                <w:lang w:val="en-US" w:eastAsia="zh-CN"/>
              </w:rPr>
              <w:t>4、澄清与变更</w:t>
            </w:r>
          </w:p>
          <w:p w14:paraId="00F4B940">
            <w:pPr>
              <w:spacing w:line="360" w:lineRule="auto"/>
              <w:ind w:firstLine="210" w:firstLineChars="100"/>
              <w:rPr>
                <w:rFonts w:hint="eastAsia" w:ascii="宋体" w:hAnsi="宋体" w:cs="宋体" w:eastAsiaTheme="minorEastAsia"/>
                <w:lang w:val="en-US" w:eastAsia="zh-CN"/>
              </w:rPr>
            </w:pPr>
            <w:r>
              <w:rPr>
                <w:rFonts w:hint="eastAsia" w:ascii="宋体" w:hAnsi="宋体" w:cs="宋体" w:eastAsiaTheme="minorEastAsia"/>
                <w:lang w:val="en-US" w:eastAsia="zh-CN"/>
              </w:rPr>
              <w:t>因郑州市公共资源交易中心网站平台在开标前具有保密性，投标人在投标文件递交截止时间前须自行查看项目进展、变更通知、澄清及回复，因投标人未及时查看而造成的后果自负。投标人在招标采购过程中，对招标文件、招标采购过程有异议、质疑的，均需在郑州市公共资源交易中心网站平台上提出。</w:t>
            </w:r>
          </w:p>
          <w:p w14:paraId="01E8A7DB">
            <w:pPr>
              <w:spacing w:line="360" w:lineRule="auto"/>
              <w:ind w:firstLine="211" w:firstLineChars="100"/>
              <w:rPr>
                <w:rFonts w:hint="eastAsia" w:ascii="宋体" w:hAnsi="宋体" w:cs="宋体" w:eastAsiaTheme="minorEastAsia"/>
                <w:b/>
                <w:bCs/>
                <w:lang w:val="en-US" w:eastAsia="zh-CN"/>
              </w:rPr>
            </w:pPr>
            <w:r>
              <w:rPr>
                <w:rFonts w:hint="eastAsia" w:ascii="宋体" w:hAnsi="宋体" w:cs="宋体" w:eastAsiaTheme="minorEastAsia"/>
                <w:b/>
                <w:bCs/>
                <w:lang w:val="en-US" w:eastAsia="zh-CN"/>
              </w:rPr>
              <w:t>5、若投标人出现“制作机器码”一致，机器码一致的所有投标文件均做无效文件处理。</w:t>
            </w:r>
          </w:p>
          <w:p w14:paraId="6EBBDFA3">
            <w:pPr>
              <w:spacing w:line="360" w:lineRule="auto"/>
              <w:ind w:firstLine="211" w:firstLineChars="100"/>
              <w:rPr>
                <w:rFonts w:ascii="宋体" w:hAnsi="宋体" w:cs="宋体"/>
              </w:rPr>
            </w:pPr>
            <w:r>
              <w:rPr>
                <w:rFonts w:hint="eastAsia" w:ascii="宋体" w:hAnsi="宋体" w:cs="宋体" w:eastAsiaTheme="minorEastAsia"/>
                <w:b/>
                <w:bCs/>
                <w:lang w:val="en-US" w:eastAsia="zh-CN"/>
              </w:rPr>
              <w:t>注：投标人应持本单位CA锁及时更新、维护本企业的交易主体数据库信息，并确保其信息的真实性、准确性、完整性。否则由此导致的投标失败，由企业自行承担责任。</w:t>
            </w:r>
          </w:p>
        </w:tc>
      </w:tr>
      <w:tr w14:paraId="7FDFD0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97" w:type="dxa"/>
            <w:vAlign w:val="center"/>
          </w:tcPr>
          <w:p w14:paraId="1C997837">
            <w:pPr>
              <w:spacing w:before="156" w:beforeLines="50" w:line="360" w:lineRule="auto"/>
              <w:jc w:val="center"/>
              <w:rPr>
                <w:rFonts w:hint="eastAsia" w:ascii="宋体" w:hAnsi="宋体" w:eastAsia="宋体" w:cs="宋体"/>
                <w:b/>
                <w:bCs/>
                <w:szCs w:val="21"/>
                <w:lang w:eastAsia="zh-CN"/>
              </w:rPr>
            </w:pPr>
            <w:r>
              <w:rPr>
                <w:rFonts w:hint="eastAsia" w:ascii="宋体" w:hAnsi="宋体"/>
              </w:rPr>
              <w:t>10.</w:t>
            </w:r>
            <w:r>
              <w:rPr>
                <w:rFonts w:hint="eastAsia" w:ascii="宋体" w:hAnsi="宋体"/>
                <w:lang w:val="en-US" w:eastAsia="zh-CN"/>
              </w:rPr>
              <w:t>7</w:t>
            </w:r>
          </w:p>
        </w:tc>
        <w:tc>
          <w:tcPr>
            <w:tcW w:w="2186" w:type="dxa"/>
            <w:vAlign w:val="center"/>
          </w:tcPr>
          <w:p w14:paraId="2EEB568A">
            <w:pPr>
              <w:spacing w:before="156" w:beforeLines="50" w:line="360" w:lineRule="auto"/>
              <w:jc w:val="center"/>
              <w:rPr>
                <w:b/>
                <w:bCs/>
              </w:rPr>
            </w:pPr>
            <w:r>
              <w:rPr>
                <w:rFonts w:hint="eastAsia" w:ascii="宋体" w:hAnsi="宋体"/>
              </w:rPr>
              <w:t>河南省政府采购合同融资政策告知函</w:t>
            </w:r>
          </w:p>
        </w:tc>
        <w:tc>
          <w:tcPr>
            <w:tcW w:w="6271" w:type="dxa"/>
            <w:vAlign w:val="center"/>
          </w:tcPr>
          <w:p w14:paraId="5417D7D9">
            <w:pPr>
              <w:spacing w:line="360" w:lineRule="auto"/>
              <w:rPr>
                <w:rFonts w:hint="eastAsia" w:ascii="宋体" w:hAnsi="宋体" w:eastAsia="宋体" w:cs="宋体"/>
                <w:color w:val="000000"/>
                <w:sz w:val="21"/>
                <w:szCs w:val="21"/>
              </w:rPr>
            </w:pPr>
            <w:r>
              <w:rPr>
                <w:rFonts w:hint="eastAsia" w:ascii="宋体" w:hAnsi="宋体" w:eastAsia="宋体" w:cs="宋体"/>
                <w:color w:val="000000"/>
                <w:sz w:val="21"/>
                <w:szCs w:val="21"/>
              </w:rPr>
              <w:t>各供应商：</w:t>
            </w:r>
          </w:p>
          <w:p w14:paraId="328B192C">
            <w:pPr>
              <w:spacing w:line="360" w:lineRule="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欢迎贵公司参与</w:t>
            </w:r>
            <w:bookmarkStart w:id="60" w:name="OLE_LINK27"/>
            <w:r>
              <w:rPr>
                <w:rFonts w:hint="eastAsia" w:ascii="宋体" w:hAnsi="宋体" w:eastAsia="宋体" w:cs="宋体"/>
                <w:color w:val="000000"/>
                <w:sz w:val="21"/>
                <w:szCs w:val="21"/>
                <w:lang w:val="en-US" w:eastAsia="zh-CN"/>
              </w:rPr>
              <w:t>郑东新区</w:t>
            </w:r>
            <w:bookmarkEnd w:id="60"/>
            <w:r>
              <w:rPr>
                <w:rFonts w:hint="eastAsia" w:ascii="宋体" w:hAnsi="宋体" w:eastAsia="宋体" w:cs="宋体"/>
                <w:color w:val="000000"/>
                <w:sz w:val="21"/>
                <w:szCs w:val="21"/>
                <w:lang w:val="en-US" w:eastAsia="zh-CN"/>
              </w:rPr>
              <w:t>政府采购活动！</w:t>
            </w:r>
          </w:p>
          <w:p w14:paraId="54A1873F">
            <w:pPr>
              <w:spacing w:line="360" w:lineRule="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政府采购合同融资是河南省财政厅支持中小微企业发展，针对参与政府采购活动的供应商融资难、融资贵问题推出的一项融资政策。贵公司若成为本次政府采购项目的中标（成交）成交供应商，可持政府采购合同向金融机构申请贷款，无需抵押、担保，融资机构将根据《河南省政府采购合同融资工作实施方案》（豫财购(2017〕10号），按照双方自愿的原则提供便捷、优惠的贷款服务。</w:t>
            </w:r>
          </w:p>
          <w:p w14:paraId="605902C3">
            <w:pPr>
              <w:spacing w:line="360" w:lineRule="auto"/>
              <w:ind w:firstLine="210" w:firstLineChars="100"/>
              <w:rPr>
                <w:b/>
                <w:bCs/>
              </w:rPr>
            </w:pPr>
            <w:r>
              <w:rPr>
                <w:rFonts w:hint="eastAsia" w:ascii="宋体" w:hAnsi="宋体" w:eastAsia="宋体" w:cs="宋体"/>
                <w:color w:val="000000"/>
                <w:sz w:val="21"/>
                <w:szCs w:val="21"/>
                <w:lang w:val="en-US" w:eastAsia="zh-CN"/>
              </w:rPr>
              <w:t>贷款渠道和提供贷款的金融机构，可在郑东新区政府采购网“河南省政府采购合同融资平台”“政府采购融资贷业务”查询联系。</w:t>
            </w:r>
          </w:p>
        </w:tc>
      </w:tr>
      <w:tr w14:paraId="0F14A7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97" w:type="dxa"/>
            <w:vAlign w:val="center"/>
          </w:tcPr>
          <w:p w14:paraId="6CEDFB36">
            <w:pPr>
              <w:spacing w:before="156" w:beforeLines="50" w:line="360" w:lineRule="auto"/>
              <w:jc w:val="center"/>
              <w:rPr>
                <w:rFonts w:hint="default" w:ascii="宋体" w:hAnsi="宋体" w:eastAsia="宋体"/>
                <w:highlight w:val="none"/>
                <w:lang w:val="en-US" w:eastAsia="zh-CN"/>
              </w:rPr>
            </w:pPr>
            <w:r>
              <w:rPr>
                <w:rFonts w:hint="eastAsia" w:ascii="宋体" w:hAnsi="宋体"/>
                <w:highlight w:val="none"/>
                <w:lang w:val="en-US" w:eastAsia="zh-CN"/>
              </w:rPr>
              <w:t>10.8</w:t>
            </w:r>
          </w:p>
        </w:tc>
        <w:tc>
          <w:tcPr>
            <w:tcW w:w="8457" w:type="dxa"/>
            <w:gridSpan w:val="2"/>
            <w:vAlign w:val="center"/>
          </w:tcPr>
          <w:p w14:paraId="318DD990">
            <w:pPr>
              <w:spacing w:line="360" w:lineRule="auto"/>
              <w:ind w:firstLine="210" w:firstLineChars="100"/>
              <w:rPr>
                <w:rFonts w:hint="eastAsia" w:ascii="宋体" w:hAnsi="宋体" w:cs="宋体" w:eastAsiaTheme="minorEastAsia"/>
                <w:highlight w:val="none"/>
                <w:lang w:val="en-US" w:eastAsia="zh-CN"/>
              </w:rPr>
            </w:pPr>
            <w:r>
              <w:rPr>
                <w:rFonts w:hint="eastAsia" w:ascii="宋体" w:hAnsi="宋体"/>
                <w:highlight w:val="none"/>
              </w:rPr>
              <w:t>采购标的所属行业：根据《关于印发中小企业划型标准规定的通知》（工信部联企业〔2011〕300号）所列行业分类规定，本项目采购标的属于其他未列明行业。</w:t>
            </w:r>
          </w:p>
        </w:tc>
      </w:tr>
      <w:tr w14:paraId="4F4AE1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98" w:hRule="atLeast"/>
        </w:trPr>
        <w:tc>
          <w:tcPr>
            <w:tcW w:w="897" w:type="dxa"/>
            <w:vAlign w:val="center"/>
          </w:tcPr>
          <w:p w14:paraId="35D3CEE5">
            <w:pPr>
              <w:spacing w:before="156" w:beforeLines="50" w:line="360" w:lineRule="auto"/>
              <w:jc w:val="center"/>
              <w:rPr>
                <w:rFonts w:ascii="宋体" w:hAnsi="宋体"/>
              </w:rPr>
            </w:pPr>
            <w:r>
              <w:rPr>
                <w:rFonts w:hint="eastAsia" w:ascii="宋体" w:hAnsi="宋体"/>
              </w:rPr>
              <w:t>11</w:t>
            </w:r>
          </w:p>
        </w:tc>
        <w:tc>
          <w:tcPr>
            <w:tcW w:w="8457" w:type="dxa"/>
            <w:gridSpan w:val="2"/>
            <w:vAlign w:val="center"/>
          </w:tcPr>
          <w:p w14:paraId="087662C5">
            <w:pPr>
              <w:pStyle w:val="48"/>
              <w:keepNext/>
              <w:widowControl/>
              <w:tabs>
                <w:tab w:val="left" w:pos="1190"/>
              </w:tabs>
              <w:overflowPunct w:val="0"/>
              <w:spacing w:line="360" w:lineRule="auto"/>
              <w:rPr>
                <w:rFonts w:hint="eastAsia" w:ascii="宋体" w:hAnsi="宋体" w:cs="宋体" w:eastAsiaTheme="minorEastAsia"/>
                <w:color w:val="auto"/>
                <w:kern w:val="2"/>
                <w:sz w:val="21"/>
                <w:szCs w:val="24"/>
                <w:lang w:val="en-US" w:eastAsia="zh-CN" w:bidi="ar-SA"/>
              </w:rPr>
            </w:pPr>
            <w:r>
              <w:rPr>
                <w:rFonts w:hint="eastAsia" w:ascii="宋体" w:hAnsi="宋体" w:cs="宋体" w:eastAsiaTheme="minorEastAsia"/>
                <w:color w:val="auto"/>
                <w:kern w:val="2"/>
                <w:sz w:val="21"/>
                <w:szCs w:val="24"/>
                <w:lang w:val="en-US" w:eastAsia="zh-CN" w:bidi="ar-SA"/>
              </w:rPr>
              <w:t>政府采购强制采购产品（伴随服务的货物）：</w:t>
            </w:r>
          </w:p>
          <w:p w14:paraId="74A5D1AE">
            <w:pPr>
              <w:pStyle w:val="48"/>
              <w:keepNext/>
              <w:widowControl/>
              <w:tabs>
                <w:tab w:val="left" w:pos="1190"/>
              </w:tabs>
              <w:overflowPunct w:val="0"/>
              <w:spacing w:line="360" w:lineRule="auto"/>
              <w:rPr>
                <w:rFonts w:hint="eastAsia" w:ascii="宋体" w:hAnsi="宋体" w:cs="宋体" w:eastAsiaTheme="minorEastAsia"/>
                <w:color w:val="auto"/>
                <w:kern w:val="2"/>
                <w:sz w:val="21"/>
                <w:szCs w:val="24"/>
                <w:lang w:val="en-US" w:eastAsia="zh-CN" w:bidi="ar-SA"/>
              </w:rPr>
            </w:pPr>
            <w:r>
              <w:rPr>
                <w:rFonts w:hint="eastAsia" w:ascii="宋体" w:hAnsi="宋体" w:cs="宋体" w:eastAsiaTheme="minorEastAsia"/>
                <w:color w:val="auto"/>
                <w:kern w:val="2"/>
                <w:sz w:val="21"/>
                <w:szCs w:val="24"/>
                <w:lang w:val="en-US" w:eastAsia="zh-CN" w:bidi="ar-SA"/>
              </w:rPr>
              <w:t>如采购人所采购产品为《关于印发节能产品政府采购品目清单的通知》财库〔2019〕19号“节能产品政府采购品目清单”中政府强制采购节能产品的，投标人应提供有效期内的节能认证证书（认证机构：应符合《市场监管总局关于发布参与实施政府采购节能产品、环境标志产品认证机构名录的公告》[2019年第16号]的“参与实施政府采购节能产品认证机构名录”），否则其投标将被认定为投标无效。</w:t>
            </w:r>
          </w:p>
          <w:p w14:paraId="50D6E359">
            <w:pPr>
              <w:pStyle w:val="48"/>
              <w:keepNext/>
              <w:widowControl/>
              <w:tabs>
                <w:tab w:val="left" w:pos="1190"/>
              </w:tabs>
              <w:overflowPunct w:val="0"/>
              <w:spacing w:line="360" w:lineRule="auto"/>
              <w:rPr>
                <w:rFonts w:hint="eastAsia" w:ascii="宋体" w:hAnsi="宋体" w:cs="宋体" w:eastAsiaTheme="minorEastAsia"/>
                <w:color w:val="auto"/>
                <w:kern w:val="2"/>
                <w:sz w:val="21"/>
                <w:szCs w:val="24"/>
                <w:lang w:val="en-US" w:eastAsia="zh-CN" w:bidi="ar-SA"/>
              </w:rPr>
            </w:pPr>
            <w:r>
              <w:rPr>
                <w:rFonts w:hint="eastAsia" w:ascii="宋体" w:hAnsi="宋体" w:cs="宋体" w:eastAsiaTheme="minorEastAsia"/>
                <w:color w:val="auto"/>
                <w:kern w:val="2"/>
                <w:sz w:val="21"/>
                <w:szCs w:val="24"/>
                <w:lang w:val="en-US" w:eastAsia="zh-CN" w:bidi="ar-SA"/>
              </w:rPr>
              <w:t>如采购人所采购产品属于信息安全产品的，根据《关于信息安全产品实施政府采购的通知》财库[2010]48号和国家质量监督检验检疫总局、国家认证认可监督管理委员会《关于调整信息安全产品强制性认证实施要求的公告》2009年第33号的规定，投标人所投产品应为经国家认证的信息安全产品，并提供由中国信息安全认证中心按国家标准认证颁发的有效认证证书，否则其投标将被认定为投标无效。</w:t>
            </w:r>
          </w:p>
          <w:p w14:paraId="7873FE73">
            <w:pPr>
              <w:spacing w:line="360" w:lineRule="auto"/>
              <w:ind w:firstLine="420" w:firstLineChars="200"/>
              <w:rPr>
                <w:rFonts w:ascii="宋体" w:hAnsi="宋体"/>
              </w:rPr>
            </w:pPr>
            <w:r>
              <w:rPr>
                <w:rFonts w:hint="eastAsia" w:ascii="宋体" w:hAnsi="宋体" w:cs="宋体" w:eastAsiaTheme="minorEastAsia"/>
                <w:color w:val="auto"/>
                <w:kern w:val="2"/>
                <w:sz w:val="21"/>
                <w:szCs w:val="24"/>
                <w:lang w:val="en-US" w:eastAsia="zh-CN" w:bidi="ar-SA"/>
              </w:rPr>
              <w:t>投标产品已列入《市场监管总局关于优化强制性产品认证目录的公告【2020年第18号】的产品必须提供通过国家3C认证的有关证明材料。</w:t>
            </w:r>
          </w:p>
        </w:tc>
      </w:tr>
      <w:tr w14:paraId="34EC52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8" w:hRule="atLeast"/>
        </w:trPr>
        <w:tc>
          <w:tcPr>
            <w:tcW w:w="897" w:type="dxa"/>
            <w:vAlign w:val="center"/>
          </w:tcPr>
          <w:p w14:paraId="630FE3A0">
            <w:pPr>
              <w:adjustRightInd w:val="0"/>
              <w:spacing w:line="360" w:lineRule="auto"/>
              <w:jc w:val="center"/>
              <w:textAlignment w:val="baseline"/>
              <w:rPr>
                <w:rFonts w:ascii="宋体" w:hAnsi="宋体" w:cs="宋体"/>
                <w:szCs w:val="21"/>
              </w:rPr>
            </w:pPr>
            <w:r>
              <w:rPr>
                <w:rFonts w:hint="eastAsia" w:ascii="宋体" w:hAnsi="宋体" w:cs="宋体"/>
                <w:szCs w:val="21"/>
              </w:rPr>
              <w:t>12</w:t>
            </w:r>
          </w:p>
        </w:tc>
        <w:tc>
          <w:tcPr>
            <w:tcW w:w="8457" w:type="dxa"/>
            <w:gridSpan w:val="2"/>
            <w:vAlign w:val="center"/>
          </w:tcPr>
          <w:p w14:paraId="2F13DBD4">
            <w:pPr>
              <w:pStyle w:val="48"/>
              <w:keepNext/>
              <w:widowControl/>
              <w:tabs>
                <w:tab w:val="left" w:pos="1190"/>
              </w:tabs>
              <w:overflowPunct w:val="0"/>
              <w:spacing w:line="360" w:lineRule="auto"/>
              <w:rPr>
                <w:rFonts w:hint="eastAsia" w:ascii="宋体" w:hAnsi="宋体" w:cs="宋体" w:eastAsiaTheme="minorEastAsia"/>
                <w:color w:val="auto"/>
                <w:kern w:val="2"/>
                <w:sz w:val="21"/>
                <w:szCs w:val="24"/>
                <w:lang w:val="en-US" w:eastAsia="zh-CN" w:bidi="ar-SA"/>
              </w:rPr>
            </w:pPr>
            <w:r>
              <w:rPr>
                <w:rFonts w:hint="eastAsia" w:ascii="宋体" w:hAnsi="宋体" w:cs="宋体" w:eastAsiaTheme="minorEastAsia"/>
                <w:color w:val="auto"/>
                <w:kern w:val="2"/>
                <w:sz w:val="21"/>
                <w:szCs w:val="24"/>
                <w:lang w:val="en-US" w:eastAsia="zh-CN" w:bidi="ar-SA"/>
              </w:rPr>
              <w:t>（1）构成本招标文件的各个组成文件应互为解释，互为说明；</w:t>
            </w:r>
          </w:p>
          <w:p w14:paraId="258A2BC3">
            <w:pPr>
              <w:pStyle w:val="48"/>
              <w:keepNext/>
              <w:widowControl/>
              <w:tabs>
                <w:tab w:val="left" w:pos="1190"/>
              </w:tabs>
              <w:overflowPunct w:val="0"/>
              <w:spacing w:line="360" w:lineRule="auto"/>
              <w:rPr>
                <w:rFonts w:hint="eastAsia" w:ascii="宋体" w:hAnsi="宋体" w:cs="宋体" w:eastAsiaTheme="minorEastAsia"/>
                <w:color w:val="auto"/>
                <w:kern w:val="2"/>
                <w:sz w:val="21"/>
                <w:szCs w:val="24"/>
                <w:lang w:val="en-US" w:eastAsia="zh-CN" w:bidi="ar-SA"/>
              </w:rPr>
            </w:pPr>
            <w:r>
              <w:rPr>
                <w:rFonts w:hint="eastAsia" w:ascii="宋体" w:hAnsi="宋体" w:cs="宋体" w:eastAsiaTheme="minorEastAsia"/>
                <w:color w:val="auto"/>
                <w:kern w:val="2"/>
                <w:sz w:val="21"/>
                <w:szCs w:val="24"/>
                <w:lang w:val="en-US" w:eastAsia="zh-CN" w:bidi="ar-SA"/>
              </w:rPr>
              <w:t>（2）如有不明确或不一致，构成合同文件组成内容的，以合同文件约定内容为准，且以专用合同条款约定的合同文件优先顺序解释；</w:t>
            </w:r>
          </w:p>
          <w:p w14:paraId="26CE3104">
            <w:pPr>
              <w:pStyle w:val="48"/>
              <w:keepNext/>
              <w:widowControl/>
              <w:tabs>
                <w:tab w:val="left" w:pos="1190"/>
              </w:tabs>
              <w:overflowPunct w:val="0"/>
              <w:spacing w:line="360" w:lineRule="auto"/>
              <w:rPr>
                <w:rFonts w:hint="eastAsia" w:ascii="宋体" w:hAnsi="宋体" w:cs="宋体" w:eastAsiaTheme="minorEastAsia"/>
                <w:color w:val="auto"/>
                <w:kern w:val="2"/>
                <w:sz w:val="21"/>
                <w:szCs w:val="24"/>
                <w:lang w:val="en-US" w:eastAsia="zh-CN" w:bidi="ar-SA"/>
              </w:rPr>
            </w:pPr>
            <w:r>
              <w:rPr>
                <w:rFonts w:hint="eastAsia" w:ascii="宋体" w:hAnsi="宋体" w:cs="宋体" w:eastAsiaTheme="minorEastAsia"/>
                <w:color w:val="auto"/>
                <w:kern w:val="2"/>
                <w:sz w:val="21"/>
                <w:szCs w:val="24"/>
                <w:lang w:val="en-US" w:eastAsia="zh-CN" w:bidi="ar-SA"/>
              </w:rPr>
              <w:t>（3）除招标文件中有特别规定外，仅适用于招标投标阶段的规定，按招标公告、供应商须知、评标办法、投标文件格式的先后顺序解释；</w:t>
            </w:r>
          </w:p>
          <w:p w14:paraId="75D5E748">
            <w:pPr>
              <w:pStyle w:val="48"/>
              <w:keepNext/>
              <w:widowControl/>
              <w:tabs>
                <w:tab w:val="left" w:pos="1190"/>
              </w:tabs>
              <w:overflowPunct w:val="0"/>
              <w:spacing w:line="360" w:lineRule="auto"/>
              <w:rPr>
                <w:rFonts w:hint="eastAsia" w:ascii="宋体" w:hAnsi="宋体" w:cs="宋体" w:eastAsiaTheme="minorEastAsia"/>
                <w:color w:val="auto"/>
                <w:kern w:val="2"/>
                <w:sz w:val="21"/>
                <w:szCs w:val="24"/>
                <w:lang w:val="en-US" w:eastAsia="zh-CN" w:bidi="ar-SA"/>
              </w:rPr>
            </w:pPr>
            <w:r>
              <w:rPr>
                <w:rFonts w:hint="eastAsia" w:ascii="宋体" w:hAnsi="宋体" w:cs="宋体" w:eastAsiaTheme="minorEastAsia"/>
                <w:color w:val="auto"/>
                <w:kern w:val="2"/>
                <w:sz w:val="21"/>
                <w:szCs w:val="24"/>
                <w:lang w:val="en-US" w:eastAsia="zh-CN" w:bidi="ar-SA"/>
              </w:rPr>
              <w:t>（4）同一组成文件中就同一事项的规定或约定不一致的，以编排顺序在后者为准；</w:t>
            </w:r>
          </w:p>
          <w:p w14:paraId="609FCFE4">
            <w:pPr>
              <w:pStyle w:val="48"/>
              <w:keepNext/>
              <w:widowControl/>
              <w:tabs>
                <w:tab w:val="left" w:pos="1190"/>
              </w:tabs>
              <w:overflowPunct w:val="0"/>
              <w:spacing w:line="360" w:lineRule="auto"/>
              <w:rPr>
                <w:rFonts w:hint="eastAsia" w:ascii="宋体" w:hAnsi="宋体" w:cs="宋体" w:eastAsiaTheme="minorEastAsia"/>
                <w:color w:val="auto"/>
                <w:kern w:val="2"/>
                <w:sz w:val="21"/>
                <w:szCs w:val="24"/>
                <w:lang w:val="en-US" w:eastAsia="zh-CN" w:bidi="ar-SA"/>
              </w:rPr>
            </w:pPr>
            <w:r>
              <w:rPr>
                <w:rFonts w:hint="eastAsia" w:ascii="宋体" w:hAnsi="宋体" w:cs="宋体" w:eastAsiaTheme="minorEastAsia"/>
                <w:color w:val="auto"/>
                <w:kern w:val="2"/>
                <w:sz w:val="21"/>
                <w:szCs w:val="24"/>
                <w:lang w:val="en-US" w:eastAsia="zh-CN" w:bidi="ar-SA"/>
              </w:rPr>
              <w:t>同一组成文件不同版本之间有不一致的，以形成时间在后者为准。</w:t>
            </w:r>
          </w:p>
          <w:p w14:paraId="60663834">
            <w:pPr>
              <w:pStyle w:val="48"/>
              <w:keepNext/>
              <w:widowControl/>
              <w:tabs>
                <w:tab w:val="left" w:pos="1190"/>
              </w:tabs>
              <w:overflowPunct w:val="0"/>
              <w:spacing w:line="360" w:lineRule="auto"/>
              <w:rPr>
                <w:rFonts w:hint="eastAsia" w:ascii="宋体" w:hAnsi="宋体" w:cs="宋体" w:eastAsiaTheme="minorEastAsia"/>
                <w:color w:val="auto"/>
                <w:kern w:val="2"/>
                <w:sz w:val="21"/>
                <w:szCs w:val="24"/>
                <w:lang w:val="en-US" w:eastAsia="zh-CN" w:bidi="ar-SA"/>
              </w:rPr>
            </w:pPr>
            <w:r>
              <w:rPr>
                <w:rFonts w:hint="eastAsia" w:ascii="宋体" w:hAnsi="宋体" w:cs="宋体" w:eastAsiaTheme="minorEastAsia"/>
                <w:color w:val="auto"/>
                <w:kern w:val="2"/>
                <w:sz w:val="21"/>
                <w:szCs w:val="24"/>
                <w:lang w:val="en-US" w:eastAsia="zh-CN" w:bidi="ar-SA"/>
              </w:rPr>
              <w:t>按本款前述规定仍不能形成结论的，由采购人负责解释。</w:t>
            </w:r>
          </w:p>
          <w:p w14:paraId="76137554">
            <w:pPr>
              <w:pStyle w:val="48"/>
              <w:keepNext/>
              <w:widowControl/>
              <w:tabs>
                <w:tab w:val="left" w:pos="1190"/>
              </w:tabs>
              <w:overflowPunct w:val="0"/>
              <w:spacing w:line="360" w:lineRule="auto"/>
              <w:rPr>
                <w:rFonts w:ascii="宋体" w:hAnsi="宋体" w:cs="宋体"/>
                <w:szCs w:val="21"/>
              </w:rPr>
            </w:pPr>
            <w:r>
              <w:rPr>
                <w:rFonts w:hint="eastAsia" w:ascii="宋体" w:hAnsi="宋体" w:cs="宋体" w:eastAsiaTheme="minorEastAsia"/>
                <w:color w:val="auto"/>
                <w:kern w:val="2"/>
                <w:sz w:val="21"/>
                <w:szCs w:val="24"/>
                <w:lang w:val="en-US" w:eastAsia="zh-CN" w:bidi="ar-SA"/>
              </w:rPr>
              <w:t>其他未尽事宜按相关法律法规执行。</w:t>
            </w:r>
          </w:p>
        </w:tc>
      </w:tr>
    </w:tbl>
    <w:p w14:paraId="54DA0E5B">
      <w:bookmarkStart w:id="61" w:name="_Toc16296"/>
      <w:bookmarkStart w:id="62" w:name="_Toc24745"/>
      <w:bookmarkStart w:id="63" w:name="_Toc6"/>
      <w:r>
        <w:br w:type="page"/>
      </w:r>
    </w:p>
    <w:p w14:paraId="438F7F7F">
      <w:pPr>
        <w:pStyle w:val="2"/>
        <w:spacing w:line="360" w:lineRule="auto"/>
        <w:rPr>
          <w:rFonts w:cs="宋体"/>
          <w:sz w:val="24"/>
          <w:szCs w:val="24"/>
        </w:rPr>
      </w:pPr>
      <w:bookmarkStart w:id="64" w:name="_Toc31005"/>
      <w:bookmarkStart w:id="65" w:name="_Toc5918"/>
      <w:r>
        <w:rPr>
          <w:rFonts w:hint="eastAsia" w:cs="宋体"/>
          <w:sz w:val="24"/>
          <w:szCs w:val="24"/>
        </w:rPr>
        <w:t>1．总则</w:t>
      </w:r>
      <w:bookmarkEnd w:id="61"/>
      <w:bookmarkEnd w:id="62"/>
      <w:bookmarkEnd w:id="63"/>
      <w:bookmarkEnd w:id="64"/>
      <w:bookmarkEnd w:id="65"/>
    </w:p>
    <w:p w14:paraId="639B5345">
      <w:pPr>
        <w:pStyle w:val="5"/>
        <w:spacing w:before="0" w:after="0" w:line="360" w:lineRule="auto"/>
        <w:rPr>
          <w:rFonts w:ascii="宋体" w:hAnsi="宋体" w:eastAsia="宋体" w:cs="宋体"/>
          <w:sz w:val="21"/>
          <w:szCs w:val="21"/>
        </w:rPr>
      </w:pPr>
      <w:r>
        <w:rPr>
          <w:rFonts w:hint="eastAsia" w:ascii="宋体" w:hAnsi="宋体" w:eastAsia="宋体" w:cs="宋体"/>
          <w:sz w:val="21"/>
          <w:szCs w:val="21"/>
        </w:rPr>
        <w:t>1.1项目概况</w:t>
      </w:r>
    </w:p>
    <w:p w14:paraId="47AB44DB">
      <w:pPr>
        <w:spacing w:line="360" w:lineRule="auto"/>
        <w:ind w:firstLine="420" w:firstLineChars="200"/>
        <w:rPr>
          <w:rFonts w:hint="eastAsia" w:ascii="宋体" w:hAnsi="宋体" w:cs="宋体"/>
          <w:szCs w:val="21"/>
          <w:lang w:val="en-US" w:eastAsia="zh-CN"/>
        </w:rPr>
      </w:pPr>
      <w:r>
        <w:rPr>
          <w:rFonts w:hint="eastAsia" w:ascii="宋体" w:hAnsi="宋体" w:cs="宋体"/>
          <w:szCs w:val="21"/>
          <w:lang w:val="en-US" w:eastAsia="zh-CN"/>
        </w:rPr>
        <w:t xml:space="preserve">1.1.1 </w:t>
      </w:r>
      <w:r>
        <w:rPr>
          <w:rFonts w:hint="eastAsia" w:ascii="宋体" w:hAnsi="宋体" w:cs="宋体"/>
          <w:szCs w:val="21"/>
        </w:rPr>
        <w:t>根据《中华人民共和国政府采购法》等有关法律、法规和规章的规定，本招标项目已具备招标条件，现对本项目进行招标。</w:t>
      </w:r>
    </w:p>
    <w:p w14:paraId="76C2175E">
      <w:pPr>
        <w:numPr>
          <w:ilvl w:val="0"/>
          <w:numId w:val="0"/>
        </w:numPr>
        <w:spacing w:line="360" w:lineRule="auto"/>
        <w:ind w:leftChars="200"/>
        <w:rPr>
          <w:rFonts w:hint="eastAsia" w:ascii="宋体" w:hAnsi="宋体" w:eastAsia="宋体" w:cs="宋体"/>
          <w:kern w:val="2"/>
          <w:sz w:val="21"/>
          <w:szCs w:val="24"/>
          <w:lang w:val="en-US" w:eastAsia="zh-CN" w:bidi="ar-SA"/>
        </w:rPr>
      </w:pPr>
      <w:r>
        <w:rPr>
          <w:rFonts w:hint="eastAsia" w:ascii="宋体" w:hAnsi="宋体" w:cs="宋体"/>
          <w:kern w:val="2"/>
          <w:sz w:val="21"/>
          <w:szCs w:val="24"/>
          <w:lang w:val="en-US" w:eastAsia="zh-CN" w:bidi="ar-SA"/>
        </w:rPr>
        <w:t>1.1.2 采购人</w:t>
      </w:r>
      <w:r>
        <w:rPr>
          <w:rFonts w:hint="eastAsia" w:ascii="宋体" w:hAnsi="宋体" w:eastAsia="宋体" w:cs="宋体"/>
          <w:kern w:val="2"/>
          <w:sz w:val="21"/>
          <w:szCs w:val="24"/>
          <w:lang w:val="en-US" w:eastAsia="zh-CN" w:bidi="ar-SA"/>
        </w:rPr>
        <w:t>：见</w:t>
      </w:r>
      <w:r>
        <w:rPr>
          <w:rFonts w:hint="eastAsia" w:ascii="宋体" w:hAnsi="宋体" w:cs="宋体"/>
          <w:kern w:val="2"/>
          <w:sz w:val="21"/>
          <w:szCs w:val="24"/>
          <w:lang w:val="en-US" w:eastAsia="zh-CN" w:bidi="ar-SA"/>
        </w:rPr>
        <w:t>供应商须知</w:t>
      </w:r>
      <w:r>
        <w:rPr>
          <w:rFonts w:hint="eastAsia" w:ascii="宋体" w:hAnsi="宋体" w:eastAsia="宋体" w:cs="宋体"/>
          <w:kern w:val="2"/>
          <w:sz w:val="21"/>
          <w:szCs w:val="24"/>
          <w:lang w:val="en-US" w:eastAsia="zh-CN" w:bidi="ar-SA"/>
        </w:rPr>
        <w:t>前附表。</w:t>
      </w:r>
    </w:p>
    <w:p w14:paraId="5EBCD718">
      <w:pPr>
        <w:spacing w:line="360" w:lineRule="auto"/>
        <w:ind w:firstLine="420" w:firstLineChars="200"/>
        <w:rPr>
          <w:rFonts w:ascii="宋体" w:hAnsi="宋体" w:cs="宋体"/>
        </w:rPr>
      </w:pPr>
      <w:r>
        <w:rPr>
          <w:rFonts w:hint="eastAsia" w:ascii="宋体" w:hAnsi="宋体" w:cs="宋体"/>
        </w:rPr>
        <w:t>1.1.3 本项目采购代理机构：见</w:t>
      </w:r>
      <w:r>
        <w:rPr>
          <w:rFonts w:hint="eastAsia" w:ascii="宋体" w:hAnsi="宋体" w:cs="宋体"/>
          <w:lang w:eastAsia="zh-CN"/>
        </w:rPr>
        <w:t>供应商须知</w:t>
      </w:r>
      <w:r>
        <w:rPr>
          <w:rFonts w:hint="eastAsia" w:ascii="宋体" w:hAnsi="宋体" w:cs="宋体"/>
        </w:rPr>
        <w:t>前附表。</w:t>
      </w:r>
    </w:p>
    <w:p w14:paraId="266A5B88">
      <w:pPr>
        <w:spacing w:line="360" w:lineRule="auto"/>
        <w:ind w:firstLine="420" w:firstLineChars="200"/>
        <w:rPr>
          <w:rFonts w:ascii="宋体" w:hAnsi="宋体" w:cs="宋体"/>
        </w:rPr>
      </w:pPr>
      <w:r>
        <w:rPr>
          <w:rFonts w:hint="eastAsia" w:ascii="宋体" w:hAnsi="宋体" w:cs="宋体"/>
        </w:rPr>
        <w:t>1.1.4 本招标项目名称：见</w:t>
      </w:r>
      <w:r>
        <w:rPr>
          <w:rFonts w:hint="eastAsia" w:ascii="宋体" w:hAnsi="宋体" w:cs="宋体"/>
          <w:lang w:eastAsia="zh-CN"/>
        </w:rPr>
        <w:t>供应商须知</w:t>
      </w:r>
      <w:r>
        <w:rPr>
          <w:rFonts w:hint="eastAsia" w:ascii="宋体" w:hAnsi="宋体" w:cs="宋体"/>
        </w:rPr>
        <w:t>前附表。</w:t>
      </w:r>
    </w:p>
    <w:p w14:paraId="10A323FB">
      <w:pPr>
        <w:pStyle w:val="5"/>
        <w:spacing w:before="0" w:after="0" w:line="360" w:lineRule="auto"/>
        <w:rPr>
          <w:rFonts w:ascii="宋体" w:hAnsi="宋体" w:eastAsia="宋体" w:cs="宋体"/>
          <w:sz w:val="21"/>
          <w:szCs w:val="21"/>
        </w:rPr>
      </w:pPr>
      <w:r>
        <w:rPr>
          <w:rFonts w:hint="eastAsia" w:ascii="宋体" w:hAnsi="宋体" w:eastAsia="宋体" w:cs="宋体"/>
          <w:sz w:val="21"/>
          <w:szCs w:val="21"/>
        </w:rPr>
        <w:t>1.2本次项目资金来源、出资比例和资金落实情况</w:t>
      </w:r>
    </w:p>
    <w:p w14:paraId="0D11B019">
      <w:pPr>
        <w:spacing w:line="360" w:lineRule="auto"/>
        <w:ind w:firstLine="420" w:firstLineChars="200"/>
        <w:rPr>
          <w:rFonts w:ascii="宋体" w:hAnsi="宋体" w:cs="宋体"/>
          <w:szCs w:val="21"/>
        </w:rPr>
      </w:pPr>
      <w:r>
        <w:rPr>
          <w:rFonts w:hint="eastAsia" w:ascii="宋体" w:hAnsi="宋体" w:cs="宋体"/>
          <w:szCs w:val="21"/>
        </w:rPr>
        <w:t>1.2.1 本次项目资金来源：见</w:t>
      </w:r>
      <w:r>
        <w:rPr>
          <w:rFonts w:hint="eastAsia" w:ascii="宋体" w:hAnsi="宋体" w:cs="宋体"/>
          <w:szCs w:val="21"/>
          <w:lang w:eastAsia="zh-CN"/>
        </w:rPr>
        <w:t>供应商须知</w:t>
      </w:r>
      <w:r>
        <w:rPr>
          <w:rFonts w:hint="eastAsia" w:ascii="宋体" w:hAnsi="宋体" w:cs="宋体"/>
          <w:szCs w:val="21"/>
        </w:rPr>
        <w:t>前附表。</w:t>
      </w:r>
    </w:p>
    <w:p w14:paraId="384FCFD5">
      <w:pPr>
        <w:spacing w:line="360" w:lineRule="auto"/>
        <w:ind w:firstLine="420" w:firstLineChars="200"/>
        <w:rPr>
          <w:rFonts w:ascii="宋体" w:hAnsi="宋体" w:cs="宋体"/>
          <w:szCs w:val="21"/>
        </w:rPr>
      </w:pPr>
      <w:r>
        <w:rPr>
          <w:rFonts w:hint="eastAsia" w:ascii="宋体" w:hAnsi="宋体" w:cs="宋体"/>
          <w:szCs w:val="21"/>
        </w:rPr>
        <w:t>1.2.2 本项目的出资比例：见</w:t>
      </w:r>
      <w:r>
        <w:rPr>
          <w:rFonts w:hint="eastAsia" w:ascii="宋体" w:hAnsi="宋体" w:cs="宋体"/>
          <w:szCs w:val="21"/>
          <w:lang w:eastAsia="zh-CN"/>
        </w:rPr>
        <w:t>供应商须知</w:t>
      </w:r>
      <w:r>
        <w:rPr>
          <w:rFonts w:hint="eastAsia" w:ascii="宋体" w:hAnsi="宋体" w:cs="宋体"/>
          <w:szCs w:val="21"/>
        </w:rPr>
        <w:t>前附表。</w:t>
      </w:r>
    </w:p>
    <w:p w14:paraId="0B939DE5">
      <w:pPr>
        <w:spacing w:line="360" w:lineRule="auto"/>
        <w:ind w:firstLine="420" w:firstLineChars="200"/>
        <w:rPr>
          <w:rFonts w:ascii="宋体" w:hAnsi="宋体" w:cs="宋体"/>
          <w:szCs w:val="21"/>
        </w:rPr>
      </w:pPr>
      <w:r>
        <w:rPr>
          <w:rFonts w:hint="eastAsia" w:ascii="宋体" w:hAnsi="宋体" w:cs="宋体"/>
          <w:szCs w:val="21"/>
        </w:rPr>
        <w:t>1.2.3 本项目的资金落实情况：见</w:t>
      </w:r>
      <w:r>
        <w:rPr>
          <w:rFonts w:hint="eastAsia" w:ascii="宋体" w:hAnsi="宋体" w:cs="宋体"/>
          <w:szCs w:val="21"/>
          <w:lang w:eastAsia="zh-CN"/>
        </w:rPr>
        <w:t>供应商须知</w:t>
      </w:r>
      <w:r>
        <w:rPr>
          <w:rFonts w:hint="eastAsia" w:ascii="宋体" w:hAnsi="宋体" w:cs="宋体"/>
          <w:szCs w:val="21"/>
        </w:rPr>
        <w:t>前附表。</w:t>
      </w:r>
    </w:p>
    <w:p w14:paraId="36FB22EC">
      <w:pPr>
        <w:pStyle w:val="5"/>
        <w:spacing w:before="0" w:after="0" w:line="360" w:lineRule="auto"/>
      </w:pPr>
      <w:r>
        <w:rPr>
          <w:rFonts w:hint="eastAsia" w:ascii="宋体" w:hAnsi="宋体" w:eastAsia="宋体" w:cs="宋体"/>
          <w:sz w:val="21"/>
          <w:szCs w:val="21"/>
        </w:rPr>
        <w:t>1.3本次项目</w:t>
      </w:r>
      <w:r>
        <w:rPr>
          <w:rFonts w:hint="eastAsia" w:ascii="宋体" w:hAnsi="宋体" w:eastAsia="宋体" w:cs="宋体"/>
          <w:sz w:val="21"/>
          <w:szCs w:val="21"/>
          <w:lang w:eastAsia="zh-CN"/>
        </w:rPr>
        <w:t>服务内容</w:t>
      </w:r>
      <w:r>
        <w:rPr>
          <w:rFonts w:hint="eastAsia" w:ascii="宋体" w:hAnsi="宋体" w:eastAsia="宋体" w:cs="宋体"/>
          <w:sz w:val="21"/>
          <w:szCs w:val="21"/>
        </w:rPr>
        <w:t>、服务质量、标段划分和合同履行期限</w:t>
      </w:r>
    </w:p>
    <w:p w14:paraId="4EF3253B">
      <w:pPr>
        <w:spacing w:line="360" w:lineRule="auto"/>
        <w:ind w:firstLine="420" w:firstLineChars="200"/>
        <w:rPr>
          <w:rFonts w:ascii="宋体" w:hAnsi="宋体" w:cs="宋体"/>
          <w:color w:val="auto"/>
          <w:szCs w:val="21"/>
        </w:rPr>
      </w:pPr>
      <w:r>
        <w:rPr>
          <w:rFonts w:hint="eastAsia" w:ascii="宋体" w:hAnsi="宋体" w:cs="宋体"/>
          <w:szCs w:val="21"/>
        </w:rPr>
        <w:t>1.3.1 本</w:t>
      </w:r>
      <w:r>
        <w:rPr>
          <w:rFonts w:hint="eastAsia" w:ascii="宋体" w:hAnsi="宋体" w:cs="宋体"/>
          <w:color w:val="auto"/>
          <w:szCs w:val="21"/>
        </w:rPr>
        <w:t>次项目</w:t>
      </w:r>
      <w:r>
        <w:rPr>
          <w:rFonts w:hint="eastAsia" w:ascii="宋体" w:hAnsi="宋体" w:cs="宋体"/>
          <w:color w:val="auto"/>
          <w:szCs w:val="21"/>
          <w:lang w:eastAsia="zh-CN"/>
        </w:rPr>
        <w:t>服务内容</w:t>
      </w:r>
      <w:r>
        <w:rPr>
          <w:rFonts w:hint="eastAsia" w:ascii="宋体" w:hAnsi="宋体" w:cs="宋体"/>
          <w:color w:val="auto"/>
          <w:szCs w:val="21"/>
        </w:rPr>
        <w:t>：见</w:t>
      </w:r>
      <w:r>
        <w:rPr>
          <w:rFonts w:hint="eastAsia" w:ascii="宋体" w:hAnsi="宋体" w:cs="宋体"/>
          <w:color w:val="auto"/>
          <w:szCs w:val="21"/>
          <w:lang w:eastAsia="zh-CN"/>
        </w:rPr>
        <w:t>供应商须知</w:t>
      </w:r>
      <w:r>
        <w:rPr>
          <w:rFonts w:hint="eastAsia" w:ascii="宋体" w:hAnsi="宋体" w:cs="宋体"/>
          <w:color w:val="auto"/>
          <w:szCs w:val="21"/>
        </w:rPr>
        <w:t>前附表。</w:t>
      </w:r>
    </w:p>
    <w:p w14:paraId="26CA73C0">
      <w:pPr>
        <w:spacing w:line="360" w:lineRule="auto"/>
        <w:ind w:firstLine="420" w:firstLineChars="200"/>
        <w:rPr>
          <w:rFonts w:ascii="宋体" w:hAnsi="宋体" w:cs="宋体"/>
          <w:szCs w:val="21"/>
        </w:rPr>
      </w:pPr>
      <w:r>
        <w:rPr>
          <w:rFonts w:hint="eastAsia" w:ascii="宋体" w:hAnsi="宋体" w:cs="宋体"/>
          <w:szCs w:val="21"/>
        </w:rPr>
        <w:t>1.3.2本次项目服务质量：见</w:t>
      </w:r>
      <w:r>
        <w:rPr>
          <w:rFonts w:hint="eastAsia" w:ascii="宋体" w:hAnsi="宋体" w:cs="宋体"/>
          <w:szCs w:val="21"/>
          <w:lang w:eastAsia="zh-CN"/>
        </w:rPr>
        <w:t>供应商须知</w:t>
      </w:r>
      <w:r>
        <w:rPr>
          <w:rFonts w:hint="eastAsia" w:ascii="宋体" w:hAnsi="宋体" w:cs="宋体"/>
          <w:szCs w:val="21"/>
        </w:rPr>
        <w:t>前附表。</w:t>
      </w:r>
    </w:p>
    <w:p w14:paraId="3DB756C8">
      <w:pPr>
        <w:spacing w:line="360" w:lineRule="auto"/>
        <w:ind w:firstLine="420" w:firstLineChars="200"/>
        <w:rPr>
          <w:rFonts w:ascii="宋体" w:hAnsi="宋体" w:cs="宋体"/>
          <w:szCs w:val="21"/>
        </w:rPr>
      </w:pPr>
      <w:r>
        <w:rPr>
          <w:rFonts w:hint="eastAsia" w:ascii="宋体" w:hAnsi="宋体" w:cs="宋体"/>
          <w:szCs w:val="21"/>
        </w:rPr>
        <w:t>1.3.3本次项目标段划分：见</w:t>
      </w:r>
      <w:r>
        <w:rPr>
          <w:rFonts w:hint="eastAsia" w:ascii="宋体" w:hAnsi="宋体" w:cs="宋体"/>
          <w:szCs w:val="21"/>
          <w:lang w:eastAsia="zh-CN"/>
        </w:rPr>
        <w:t>供应商须知</w:t>
      </w:r>
      <w:r>
        <w:rPr>
          <w:rFonts w:hint="eastAsia" w:ascii="宋体" w:hAnsi="宋体" w:cs="宋体"/>
          <w:szCs w:val="21"/>
        </w:rPr>
        <w:t>前附表。</w:t>
      </w:r>
    </w:p>
    <w:p w14:paraId="6A4F81B5">
      <w:pPr>
        <w:spacing w:line="360" w:lineRule="auto"/>
        <w:ind w:firstLine="420" w:firstLineChars="200"/>
        <w:rPr>
          <w:rFonts w:ascii="宋体" w:hAnsi="宋体" w:cs="宋体"/>
          <w:szCs w:val="21"/>
        </w:rPr>
      </w:pPr>
      <w:r>
        <w:rPr>
          <w:rFonts w:hint="eastAsia" w:ascii="宋体" w:hAnsi="宋体" w:cs="宋体"/>
          <w:szCs w:val="21"/>
        </w:rPr>
        <w:t>1.3.4本次项目合同履行期限：见</w:t>
      </w:r>
      <w:r>
        <w:rPr>
          <w:rFonts w:hint="eastAsia" w:ascii="宋体" w:hAnsi="宋体" w:cs="宋体"/>
          <w:szCs w:val="21"/>
          <w:lang w:eastAsia="zh-CN"/>
        </w:rPr>
        <w:t>供应商须知</w:t>
      </w:r>
      <w:r>
        <w:rPr>
          <w:rFonts w:hint="eastAsia" w:ascii="宋体" w:hAnsi="宋体" w:cs="宋体"/>
          <w:szCs w:val="21"/>
        </w:rPr>
        <w:t>前附表。</w:t>
      </w:r>
    </w:p>
    <w:p w14:paraId="32E1D102">
      <w:pPr>
        <w:pStyle w:val="5"/>
        <w:spacing w:before="0" w:after="0" w:line="360" w:lineRule="auto"/>
        <w:rPr>
          <w:rFonts w:hint="eastAsia" w:ascii="宋体" w:hAnsi="宋体" w:eastAsia="宋体" w:cs="宋体"/>
          <w:sz w:val="21"/>
          <w:szCs w:val="21"/>
          <w:lang w:eastAsia="zh-CN"/>
        </w:rPr>
      </w:pPr>
      <w:r>
        <w:rPr>
          <w:rFonts w:hint="eastAsia" w:ascii="宋体" w:hAnsi="宋体" w:eastAsia="宋体" w:cs="宋体"/>
          <w:sz w:val="21"/>
          <w:szCs w:val="21"/>
        </w:rPr>
        <w:t>1.4</w:t>
      </w:r>
      <w:r>
        <w:rPr>
          <w:rFonts w:hint="eastAsia" w:ascii="宋体" w:hAnsi="宋体" w:eastAsia="宋体" w:cs="宋体"/>
          <w:sz w:val="21"/>
          <w:szCs w:val="21"/>
          <w:lang w:eastAsia="zh-CN"/>
        </w:rPr>
        <w:t>供应商资格要求</w:t>
      </w:r>
    </w:p>
    <w:p w14:paraId="0E0DE3DC">
      <w:pPr>
        <w:spacing w:line="360" w:lineRule="auto"/>
        <w:ind w:firstLine="525" w:firstLineChars="250"/>
        <w:rPr>
          <w:rFonts w:ascii="宋体" w:hAnsi="宋体" w:cs="宋体"/>
          <w:szCs w:val="21"/>
        </w:rPr>
      </w:pPr>
      <w:r>
        <w:rPr>
          <w:rFonts w:hint="eastAsia" w:ascii="宋体" w:hAnsi="宋体" w:cs="宋体"/>
          <w:szCs w:val="21"/>
        </w:rPr>
        <w:t>1.4.1 投标人应具备承担本项目的资质条件能力和信誉要求。</w:t>
      </w:r>
    </w:p>
    <w:p w14:paraId="353484B0">
      <w:pPr>
        <w:spacing w:line="360" w:lineRule="auto"/>
        <w:ind w:firstLine="525" w:firstLineChars="250"/>
        <w:rPr>
          <w:rFonts w:hint="eastAsia" w:ascii="宋体" w:hAnsi="宋体" w:eastAsia="宋体" w:cs="宋体"/>
          <w:szCs w:val="21"/>
          <w:lang w:eastAsia="zh-CN"/>
        </w:rPr>
      </w:pPr>
      <w:r>
        <w:rPr>
          <w:rFonts w:hint="eastAsia" w:ascii="宋体" w:hAnsi="宋体" w:cs="宋体"/>
          <w:szCs w:val="21"/>
        </w:rPr>
        <w:t>1.4.2 是否接受联合体投标</w:t>
      </w:r>
      <w:r>
        <w:rPr>
          <w:rFonts w:hint="eastAsia" w:ascii="宋体" w:hAnsi="宋体" w:cs="宋体"/>
          <w:szCs w:val="21"/>
          <w:lang w:eastAsia="zh-CN"/>
        </w:rPr>
        <w:t>：</w:t>
      </w:r>
      <w:r>
        <w:rPr>
          <w:rFonts w:hint="eastAsia" w:ascii="宋体" w:hAnsi="宋体" w:cs="宋体"/>
          <w:szCs w:val="21"/>
        </w:rPr>
        <w:t>见</w:t>
      </w:r>
      <w:r>
        <w:rPr>
          <w:rFonts w:hint="eastAsia" w:ascii="宋体" w:hAnsi="宋体" w:cs="宋体"/>
          <w:szCs w:val="21"/>
          <w:lang w:eastAsia="zh-CN"/>
        </w:rPr>
        <w:t>供应商须知</w:t>
      </w:r>
      <w:r>
        <w:rPr>
          <w:rFonts w:hint="eastAsia" w:ascii="宋体" w:hAnsi="宋体" w:cs="宋体"/>
          <w:szCs w:val="21"/>
        </w:rPr>
        <w:t>前附表。</w:t>
      </w:r>
    </w:p>
    <w:p w14:paraId="4D3E0A02">
      <w:pPr>
        <w:spacing w:line="360" w:lineRule="auto"/>
        <w:ind w:firstLine="525" w:firstLineChars="250"/>
        <w:rPr>
          <w:rFonts w:ascii="宋体" w:hAnsi="宋体" w:cs="宋体"/>
          <w:szCs w:val="21"/>
        </w:rPr>
      </w:pPr>
      <w:r>
        <w:rPr>
          <w:rFonts w:hint="eastAsia" w:ascii="宋体" w:hAnsi="宋体" w:cs="宋体"/>
          <w:szCs w:val="21"/>
          <w:lang w:val="en-US" w:eastAsia="zh-CN"/>
        </w:rPr>
        <w:t xml:space="preserve">1.4.3 </w:t>
      </w:r>
      <w:r>
        <w:rPr>
          <w:rFonts w:hint="eastAsia" w:ascii="宋体" w:hAnsi="宋体" w:cs="宋体"/>
          <w:szCs w:val="21"/>
        </w:rPr>
        <w:t>投标人不得存在下列情形之一：</w:t>
      </w:r>
    </w:p>
    <w:p w14:paraId="30A1AE16">
      <w:pPr>
        <w:spacing w:line="360" w:lineRule="auto"/>
        <w:ind w:firstLine="525" w:firstLineChars="250"/>
        <w:rPr>
          <w:rFonts w:ascii="宋体" w:hAnsi="宋体" w:cs="宋体"/>
          <w:szCs w:val="21"/>
        </w:rPr>
      </w:pPr>
      <w:r>
        <w:rPr>
          <w:rFonts w:hint="eastAsia" w:ascii="宋体" w:hAnsi="宋体" w:cs="宋体"/>
          <w:szCs w:val="21"/>
        </w:rPr>
        <w:t>(l）为</w:t>
      </w:r>
      <w:r>
        <w:rPr>
          <w:rFonts w:hint="eastAsia" w:ascii="宋体" w:hAnsi="宋体" w:cs="宋体"/>
          <w:szCs w:val="21"/>
          <w:lang w:eastAsia="zh-CN"/>
        </w:rPr>
        <w:t>采购人</w:t>
      </w:r>
      <w:r>
        <w:rPr>
          <w:rFonts w:hint="eastAsia" w:ascii="宋体" w:hAnsi="宋体" w:cs="宋体"/>
          <w:szCs w:val="21"/>
        </w:rPr>
        <w:t xml:space="preserve">不具有独立法人资格的附属机构（单位）； </w:t>
      </w:r>
    </w:p>
    <w:p w14:paraId="1E24F6E5">
      <w:pPr>
        <w:spacing w:line="360" w:lineRule="auto"/>
        <w:ind w:firstLine="525" w:firstLineChars="250"/>
        <w:rPr>
          <w:rFonts w:ascii="宋体" w:hAnsi="宋体" w:cs="宋体"/>
          <w:szCs w:val="21"/>
        </w:rPr>
      </w:pPr>
      <w:r>
        <w:rPr>
          <w:rFonts w:hint="eastAsia" w:ascii="宋体" w:hAnsi="宋体" w:cs="宋体"/>
          <w:szCs w:val="21"/>
        </w:rPr>
        <w:t>(2）被责令停业的；</w:t>
      </w:r>
    </w:p>
    <w:p w14:paraId="278376A3">
      <w:pPr>
        <w:spacing w:line="360" w:lineRule="auto"/>
        <w:ind w:firstLine="525" w:firstLineChars="250"/>
        <w:rPr>
          <w:rFonts w:ascii="宋体" w:hAnsi="宋体" w:cs="宋体"/>
          <w:szCs w:val="21"/>
        </w:rPr>
      </w:pPr>
      <w:r>
        <w:rPr>
          <w:rFonts w:hint="eastAsia" w:ascii="宋体" w:hAnsi="宋体" w:cs="宋体"/>
          <w:szCs w:val="21"/>
        </w:rPr>
        <w:t>(3）被暂停或取消投标资格的；</w:t>
      </w:r>
    </w:p>
    <w:p w14:paraId="21D626EF">
      <w:pPr>
        <w:spacing w:line="360" w:lineRule="auto"/>
        <w:ind w:firstLine="525" w:firstLineChars="250"/>
        <w:rPr>
          <w:rFonts w:ascii="宋体" w:hAnsi="宋体" w:cs="宋体"/>
          <w:szCs w:val="21"/>
        </w:rPr>
      </w:pPr>
      <w:r>
        <w:rPr>
          <w:rFonts w:hint="eastAsia" w:ascii="宋体" w:hAnsi="宋体" w:cs="宋体"/>
          <w:szCs w:val="21"/>
        </w:rPr>
        <w:t>(4）财产被接管或冻结的；</w:t>
      </w:r>
    </w:p>
    <w:p w14:paraId="59DDC35A">
      <w:pPr>
        <w:spacing w:line="360" w:lineRule="auto"/>
        <w:ind w:firstLine="525" w:firstLineChars="250"/>
        <w:rPr>
          <w:rFonts w:ascii="宋体" w:hAnsi="宋体" w:cs="宋体"/>
          <w:szCs w:val="21"/>
        </w:rPr>
      </w:pPr>
      <w:r>
        <w:rPr>
          <w:rFonts w:hint="eastAsia" w:ascii="宋体" w:hAnsi="宋体" w:cs="宋体"/>
          <w:szCs w:val="21"/>
        </w:rPr>
        <w:t>(5）参加政府采购活动前三年内在经营活动中有重大违法记录的；</w:t>
      </w:r>
    </w:p>
    <w:p w14:paraId="12152029">
      <w:pPr>
        <w:spacing w:line="360" w:lineRule="auto"/>
        <w:ind w:firstLine="420" w:firstLineChars="200"/>
        <w:rPr>
          <w:rFonts w:ascii="宋体" w:hAnsi="宋体" w:cs="宋体"/>
          <w:szCs w:val="21"/>
        </w:rPr>
      </w:pPr>
      <w:r>
        <w:rPr>
          <w:rFonts w:hint="eastAsia" w:ascii="宋体" w:hAnsi="宋体" w:cs="宋体"/>
          <w:szCs w:val="21"/>
        </w:rPr>
        <w:t>（6）与</w:t>
      </w:r>
      <w:r>
        <w:rPr>
          <w:rFonts w:hint="eastAsia" w:ascii="宋体" w:hAnsi="宋体" w:cs="宋体"/>
          <w:szCs w:val="21"/>
          <w:lang w:eastAsia="zh-CN"/>
        </w:rPr>
        <w:t>采购人</w:t>
      </w:r>
      <w:r>
        <w:rPr>
          <w:rFonts w:hint="eastAsia" w:ascii="宋体" w:hAnsi="宋体" w:cs="宋体"/>
          <w:szCs w:val="21"/>
        </w:rPr>
        <w:t>存在利害关系且可能影响招标公正性；</w:t>
      </w:r>
    </w:p>
    <w:p w14:paraId="0A52CF86">
      <w:pPr>
        <w:spacing w:line="360" w:lineRule="auto"/>
        <w:ind w:firstLine="420" w:firstLineChars="200"/>
        <w:rPr>
          <w:rFonts w:ascii="宋体" w:hAnsi="宋体" w:cs="宋体"/>
          <w:szCs w:val="21"/>
        </w:rPr>
      </w:pPr>
      <w:r>
        <w:rPr>
          <w:rFonts w:hint="eastAsia" w:ascii="宋体" w:hAnsi="宋体" w:cs="宋体"/>
          <w:szCs w:val="21"/>
        </w:rPr>
        <w:t>（7）与本招标项目的其他投标人为同一个单位负责人；</w:t>
      </w:r>
    </w:p>
    <w:p w14:paraId="43F553DA">
      <w:pPr>
        <w:spacing w:line="360" w:lineRule="auto"/>
        <w:ind w:firstLine="420" w:firstLineChars="200"/>
        <w:rPr>
          <w:rFonts w:ascii="宋体" w:hAnsi="宋体" w:cs="宋体"/>
          <w:szCs w:val="21"/>
        </w:rPr>
      </w:pPr>
      <w:r>
        <w:rPr>
          <w:rFonts w:hint="eastAsia" w:ascii="宋体" w:hAnsi="宋体" w:cs="宋体"/>
          <w:szCs w:val="21"/>
        </w:rPr>
        <w:t>（8）与本招标项目的其他投标人存在控股、管理关系；</w:t>
      </w:r>
    </w:p>
    <w:p w14:paraId="70F80895">
      <w:pPr>
        <w:spacing w:line="360" w:lineRule="auto"/>
        <w:ind w:firstLine="420" w:firstLineChars="200"/>
        <w:rPr>
          <w:rFonts w:ascii="宋体" w:hAnsi="宋体" w:cs="宋体"/>
          <w:szCs w:val="21"/>
        </w:rPr>
      </w:pPr>
      <w:r>
        <w:rPr>
          <w:rFonts w:hint="eastAsia" w:ascii="宋体" w:hAnsi="宋体" w:cs="宋体"/>
          <w:szCs w:val="21"/>
        </w:rPr>
        <w:t>（9）为本招标项目的招标代理机构；</w:t>
      </w:r>
    </w:p>
    <w:p w14:paraId="5D172DC1">
      <w:pPr>
        <w:spacing w:line="360" w:lineRule="auto"/>
        <w:ind w:firstLine="420" w:firstLineChars="200"/>
        <w:rPr>
          <w:rFonts w:ascii="宋体" w:hAnsi="宋体" w:cs="宋体"/>
          <w:szCs w:val="21"/>
        </w:rPr>
      </w:pPr>
      <w:r>
        <w:rPr>
          <w:rFonts w:hint="eastAsia" w:ascii="宋体" w:hAnsi="宋体" w:cs="宋体"/>
          <w:szCs w:val="21"/>
        </w:rPr>
        <w:t>（10）投标人以他人名义投标、串通投标、以行贿手段牟取中标，或在投标中弄虚作假的；</w:t>
      </w:r>
    </w:p>
    <w:p w14:paraId="7DEAAAC5">
      <w:pPr>
        <w:spacing w:line="360" w:lineRule="auto"/>
        <w:ind w:firstLine="420" w:firstLineChars="200"/>
        <w:rPr>
          <w:rFonts w:ascii="宋体" w:hAnsi="宋体" w:cs="宋体"/>
          <w:szCs w:val="21"/>
        </w:rPr>
      </w:pPr>
      <w:r>
        <w:rPr>
          <w:rFonts w:hint="eastAsia" w:ascii="宋体" w:hAnsi="宋体" w:cs="宋体"/>
          <w:szCs w:val="21"/>
        </w:rPr>
        <w:t>（11）法律法规规定的其他情形。</w:t>
      </w:r>
    </w:p>
    <w:p w14:paraId="3455B11E">
      <w:pPr>
        <w:pStyle w:val="5"/>
        <w:spacing w:before="0" w:after="0" w:line="360" w:lineRule="auto"/>
        <w:rPr>
          <w:rFonts w:ascii="宋体" w:hAnsi="宋体" w:eastAsia="宋体" w:cs="宋体"/>
          <w:sz w:val="21"/>
          <w:szCs w:val="21"/>
        </w:rPr>
      </w:pPr>
      <w:r>
        <w:rPr>
          <w:rFonts w:hint="eastAsia" w:ascii="宋体" w:hAnsi="宋体" w:eastAsia="宋体" w:cs="宋体"/>
          <w:sz w:val="21"/>
          <w:szCs w:val="21"/>
        </w:rPr>
        <w:t>1.5费用承担</w:t>
      </w:r>
    </w:p>
    <w:p w14:paraId="5ECC647E">
      <w:pPr>
        <w:spacing w:line="360" w:lineRule="auto"/>
        <w:ind w:firstLine="420" w:firstLineChars="200"/>
        <w:rPr>
          <w:rFonts w:ascii="宋体" w:hAnsi="宋体" w:cs="宋体"/>
          <w:szCs w:val="21"/>
        </w:rPr>
      </w:pPr>
      <w:r>
        <w:rPr>
          <w:rFonts w:hint="eastAsia" w:ascii="宋体" w:hAnsi="宋体" w:cs="宋体"/>
          <w:szCs w:val="21"/>
        </w:rPr>
        <w:t>无论投标过程中的作法和结果如何,投标人应自行承担所有与参加投标有关的全部费用，采购代理机构在任何情况下均无义务和责任承担上述费用。</w:t>
      </w:r>
    </w:p>
    <w:p w14:paraId="56251DB9">
      <w:pPr>
        <w:pStyle w:val="5"/>
        <w:spacing w:before="0" w:after="0" w:line="360" w:lineRule="auto"/>
        <w:rPr>
          <w:rFonts w:ascii="宋体" w:hAnsi="宋体" w:eastAsia="宋体" w:cs="宋体"/>
          <w:sz w:val="21"/>
          <w:szCs w:val="21"/>
        </w:rPr>
      </w:pPr>
      <w:r>
        <w:rPr>
          <w:rFonts w:hint="eastAsia" w:ascii="宋体" w:hAnsi="宋体" w:eastAsia="宋体" w:cs="宋体"/>
          <w:sz w:val="21"/>
          <w:szCs w:val="21"/>
        </w:rPr>
        <w:t>1.6保密</w:t>
      </w:r>
    </w:p>
    <w:p w14:paraId="5CFDE8DE">
      <w:pPr>
        <w:spacing w:line="360" w:lineRule="auto"/>
        <w:ind w:firstLine="420" w:firstLineChars="200"/>
        <w:rPr>
          <w:rFonts w:ascii="宋体" w:hAnsi="宋体" w:cs="宋体"/>
          <w:szCs w:val="21"/>
        </w:rPr>
      </w:pPr>
      <w:r>
        <w:rPr>
          <w:rFonts w:hint="eastAsia" w:ascii="宋体" w:hAnsi="宋体" w:cs="宋体"/>
          <w:szCs w:val="21"/>
        </w:rPr>
        <w:t>参与招标投标活动的各方应对招标文件和投标文件中的商业和技术等秘密保密，违者应对由此造成的后果承担法律责任。</w:t>
      </w:r>
    </w:p>
    <w:p w14:paraId="504267BC">
      <w:pPr>
        <w:pStyle w:val="5"/>
        <w:spacing w:before="0" w:after="0" w:line="360" w:lineRule="auto"/>
        <w:rPr>
          <w:rFonts w:ascii="宋体" w:hAnsi="宋体" w:eastAsia="宋体" w:cs="宋体"/>
          <w:sz w:val="21"/>
          <w:szCs w:val="21"/>
        </w:rPr>
      </w:pPr>
      <w:r>
        <w:rPr>
          <w:rFonts w:hint="eastAsia" w:ascii="宋体" w:hAnsi="宋体" w:eastAsia="宋体" w:cs="宋体"/>
          <w:sz w:val="21"/>
          <w:szCs w:val="21"/>
        </w:rPr>
        <w:t>1.7语言文字</w:t>
      </w:r>
    </w:p>
    <w:p w14:paraId="5BD90C18">
      <w:pPr>
        <w:spacing w:line="360" w:lineRule="auto"/>
        <w:ind w:firstLine="420" w:firstLineChars="200"/>
        <w:rPr>
          <w:rFonts w:ascii="宋体" w:hAnsi="宋体" w:cs="宋体"/>
          <w:szCs w:val="21"/>
        </w:rPr>
      </w:pPr>
      <w:r>
        <w:rPr>
          <w:rFonts w:hint="eastAsia" w:ascii="宋体" w:hAnsi="宋体" w:cs="宋体"/>
          <w:szCs w:val="21"/>
        </w:rPr>
        <w:t>除专用术语外，与招标投标有关的语言均使用中文。必要时专用术语应附有中文注释。</w:t>
      </w:r>
    </w:p>
    <w:p w14:paraId="3E8552C3">
      <w:pPr>
        <w:pStyle w:val="5"/>
        <w:spacing w:before="0" w:after="0" w:line="360" w:lineRule="auto"/>
        <w:rPr>
          <w:rFonts w:ascii="宋体" w:hAnsi="宋体" w:eastAsia="宋体" w:cs="宋体"/>
          <w:sz w:val="21"/>
          <w:szCs w:val="21"/>
        </w:rPr>
      </w:pPr>
      <w:r>
        <w:rPr>
          <w:rFonts w:hint="eastAsia" w:ascii="宋体" w:hAnsi="宋体" w:eastAsia="宋体" w:cs="宋体"/>
          <w:sz w:val="21"/>
          <w:szCs w:val="21"/>
        </w:rPr>
        <w:t>1.8计量单位</w:t>
      </w:r>
    </w:p>
    <w:p w14:paraId="6DD67E26">
      <w:pPr>
        <w:spacing w:line="360" w:lineRule="auto"/>
        <w:ind w:firstLine="420" w:firstLineChars="200"/>
        <w:rPr>
          <w:rFonts w:ascii="宋体" w:hAnsi="宋体" w:cs="宋体"/>
          <w:szCs w:val="21"/>
        </w:rPr>
      </w:pPr>
      <w:r>
        <w:rPr>
          <w:rFonts w:hint="eastAsia" w:ascii="宋体" w:hAnsi="宋体" w:cs="宋体"/>
          <w:szCs w:val="21"/>
        </w:rPr>
        <w:t>所有计量均采用中华人民共和国法定计量单位。</w:t>
      </w:r>
    </w:p>
    <w:p w14:paraId="7B9810F1">
      <w:pPr>
        <w:pStyle w:val="5"/>
        <w:spacing w:before="0" w:after="0" w:line="360" w:lineRule="auto"/>
        <w:rPr>
          <w:rFonts w:ascii="宋体" w:hAnsi="宋体" w:eastAsia="宋体" w:cs="宋体"/>
          <w:sz w:val="21"/>
        </w:rPr>
      </w:pPr>
      <w:r>
        <w:rPr>
          <w:rFonts w:hint="eastAsia" w:ascii="宋体" w:hAnsi="宋体" w:eastAsia="宋体" w:cs="宋体"/>
          <w:sz w:val="21"/>
        </w:rPr>
        <w:t>1.9踏勘现场</w:t>
      </w:r>
    </w:p>
    <w:p w14:paraId="486D2C43">
      <w:pPr>
        <w:spacing w:line="360" w:lineRule="auto"/>
        <w:ind w:firstLine="420" w:firstLineChars="200"/>
        <w:rPr>
          <w:rFonts w:ascii="宋体" w:hAnsi="宋体" w:cs="宋体"/>
          <w:szCs w:val="21"/>
        </w:rPr>
      </w:pPr>
      <w:r>
        <w:rPr>
          <w:rFonts w:hint="eastAsia" w:ascii="宋体" w:hAnsi="宋体" w:cs="宋体"/>
          <w:szCs w:val="21"/>
        </w:rPr>
        <w:t>不组织</w:t>
      </w:r>
    </w:p>
    <w:p w14:paraId="06D8A65E">
      <w:pPr>
        <w:pStyle w:val="5"/>
        <w:spacing w:before="0" w:after="0" w:line="360" w:lineRule="auto"/>
        <w:rPr>
          <w:rFonts w:ascii="宋体" w:hAnsi="宋体" w:eastAsia="宋体" w:cs="宋体"/>
          <w:sz w:val="21"/>
        </w:rPr>
      </w:pPr>
      <w:r>
        <w:rPr>
          <w:rFonts w:hint="eastAsia" w:ascii="宋体" w:hAnsi="宋体" w:eastAsia="宋体" w:cs="宋体"/>
          <w:sz w:val="21"/>
        </w:rPr>
        <w:t>1.10投标预备会、投标人提出异议的截止时间和</w:t>
      </w:r>
      <w:r>
        <w:rPr>
          <w:rFonts w:hint="eastAsia" w:ascii="宋体" w:hAnsi="宋体" w:eastAsia="宋体" w:cs="宋体"/>
          <w:sz w:val="21"/>
          <w:lang w:eastAsia="zh-CN"/>
        </w:rPr>
        <w:t>采购人</w:t>
      </w:r>
      <w:r>
        <w:rPr>
          <w:rFonts w:hint="eastAsia" w:ascii="宋体" w:hAnsi="宋体" w:eastAsia="宋体" w:cs="宋体"/>
          <w:sz w:val="21"/>
        </w:rPr>
        <w:t>书面澄清的时间</w:t>
      </w:r>
    </w:p>
    <w:p w14:paraId="46DF8242">
      <w:pPr>
        <w:spacing w:line="360" w:lineRule="auto"/>
        <w:ind w:firstLine="420" w:firstLineChars="200"/>
        <w:rPr>
          <w:rFonts w:ascii="宋体" w:hAnsi="宋体" w:cs="宋体"/>
          <w:szCs w:val="21"/>
        </w:rPr>
      </w:pPr>
      <w:r>
        <w:rPr>
          <w:rFonts w:hint="eastAsia" w:ascii="宋体" w:hAnsi="宋体" w:cs="宋体"/>
          <w:szCs w:val="21"/>
        </w:rPr>
        <w:t>1.10.1投标预备会：见</w:t>
      </w:r>
      <w:r>
        <w:rPr>
          <w:rFonts w:hint="eastAsia" w:ascii="宋体" w:hAnsi="宋体" w:cs="宋体"/>
          <w:szCs w:val="21"/>
          <w:lang w:eastAsia="zh-CN"/>
        </w:rPr>
        <w:t>供应商须知</w:t>
      </w:r>
      <w:r>
        <w:rPr>
          <w:rFonts w:hint="eastAsia" w:ascii="宋体" w:hAnsi="宋体" w:cs="宋体"/>
          <w:szCs w:val="21"/>
        </w:rPr>
        <w:t>前附表。</w:t>
      </w:r>
    </w:p>
    <w:p w14:paraId="233FB574">
      <w:pPr>
        <w:spacing w:line="360" w:lineRule="auto"/>
        <w:ind w:firstLine="420" w:firstLineChars="200"/>
        <w:rPr>
          <w:rFonts w:ascii="宋体" w:hAnsi="宋体" w:cs="宋体"/>
          <w:szCs w:val="21"/>
        </w:rPr>
      </w:pPr>
      <w:r>
        <w:rPr>
          <w:rFonts w:hint="eastAsia" w:ascii="宋体" w:hAnsi="宋体" w:cs="宋体"/>
          <w:szCs w:val="21"/>
        </w:rPr>
        <w:t>1.10.2投标人提出异议的截止时间：见</w:t>
      </w:r>
      <w:r>
        <w:rPr>
          <w:rFonts w:hint="eastAsia" w:ascii="宋体" w:hAnsi="宋体" w:cs="宋体"/>
          <w:szCs w:val="21"/>
          <w:lang w:eastAsia="zh-CN"/>
        </w:rPr>
        <w:t>供应商须知</w:t>
      </w:r>
      <w:r>
        <w:rPr>
          <w:rFonts w:hint="eastAsia" w:ascii="宋体" w:hAnsi="宋体" w:cs="宋体"/>
          <w:szCs w:val="21"/>
        </w:rPr>
        <w:t>前附表。</w:t>
      </w:r>
    </w:p>
    <w:p w14:paraId="437E585A">
      <w:pPr>
        <w:spacing w:line="360" w:lineRule="auto"/>
        <w:ind w:firstLine="420" w:firstLineChars="200"/>
      </w:pPr>
      <w:r>
        <w:rPr>
          <w:rFonts w:hint="eastAsia" w:ascii="宋体" w:hAnsi="宋体" w:cs="宋体"/>
          <w:szCs w:val="21"/>
        </w:rPr>
        <w:t>1.10.3</w:t>
      </w:r>
      <w:r>
        <w:rPr>
          <w:rFonts w:hint="eastAsia" w:ascii="宋体" w:hAnsi="宋体" w:cs="宋体"/>
          <w:szCs w:val="21"/>
          <w:lang w:eastAsia="zh-CN"/>
        </w:rPr>
        <w:t>采购人</w:t>
      </w:r>
      <w:r>
        <w:rPr>
          <w:rFonts w:hint="eastAsia" w:ascii="宋体" w:hAnsi="宋体" w:cs="宋体"/>
          <w:szCs w:val="21"/>
        </w:rPr>
        <w:t>书面澄清的时间：见</w:t>
      </w:r>
      <w:r>
        <w:rPr>
          <w:rFonts w:hint="eastAsia" w:ascii="宋体" w:hAnsi="宋体" w:cs="宋体"/>
          <w:szCs w:val="21"/>
          <w:lang w:eastAsia="zh-CN"/>
        </w:rPr>
        <w:t>供应商须知</w:t>
      </w:r>
      <w:r>
        <w:rPr>
          <w:rFonts w:hint="eastAsia" w:ascii="宋体" w:hAnsi="宋体" w:cs="宋体"/>
          <w:szCs w:val="21"/>
        </w:rPr>
        <w:t>前附表。</w:t>
      </w:r>
    </w:p>
    <w:p w14:paraId="78ED1BE5">
      <w:pPr>
        <w:pStyle w:val="5"/>
        <w:spacing w:before="0" w:after="0" w:line="360" w:lineRule="auto"/>
        <w:rPr>
          <w:rFonts w:ascii="宋体" w:hAnsi="宋体" w:eastAsia="宋体" w:cs="宋体"/>
          <w:sz w:val="21"/>
        </w:rPr>
      </w:pPr>
      <w:r>
        <w:rPr>
          <w:rFonts w:hint="eastAsia" w:ascii="宋体" w:hAnsi="宋体" w:eastAsia="宋体" w:cs="宋体"/>
          <w:sz w:val="21"/>
        </w:rPr>
        <w:t>1.11分包（</w:t>
      </w:r>
      <w:r>
        <w:rPr>
          <w:rFonts w:hint="eastAsia" w:ascii="宋体" w:hAnsi="宋体" w:eastAsia="宋体" w:cs="宋体"/>
          <w:sz w:val="21"/>
          <w:lang w:eastAsia="zh-CN"/>
        </w:rPr>
        <w:t>不允许分包</w:t>
      </w:r>
      <w:r>
        <w:rPr>
          <w:rFonts w:hint="eastAsia" w:ascii="宋体" w:hAnsi="宋体" w:eastAsia="宋体" w:cs="宋体"/>
          <w:sz w:val="21"/>
        </w:rPr>
        <w:t>）</w:t>
      </w:r>
    </w:p>
    <w:p w14:paraId="16D000B0">
      <w:pPr>
        <w:pStyle w:val="5"/>
        <w:spacing w:before="0" w:after="0" w:line="360" w:lineRule="auto"/>
        <w:rPr>
          <w:rFonts w:hint="eastAsia" w:eastAsia="宋体" w:cs="宋体"/>
          <w:sz w:val="24"/>
          <w:szCs w:val="24"/>
          <w:lang w:eastAsia="zh-CN"/>
        </w:rPr>
      </w:pPr>
      <w:r>
        <w:rPr>
          <w:rFonts w:hint="eastAsia" w:ascii="宋体" w:hAnsi="宋体" w:eastAsia="宋体" w:cs="宋体"/>
          <w:sz w:val="21"/>
        </w:rPr>
        <w:t>1.12偏离</w:t>
      </w:r>
      <w:bookmarkStart w:id="66" w:name="_Toc184635072"/>
      <w:bookmarkStart w:id="67" w:name="_Toc31537"/>
      <w:bookmarkStart w:id="68" w:name="_Toc8327"/>
      <w:bookmarkStart w:id="69" w:name="_Toc13145"/>
      <w:bookmarkStart w:id="70" w:name="_Toc7506"/>
      <w:bookmarkStart w:id="71" w:name="_Toc5420"/>
      <w:r>
        <w:rPr>
          <w:rFonts w:hint="eastAsia" w:ascii="宋体" w:hAnsi="宋体" w:eastAsia="宋体" w:cs="宋体"/>
          <w:sz w:val="21"/>
          <w:lang w:eastAsia="zh-CN"/>
        </w:rPr>
        <w:t>（不允许）</w:t>
      </w:r>
    </w:p>
    <w:p w14:paraId="51F5FD5E">
      <w:pPr>
        <w:pStyle w:val="2"/>
        <w:spacing w:line="360" w:lineRule="auto"/>
        <w:rPr>
          <w:rFonts w:cs="宋体"/>
          <w:sz w:val="24"/>
          <w:szCs w:val="24"/>
        </w:rPr>
      </w:pPr>
      <w:r>
        <w:rPr>
          <w:rFonts w:hint="eastAsia" w:cs="宋体"/>
          <w:sz w:val="24"/>
          <w:szCs w:val="24"/>
        </w:rPr>
        <w:t>2．</w:t>
      </w:r>
      <w:bookmarkEnd w:id="66"/>
      <w:r>
        <w:rPr>
          <w:rFonts w:hint="eastAsia" w:cs="宋体"/>
          <w:sz w:val="24"/>
          <w:szCs w:val="24"/>
        </w:rPr>
        <w:t>招标文件</w:t>
      </w:r>
      <w:bookmarkEnd w:id="67"/>
      <w:bookmarkEnd w:id="68"/>
      <w:bookmarkEnd w:id="69"/>
      <w:bookmarkEnd w:id="70"/>
      <w:bookmarkEnd w:id="71"/>
    </w:p>
    <w:p w14:paraId="662C96EE">
      <w:pPr>
        <w:pStyle w:val="5"/>
        <w:spacing w:before="0" w:after="0" w:line="360" w:lineRule="auto"/>
        <w:rPr>
          <w:rFonts w:ascii="宋体" w:hAnsi="宋体" w:eastAsia="宋体" w:cs="宋体"/>
          <w:sz w:val="21"/>
          <w:szCs w:val="21"/>
        </w:rPr>
      </w:pPr>
      <w:r>
        <w:rPr>
          <w:rFonts w:hint="eastAsia" w:ascii="宋体" w:hAnsi="宋体" w:eastAsia="宋体" w:cs="宋体"/>
          <w:sz w:val="21"/>
          <w:szCs w:val="21"/>
        </w:rPr>
        <w:t>2.1招标文件的组成</w:t>
      </w:r>
    </w:p>
    <w:p w14:paraId="0921D32D">
      <w:pPr>
        <w:spacing w:line="360" w:lineRule="auto"/>
        <w:ind w:firstLine="420" w:firstLineChars="200"/>
        <w:rPr>
          <w:rFonts w:hint="eastAsia" w:ascii="宋体" w:hAnsi="宋体" w:cs="宋体"/>
        </w:rPr>
      </w:pPr>
      <w:r>
        <w:rPr>
          <w:rFonts w:hint="eastAsia" w:ascii="宋体" w:hAnsi="宋体" w:cs="宋体"/>
          <w:szCs w:val="21"/>
        </w:rPr>
        <w:t>本招标文件包括：</w:t>
      </w:r>
      <w:bookmarkStart w:id="72" w:name="_Toc428775431"/>
    </w:p>
    <w:p w14:paraId="6E0DB54A">
      <w:pPr>
        <w:spacing w:line="360" w:lineRule="auto"/>
        <w:ind w:firstLine="525" w:firstLineChars="250"/>
        <w:rPr>
          <w:rFonts w:ascii="宋体" w:hAnsi="宋体" w:cs="宋体"/>
        </w:rPr>
      </w:pPr>
      <w:r>
        <w:rPr>
          <w:rFonts w:hint="eastAsia" w:ascii="宋体" w:hAnsi="宋体" w:cs="宋体"/>
        </w:rPr>
        <w:t xml:space="preserve">第一章   </w:t>
      </w:r>
      <w:bookmarkEnd w:id="72"/>
      <w:r>
        <w:rPr>
          <w:rFonts w:hint="eastAsia" w:ascii="宋体" w:hAnsi="宋体" w:cs="宋体"/>
        </w:rPr>
        <w:t>招标公告</w:t>
      </w:r>
    </w:p>
    <w:p w14:paraId="032CD4DE">
      <w:pPr>
        <w:spacing w:line="360" w:lineRule="auto"/>
        <w:ind w:firstLine="525" w:firstLineChars="250"/>
        <w:rPr>
          <w:rFonts w:ascii="宋体" w:hAnsi="宋体" w:cs="宋体"/>
        </w:rPr>
      </w:pPr>
      <w:bookmarkStart w:id="73" w:name="_Toc428775432"/>
      <w:r>
        <w:rPr>
          <w:rFonts w:hint="eastAsia" w:ascii="宋体" w:hAnsi="宋体" w:cs="宋体"/>
        </w:rPr>
        <w:t xml:space="preserve">第二章   </w:t>
      </w:r>
      <w:bookmarkEnd w:id="73"/>
      <w:r>
        <w:rPr>
          <w:rFonts w:hint="eastAsia" w:ascii="宋体" w:hAnsi="宋体" w:cs="宋体"/>
          <w:lang w:eastAsia="zh-CN"/>
        </w:rPr>
        <w:t>供应商须知</w:t>
      </w:r>
      <w:r>
        <w:rPr>
          <w:rFonts w:hint="eastAsia" w:ascii="宋体" w:hAnsi="宋体" w:cs="宋体"/>
        </w:rPr>
        <w:t xml:space="preserve"> </w:t>
      </w:r>
    </w:p>
    <w:p w14:paraId="43143DED">
      <w:pPr>
        <w:spacing w:line="360" w:lineRule="auto"/>
        <w:ind w:firstLine="525" w:firstLineChars="250"/>
        <w:rPr>
          <w:rFonts w:ascii="宋体" w:hAnsi="宋体" w:cs="宋体"/>
        </w:rPr>
      </w:pPr>
      <w:bookmarkStart w:id="74" w:name="_Toc428775433"/>
      <w:r>
        <w:rPr>
          <w:rFonts w:hint="eastAsia" w:ascii="宋体" w:hAnsi="宋体" w:cs="宋体"/>
        </w:rPr>
        <w:t>第三章   评标办法</w:t>
      </w:r>
      <w:bookmarkEnd w:id="74"/>
      <w:r>
        <w:rPr>
          <w:rFonts w:hint="eastAsia" w:ascii="宋体" w:hAnsi="宋体" w:cs="宋体"/>
        </w:rPr>
        <w:t>（综合评分法）</w:t>
      </w:r>
    </w:p>
    <w:p w14:paraId="13C4A9E3">
      <w:pPr>
        <w:spacing w:line="360" w:lineRule="auto"/>
        <w:ind w:firstLine="525" w:firstLineChars="250"/>
        <w:rPr>
          <w:rFonts w:ascii="宋体" w:hAnsi="宋体" w:cs="宋体"/>
        </w:rPr>
      </w:pPr>
      <w:bookmarkStart w:id="75" w:name="_Toc428775434"/>
      <w:r>
        <w:rPr>
          <w:rFonts w:hint="eastAsia" w:ascii="宋体" w:hAnsi="宋体" w:cs="宋体"/>
        </w:rPr>
        <w:t>第四章   合同条款</w:t>
      </w:r>
      <w:bookmarkEnd w:id="75"/>
    </w:p>
    <w:p w14:paraId="0B350FAE">
      <w:pPr>
        <w:spacing w:line="360" w:lineRule="auto"/>
        <w:ind w:left="525" w:leftChars="250"/>
        <w:rPr>
          <w:rFonts w:hint="eastAsia" w:ascii="宋体" w:hAnsi="宋体" w:eastAsia="宋体" w:cs="宋体"/>
          <w:lang w:eastAsia="zh-CN"/>
        </w:rPr>
      </w:pPr>
      <w:bookmarkStart w:id="76" w:name="_Toc428775435"/>
      <w:r>
        <w:rPr>
          <w:rFonts w:hint="eastAsia" w:ascii="宋体" w:hAnsi="宋体" w:cs="宋体"/>
        </w:rPr>
        <w:t xml:space="preserve">第五章   </w:t>
      </w:r>
      <w:bookmarkEnd w:id="76"/>
      <w:r>
        <w:rPr>
          <w:rFonts w:hint="eastAsia" w:ascii="宋体" w:hAnsi="宋体" w:cs="宋体"/>
          <w:lang w:eastAsia="zh-CN"/>
        </w:rPr>
        <w:t>服务要求</w:t>
      </w:r>
    </w:p>
    <w:p w14:paraId="1FA3729A">
      <w:pPr>
        <w:spacing w:line="360" w:lineRule="auto"/>
        <w:ind w:left="525" w:leftChars="250"/>
        <w:rPr>
          <w:rFonts w:ascii="宋体" w:hAnsi="宋体" w:cs="宋体"/>
        </w:rPr>
      </w:pPr>
      <w:bookmarkStart w:id="77" w:name="_Toc428775436"/>
      <w:r>
        <w:rPr>
          <w:rFonts w:hint="eastAsia" w:ascii="宋体" w:hAnsi="宋体" w:cs="宋体"/>
        </w:rPr>
        <w:t>第六章   投标文件格式</w:t>
      </w:r>
      <w:bookmarkEnd w:id="77"/>
    </w:p>
    <w:p w14:paraId="732D65CE">
      <w:pPr>
        <w:spacing w:line="360" w:lineRule="auto"/>
        <w:ind w:firstLine="420" w:firstLineChars="200"/>
        <w:rPr>
          <w:rFonts w:ascii="宋体" w:hAnsi="宋体" w:cs="宋体"/>
          <w:szCs w:val="21"/>
        </w:rPr>
      </w:pPr>
      <w:r>
        <w:rPr>
          <w:rFonts w:hint="eastAsia" w:ascii="宋体" w:hAnsi="宋体" w:cs="宋体"/>
          <w:szCs w:val="21"/>
        </w:rPr>
        <w:t>根据本章第1.10款、第2.2款和第2.3款对招标文件所作的澄清、修改，构成招标文件的组成部分。</w:t>
      </w:r>
      <w:r>
        <w:rPr>
          <w:rFonts w:hint="eastAsia"/>
        </w:rPr>
        <w:t>如果因投标人未按上述要求提出而造成不良后果的，采购代理机构不承担任何责任。自领取招标文件之日起七（7）个工作日未提出疑问的，将被视为对招标文件完全认可。开标后，</w:t>
      </w:r>
      <w:r>
        <w:rPr>
          <w:rFonts w:hint="eastAsia"/>
          <w:lang w:eastAsia="zh-CN"/>
        </w:rPr>
        <w:t>采购人</w:t>
      </w:r>
      <w:r>
        <w:rPr>
          <w:rFonts w:hint="eastAsia"/>
        </w:rPr>
        <w:t>和采购代理机构不接受任何对招标文件内容的质疑。</w:t>
      </w:r>
    </w:p>
    <w:p w14:paraId="3EDFAC19">
      <w:pPr>
        <w:pStyle w:val="5"/>
        <w:spacing w:before="0" w:after="0" w:line="360" w:lineRule="auto"/>
        <w:rPr>
          <w:rFonts w:ascii="宋体" w:hAnsi="宋体" w:eastAsia="宋体" w:cs="宋体"/>
          <w:sz w:val="21"/>
          <w:szCs w:val="21"/>
        </w:rPr>
      </w:pPr>
      <w:r>
        <w:rPr>
          <w:rFonts w:hint="eastAsia" w:ascii="宋体" w:hAnsi="宋体" w:eastAsia="宋体" w:cs="宋体"/>
          <w:sz w:val="21"/>
          <w:szCs w:val="21"/>
        </w:rPr>
        <w:t>2.2招标文件的澄清</w:t>
      </w:r>
    </w:p>
    <w:p w14:paraId="0BA97B1C">
      <w:pPr>
        <w:spacing w:line="360" w:lineRule="auto"/>
        <w:ind w:firstLine="420" w:firstLineChars="200"/>
        <w:rPr>
          <w:rFonts w:ascii="宋体" w:hAnsi="宋体" w:cs="宋体"/>
          <w:szCs w:val="21"/>
        </w:rPr>
      </w:pPr>
      <w:r>
        <w:rPr>
          <w:rFonts w:hint="eastAsia" w:ascii="宋体" w:hAnsi="宋体" w:cs="宋体"/>
          <w:szCs w:val="21"/>
        </w:rPr>
        <w:t>2.2.1 投标人应仔细阅读和检查招标文件的全部内容，如发现缺页或附件不全，应及时向采购代理机构提出，以便补齐。如有疑问，应按</w:t>
      </w:r>
      <w:r>
        <w:rPr>
          <w:rFonts w:hint="eastAsia" w:ascii="宋体" w:hAnsi="宋体" w:cs="宋体"/>
          <w:szCs w:val="21"/>
          <w:lang w:eastAsia="zh-CN"/>
        </w:rPr>
        <w:t>供应商须知</w:t>
      </w:r>
      <w:r>
        <w:rPr>
          <w:rFonts w:hint="eastAsia" w:ascii="宋体" w:hAnsi="宋体" w:cs="宋体"/>
          <w:szCs w:val="21"/>
        </w:rPr>
        <w:t>前附表规定的时间和形式提出问题，要求</w:t>
      </w:r>
      <w:r>
        <w:rPr>
          <w:rFonts w:hint="eastAsia" w:ascii="宋体" w:hAnsi="宋体" w:cs="宋体"/>
          <w:szCs w:val="21"/>
          <w:lang w:eastAsia="zh-CN"/>
        </w:rPr>
        <w:t>采购人</w:t>
      </w:r>
      <w:r>
        <w:rPr>
          <w:rFonts w:hint="eastAsia" w:ascii="宋体" w:hAnsi="宋体" w:cs="宋体"/>
          <w:szCs w:val="21"/>
        </w:rPr>
        <w:t>对招标文件予以澄清。</w:t>
      </w:r>
    </w:p>
    <w:p w14:paraId="506D68E7">
      <w:pPr>
        <w:spacing w:line="360" w:lineRule="auto"/>
        <w:ind w:firstLine="420" w:firstLineChars="200"/>
        <w:rPr>
          <w:rFonts w:ascii="宋体" w:hAnsi="宋体" w:cs="宋体"/>
          <w:szCs w:val="21"/>
        </w:rPr>
      </w:pPr>
      <w:r>
        <w:rPr>
          <w:rFonts w:hint="eastAsia" w:ascii="宋体" w:hAnsi="宋体" w:cs="宋体"/>
          <w:szCs w:val="21"/>
        </w:rPr>
        <w:t>2.2.2 招标文件的澄清以网上公示或发布澄清文件、公告等形式发给各投标人，但不指明澄清问题的来源。如果澄清发出的时间距投标截止时间不足15天，则相应延长投标截止时间。</w:t>
      </w:r>
    </w:p>
    <w:p w14:paraId="4186FBF8">
      <w:pPr>
        <w:spacing w:line="360" w:lineRule="auto"/>
        <w:ind w:firstLine="420" w:firstLineChars="200"/>
        <w:rPr>
          <w:rFonts w:ascii="宋体" w:hAnsi="宋体" w:cs="宋体"/>
          <w:szCs w:val="21"/>
        </w:rPr>
      </w:pPr>
      <w:r>
        <w:rPr>
          <w:rFonts w:hint="eastAsia" w:ascii="宋体" w:hAnsi="宋体" w:cs="宋体"/>
          <w:szCs w:val="21"/>
        </w:rPr>
        <w:t>2.2.3 投标人自行登录“郑州市公共资源交易中心网站”查看是否刊登本项目招标文件澄清文件，并自行下载，如由于投标人未看到澄清文件而带来的风险，</w:t>
      </w:r>
      <w:r>
        <w:rPr>
          <w:rFonts w:hint="eastAsia" w:ascii="宋体" w:hAnsi="宋体" w:cs="宋体"/>
          <w:szCs w:val="21"/>
          <w:lang w:eastAsia="zh-CN"/>
        </w:rPr>
        <w:t>采购人</w:t>
      </w:r>
      <w:r>
        <w:rPr>
          <w:rFonts w:hint="eastAsia" w:ascii="宋体" w:hAnsi="宋体" w:cs="宋体"/>
          <w:szCs w:val="21"/>
        </w:rPr>
        <w:t>和采购代理机构不承担任何责任。</w:t>
      </w:r>
    </w:p>
    <w:p w14:paraId="5BB10DEC">
      <w:pPr>
        <w:pStyle w:val="5"/>
        <w:spacing w:before="0" w:after="0" w:line="360" w:lineRule="auto"/>
        <w:rPr>
          <w:rFonts w:ascii="宋体" w:hAnsi="宋体" w:eastAsia="宋体" w:cs="宋体"/>
          <w:sz w:val="21"/>
          <w:szCs w:val="21"/>
        </w:rPr>
      </w:pPr>
      <w:r>
        <w:rPr>
          <w:rFonts w:hint="eastAsia" w:ascii="宋体" w:hAnsi="宋体" w:eastAsia="宋体" w:cs="宋体"/>
          <w:sz w:val="21"/>
          <w:szCs w:val="21"/>
        </w:rPr>
        <w:t>2.3招标文件的修改</w:t>
      </w:r>
    </w:p>
    <w:p w14:paraId="2E20CABB">
      <w:pPr>
        <w:spacing w:line="360" w:lineRule="auto"/>
        <w:ind w:firstLine="420" w:firstLineChars="200"/>
        <w:rPr>
          <w:rFonts w:ascii="宋体" w:hAnsi="宋体" w:cs="宋体"/>
          <w:szCs w:val="21"/>
        </w:rPr>
      </w:pPr>
      <w:r>
        <w:rPr>
          <w:rFonts w:hint="eastAsia" w:ascii="宋体" w:hAnsi="宋体" w:cs="宋体"/>
          <w:szCs w:val="21"/>
        </w:rPr>
        <w:t>2.3.1在投标截止时间15天前，</w:t>
      </w:r>
      <w:r>
        <w:rPr>
          <w:rFonts w:hint="eastAsia" w:ascii="宋体" w:hAnsi="宋体" w:cs="宋体"/>
          <w:szCs w:val="21"/>
          <w:lang w:eastAsia="zh-CN"/>
        </w:rPr>
        <w:t>采购人</w:t>
      </w:r>
      <w:r>
        <w:rPr>
          <w:rFonts w:hint="eastAsia" w:ascii="宋体" w:hAnsi="宋体" w:cs="宋体"/>
          <w:szCs w:val="21"/>
        </w:rPr>
        <w:t>可以修改招标文件，并通知所有已购买招标文件的投标人。如果修改招标文件的时间距投标截止时间不足15天，相应延长投标截止时间。</w:t>
      </w:r>
    </w:p>
    <w:p w14:paraId="79DCCA90">
      <w:pPr>
        <w:spacing w:line="360" w:lineRule="auto"/>
        <w:ind w:firstLine="420" w:firstLineChars="200"/>
        <w:rPr>
          <w:rFonts w:ascii="宋体" w:hAnsi="宋体" w:cs="宋体"/>
          <w:szCs w:val="21"/>
        </w:rPr>
      </w:pPr>
      <w:r>
        <w:rPr>
          <w:rFonts w:hint="eastAsia" w:ascii="宋体" w:hAnsi="宋体" w:cs="宋体"/>
          <w:szCs w:val="21"/>
        </w:rPr>
        <w:t>2.3.2投标人自行登录“郑州市公共资源交易中心网站”查看是否刊登本项目招标文件修改文件，并自行下载，如由于投标人未看到修改文件而带来的风险，</w:t>
      </w:r>
      <w:r>
        <w:rPr>
          <w:rFonts w:hint="eastAsia" w:ascii="宋体" w:hAnsi="宋体" w:cs="宋体"/>
          <w:szCs w:val="21"/>
          <w:lang w:eastAsia="zh-CN"/>
        </w:rPr>
        <w:t>采购人</w:t>
      </w:r>
      <w:r>
        <w:rPr>
          <w:rFonts w:hint="eastAsia" w:ascii="宋体" w:hAnsi="宋体" w:cs="宋体"/>
          <w:szCs w:val="21"/>
        </w:rPr>
        <w:t>和采购代理机构不承担任何责任。</w:t>
      </w:r>
    </w:p>
    <w:p w14:paraId="0A4D3FEE">
      <w:pPr>
        <w:pStyle w:val="2"/>
        <w:spacing w:line="360" w:lineRule="auto"/>
        <w:rPr>
          <w:rFonts w:cs="宋体"/>
          <w:sz w:val="24"/>
          <w:szCs w:val="24"/>
        </w:rPr>
      </w:pPr>
      <w:bookmarkStart w:id="78" w:name="_Toc29275"/>
      <w:bookmarkStart w:id="79" w:name="_Toc29493"/>
      <w:bookmarkStart w:id="80" w:name="_Toc184635073"/>
      <w:bookmarkStart w:id="81" w:name="_Toc298"/>
      <w:bookmarkStart w:id="82" w:name="_Toc32730"/>
      <w:bookmarkStart w:id="83" w:name="_Toc7205"/>
      <w:r>
        <w:rPr>
          <w:rFonts w:hint="eastAsia" w:cs="宋体"/>
          <w:sz w:val="24"/>
          <w:szCs w:val="24"/>
        </w:rPr>
        <w:t>3．投标文件</w:t>
      </w:r>
      <w:bookmarkEnd w:id="78"/>
      <w:bookmarkEnd w:id="79"/>
      <w:bookmarkEnd w:id="80"/>
      <w:bookmarkEnd w:id="81"/>
      <w:bookmarkEnd w:id="82"/>
      <w:bookmarkEnd w:id="83"/>
    </w:p>
    <w:p w14:paraId="72B86DEB">
      <w:pPr>
        <w:pStyle w:val="5"/>
        <w:spacing w:before="0" w:after="0" w:line="360" w:lineRule="auto"/>
        <w:rPr>
          <w:rFonts w:ascii="宋体" w:hAnsi="宋体" w:eastAsia="宋体" w:cs="宋体"/>
          <w:sz w:val="21"/>
          <w:szCs w:val="21"/>
        </w:rPr>
      </w:pPr>
      <w:r>
        <w:rPr>
          <w:rFonts w:hint="eastAsia" w:ascii="宋体" w:hAnsi="宋体" w:eastAsia="宋体" w:cs="宋体"/>
          <w:sz w:val="21"/>
          <w:szCs w:val="21"/>
        </w:rPr>
        <w:t>3.1投标文件的组成</w:t>
      </w:r>
    </w:p>
    <w:p w14:paraId="70237029">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3.1.1投标文件应包括下列内容：</w:t>
      </w:r>
    </w:p>
    <w:p w14:paraId="213A432E">
      <w:pPr>
        <w:spacing w:line="360" w:lineRule="auto"/>
        <w:ind w:firstLine="420" w:firstLineChars="200"/>
        <w:rPr>
          <w:rFonts w:ascii="宋体" w:hAnsi="宋体" w:cs="宋体"/>
          <w:kern w:val="0"/>
          <w:szCs w:val="21"/>
        </w:rPr>
      </w:pPr>
      <w:r>
        <w:rPr>
          <w:rFonts w:hint="eastAsia" w:ascii="宋体" w:hAnsi="宋体" w:cs="宋体"/>
          <w:kern w:val="0"/>
          <w:szCs w:val="21"/>
        </w:rPr>
        <w:t>（一）投标函</w:t>
      </w:r>
    </w:p>
    <w:p w14:paraId="0B3D7DB9">
      <w:pPr>
        <w:spacing w:line="360" w:lineRule="auto"/>
        <w:ind w:firstLine="420" w:firstLineChars="200"/>
        <w:rPr>
          <w:rFonts w:ascii="宋体" w:hAnsi="宋体" w:cs="宋体"/>
          <w:kern w:val="0"/>
          <w:szCs w:val="21"/>
        </w:rPr>
      </w:pPr>
      <w:r>
        <w:rPr>
          <w:rFonts w:hint="eastAsia" w:ascii="宋体" w:hAnsi="宋体" w:cs="宋体"/>
          <w:kern w:val="0"/>
          <w:szCs w:val="21"/>
        </w:rPr>
        <w:t>（二）开标一览表</w:t>
      </w:r>
    </w:p>
    <w:p w14:paraId="4A0A05C2">
      <w:pPr>
        <w:spacing w:line="360" w:lineRule="auto"/>
        <w:ind w:firstLine="420" w:firstLineChars="200"/>
        <w:rPr>
          <w:rFonts w:ascii="宋体" w:hAnsi="宋体" w:cs="宋体"/>
          <w:kern w:val="0"/>
          <w:szCs w:val="21"/>
        </w:rPr>
      </w:pPr>
      <w:r>
        <w:rPr>
          <w:rFonts w:hint="eastAsia" w:ascii="宋体" w:hAnsi="宋体" w:cs="宋体"/>
          <w:kern w:val="0"/>
          <w:szCs w:val="21"/>
        </w:rPr>
        <w:t>（三）资格证明文件</w:t>
      </w:r>
    </w:p>
    <w:p w14:paraId="5611F6CE">
      <w:pPr>
        <w:spacing w:line="360" w:lineRule="auto"/>
        <w:ind w:firstLine="420" w:firstLineChars="200"/>
        <w:rPr>
          <w:rFonts w:ascii="宋体" w:hAnsi="宋体" w:cs="宋体"/>
          <w:kern w:val="0"/>
          <w:szCs w:val="21"/>
        </w:rPr>
      </w:pPr>
      <w:r>
        <w:rPr>
          <w:rFonts w:hint="eastAsia" w:ascii="宋体" w:hAnsi="宋体" w:cs="宋体"/>
          <w:kern w:val="0"/>
          <w:szCs w:val="21"/>
        </w:rPr>
        <w:t>（</w:t>
      </w:r>
      <w:r>
        <w:rPr>
          <w:rFonts w:hint="eastAsia" w:ascii="宋体" w:hAnsi="宋体" w:cs="宋体"/>
          <w:kern w:val="0"/>
          <w:szCs w:val="21"/>
          <w:lang w:eastAsia="zh-CN"/>
        </w:rPr>
        <w:t>四</w:t>
      </w:r>
      <w:r>
        <w:rPr>
          <w:rFonts w:hint="eastAsia" w:ascii="宋体" w:hAnsi="宋体" w:cs="宋体"/>
          <w:kern w:val="0"/>
          <w:szCs w:val="21"/>
        </w:rPr>
        <w:t>）</w:t>
      </w:r>
      <w:r>
        <w:rPr>
          <w:rFonts w:hint="eastAsia" w:ascii="宋体" w:hAnsi="宋体" w:cs="宋体"/>
          <w:kern w:val="0"/>
          <w:szCs w:val="21"/>
          <w:lang w:val="en-US" w:eastAsia="zh-CN"/>
        </w:rPr>
        <w:t>拟派驻本项目人员情况一览表</w:t>
      </w:r>
    </w:p>
    <w:p w14:paraId="6C244A8C">
      <w:pPr>
        <w:spacing w:line="360" w:lineRule="auto"/>
        <w:ind w:firstLine="420" w:firstLineChars="200"/>
        <w:rPr>
          <w:rFonts w:hint="eastAsia" w:ascii="宋体" w:hAnsi="宋体" w:cs="宋体"/>
          <w:kern w:val="0"/>
          <w:szCs w:val="21"/>
          <w:lang w:eastAsia="zh-CN"/>
        </w:rPr>
      </w:pPr>
      <w:r>
        <w:rPr>
          <w:rFonts w:hint="eastAsia" w:ascii="宋体" w:hAnsi="宋体" w:cs="宋体"/>
          <w:kern w:val="0"/>
          <w:szCs w:val="21"/>
        </w:rPr>
        <w:t>（</w:t>
      </w:r>
      <w:r>
        <w:rPr>
          <w:rFonts w:hint="eastAsia" w:ascii="宋体" w:hAnsi="宋体" w:cs="宋体"/>
          <w:kern w:val="0"/>
          <w:szCs w:val="21"/>
          <w:lang w:eastAsia="zh-CN"/>
        </w:rPr>
        <w:t>五</w:t>
      </w:r>
      <w:r>
        <w:rPr>
          <w:rFonts w:hint="eastAsia" w:ascii="宋体" w:hAnsi="宋体" w:cs="宋体"/>
          <w:kern w:val="0"/>
          <w:szCs w:val="21"/>
        </w:rPr>
        <w:t>）</w:t>
      </w:r>
      <w:r>
        <w:rPr>
          <w:rFonts w:hint="eastAsia" w:ascii="宋体" w:hAnsi="宋体" w:cs="宋体"/>
          <w:kern w:val="0"/>
          <w:szCs w:val="21"/>
          <w:lang w:eastAsia="zh-CN"/>
        </w:rPr>
        <w:t>技术部分</w:t>
      </w:r>
    </w:p>
    <w:p w14:paraId="221588B8">
      <w:pPr>
        <w:spacing w:line="360" w:lineRule="auto"/>
        <w:ind w:firstLine="420" w:firstLineChars="200"/>
        <w:rPr>
          <w:rFonts w:hint="eastAsia" w:ascii="宋体" w:hAnsi="宋体" w:eastAsia="宋体" w:cs="宋体"/>
          <w:kern w:val="0"/>
          <w:szCs w:val="21"/>
          <w:lang w:eastAsia="zh-CN"/>
        </w:rPr>
      </w:pPr>
      <w:r>
        <w:rPr>
          <w:rFonts w:hint="eastAsia" w:ascii="宋体" w:hAnsi="宋体" w:eastAsia="宋体" w:cs="宋体"/>
          <w:kern w:val="0"/>
          <w:szCs w:val="21"/>
          <w:lang w:eastAsia="zh-CN"/>
        </w:rPr>
        <w:t>（</w:t>
      </w:r>
      <w:r>
        <w:rPr>
          <w:rFonts w:hint="eastAsia" w:ascii="宋体" w:hAnsi="宋体" w:cs="宋体"/>
          <w:kern w:val="0"/>
          <w:szCs w:val="21"/>
          <w:lang w:eastAsia="zh-CN"/>
        </w:rPr>
        <w:t>六</w:t>
      </w:r>
      <w:r>
        <w:rPr>
          <w:rFonts w:hint="eastAsia" w:ascii="宋体" w:hAnsi="宋体" w:eastAsia="宋体" w:cs="宋体"/>
          <w:kern w:val="0"/>
          <w:szCs w:val="21"/>
          <w:lang w:eastAsia="zh-CN"/>
        </w:rPr>
        <w:t>）商务部分</w:t>
      </w:r>
    </w:p>
    <w:p w14:paraId="47BDD936">
      <w:pPr>
        <w:spacing w:line="360" w:lineRule="auto"/>
        <w:ind w:firstLine="420" w:firstLineChars="200"/>
        <w:rPr>
          <w:rFonts w:hint="eastAsia" w:ascii="宋体" w:hAnsi="宋体" w:eastAsia="宋体" w:cs="宋体"/>
          <w:kern w:val="0"/>
          <w:szCs w:val="21"/>
        </w:rPr>
      </w:pPr>
      <w:r>
        <w:rPr>
          <w:rFonts w:hint="eastAsia" w:ascii="宋体" w:hAnsi="宋体" w:eastAsia="宋体" w:cs="宋体"/>
          <w:kern w:val="0"/>
          <w:szCs w:val="21"/>
          <w:lang w:eastAsia="zh-CN"/>
        </w:rPr>
        <w:t>（</w:t>
      </w:r>
      <w:r>
        <w:rPr>
          <w:rFonts w:hint="eastAsia" w:ascii="宋体" w:hAnsi="宋体" w:cs="宋体"/>
          <w:kern w:val="0"/>
          <w:szCs w:val="21"/>
          <w:lang w:eastAsia="zh-CN"/>
        </w:rPr>
        <w:t>七</w:t>
      </w:r>
      <w:r>
        <w:rPr>
          <w:rFonts w:hint="eastAsia" w:ascii="宋体" w:hAnsi="宋体" w:eastAsia="宋体" w:cs="宋体"/>
          <w:kern w:val="0"/>
          <w:szCs w:val="21"/>
          <w:lang w:eastAsia="zh-CN"/>
        </w:rPr>
        <w:t>）</w:t>
      </w:r>
      <w:r>
        <w:rPr>
          <w:rFonts w:hint="eastAsia" w:ascii="宋体" w:hAnsi="宋体" w:eastAsia="宋体" w:cs="宋体"/>
          <w:kern w:val="0"/>
          <w:szCs w:val="21"/>
        </w:rPr>
        <w:t>反商业贿赂承诺书</w:t>
      </w:r>
    </w:p>
    <w:p w14:paraId="097FED93">
      <w:pPr>
        <w:spacing w:line="360" w:lineRule="auto"/>
        <w:ind w:firstLine="420" w:firstLineChars="200"/>
        <w:rPr>
          <w:rFonts w:hint="eastAsia" w:ascii="宋体" w:hAnsi="宋体" w:eastAsia="宋体" w:cs="宋体"/>
          <w:kern w:val="0"/>
          <w:szCs w:val="21"/>
          <w:lang w:eastAsia="zh-CN"/>
        </w:rPr>
      </w:pPr>
      <w:r>
        <w:rPr>
          <w:rFonts w:hint="eastAsia" w:ascii="宋体" w:hAnsi="宋体" w:eastAsia="宋体" w:cs="宋体"/>
          <w:kern w:val="0"/>
          <w:szCs w:val="21"/>
          <w:lang w:eastAsia="zh-CN"/>
        </w:rPr>
        <w:t>（</w:t>
      </w:r>
      <w:r>
        <w:rPr>
          <w:rFonts w:hint="eastAsia" w:ascii="宋体" w:hAnsi="宋体" w:cs="宋体"/>
          <w:kern w:val="0"/>
          <w:szCs w:val="21"/>
          <w:lang w:eastAsia="zh-CN"/>
        </w:rPr>
        <w:t>八</w:t>
      </w:r>
      <w:r>
        <w:rPr>
          <w:rFonts w:hint="eastAsia" w:ascii="宋体" w:hAnsi="宋体" w:eastAsia="宋体" w:cs="宋体"/>
          <w:kern w:val="0"/>
          <w:szCs w:val="21"/>
          <w:lang w:eastAsia="zh-CN"/>
        </w:rPr>
        <w:t>）其他资料</w:t>
      </w:r>
    </w:p>
    <w:p w14:paraId="683B90B9">
      <w:pPr>
        <w:spacing w:line="360" w:lineRule="auto"/>
        <w:ind w:firstLine="420" w:firstLineChars="200"/>
        <w:rPr>
          <w:rFonts w:ascii="宋体" w:hAnsi="宋体" w:cs="宋体"/>
          <w:szCs w:val="21"/>
        </w:rPr>
      </w:pPr>
      <w:r>
        <w:rPr>
          <w:rFonts w:hint="eastAsia" w:ascii="宋体" w:hAnsi="宋体" w:cs="宋体"/>
          <w:kern w:val="0"/>
          <w:szCs w:val="21"/>
        </w:rPr>
        <w:t>（七）其他资料</w:t>
      </w:r>
    </w:p>
    <w:p w14:paraId="337640AD">
      <w:pPr>
        <w:pStyle w:val="5"/>
        <w:spacing w:before="0" w:after="0" w:line="360" w:lineRule="auto"/>
        <w:rPr>
          <w:rFonts w:ascii="宋体" w:hAnsi="宋体" w:eastAsia="宋体" w:cs="宋体"/>
          <w:sz w:val="21"/>
          <w:szCs w:val="21"/>
        </w:rPr>
      </w:pPr>
      <w:r>
        <w:rPr>
          <w:rFonts w:hint="eastAsia" w:ascii="宋体" w:hAnsi="宋体" w:eastAsia="宋体" w:cs="宋体"/>
          <w:sz w:val="21"/>
          <w:szCs w:val="21"/>
        </w:rPr>
        <w:t>3.2投标报价</w:t>
      </w:r>
    </w:p>
    <w:p w14:paraId="46BEBAA1">
      <w:pPr>
        <w:spacing w:line="360" w:lineRule="auto"/>
        <w:ind w:firstLine="422" w:firstLineChars="200"/>
        <w:rPr>
          <w:rFonts w:ascii="宋体" w:hAnsi="宋体" w:cs="宋体"/>
          <w:b/>
          <w:bCs/>
          <w:szCs w:val="21"/>
        </w:rPr>
      </w:pPr>
      <w:r>
        <w:rPr>
          <w:rFonts w:hint="eastAsia" w:ascii="宋体" w:hAnsi="宋体" w:cs="宋体"/>
          <w:b/>
          <w:szCs w:val="21"/>
        </w:rPr>
        <w:t>3.2.1</w:t>
      </w:r>
      <w:r>
        <w:rPr>
          <w:rFonts w:hint="eastAsia" w:ascii="宋体" w:hAnsi="宋体" w:cs="宋体"/>
          <w:b/>
          <w:bCs/>
          <w:szCs w:val="21"/>
        </w:rPr>
        <w:t>根据招标文件</w:t>
      </w:r>
      <w:r>
        <w:rPr>
          <w:rFonts w:hint="eastAsia" w:ascii="宋体" w:hAnsi="宋体" w:cs="宋体"/>
          <w:b/>
          <w:bCs/>
          <w:color w:val="auto"/>
          <w:szCs w:val="21"/>
        </w:rPr>
        <w:t>“</w:t>
      </w:r>
      <w:bookmarkStart w:id="84" w:name="OLE_LINK123"/>
      <w:r>
        <w:rPr>
          <w:rFonts w:hint="eastAsia" w:ascii="宋体" w:hAnsi="宋体" w:cs="宋体"/>
          <w:b/>
          <w:bCs/>
          <w:color w:val="auto"/>
          <w:szCs w:val="21"/>
        </w:rPr>
        <w:t>第五章</w:t>
      </w:r>
      <w:bookmarkEnd w:id="84"/>
      <w:r>
        <w:rPr>
          <w:rFonts w:hint="eastAsia" w:ascii="宋体" w:hAnsi="宋体" w:cs="宋体"/>
          <w:b/>
          <w:bCs/>
          <w:color w:val="auto"/>
          <w:szCs w:val="21"/>
          <w:lang w:eastAsia="zh-CN"/>
        </w:rPr>
        <w:t>服务要求</w:t>
      </w:r>
      <w:r>
        <w:rPr>
          <w:rFonts w:hint="eastAsia" w:ascii="宋体" w:hAnsi="宋体" w:cs="宋体"/>
          <w:b/>
          <w:bCs/>
          <w:color w:val="auto"/>
          <w:szCs w:val="21"/>
        </w:rPr>
        <w:t>”的规定，投标人进行报价。</w:t>
      </w:r>
    </w:p>
    <w:p w14:paraId="4F965F3C">
      <w:pPr>
        <w:spacing w:line="360" w:lineRule="auto"/>
        <w:ind w:firstLine="420" w:firstLineChars="200"/>
        <w:rPr>
          <w:rFonts w:ascii="宋体" w:hAnsi="宋体" w:cs="宋体"/>
        </w:rPr>
      </w:pPr>
      <w:r>
        <w:rPr>
          <w:rFonts w:hint="eastAsia" w:ascii="宋体" w:hAnsi="宋体" w:cs="宋体"/>
        </w:rPr>
        <w:t>3.2.2最低报价不是授予合同的唯一保证。</w:t>
      </w:r>
    </w:p>
    <w:p w14:paraId="26DA029E">
      <w:pPr>
        <w:spacing w:line="360" w:lineRule="auto"/>
        <w:ind w:firstLine="420" w:firstLineChars="200"/>
        <w:rPr>
          <w:rFonts w:ascii="宋体" w:hAnsi="宋体" w:cs="宋体"/>
          <w:color w:val="auto"/>
        </w:rPr>
      </w:pPr>
      <w:r>
        <w:rPr>
          <w:rFonts w:hint="eastAsia" w:ascii="宋体" w:hAnsi="宋体" w:cs="宋体"/>
        </w:rPr>
        <w:t>3.2.3合同的地点为</w:t>
      </w:r>
      <w:r>
        <w:rPr>
          <w:rFonts w:hint="eastAsia" w:ascii="宋体" w:hAnsi="宋体" w:cs="宋体"/>
          <w:lang w:eastAsia="zh-CN"/>
        </w:rPr>
        <w:t>采购人</w:t>
      </w:r>
      <w:r>
        <w:rPr>
          <w:rFonts w:hint="eastAsia" w:ascii="宋体" w:hAnsi="宋体" w:cs="宋体"/>
        </w:rPr>
        <w:t>指定项目地点。</w:t>
      </w:r>
    </w:p>
    <w:p w14:paraId="1381B108">
      <w:pPr>
        <w:spacing w:line="360" w:lineRule="auto"/>
        <w:ind w:firstLine="420" w:firstLineChars="200"/>
        <w:rPr>
          <w:rFonts w:ascii="宋体" w:hAnsi="宋体" w:cs="宋体"/>
        </w:rPr>
      </w:pPr>
      <w:r>
        <w:rPr>
          <w:rFonts w:hint="eastAsia" w:ascii="宋体" w:hAnsi="宋体" w:cs="宋体"/>
          <w:color w:val="auto"/>
        </w:rPr>
        <w:t>3.2.4除非</w:t>
      </w:r>
      <w:r>
        <w:rPr>
          <w:rFonts w:hint="eastAsia" w:ascii="宋体" w:hAnsi="宋体" w:cs="宋体"/>
          <w:color w:val="auto"/>
          <w:lang w:eastAsia="zh-CN"/>
        </w:rPr>
        <w:t>采购人</w:t>
      </w:r>
      <w:r>
        <w:rPr>
          <w:rFonts w:hint="eastAsia" w:ascii="宋体" w:hAnsi="宋体" w:cs="宋体"/>
          <w:color w:val="auto"/>
        </w:rPr>
        <w:t>通过修改招标文件予以更正，否则，投标人应按“第五章</w:t>
      </w:r>
      <w:r>
        <w:rPr>
          <w:rFonts w:hint="eastAsia" w:ascii="宋体" w:hAnsi="宋体" w:cs="宋体"/>
          <w:color w:val="auto"/>
          <w:lang w:eastAsia="zh-CN"/>
        </w:rPr>
        <w:t>服务要求</w:t>
      </w:r>
      <w:r>
        <w:rPr>
          <w:rFonts w:hint="eastAsia" w:ascii="宋体" w:hAnsi="宋体" w:cs="宋体"/>
          <w:color w:val="auto"/>
        </w:rPr>
        <w:t>”</w:t>
      </w:r>
      <w:r>
        <w:rPr>
          <w:rFonts w:hint="eastAsia" w:ascii="宋体" w:hAnsi="宋体" w:cs="宋体"/>
        </w:rPr>
        <w:t>列出的项目进行报价。</w:t>
      </w:r>
    </w:p>
    <w:p w14:paraId="1AE30FA3">
      <w:pPr>
        <w:spacing w:line="360" w:lineRule="auto"/>
        <w:ind w:firstLine="420" w:firstLineChars="200"/>
        <w:rPr>
          <w:rFonts w:ascii="宋体" w:hAnsi="宋体" w:cs="宋体"/>
        </w:rPr>
      </w:pPr>
      <w:r>
        <w:rPr>
          <w:rFonts w:hint="eastAsia" w:ascii="宋体" w:hAnsi="宋体" w:cs="宋体"/>
        </w:rPr>
        <w:t>3.2.5本项目的投标应以人民币为准。</w:t>
      </w:r>
    </w:p>
    <w:p w14:paraId="6EBD1FFE">
      <w:pPr>
        <w:spacing w:line="360" w:lineRule="auto"/>
        <w:ind w:firstLine="420" w:firstLineChars="200"/>
        <w:rPr>
          <w:rFonts w:ascii="宋体" w:hAnsi="宋体" w:cs="宋体"/>
        </w:rPr>
      </w:pPr>
      <w:r>
        <w:rPr>
          <w:rFonts w:hint="eastAsia" w:ascii="宋体" w:hAnsi="宋体" w:cs="宋体"/>
        </w:rPr>
        <w:t>3.2.6投标文件报价出现前后不一致的，按照下列规定修正：</w:t>
      </w:r>
    </w:p>
    <w:p w14:paraId="07536B65">
      <w:pPr>
        <w:spacing w:line="360" w:lineRule="auto"/>
        <w:ind w:firstLine="420" w:firstLineChars="200"/>
        <w:rPr>
          <w:rFonts w:ascii="宋体" w:hAnsi="宋体" w:cs="宋体"/>
        </w:rPr>
      </w:pPr>
      <w:r>
        <w:rPr>
          <w:rFonts w:hint="eastAsia" w:ascii="宋体" w:hAnsi="宋体" w:cs="宋体"/>
        </w:rPr>
        <w:t>（1）投标文件中开标一览表内容与投标文件中相应内容不一致的，以开标一览表为准；</w:t>
      </w:r>
    </w:p>
    <w:p w14:paraId="3D06A893">
      <w:pPr>
        <w:spacing w:line="360" w:lineRule="auto"/>
        <w:ind w:firstLine="420" w:firstLineChars="200"/>
        <w:rPr>
          <w:rFonts w:ascii="宋体" w:hAnsi="宋体" w:cs="宋体"/>
        </w:rPr>
      </w:pPr>
      <w:r>
        <w:rPr>
          <w:rFonts w:hint="eastAsia" w:ascii="宋体" w:hAnsi="宋体" w:cs="宋体"/>
        </w:rPr>
        <w:t>（2）大写金额和小写金额不一致的，以大写金额为准；</w:t>
      </w:r>
    </w:p>
    <w:p w14:paraId="4E2424FA">
      <w:pPr>
        <w:spacing w:line="360" w:lineRule="auto"/>
        <w:ind w:firstLine="420" w:firstLineChars="200"/>
        <w:rPr>
          <w:rFonts w:ascii="宋体" w:hAnsi="宋体" w:cs="宋体"/>
        </w:rPr>
      </w:pPr>
      <w:r>
        <w:rPr>
          <w:rFonts w:hint="eastAsia" w:ascii="宋体" w:hAnsi="宋体" w:cs="宋体"/>
        </w:rPr>
        <w:t>（3）单价金额小数点或者百分比有明显错位的，以开标一览表的总价为准，并修改单价；</w:t>
      </w:r>
    </w:p>
    <w:p w14:paraId="7EDE7C8D">
      <w:pPr>
        <w:spacing w:line="360" w:lineRule="auto"/>
        <w:ind w:firstLine="420" w:firstLineChars="200"/>
        <w:rPr>
          <w:rFonts w:ascii="宋体" w:hAnsi="宋体" w:cs="宋体"/>
        </w:rPr>
      </w:pPr>
      <w:r>
        <w:rPr>
          <w:rFonts w:hint="eastAsia" w:ascii="宋体" w:hAnsi="宋体" w:cs="宋体"/>
        </w:rPr>
        <w:t>（4）总价金额与按单价汇总金额不一致的，以单价金额计算结果为准。</w:t>
      </w:r>
    </w:p>
    <w:p w14:paraId="5E1798BE">
      <w:pPr>
        <w:spacing w:line="360" w:lineRule="auto"/>
        <w:ind w:firstLine="420" w:firstLineChars="200"/>
        <w:rPr>
          <w:rFonts w:ascii="宋体" w:hAnsi="宋体" w:cs="宋体"/>
        </w:rPr>
      </w:pPr>
      <w:r>
        <w:rPr>
          <w:rFonts w:hint="eastAsia" w:ascii="宋体" w:hAnsi="宋体" w:cs="宋体"/>
        </w:rPr>
        <w:t>同时出现两种以上不一致的，按照前款规定的顺序修正。修正后的报价经投标人确认后产生约束力，投标人不确认的，其投标无效。</w:t>
      </w:r>
    </w:p>
    <w:p w14:paraId="4180A9FA">
      <w:pPr>
        <w:pStyle w:val="5"/>
        <w:spacing w:before="0" w:after="0" w:line="360" w:lineRule="auto"/>
        <w:rPr>
          <w:rFonts w:ascii="宋体" w:hAnsi="宋体" w:eastAsia="宋体" w:cs="宋体"/>
          <w:sz w:val="21"/>
          <w:szCs w:val="21"/>
        </w:rPr>
      </w:pPr>
      <w:r>
        <w:rPr>
          <w:rFonts w:hint="eastAsia" w:ascii="宋体" w:hAnsi="宋体" w:eastAsia="宋体" w:cs="宋体"/>
          <w:sz w:val="21"/>
          <w:szCs w:val="21"/>
        </w:rPr>
        <w:t>3.3投标有效期</w:t>
      </w:r>
    </w:p>
    <w:p w14:paraId="7113ED8C">
      <w:pPr>
        <w:spacing w:line="360" w:lineRule="auto"/>
        <w:ind w:firstLine="420" w:firstLineChars="200"/>
        <w:rPr>
          <w:rFonts w:ascii="宋体" w:hAnsi="宋体" w:cs="宋体"/>
          <w:szCs w:val="21"/>
        </w:rPr>
      </w:pPr>
      <w:r>
        <w:rPr>
          <w:rFonts w:hint="eastAsia" w:ascii="宋体" w:hAnsi="宋体" w:cs="宋体"/>
          <w:szCs w:val="21"/>
        </w:rPr>
        <w:t>3.3.1在</w:t>
      </w:r>
      <w:r>
        <w:rPr>
          <w:rFonts w:hint="eastAsia" w:ascii="宋体" w:hAnsi="宋体" w:cs="宋体"/>
          <w:szCs w:val="21"/>
          <w:lang w:eastAsia="zh-CN"/>
        </w:rPr>
        <w:t>供应商须知</w:t>
      </w:r>
      <w:r>
        <w:rPr>
          <w:rFonts w:hint="eastAsia" w:ascii="宋体" w:hAnsi="宋体" w:cs="宋体"/>
          <w:szCs w:val="21"/>
        </w:rPr>
        <w:t>前附表规定的投标有效期内，投标人不得要求撤销或修改其投标文件。</w:t>
      </w:r>
    </w:p>
    <w:p w14:paraId="18404049">
      <w:pPr>
        <w:spacing w:line="360" w:lineRule="auto"/>
        <w:ind w:firstLine="420" w:firstLineChars="200"/>
        <w:rPr>
          <w:rFonts w:ascii="宋体" w:hAnsi="宋体" w:cs="宋体"/>
          <w:szCs w:val="21"/>
        </w:rPr>
      </w:pPr>
      <w:r>
        <w:rPr>
          <w:rFonts w:hint="eastAsia" w:ascii="宋体" w:hAnsi="宋体" w:cs="宋体"/>
          <w:szCs w:val="21"/>
        </w:rPr>
        <w:t>3.3.2出现特殊情况需要延长投标有效期的，招标代理以书面形式通知所有投标人延长投标有效期。投标人同意延长的，不得要求或被允许修改或撤销其投标文件；投标人拒绝延长的，其投标失效。</w:t>
      </w:r>
    </w:p>
    <w:p w14:paraId="73407A81">
      <w:pPr>
        <w:pStyle w:val="5"/>
        <w:spacing w:before="0" w:after="0" w:line="360" w:lineRule="auto"/>
        <w:rPr>
          <w:rFonts w:ascii="宋体" w:hAnsi="宋体" w:eastAsia="宋体" w:cs="宋体"/>
          <w:sz w:val="21"/>
          <w:szCs w:val="21"/>
        </w:rPr>
      </w:pPr>
      <w:r>
        <w:rPr>
          <w:rFonts w:hint="eastAsia" w:ascii="宋体" w:hAnsi="宋体" w:eastAsia="宋体" w:cs="宋体"/>
          <w:sz w:val="21"/>
          <w:szCs w:val="21"/>
        </w:rPr>
        <w:t>3.4投标保证金</w:t>
      </w:r>
    </w:p>
    <w:p w14:paraId="2B28A5FE">
      <w:pPr>
        <w:spacing w:line="360" w:lineRule="auto"/>
        <w:ind w:firstLine="420" w:firstLineChars="200"/>
        <w:rPr>
          <w:rFonts w:ascii="宋体" w:hAnsi="宋体" w:cs="宋体"/>
          <w:szCs w:val="21"/>
        </w:rPr>
      </w:pPr>
      <w:r>
        <w:rPr>
          <w:rFonts w:hint="eastAsia" w:ascii="宋体" w:hAnsi="宋体" w:cs="宋体"/>
          <w:szCs w:val="21"/>
        </w:rPr>
        <w:t>本项目不收取投标保证金。</w:t>
      </w:r>
    </w:p>
    <w:p w14:paraId="227AE945">
      <w:pPr>
        <w:pStyle w:val="5"/>
        <w:spacing w:before="0" w:after="0" w:line="360" w:lineRule="auto"/>
        <w:rPr>
          <w:rFonts w:ascii="宋体" w:hAnsi="宋体" w:eastAsia="宋体" w:cs="宋体"/>
          <w:sz w:val="21"/>
          <w:szCs w:val="21"/>
        </w:rPr>
      </w:pPr>
      <w:r>
        <w:rPr>
          <w:rFonts w:hint="eastAsia" w:ascii="宋体" w:hAnsi="宋体" w:eastAsia="宋体" w:cs="宋体"/>
          <w:sz w:val="21"/>
          <w:szCs w:val="21"/>
        </w:rPr>
        <w:t>3.5资格审查资料</w:t>
      </w:r>
    </w:p>
    <w:p w14:paraId="4633962E">
      <w:pPr>
        <w:spacing w:line="360" w:lineRule="auto"/>
        <w:ind w:firstLine="420" w:firstLineChars="200"/>
        <w:rPr>
          <w:rFonts w:ascii="宋体" w:hAnsi="宋体" w:cs="宋体"/>
          <w:szCs w:val="21"/>
        </w:rPr>
      </w:pPr>
      <w:r>
        <w:rPr>
          <w:rFonts w:hint="eastAsia" w:ascii="宋体" w:hAnsi="宋体" w:cs="宋体"/>
          <w:szCs w:val="21"/>
        </w:rPr>
        <w:t>投标人在编制投标文件时，应按情况提供相关资料，以证实其各项资格条件满足招标文件的要求，具备承担本项目采购的资质条件、能力和信誉。</w:t>
      </w:r>
    </w:p>
    <w:p w14:paraId="318E4514">
      <w:pPr>
        <w:pStyle w:val="5"/>
        <w:spacing w:before="0" w:after="0" w:line="360" w:lineRule="auto"/>
        <w:rPr>
          <w:rFonts w:ascii="宋体" w:hAnsi="宋体" w:eastAsia="宋体" w:cs="宋体"/>
          <w:sz w:val="21"/>
          <w:szCs w:val="21"/>
        </w:rPr>
      </w:pPr>
      <w:r>
        <w:rPr>
          <w:rFonts w:hint="eastAsia" w:ascii="宋体" w:hAnsi="宋体" w:eastAsia="宋体" w:cs="宋体"/>
          <w:sz w:val="21"/>
          <w:szCs w:val="21"/>
        </w:rPr>
        <w:t>3.6备选投标方案</w:t>
      </w:r>
    </w:p>
    <w:p w14:paraId="5A79FA60">
      <w:pPr>
        <w:spacing w:line="360" w:lineRule="auto"/>
        <w:ind w:firstLine="315" w:firstLineChars="150"/>
        <w:rPr>
          <w:rFonts w:ascii="宋体" w:hAnsi="宋体" w:cs="宋体"/>
          <w:szCs w:val="21"/>
        </w:rPr>
      </w:pPr>
      <w:r>
        <w:rPr>
          <w:rFonts w:hint="eastAsia" w:ascii="宋体" w:hAnsi="宋体" w:cs="宋体"/>
          <w:szCs w:val="21"/>
        </w:rPr>
        <w:t>本项目不接受任何投标人递交备选投标方案。</w:t>
      </w:r>
    </w:p>
    <w:p w14:paraId="0A1551AF">
      <w:pPr>
        <w:pStyle w:val="5"/>
        <w:spacing w:before="0" w:after="0" w:line="360" w:lineRule="auto"/>
        <w:rPr>
          <w:rFonts w:ascii="宋体" w:hAnsi="宋体" w:eastAsia="宋体" w:cs="宋体"/>
          <w:sz w:val="21"/>
          <w:szCs w:val="21"/>
        </w:rPr>
      </w:pPr>
      <w:r>
        <w:rPr>
          <w:rFonts w:hint="eastAsia" w:ascii="宋体" w:hAnsi="宋体" w:eastAsia="宋体" w:cs="宋体"/>
          <w:sz w:val="21"/>
          <w:szCs w:val="21"/>
        </w:rPr>
        <w:t>3.7投标文件的编制</w:t>
      </w:r>
    </w:p>
    <w:p w14:paraId="7C30D004">
      <w:pPr>
        <w:spacing w:line="360" w:lineRule="auto"/>
        <w:ind w:firstLine="420" w:firstLineChars="200"/>
        <w:rPr>
          <w:rFonts w:ascii="宋体" w:hAnsi="宋体" w:cs="宋体"/>
          <w:szCs w:val="21"/>
        </w:rPr>
      </w:pPr>
      <w:r>
        <w:rPr>
          <w:rFonts w:hint="eastAsia" w:ascii="宋体" w:hAnsi="宋体" w:cs="宋体"/>
          <w:szCs w:val="21"/>
        </w:rPr>
        <w:t>3.7.1</w:t>
      </w:r>
      <w:bookmarkStart w:id="85" w:name="_Toc184635074"/>
      <w:r>
        <w:rPr>
          <w:rFonts w:hint="eastAsia" w:ascii="宋体" w:hAnsi="宋体" w:cs="宋体"/>
          <w:szCs w:val="21"/>
        </w:rPr>
        <w:t>投标文件应按</w:t>
      </w:r>
      <w:bookmarkStart w:id="86" w:name="OLE_LINK124"/>
      <w:r>
        <w:rPr>
          <w:rFonts w:hint="eastAsia" w:ascii="宋体" w:hAnsi="宋体" w:cs="宋体"/>
          <w:szCs w:val="21"/>
        </w:rPr>
        <w:t>第六章</w:t>
      </w:r>
      <w:bookmarkEnd w:id="86"/>
      <w:r>
        <w:rPr>
          <w:rFonts w:hint="eastAsia" w:ascii="宋体" w:hAnsi="宋体" w:cs="宋体"/>
          <w:szCs w:val="21"/>
        </w:rPr>
        <w:t>“投标文件格式”进行编写，如有必要，可以增加附页，作为投标文件的组成部分。其中，投标函附录在满足招标文件实质性要求的基础上，可以提出比招标文件要求更有利于</w:t>
      </w:r>
      <w:r>
        <w:rPr>
          <w:rFonts w:hint="eastAsia" w:ascii="宋体" w:hAnsi="宋体" w:cs="宋体"/>
          <w:szCs w:val="21"/>
          <w:lang w:eastAsia="zh-CN"/>
        </w:rPr>
        <w:t>采购人</w:t>
      </w:r>
      <w:r>
        <w:rPr>
          <w:rFonts w:hint="eastAsia" w:ascii="宋体" w:hAnsi="宋体" w:cs="宋体"/>
          <w:szCs w:val="21"/>
        </w:rPr>
        <w:t>的承诺。</w:t>
      </w:r>
    </w:p>
    <w:p w14:paraId="64065973">
      <w:pPr>
        <w:spacing w:line="360" w:lineRule="auto"/>
        <w:ind w:firstLine="420" w:firstLineChars="200"/>
        <w:rPr>
          <w:rFonts w:ascii="宋体" w:hAnsi="宋体" w:cs="宋体"/>
          <w:szCs w:val="21"/>
        </w:rPr>
      </w:pPr>
      <w:r>
        <w:rPr>
          <w:rFonts w:hint="eastAsia" w:ascii="宋体" w:hAnsi="宋体" w:cs="宋体"/>
          <w:szCs w:val="21"/>
        </w:rPr>
        <w:t>3.7.2 投标文件应当对招标文件有关合同履行期限、投标有效期、服务质量、</w:t>
      </w:r>
      <w:r>
        <w:rPr>
          <w:rFonts w:hint="eastAsia" w:ascii="宋体" w:hAnsi="宋体" w:cs="宋体"/>
          <w:szCs w:val="21"/>
          <w:lang w:eastAsia="zh-CN"/>
        </w:rPr>
        <w:t>服务内容</w:t>
      </w:r>
      <w:r>
        <w:rPr>
          <w:rFonts w:hint="eastAsia" w:ascii="宋体" w:hAnsi="宋体" w:cs="宋体"/>
          <w:szCs w:val="21"/>
        </w:rPr>
        <w:t>等实质性内容作出响应。</w:t>
      </w:r>
    </w:p>
    <w:p w14:paraId="40B88B2D">
      <w:pPr>
        <w:spacing w:line="360" w:lineRule="auto"/>
        <w:ind w:firstLine="420" w:firstLineChars="200"/>
        <w:rPr>
          <w:rFonts w:ascii="宋体" w:hAnsi="宋体" w:cs="宋体"/>
          <w:szCs w:val="21"/>
        </w:rPr>
      </w:pPr>
      <w:r>
        <w:rPr>
          <w:rFonts w:hint="eastAsia" w:ascii="宋体" w:hAnsi="宋体" w:cs="宋体"/>
          <w:szCs w:val="21"/>
        </w:rPr>
        <w:t>3.7.3 投标文件应编制目录，插入连续页码。</w:t>
      </w:r>
    </w:p>
    <w:p w14:paraId="356A670A">
      <w:pPr>
        <w:pStyle w:val="2"/>
        <w:spacing w:line="360" w:lineRule="auto"/>
        <w:rPr>
          <w:rFonts w:cs="宋体"/>
          <w:sz w:val="24"/>
          <w:szCs w:val="24"/>
        </w:rPr>
      </w:pPr>
      <w:bookmarkStart w:id="87" w:name="_Toc22438"/>
      <w:bookmarkStart w:id="88" w:name="_Toc29710"/>
      <w:bookmarkStart w:id="89" w:name="_Toc26100"/>
      <w:bookmarkStart w:id="90" w:name="_Toc28246"/>
      <w:bookmarkStart w:id="91" w:name="_Toc32089"/>
      <w:r>
        <w:rPr>
          <w:rFonts w:hint="eastAsia" w:cs="宋体"/>
          <w:sz w:val="24"/>
          <w:szCs w:val="24"/>
        </w:rPr>
        <w:t>4．投标</w:t>
      </w:r>
      <w:bookmarkEnd w:id="85"/>
      <w:bookmarkEnd w:id="87"/>
      <w:bookmarkEnd w:id="88"/>
      <w:bookmarkEnd w:id="89"/>
      <w:bookmarkEnd w:id="90"/>
      <w:bookmarkEnd w:id="91"/>
    </w:p>
    <w:p w14:paraId="2951C904">
      <w:pPr>
        <w:pStyle w:val="5"/>
        <w:spacing w:before="0" w:after="0" w:line="360" w:lineRule="auto"/>
        <w:rPr>
          <w:rFonts w:ascii="宋体" w:hAnsi="宋体" w:eastAsia="宋体" w:cs="宋体"/>
          <w:sz w:val="21"/>
          <w:szCs w:val="21"/>
        </w:rPr>
      </w:pPr>
      <w:r>
        <w:rPr>
          <w:rFonts w:hint="eastAsia" w:ascii="宋体" w:hAnsi="宋体" w:eastAsia="宋体" w:cs="宋体"/>
          <w:sz w:val="21"/>
          <w:szCs w:val="21"/>
        </w:rPr>
        <w:t>4.1投标文件的递交</w:t>
      </w:r>
    </w:p>
    <w:p w14:paraId="4966F7AA">
      <w:pPr>
        <w:spacing w:line="360" w:lineRule="auto"/>
        <w:ind w:firstLine="420" w:firstLineChars="200"/>
        <w:rPr>
          <w:rFonts w:ascii="宋体" w:hAnsi="宋体" w:cs="宋体"/>
          <w:szCs w:val="21"/>
        </w:rPr>
      </w:pPr>
      <w:r>
        <w:rPr>
          <w:rFonts w:hint="eastAsia" w:ascii="宋体" w:hAnsi="宋体" w:cs="宋体"/>
          <w:szCs w:val="21"/>
        </w:rPr>
        <w:t>4.1.1投标人应在前附表规定的投标截止时间前递交投标文件。</w:t>
      </w:r>
    </w:p>
    <w:p w14:paraId="432CDD90">
      <w:pPr>
        <w:spacing w:line="360" w:lineRule="auto"/>
        <w:ind w:firstLine="420" w:firstLineChars="200"/>
        <w:rPr>
          <w:rFonts w:ascii="宋体" w:hAnsi="宋体" w:cs="宋体"/>
          <w:szCs w:val="21"/>
        </w:rPr>
      </w:pPr>
      <w:r>
        <w:rPr>
          <w:rFonts w:hint="eastAsia" w:ascii="宋体" w:hAnsi="宋体" w:cs="宋体"/>
          <w:szCs w:val="21"/>
        </w:rPr>
        <w:t>4.1.2投标人递交投标文件的地点：见</w:t>
      </w:r>
      <w:r>
        <w:rPr>
          <w:rFonts w:hint="eastAsia" w:ascii="宋体" w:hAnsi="宋体" w:cs="宋体"/>
          <w:szCs w:val="21"/>
          <w:lang w:eastAsia="zh-CN"/>
        </w:rPr>
        <w:t>供应商须知</w:t>
      </w:r>
      <w:r>
        <w:rPr>
          <w:rFonts w:hint="eastAsia" w:ascii="宋体" w:hAnsi="宋体" w:cs="宋体"/>
          <w:szCs w:val="21"/>
        </w:rPr>
        <w:t>前附表。</w:t>
      </w:r>
    </w:p>
    <w:p w14:paraId="35B60BE8">
      <w:pPr>
        <w:spacing w:line="360" w:lineRule="auto"/>
        <w:ind w:firstLine="420" w:firstLineChars="200"/>
        <w:rPr>
          <w:rFonts w:ascii="宋体" w:hAnsi="宋体" w:cs="宋体"/>
          <w:szCs w:val="21"/>
        </w:rPr>
      </w:pPr>
      <w:r>
        <w:rPr>
          <w:rFonts w:hint="eastAsia" w:ascii="宋体" w:hAnsi="宋体" w:cs="宋体"/>
          <w:szCs w:val="21"/>
        </w:rPr>
        <w:t>4.1.3除</w:t>
      </w:r>
      <w:r>
        <w:rPr>
          <w:rFonts w:hint="eastAsia" w:ascii="宋体" w:hAnsi="宋体" w:cs="宋体"/>
          <w:szCs w:val="21"/>
          <w:lang w:eastAsia="zh-CN"/>
        </w:rPr>
        <w:t>供应商须知</w:t>
      </w:r>
      <w:r>
        <w:rPr>
          <w:rFonts w:hint="eastAsia" w:ascii="宋体" w:hAnsi="宋体" w:cs="宋体"/>
          <w:szCs w:val="21"/>
        </w:rPr>
        <w:t>前附表另有规定外，投标人所递交的投标文件不予退还。</w:t>
      </w:r>
    </w:p>
    <w:p w14:paraId="28F94570">
      <w:pPr>
        <w:spacing w:line="360" w:lineRule="auto"/>
        <w:ind w:firstLine="420" w:firstLineChars="200"/>
        <w:rPr>
          <w:rFonts w:ascii="宋体" w:hAnsi="宋体" w:cs="宋体"/>
          <w:szCs w:val="21"/>
        </w:rPr>
      </w:pPr>
      <w:r>
        <w:rPr>
          <w:rFonts w:hint="eastAsia" w:ascii="宋体" w:hAnsi="宋体" w:cs="宋体"/>
          <w:szCs w:val="21"/>
        </w:rPr>
        <w:t>4.1.4逾期上传的投标文件将不予受理。</w:t>
      </w:r>
    </w:p>
    <w:p w14:paraId="50CC110B">
      <w:pPr>
        <w:pStyle w:val="5"/>
        <w:spacing w:before="0" w:after="0" w:line="360" w:lineRule="auto"/>
        <w:rPr>
          <w:rFonts w:ascii="宋体" w:hAnsi="宋体" w:eastAsia="宋体" w:cs="宋体"/>
          <w:sz w:val="21"/>
          <w:szCs w:val="21"/>
        </w:rPr>
      </w:pPr>
      <w:r>
        <w:rPr>
          <w:rFonts w:hint="eastAsia" w:ascii="宋体" w:hAnsi="宋体" w:eastAsia="宋体" w:cs="宋体"/>
          <w:sz w:val="21"/>
          <w:szCs w:val="21"/>
        </w:rPr>
        <w:t>4.2投标文件的修改与撤回</w:t>
      </w:r>
    </w:p>
    <w:p w14:paraId="3ABD1654">
      <w:pPr>
        <w:spacing w:line="360" w:lineRule="auto"/>
        <w:ind w:firstLine="420" w:firstLineChars="200"/>
        <w:rPr>
          <w:rFonts w:ascii="宋体" w:hAnsi="宋体" w:cs="宋体"/>
          <w:szCs w:val="21"/>
        </w:rPr>
      </w:pPr>
      <w:bookmarkStart w:id="92" w:name="_Toc184635075"/>
      <w:r>
        <w:rPr>
          <w:rFonts w:hint="eastAsia" w:ascii="宋体" w:hAnsi="宋体" w:cs="宋体"/>
          <w:szCs w:val="21"/>
        </w:rPr>
        <w:t>在投标须知前附表规定的投标截止时间后，投标人不可以修改或撤回已递交的投标文件，投标人在投标须知前附表规定的投标截止时间后修改投标文件的，投标人将被拒绝。</w:t>
      </w:r>
    </w:p>
    <w:p w14:paraId="59D8020C">
      <w:pPr>
        <w:pStyle w:val="2"/>
        <w:spacing w:line="360" w:lineRule="auto"/>
        <w:rPr>
          <w:rFonts w:cs="宋体"/>
          <w:sz w:val="24"/>
          <w:szCs w:val="24"/>
        </w:rPr>
      </w:pPr>
      <w:bookmarkStart w:id="93" w:name="_Toc13386"/>
      <w:bookmarkStart w:id="94" w:name="_Toc23478"/>
      <w:bookmarkStart w:id="95" w:name="_Toc10813"/>
      <w:bookmarkStart w:id="96" w:name="_Toc22822"/>
      <w:bookmarkStart w:id="97" w:name="_Toc12404"/>
      <w:r>
        <w:rPr>
          <w:rFonts w:hint="eastAsia" w:cs="宋体"/>
          <w:sz w:val="24"/>
          <w:szCs w:val="24"/>
        </w:rPr>
        <w:t>5．开标</w:t>
      </w:r>
      <w:bookmarkEnd w:id="92"/>
      <w:bookmarkEnd w:id="93"/>
      <w:bookmarkEnd w:id="94"/>
      <w:bookmarkEnd w:id="95"/>
      <w:bookmarkEnd w:id="96"/>
      <w:bookmarkEnd w:id="97"/>
    </w:p>
    <w:p w14:paraId="184E50D7">
      <w:pPr>
        <w:pStyle w:val="5"/>
        <w:spacing w:before="0" w:after="0" w:line="360" w:lineRule="auto"/>
        <w:rPr>
          <w:rFonts w:ascii="宋体" w:hAnsi="宋体" w:eastAsia="宋体" w:cs="宋体"/>
          <w:sz w:val="21"/>
          <w:szCs w:val="21"/>
        </w:rPr>
      </w:pPr>
      <w:r>
        <w:rPr>
          <w:rFonts w:hint="eastAsia" w:ascii="宋体" w:hAnsi="宋体" w:eastAsia="宋体" w:cs="宋体"/>
          <w:sz w:val="21"/>
          <w:szCs w:val="21"/>
        </w:rPr>
        <w:t>5.1开标时间和地点</w:t>
      </w:r>
    </w:p>
    <w:p w14:paraId="0C5714B1">
      <w:pPr>
        <w:spacing w:line="360" w:lineRule="auto"/>
        <w:ind w:firstLine="420" w:firstLineChars="200"/>
        <w:rPr>
          <w:rFonts w:ascii="宋体" w:hAnsi="宋体" w:cs="宋体"/>
          <w:szCs w:val="21"/>
        </w:rPr>
      </w:pPr>
      <w:r>
        <w:rPr>
          <w:rFonts w:hint="eastAsia" w:ascii="宋体" w:hAnsi="宋体" w:cs="宋体"/>
          <w:szCs w:val="21"/>
          <w:lang w:eastAsia="zh-CN"/>
        </w:rPr>
        <w:t>采购人</w:t>
      </w:r>
      <w:r>
        <w:rPr>
          <w:rFonts w:hint="eastAsia" w:ascii="宋体" w:hAnsi="宋体" w:cs="宋体"/>
          <w:szCs w:val="21"/>
        </w:rPr>
        <w:t>在</w:t>
      </w:r>
      <w:r>
        <w:rPr>
          <w:rFonts w:hint="eastAsia" w:ascii="宋体" w:hAnsi="宋体" w:cs="宋体"/>
          <w:szCs w:val="21"/>
          <w:lang w:eastAsia="zh-CN"/>
        </w:rPr>
        <w:t>供应商须知</w:t>
      </w:r>
      <w:r>
        <w:rPr>
          <w:rFonts w:hint="eastAsia" w:ascii="宋体" w:hAnsi="宋体" w:cs="宋体"/>
          <w:szCs w:val="21"/>
        </w:rPr>
        <w:t>前附表规定的时间，通过电子招标投标交易平台公开开标。所有投标人登录郑州市公共资源交易中心门户网站远程开标大厅（http://122.112.246.33/BidOpening/bidopeninghallaction/hall/login）在线参加开标活动，无需到开标现场。</w:t>
      </w:r>
    </w:p>
    <w:p w14:paraId="134CCC4F">
      <w:pPr>
        <w:pStyle w:val="5"/>
        <w:spacing w:before="0" w:after="0" w:line="360" w:lineRule="auto"/>
        <w:rPr>
          <w:rFonts w:ascii="宋体" w:hAnsi="宋体" w:eastAsia="宋体" w:cs="宋体"/>
          <w:sz w:val="21"/>
          <w:szCs w:val="21"/>
        </w:rPr>
      </w:pPr>
      <w:r>
        <w:rPr>
          <w:rFonts w:hint="eastAsia" w:ascii="宋体" w:hAnsi="宋体" w:eastAsia="宋体" w:cs="宋体"/>
          <w:sz w:val="21"/>
          <w:szCs w:val="21"/>
        </w:rPr>
        <w:t>5.2开标程序</w:t>
      </w:r>
    </w:p>
    <w:p w14:paraId="46D1F4B2">
      <w:pPr>
        <w:spacing w:line="360" w:lineRule="auto"/>
        <w:ind w:firstLine="420" w:firstLineChars="200"/>
        <w:rPr>
          <w:rFonts w:ascii="宋体" w:hAnsi="宋体" w:cs="宋体"/>
          <w:szCs w:val="21"/>
        </w:rPr>
      </w:pPr>
      <w:bookmarkStart w:id="98" w:name="_Hlk34897989"/>
      <w:r>
        <w:rPr>
          <w:rFonts w:hint="eastAsia" w:ascii="宋体" w:hAnsi="宋体" w:cs="宋体"/>
          <w:szCs w:val="21"/>
        </w:rPr>
        <w:t>5.2.1主持人按下列程序进行开标：</w:t>
      </w:r>
    </w:p>
    <w:p w14:paraId="1F46D1A0">
      <w:pPr>
        <w:spacing w:line="360" w:lineRule="auto"/>
        <w:ind w:firstLine="420" w:firstLineChars="200"/>
        <w:rPr>
          <w:rFonts w:ascii="宋体" w:hAnsi="宋体" w:cs="宋体"/>
          <w:szCs w:val="21"/>
        </w:rPr>
      </w:pPr>
      <w:r>
        <w:rPr>
          <w:rFonts w:hint="eastAsia" w:ascii="宋体" w:hAnsi="宋体" w:cs="宋体"/>
          <w:szCs w:val="21"/>
        </w:rPr>
        <w:t>（1）公布在投标截止时间前递交投标文件的</w:t>
      </w:r>
      <w:r>
        <w:rPr>
          <w:rFonts w:hint="eastAsia" w:ascii="宋体" w:hAnsi="宋体" w:cs="宋体"/>
          <w:szCs w:val="21"/>
          <w:lang w:eastAsia="zh-CN"/>
        </w:rPr>
        <w:t>供应商名称</w:t>
      </w:r>
      <w:r>
        <w:rPr>
          <w:rFonts w:hint="eastAsia" w:ascii="宋体" w:hAnsi="宋体" w:cs="宋体"/>
          <w:szCs w:val="21"/>
        </w:rPr>
        <w:t>；</w:t>
      </w:r>
    </w:p>
    <w:p w14:paraId="64E3FF45">
      <w:pPr>
        <w:spacing w:line="360" w:lineRule="auto"/>
        <w:ind w:firstLine="420" w:firstLineChars="200"/>
        <w:rPr>
          <w:rFonts w:ascii="宋体" w:hAnsi="宋体" w:cs="宋体"/>
          <w:szCs w:val="21"/>
        </w:rPr>
      </w:pPr>
      <w:r>
        <w:rPr>
          <w:rFonts w:hint="eastAsia" w:ascii="宋体" w:hAnsi="宋体" w:cs="宋体"/>
          <w:szCs w:val="21"/>
        </w:rPr>
        <w:t>（2）投标人通过电子招标投标交易平台对已递交的电子投标文件进行解密，公布招标项目名称、</w:t>
      </w:r>
      <w:r>
        <w:rPr>
          <w:rFonts w:hint="eastAsia" w:ascii="宋体" w:hAnsi="宋体" w:cs="宋体"/>
          <w:szCs w:val="21"/>
          <w:lang w:eastAsia="zh-CN"/>
        </w:rPr>
        <w:t>供应商名称</w:t>
      </w:r>
      <w:r>
        <w:rPr>
          <w:rFonts w:hint="eastAsia" w:ascii="宋体" w:hAnsi="宋体" w:cs="宋体"/>
          <w:szCs w:val="21"/>
        </w:rPr>
        <w:t>、投标内容、投标报价、合同履行期限、服务质量及投标有效期，并记录在案；</w:t>
      </w:r>
    </w:p>
    <w:p w14:paraId="3D5C86E7">
      <w:pPr>
        <w:spacing w:line="360" w:lineRule="auto"/>
        <w:ind w:firstLine="420" w:firstLineChars="200"/>
        <w:rPr>
          <w:rFonts w:ascii="宋体" w:hAnsi="宋体" w:cs="宋体"/>
          <w:szCs w:val="21"/>
        </w:rPr>
      </w:pPr>
      <w:r>
        <w:rPr>
          <w:rFonts w:hint="eastAsia" w:ascii="宋体" w:hAnsi="宋体" w:cs="宋体"/>
          <w:szCs w:val="21"/>
        </w:rPr>
        <w:t>（3）在系统规定的提异议时间内，各投标人可以提问题；（如有）</w:t>
      </w:r>
    </w:p>
    <w:p w14:paraId="738BB3FB">
      <w:pPr>
        <w:spacing w:line="360" w:lineRule="auto"/>
        <w:ind w:firstLine="420" w:firstLineChars="200"/>
        <w:rPr>
          <w:rFonts w:ascii="宋体" w:hAnsi="宋体" w:cs="宋体"/>
          <w:szCs w:val="21"/>
        </w:rPr>
      </w:pPr>
      <w:r>
        <w:rPr>
          <w:rFonts w:hint="eastAsia" w:ascii="宋体" w:hAnsi="宋体" w:cs="宋体"/>
          <w:szCs w:val="21"/>
        </w:rPr>
        <w:t>（4）开标结束。</w:t>
      </w:r>
    </w:p>
    <w:p w14:paraId="5224F86B">
      <w:pPr>
        <w:spacing w:line="360" w:lineRule="auto"/>
        <w:ind w:firstLine="420" w:firstLineChars="200"/>
        <w:rPr>
          <w:rFonts w:ascii="宋体" w:hAnsi="宋体" w:cs="宋体"/>
          <w:szCs w:val="21"/>
        </w:rPr>
      </w:pPr>
      <w:r>
        <w:rPr>
          <w:rFonts w:hint="eastAsia" w:ascii="宋体" w:hAnsi="宋体" w:cs="宋体"/>
          <w:szCs w:val="21"/>
        </w:rPr>
        <w:t>5.2.2投标文件的有效性：</w:t>
      </w:r>
    </w:p>
    <w:p w14:paraId="35B817FE">
      <w:pPr>
        <w:spacing w:line="360" w:lineRule="auto"/>
        <w:ind w:firstLine="420" w:firstLineChars="200"/>
        <w:rPr>
          <w:rFonts w:ascii="宋体" w:hAnsi="宋体" w:cs="宋体"/>
          <w:szCs w:val="21"/>
        </w:rPr>
      </w:pPr>
      <w:r>
        <w:rPr>
          <w:rFonts w:hint="eastAsia" w:ascii="宋体" w:hAnsi="宋体" w:cs="宋体"/>
          <w:szCs w:val="21"/>
        </w:rPr>
        <w:t>开标时有下列情况之一的投标文件，应当作为无效投标文件，不再进行后续评标：</w:t>
      </w:r>
    </w:p>
    <w:p w14:paraId="23E46765">
      <w:pPr>
        <w:spacing w:line="360" w:lineRule="auto"/>
        <w:ind w:firstLine="420" w:firstLineChars="200"/>
        <w:rPr>
          <w:rFonts w:ascii="宋体" w:hAnsi="宋体" w:cs="宋体"/>
          <w:szCs w:val="21"/>
        </w:rPr>
      </w:pPr>
      <w:r>
        <w:rPr>
          <w:rFonts w:hint="eastAsia" w:ascii="宋体" w:hAnsi="宋体" w:cs="宋体"/>
          <w:szCs w:val="21"/>
        </w:rPr>
        <w:t>（1）投标文件逾期上传的；</w:t>
      </w:r>
    </w:p>
    <w:p w14:paraId="0831E743">
      <w:pPr>
        <w:spacing w:line="360" w:lineRule="auto"/>
        <w:ind w:firstLine="420" w:firstLineChars="200"/>
        <w:rPr>
          <w:rFonts w:ascii="宋体" w:hAnsi="宋体" w:cs="宋体"/>
          <w:szCs w:val="21"/>
        </w:rPr>
      </w:pPr>
      <w:r>
        <w:rPr>
          <w:rFonts w:hint="eastAsia" w:ascii="宋体" w:hAnsi="宋体" w:cs="宋体"/>
          <w:szCs w:val="21"/>
        </w:rPr>
        <w:t>（2）投标文件中的投标报价高于本次招标最高限价的。</w:t>
      </w:r>
    </w:p>
    <w:bookmarkEnd w:id="98"/>
    <w:p w14:paraId="1307536F">
      <w:pPr>
        <w:pStyle w:val="2"/>
        <w:spacing w:line="360" w:lineRule="auto"/>
        <w:rPr>
          <w:rFonts w:cs="宋体"/>
          <w:sz w:val="24"/>
          <w:szCs w:val="24"/>
        </w:rPr>
      </w:pPr>
      <w:bookmarkStart w:id="99" w:name="_Toc23130"/>
      <w:bookmarkStart w:id="100" w:name="_Toc14212"/>
      <w:bookmarkStart w:id="101" w:name="_Toc184635076"/>
      <w:bookmarkStart w:id="102" w:name="_Toc1854"/>
      <w:bookmarkStart w:id="103" w:name="_Toc17944"/>
      <w:bookmarkStart w:id="104" w:name="_Toc23554"/>
      <w:r>
        <w:rPr>
          <w:rFonts w:hint="eastAsia" w:cs="宋体"/>
          <w:sz w:val="24"/>
          <w:szCs w:val="24"/>
        </w:rPr>
        <w:t>6．评标</w:t>
      </w:r>
      <w:bookmarkEnd w:id="99"/>
      <w:bookmarkEnd w:id="100"/>
      <w:bookmarkEnd w:id="101"/>
      <w:bookmarkEnd w:id="102"/>
      <w:bookmarkEnd w:id="103"/>
      <w:bookmarkEnd w:id="104"/>
    </w:p>
    <w:p w14:paraId="112B6257">
      <w:pPr>
        <w:pStyle w:val="5"/>
        <w:spacing w:before="0" w:after="0" w:line="360" w:lineRule="auto"/>
        <w:rPr>
          <w:rFonts w:hint="eastAsia" w:ascii="宋体" w:hAnsi="宋体" w:eastAsia="宋体" w:cs="宋体"/>
          <w:sz w:val="21"/>
          <w:szCs w:val="21"/>
          <w:lang w:eastAsia="zh-CN"/>
        </w:rPr>
      </w:pPr>
      <w:bookmarkStart w:id="105" w:name="OLE_LINK24"/>
      <w:r>
        <w:rPr>
          <w:rFonts w:hint="eastAsia" w:ascii="宋体" w:hAnsi="宋体" w:eastAsia="宋体" w:cs="宋体"/>
          <w:sz w:val="21"/>
          <w:szCs w:val="21"/>
        </w:rPr>
        <w:t>6.1</w:t>
      </w:r>
      <w:bookmarkEnd w:id="105"/>
      <w:r>
        <w:rPr>
          <w:rFonts w:hint="eastAsia" w:ascii="宋体" w:hAnsi="宋体" w:eastAsia="宋体" w:cs="宋体"/>
          <w:sz w:val="21"/>
          <w:szCs w:val="21"/>
          <w:lang w:eastAsia="zh-CN"/>
        </w:rPr>
        <w:t>资格审查</w:t>
      </w:r>
    </w:p>
    <w:p w14:paraId="2ED1A75F">
      <w:pPr>
        <w:spacing w:line="360" w:lineRule="auto"/>
        <w:ind w:firstLine="420" w:firstLineChars="200"/>
        <w:rPr>
          <w:rFonts w:hint="eastAsia" w:ascii="宋体" w:hAnsi="宋体" w:eastAsia="宋体" w:cs="宋体"/>
        </w:rPr>
      </w:pPr>
      <w:r>
        <w:rPr>
          <w:rFonts w:hint="eastAsia" w:ascii="宋体" w:hAnsi="宋体" w:eastAsia="宋体" w:cs="宋体"/>
        </w:rPr>
        <w:t>6.1.1依照财政部令第87号第四十四条规定：公开招标采购项目开标结束后，采购人或者采购代理机构应当依法对</w:t>
      </w:r>
      <w:r>
        <w:rPr>
          <w:rFonts w:hint="eastAsia" w:ascii="宋体" w:hAnsi="宋体" w:eastAsia="宋体" w:cs="宋体"/>
          <w:lang w:eastAsia="zh-CN"/>
        </w:rPr>
        <w:t>供应商</w:t>
      </w:r>
      <w:r>
        <w:rPr>
          <w:rFonts w:hint="eastAsia" w:ascii="宋体" w:hAnsi="宋体" w:eastAsia="宋体" w:cs="宋体"/>
        </w:rPr>
        <w:t>的资格进行审查。</w:t>
      </w:r>
    </w:p>
    <w:p w14:paraId="7BE93476">
      <w:pPr>
        <w:spacing w:line="360" w:lineRule="auto"/>
        <w:ind w:firstLine="420" w:firstLineChars="200"/>
        <w:rPr>
          <w:rFonts w:hint="eastAsia" w:ascii="宋体" w:hAnsi="宋体" w:eastAsia="宋体" w:cs="宋体"/>
        </w:rPr>
      </w:pPr>
      <w:r>
        <w:rPr>
          <w:rFonts w:hint="eastAsia" w:ascii="宋体" w:hAnsi="宋体" w:eastAsia="宋体" w:cs="宋体"/>
        </w:rPr>
        <w:t>6.1.</w:t>
      </w:r>
      <w:r>
        <w:rPr>
          <w:rFonts w:hint="eastAsia" w:ascii="宋体" w:hAnsi="宋体" w:eastAsia="宋体" w:cs="宋体"/>
          <w:lang w:val="en-US" w:eastAsia="zh-CN"/>
        </w:rPr>
        <w:t>2</w:t>
      </w:r>
      <w:r>
        <w:rPr>
          <w:rFonts w:hint="eastAsia" w:ascii="宋体" w:hAnsi="宋体" w:eastAsia="宋体" w:cs="宋体"/>
        </w:rPr>
        <w:t>采购人或者采购代理机构根据</w:t>
      </w:r>
      <w:r>
        <w:rPr>
          <w:rFonts w:hint="eastAsia" w:ascii="宋体" w:hAnsi="宋体" w:eastAsia="宋体" w:cs="宋体"/>
          <w:lang w:eastAsia="zh-CN"/>
        </w:rPr>
        <w:t>供应商</w:t>
      </w:r>
      <w:r>
        <w:rPr>
          <w:rFonts w:hint="eastAsia" w:ascii="宋体" w:hAnsi="宋体" w:eastAsia="宋体" w:cs="宋体"/>
        </w:rPr>
        <w:t>提交的</w:t>
      </w:r>
      <w:r>
        <w:rPr>
          <w:rFonts w:hint="eastAsia" w:ascii="宋体" w:hAnsi="宋体" w:eastAsia="宋体" w:cs="宋体"/>
          <w:lang w:eastAsia="zh-CN"/>
        </w:rPr>
        <w:t>投标文件中的</w:t>
      </w:r>
      <w:r>
        <w:rPr>
          <w:rFonts w:hint="eastAsia" w:ascii="宋体" w:hAnsi="宋体" w:eastAsia="宋体" w:cs="宋体"/>
        </w:rPr>
        <w:t>“资格申请文件”，对</w:t>
      </w:r>
      <w:r>
        <w:rPr>
          <w:rFonts w:hint="eastAsia" w:ascii="宋体" w:hAnsi="宋体" w:eastAsia="宋体" w:cs="宋体"/>
          <w:lang w:eastAsia="zh-CN"/>
        </w:rPr>
        <w:t>供应商</w:t>
      </w:r>
      <w:r>
        <w:rPr>
          <w:rFonts w:hint="eastAsia" w:ascii="宋体" w:hAnsi="宋体" w:eastAsia="宋体" w:cs="宋体"/>
        </w:rPr>
        <w:t>进行资格审查。</w:t>
      </w:r>
    </w:p>
    <w:p w14:paraId="698671BA">
      <w:pPr>
        <w:spacing w:line="360" w:lineRule="auto"/>
        <w:ind w:firstLine="420" w:firstLineChars="200"/>
        <w:rPr>
          <w:rFonts w:hint="eastAsia" w:ascii="宋体" w:hAnsi="宋体" w:eastAsia="宋体" w:cs="宋体"/>
        </w:rPr>
      </w:pPr>
      <w:r>
        <w:rPr>
          <w:rFonts w:hint="eastAsia" w:ascii="宋体" w:hAnsi="宋体" w:eastAsia="宋体" w:cs="宋体"/>
        </w:rPr>
        <w:t>6.1.</w:t>
      </w:r>
      <w:r>
        <w:rPr>
          <w:rFonts w:hint="eastAsia" w:ascii="宋体" w:hAnsi="宋体" w:eastAsia="宋体" w:cs="宋体"/>
          <w:lang w:val="en-US" w:eastAsia="zh-CN"/>
        </w:rPr>
        <w:t>3</w:t>
      </w:r>
      <w:r>
        <w:rPr>
          <w:rFonts w:hint="eastAsia" w:ascii="宋体" w:hAnsi="宋体" w:eastAsia="宋体" w:cs="宋体"/>
        </w:rPr>
        <w:t>采购人或者采购代理机构依据规定的标准对</w:t>
      </w:r>
      <w:r>
        <w:rPr>
          <w:rFonts w:hint="eastAsia" w:ascii="宋体" w:hAnsi="宋体" w:eastAsia="宋体" w:cs="宋体"/>
          <w:lang w:eastAsia="zh-CN"/>
        </w:rPr>
        <w:t>供应商投标文件中的</w:t>
      </w:r>
      <w:r>
        <w:rPr>
          <w:rFonts w:hint="eastAsia" w:ascii="宋体" w:hAnsi="宋体" w:eastAsia="宋体" w:cs="宋体"/>
        </w:rPr>
        <w:t>“资格申请文件”进行</w:t>
      </w:r>
      <w:r>
        <w:rPr>
          <w:rFonts w:hint="eastAsia" w:ascii="宋体" w:hAnsi="宋体" w:eastAsia="宋体" w:cs="宋体"/>
          <w:lang w:val="en-US" w:eastAsia="zh-CN"/>
        </w:rPr>
        <w:t>资格审查</w:t>
      </w:r>
      <w:r>
        <w:rPr>
          <w:rFonts w:hint="eastAsia" w:ascii="宋体" w:hAnsi="宋体" w:eastAsia="宋体" w:cs="宋体"/>
        </w:rPr>
        <w:t>。有一项不符合评审标准的，应当否决其投标，作废标处理。</w:t>
      </w:r>
    </w:p>
    <w:p w14:paraId="508954D7">
      <w:pPr>
        <w:pStyle w:val="5"/>
        <w:spacing w:before="0" w:after="0" w:line="360" w:lineRule="auto"/>
        <w:rPr>
          <w:rFonts w:ascii="宋体" w:hAnsi="宋体" w:eastAsia="宋体" w:cs="宋体"/>
          <w:sz w:val="21"/>
          <w:szCs w:val="21"/>
        </w:rPr>
      </w:pPr>
      <w:r>
        <w:rPr>
          <w:rFonts w:hint="eastAsia" w:ascii="宋体" w:hAnsi="宋体" w:eastAsia="宋体" w:cs="宋体"/>
          <w:sz w:val="21"/>
          <w:szCs w:val="21"/>
        </w:rPr>
        <w:t>6.</w:t>
      </w:r>
      <w:r>
        <w:rPr>
          <w:rFonts w:hint="eastAsia" w:ascii="宋体" w:hAnsi="宋体" w:eastAsia="宋体" w:cs="宋体"/>
          <w:sz w:val="21"/>
          <w:szCs w:val="21"/>
          <w:lang w:val="en-US" w:eastAsia="zh-CN"/>
        </w:rPr>
        <w:t>2</w:t>
      </w:r>
      <w:r>
        <w:rPr>
          <w:rFonts w:hint="eastAsia" w:ascii="宋体" w:hAnsi="宋体" w:eastAsia="宋体" w:cs="宋体"/>
          <w:sz w:val="21"/>
          <w:szCs w:val="21"/>
        </w:rPr>
        <w:t>评标委员会</w:t>
      </w:r>
    </w:p>
    <w:p w14:paraId="2F221E3E">
      <w:pPr>
        <w:spacing w:line="360" w:lineRule="auto"/>
        <w:ind w:firstLine="420" w:firstLineChars="200"/>
        <w:rPr>
          <w:rFonts w:ascii="宋体" w:hAnsi="宋体" w:cs="宋体"/>
          <w:szCs w:val="21"/>
        </w:rPr>
      </w:pPr>
      <w:r>
        <w:rPr>
          <w:rFonts w:hint="eastAsia" w:ascii="宋体" w:hAnsi="宋体" w:cs="宋体"/>
          <w:szCs w:val="21"/>
        </w:rPr>
        <w:t>6.</w:t>
      </w:r>
      <w:r>
        <w:rPr>
          <w:rFonts w:hint="eastAsia" w:ascii="宋体" w:hAnsi="宋体" w:cs="宋体"/>
          <w:szCs w:val="21"/>
          <w:lang w:val="en-US" w:eastAsia="zh-CN"/>
        </w:rPr>
        <w:t>2</w:t>
      </w:r>
      <w:r>
        <w:rPr>
          <w:rFonts w:hint="eastAsia" w:ascii="宋体" w:hAnsi="宋体" w:cs="宋体"/>
          <w:szCs w:val="21"/>
        </w:rPr>
        <w:t>.1</w:t>
      </w:r>
      <w:r>
        <w:rPr>
          <w:rFonts w:hint="eastAsia" w:ascii="宋体" w:hAnsi="宋体" w:cs="宋体"/>
        </w:rPr>
        <w:t>评标由</w:t>
      </w:r>
      <w:r>
        <w:rPr>
          <w:rFonts w:hint="eastAsia" w:ascii="宋体" w:hAnsi="宋体" w:cs="宋体"/>
          <w:lang w:eastAsia="zh-CN"/>
        </w:rPr>
        <w:t>采购人</w:t>
      </w:r>
      <w:r>
        <w:rPr>
          <w:rFonts w:hint="eastAsia" w:ascii="宋体" w:hAnsi="宋体" w:cs="宋体"/>
        </w:rPr>
        <w:t>依法组建的评标委员会负责。评标委员会由有关技术、经济等方面的专家组成。评标委员会成员人数以及技术、经济等方面专家的确定方式见</w:t>
      </w:r>
      <w:r>
        <w:rPr>
          <w:rFonts w:hint="eastAsia" w:ascii="宋体" w:hAnsi="宋体" w:cs="宋体"/>
          <w:lang w:eastAsia="zh-CN"/>
        </w:rPr>
        <w:t>供应商须知</w:t>
      </w:r>
      <w:r>
        <w:rPr>
          <w:rFonts w:hint="eastAsia" w:ascii="宋体" w:hAnsi="宋体" w:cs="宋体"/>
        </w:rPr>
        <w:t>前附表。</w:t>
      </w:r>
    </w:p>
    <w:p w14:paraId="22E20907">
      <w:pPr>
        <w:spacing w:line="360" w:lineRule="auto"/>
        <w:ind w:firstLine="420" w:firstLineChars="200"/>
        <w:rPr>
          <w:rFonts w:ascii="宋体" w:hAnsi="宋体" w:cs="宋体"/>
          <w:szCs w:val="21"/>
        </w:rPr>
      </w:pPr>
      <w:r>
        <w:rPr>
          <w:rFonts w:hint="eastAsia" w:ascii="宋体" w:hAnsi="宋体" w:cs="宋体"/>
          <w:szCs w:val="21"/>
        </w:rPr>
        <w:t>6.</w:t>
      </w:r>
      <w:r>
        <w:rPr>
          <w:rFonts w:hint="eastAsia" w:ascii="宋体" w:hAnsi="宋体" w:cs="宋体"/>
          <w:szCs w:val="21"/>
          <w:lang w:val="en-US" w:eastAsia="zh-CN"/>
        </w:rPr>
        <w:t>2</w:t>
      </w:r>
      <w:r>
        <w:rPr>
          <w:rFonts w:hint="eastAsia" w:ascii="宋体" w:hAnsi="宋体" w:cs="宋体"/>
          <w:szCs w:val="21"/>
        </w:rPr>
        <w:t>.2评标委员会成员有下列情形之一的，应当回避：</w:t>
      </w:r>
    </w:p>
    <w:p w14:paraId="7DD08DA2">
      <w:pPr>
        <w:spacing w:line="360" w:lineRule="auto"/>
        <w:ind w:firstLine="420" w:firstLineChars="200"/>
        <w:rPr>
          <w:rFonts w:ascii="宋体" w:hAnsi="宋体" w:cs="宋体"/>
          <w:szCs w:val="21"/>
        </w:rPr>
      </w:pPr>
      <w:r>
        <w:rPr>
          <w:rFonts w:hint="eastAsia" w:ascii="宋体" w:hAnsi="宋体" w:cs="宋体"/>
          <w:szCs w:val="21"/>
        </w:rPr>
        <w:t>(1）</w:t>
      </w:r>
      <w:r>
        <w:rPr>
          <w:rFonts w:hint="eastAsia" w:ascii="宋体" w:hAnsi="宋体" w:cs="宋体"/>
          <w:szCs w:val="21"/>
          <w:lang w:eastAsia="zh-CN"/>
        </w:rPr>
        <w:t>采购人</w:t>
      </w:r>
      <w:r>
        <w:rPr>
          <w:rFonts w:hint="eastAsia" w:ascii="宋体" w:hAnsi="宋体" w:cs="宋体"/>
          <w:szCs w:val="21"/>
        </w:rPr>
        <w:t>或投标人的主要负责人的近亲属；</w:t>
      </w:r>
    </w:p>
    <w:p w14:paraId="0BE30D1A">
      <w:pPr>
        <w:spacing w:line="360" w:lineRule="auto"/>
        <w:ind w:firstLine="420" w:firstLineChars="200"/>
        <w:rPr>
          <w:rFonts w:ascii="宋体" w:hAnsi="宋体" w:cs="宋体"/>
          <w:szCs w:val="21"/>
        </w:rPr>
      </w:pPr>
      <w:r>
        <w:rPr>
          <w:rFonts w:hint="eastAsia" w:ascii="宋体" w:hAnsi="宋体" w:cs="宋体"/>
          <w:szCs w:val="21"/>
        </w:rPr>
        <w:t>(2）项目主管部门或者行政监督部门的人员；</w:t>
      </w:r>
    </w:p>
    <w:p w14:paraId="14081C28">
      <w:pPr>
        <w:spacing w:line="360" w:lineRule="auto"/>
        <w:ind w:firstLine="420" w:firstLineChars="200"/>
        <w:rPr>
          <w:rFonts w:ascii="宋体" w:hAnsi="宋体" w:cs="宋体"/>
          <w:szCs w:val="21"/>
        </w:rPr>
      </w:pPr>
      <w:r>
        <w:rPr>
          <w:rFonts w:hint="eastAsia" w:ascii="宋体" w:hAnsi="宋体" w:cs="宋体"/>
          <w:szCs w:val="21"/>
        </w:rPr>
        <w:t>(3）与投标人有经济利益关系，可能影响对投标公正评审的；</w:t>
      </w:r>
    </w:p>
    <w:p w14:paraId="69E6D2F0">
      <w:pPr>
        <w:spacing w:line="360" w:lineRule="auto"/>
        <w:ind w:firstLine="420" w:firstLineChars="200"/>
        <w:rPr>
          <w:rFonts w:ascii="宋体" w:hAnsi="宋体" w:cs="宋体"/>
          <w:szCs w:val="21"/>
        </w:rPr>
      </w:pPr>
      <w:r>
        <w:rPr>
          <w:rFonts w:hint="eastAsia" w:ascii="宋体" w:hAnsi="宋体" w:cs="宋体"/>
          <w:szCs w:val="21"/>
        </w:rPr>
        <w:t>(4）曾因在招标、评标以及其他与招标投标有关活动中从事违法行为而受过行政处罚或刑事处罚的。</w:t>
      </w:r>
    </w:p>
    <w:p w14:paraId="0B63FA52">
      <w:pPr>
        <w:spacing w:line="360" w:lineRule="auto"/>
        <w:ind w:firstLine="420" w:firstLineChars="200"/>
        <w:rPr>
          <w:rFonts w:ascii="宋体" w:hAnsi="宋体" w:cs="宋体"/>
          <w:szCs w:val="21"/>
        </w:rPr>
      </w:pPr>
      <w:r>
        <w:rPr>
          <w:rFonts w:hint="eastAsia" w:ascii="宋体" w:hAnsi="宋体" w:cs="宋体"/>
          <w:szCs w:val="21"/>
        </w:rPr>
        <w:t>6.</w:t>
      </w:r>
      <w:r>
        <w:rPr>
          <w:rFonts w:hint="eastAsia" w:ascii="宋体" w:hAnsi="宋体" w:cs="宋体"/>
          <w:szCs w:val="21"/>
          <w:lang w:val="en-US" w:eastAsia="zh-CN"/>
        </w:rPr>
        <w:t>2</w:t>
      </w:r>
      <w:r>
        <w:rPr>
          <w:rFonts w:hint="eastAsia" w:ascii="宋体" w:hAnsi="宋体" w:cs="宋体"/>
          <w:szCs w:val="21"/>
        </w:rPr>
        <w:t>.3评标过程中，评标委员会成员有回避事由、擅离职守或者因健康等原因不能继续评标的，</w:t>
      </w:r>
      <w:r>
        <w:rPr>
          <w:rFonts w:hint="eastAsia" w:ascii="宋体" w:hAnsi="宋体" w:cs="宋体"/>
          <w:szCs w:val="21"/>
          <w:lang w:eastAsia="zh-CN"/>
        </w:rPr>
        <w:t>采购人</w:t>
      </w:r>
      <w:r>
        <w:rPr>
          <w:rFonts w:hint="eastAsia" w:ascii="宋体" w:hAnsi="宋体" w:cs="宋体"/>
          <w:szCs w:val="21"/>
        </w:rPr>
        <w:t>有权更换。被更换的评标委员会成员作出的评审结论无效，由更换后的评标委员会成员重新进行评审。</w:t>
      </w:r>
    </w:p>
    <w:p w14:paraId="6D378B92">
      <w:pPr>
        <w:pStyle w:val="5"/>
        <w:spacing w:before="0" w:after="0" w:line="360" w:lineRule="auto"/>
        <w:rPr>
          <w:rFonts w:ascii="宋体" w:hAnsi="宋体" w:eastAsia="宋体" w:cs="宋体"/>
          <w:sz w:val="21"/>
          <w:szCs w:val="21"/>
        </w:rPr>
      </w:pPr>
      <w:r>
        <w:rPr>
          <w:rFonts w:hint="eastAsia" w:ascii="宋体" w:hAnsi="宋体" w:eastAsia="宋体" w:cs="宋体"/>
          <w:sz w:val="21"/>
          <w:szCs w:val="21"/>
        </w:rPr>
        <w:t>6.</w:t>
      </w:r>
      <w:r>
        <w:rPr>
          <w:rFonts w:hint="eastAsia" w:ascii="宋体" w:hAnsi="宋体" w:eastAsia="宋体" w:cs="宋体"/>
          <w:sz w:val="21"/>
          <w:szCs w:val="21"/>
          <w:lang w:val="en-US" w:eastAsia="zh-CN"/>
        </w:rPr>
        <w:t>3</w:t>
      </w:r>
      <w:r>
        <w:rPr>
          <w:rFonts w:hint="eastAsia" w:ascii="宋体" w:hAnsi="宋体" w:eastAsia="宋体" w:cs="宋体"/>
          <w:sz w:val="21"/>
          <w:szCs w:val="21"/>
        </w:rPr>
        <w:t>评标原则</w:t>
      </w:r>
    </w:p>
    <w:p w14:paraId="427F9118">
      <w:pPr>
        <w:spacing w:line="360" w:lineRule="auto"/>
        <w:ind w:firstLine="420" w:firstLineChars="200"/>
        <w:rPr>
          <w:rFonts w:hint="eastAsia" w:ascii="宋体" w:hAnsi="宋体" w:cs="宋体"/>
          <w:szCs w:val="21"/>
        </w:rPr>
      </w:pPr>
      <w:r>
        <w:rPr>
          <w:rFonts w:hint="eastAsia" w:ascii="宋体" w:hAnsi="宋体" w:cs="宋体"/>
          <w:szCs w:val="21"/>
          <w:lang w:val="en-US" w:eastAsia="zh-CN"/>
        </w:rPr>
        <w:t>6.3.1</w:t>
      </w:r>
      <w:r>
        <w:rPr>
          <w:rFonts w:hint="eastAsia" w:ascii="宋体" w:hAnsi="宋体" w:cs="宋体"/>
          <w:szCs w:val="21"/>
        </w:rPr>
        <w:t>评标活动遵循公平、公正、科学和择优的原则。</w:t>
      </w:r>
    </w:p>
    <w:p w14:paraId="590F243F">
      <w:pPr>
        <w:spacing w:line="360" w:lineRule="auto"/>
        <w:ind w:firstLine="420" w:firstLineChars="200"/>
        <w:rPr>
          <w:rFonts w:hint="eastAsia" w:ascii="宋体" w:hAnsi="宋体" w:eastAsia="宋体" w:cs="宋体"/>
          <w:b w:val="0"/>
          <w:bCs w:val="0"/>
          <w:kern w:val="2"/>
          <w:sz w:val="21"/>
          <w:szCs w:val="21"/>
          <w:lang w:val="en-US" w:eastAsia="zh-CN" w:bidi="ar-SA"/>
        </w:rPr>
      </w:pPr>
      <w:r>
        <w:rPr>
          <w:rFonts w:hint="eastAsia" w:ascii="宋体" w:hAnsi="宋体" w:eastAsia="宋体" w:cs="宋体"/>
          <w:b w:val="0"/>
          <w:bCs w:val="0"/>
          <w:kern w:val="2"/>
          <w:sz w:val="21"/>
          <w:szCs w:val="21"/>
          <w:lang w:val="en-US" w:eastAsia="zh-CN" w:bidi="ar-SA"/>
        </w:rPr>
        <w:t>6.3.2遵循《关于进一步加大政府采购支持中小企业力度的通知》（财库〔2023〕19号）文件和《政府采购促进中小企业发展管理办法》(财库[2020]46号)文件及《郑州市郑东新区财政局（审计局）关于政府采购支持稳经济促增长的通知》（郑东财审[2022]9号）文件的规定，本次采购项目价格扣除比例为20%。</w:t>
      </w:r>
    </w:p>
    <w:p w14:paraId="16099882">
      <w:pPr>
        <w:pStyle w:val="5"/>
        <w:spacing w:before="0" w:after="0" w:line="360" w:lineRule="auto"/>
        <w:rPr>
          <w:rFonts w:ascii="宋体" w:hAnsi="宋体" w:eastAsia="宋体" w:cs="宋体"/>
          <w:sz w:val="21"/>
          <w:szCs w:val="21"/>
        </w:rPr>
      </w:pPr>
      <w:r>
        <w:rPr>
          <w:rFonts w:hint="eastAsia" w:ascii="宋体" w:hAnsi="宋体" w:eastAsia="宋体" w:cs="宋体"/>
          <w:sz w:val="21"/>
          <w:szCs w:val="21"/>
        </w:rPr>
        <w:t>6.</w:t>
      </w:r>
      <w:r>
        <w:rPr>
          <w:rFonts w:hint="eastAsia" w:ascii="宋体" w:hAnsi="宋体" w:eastAsia="宋体" w:cs="宋体"/>
          <w:sz w:val="21"/>
          <w:szCs w:val="21"/>
          <w:lang w:val="en-US" w:eastAsia="zh-CN"/>
        </w:rPr>
        <w:t>4</w:t>
      </w:r>
      <w:r>
        <w:rPr>
          <w:rFonts w:hint="eastAsia" w:ascii="宋体" w:hAnsi="宋体" w:eastAsia="宋体" w:cs="宋体"/>
          <w:sz w:val="21"/>
          <w:szCs w:val="21"/>
        </w:rPr>
        <w:t>评标</w:t>
      </w:r>
    </w:p>
    <w:p w14:paraId="27774C37">
      <w:pPr>
        <w:spacing w:line="360" w:lineRule="auto"/>
        <w:ind w:firstLine="420" w:firstLineChars="200"/>
        <w:rPr>
          <w:rFonts w:ascii="宋体" w:hAnsi="宋体" w:cs="宋体"/>
          <w:szCs w:val="21"/>
        </w:rPr>
      </w:pPr>
      <w:r>
        <w:rPr>
          <w:rFonts w:hint="eastAsia" w:ascii="宋体" w:hAnsi="宋体" w:cs="宋体"/>
          <w:szCs w:val="21"/>
        </w:rPr>
        <w:t>评标委员会按照第三章“评标办法</w:t>
      </w:r>
      <w:r>
        <w:rPr>
          <w:rFonts w:hint="eastAsia" w:ascii="宋体" w:hAnsi="宋体" w:cs="宋体"/>
        </w:rPr>
        <w:t>（综合评分法）</w:t>
      </w:r>
      <w:r>
        <w:rPr>
          <w:rFonts w:hint="eastAsia" w:ascii="宋体" w:hAnsi="宋体" w:cs="宋体"/>
          <w:szCs w:val="21"/>
        </w:rPr>
        <w:t>”规定的方法、评审因素、标准和程序对投标文件进行评审。第三章“评标办法</w:t>
      </w:r>
      <w:r>
        <w:rPr>
          <w:rFonts w:hint="eastAsia" w:ascii="宋体" w:hAnsi="宋体" w:cs="宋体"/>
        </w:rPr>
        <w:t>（综合评分法）</w:t>
      </w:r>
      <w:r>
        <w:rPr>
          <w:rFonts w:hint="eastAsia" w:ascii="宋体" w:hAnsi="宋体" w:cs="宋体"/>
          <w:szCs w:val="21"/>
        </w:rPr>
        <w:t>”没有规定的方法、评审因素和标准，不作为评标依据。</w:t>
      </w:r>
    </w:p>
    <w:p w14:paraId="5D69419E">
      <w:pPr>
        <w:pStyle w:val="2"/>
        <w:spacing w:line="360" w:lineRule="auto"/>
        <w:rPr>
          <w:rFonts w:cs="宋体"/>
          <w:sz w:val="24"/>
          <w:szCs w:val="24"/>
        </w:rPr>
      </w:pPr>
      <w:bookmarkStart w:id="106" w:name="_Toc2202"/>
      <w:bookmarkStart w:id="107" w:name="_Toc184635077"/>
      <w:bookmarkStart w:id="108" w:name="_Toc15706"/>
      <w:bookmarkStart w:id="109" w:name="_Toc2298"/>
      <w:bookmarkStart w:id="110" w:name="_Toc30534"/>
      <w:bookmarkStart w:id="111" w:name="_Toc9336"/>
      <w:r>
        <w:rPr>
          <w:rFonts w:hint="eastAsia" w:cs="宋体"/>
          <w:sz w:val="24"/>
          <w:szCs w:val="24"/>
        </w:rPr>
        <w:t>7．合同授予</w:t>
      </w:r>
      <w:bookmarkEnd w:id="106"/>
      <w:bookmarkEnd w:id="107"/>
      <w:bookmarkEnd w:id="108"/>
      <w:bookmarkEnd w:id="109"/>
      <w:bookmarkEnd w:id="110"/>
      <w:bookmarkEnd w:id="111"/>
    </w:p>
    <w:p w14:paraId="4A9FA76A">
      <w:pPr>
        <w:pStyle w:val="5"/>
        <w:spacing w:before="0" w:after="0" w:line="360" w:lineRule="auto"/>
        <w:rPr>
          <w:rFonts w:ascii="宋体" w:hAnsi="宋体" w:eastAsia="宋体" w:cs="宋体"/>
          <w:sz w:val="21"/>
          <w:szCs w:val="21"/>
        </w:rPr>
      </w:pPr>
      <w:bookmarkStart w:id="112" w:name="_Toc184635078"/>
      <w:r>
        <w:rPr>
          <w:rFonts w:hint="eastAsia" w:ascii="宋体" w:hAnsi="宋体" w:eastAsia="宋体" w:cs="宋体"/>
          <w:sz w:val="21"/>
          <w:szCs w:val="21"/>
        </w:rPr>
        <w:t>7.1定标方式</w:t>
      </w:r>
    </w:p>
    <w:p w14:paraId="3174B179">
      <w:pPr>
        <w:spacing w:line="360" w:lineRule="auto"/>
        <w:ind w:firstLine="420" w:firstLineChars="200"/>
        <w:rPr>
          <w:rFonts w:ascii="宋体" w:hAnsi="宋体" w:cs="宋体"/>
          <w:b/>
          <w:szCs w:val="21"/>
        </w:rPr>
      </w:pPr>
      <w:r>
        <w:rPr>
          <w:rFonts w:hint="eastAsia" w:ascii="宋体" w:hAnsi="宋体" w:cs="宋体"/>
          <w:szCs w:val="21"/>
        </w:rPr>
        <w:t>采购代理机构在评标结束后将评标报告送</w:t>
      </w:r>
      <w:r>
        <w:rPr>
          <w:rFonts w:hint="eastAsia" w:ascii="宋体" w:hAnsi="宋体" w:cs="宋体"/>
          <w:szCs w:val="21"/>
          <w:lang w:eastAsia="zh-CN"/>
        </w:rPr>
        <w:t>采购人</w:t>
      </w:r>
      <w:r>
        <w:rPr>
          <w:rFonts w:hint="eastAsia" w:ascii="宋体" w:hAnsi="宋体" w:cs="宋体"/>
          <w:szCs w:val="21"/>
        </w:rPr>
        <w:t>。</w:t>
      </w:r>
      <w:r>
        <w:rPr>
          <w:rFonts w:hint="eastAsia" w:ascii="宋体" w:hAnsi="宋体" w:cs="宋体"/>
          <w:szCs w:val="21"/>
          <w:lang w:eastAsia="zh-CN"/>
        </w:rPr>
        <w:t>采购人</w:t>
      </w:r>
      <w:r>
        <w:rPr>
          <w:rFonts w:hint="eastAsia" w:ascii="宋体" w:hAnsi="宋体" w:cs="宋体"/>
          <w:szCs w:val="21"/>
        </w:rPr>
        <w:t>收到评标报告后在评标报告确定的中标候选人名单中按顺序确定中标人。</w:t>
      </w:r>
    </w:p>
    <w:p w14:paraId="7E695608">
      <w:pPr>
        <w:pStyle w:val="5"/>
        <w:spacing w:before="0" w:after="0" w:line="360" w:lineRule="auto"/>
        <w:rPr>
          <w:rFonts w:ascii="宋体" w:hAnsi="宋体" w:eastAsia="宋体" w:cs="宋体"/>
          <w:sz w:val="21"/>
          <w:szCs w:val="21"/>
        </w:rPr>
      </w:pPr>
      <w:r>
        <w:rPr>
          <w:rFonts w:hint="eastAsia" w:ascii="宋体" w:hAnsi="宋体" w:eastAsia="宋体" w:cs="宋体"/>
          <w:sz w:val="21"/>
          <w:szCs w:val="21"/>
        </w:rPr>
        <w:t>7.2中标公告</w:t>
      </w:r>
    </w:p>
    <w:p w14:paraId="5A5187D3">
      <w:pPr>
        <w:spacing w:line="360" w:lineRule="auto"/>
        <w:ind w:firstLine="420" w:firstLineChars="200"/>
        <w:rPr>
          <w:rFonts w:ascii="宋体" w:hAnsi="宋体" w:cs="宋体"/>
          <w:szCs w:val="21"/>
          <w:highlight w:val="none"/>
        </w:rPr>
      </w:pPr>
      <w:r>
        <w:rPr>
          <w:rFonts w:hint="eastAsia" w:ascii="宋体" w:hAnsi="宋体" w:cs="宋体"/>
          <w:szCs w:val="21"/>
        </w:rPr>
        <w:t>7.2.1中标人确定后在</w:t>
      </w:r>
      <w:r>
        <w:rPr>
          <w:rFonts w:hint="eastAsia" w:ascii="宋体" w:hAnsi="宋体" w:cs="宋体"/>
        </w:rPr>
        <w:t>招标公告发布的同一媒介上</w:t>
      </w:r>
      <w:r>
        <w:rPr>
          <w:rFonts w:hint="eastAsia" w:ascii="宋体" w:hAnsi="宋体" w:cs="宋体"/>
          <w:szCs w:val="21"/>
        </w:rPr>
        <w:t>发布中标结果公告，招标文件随中标结</w:t>
      </w:r>
      <w:r>
        <w:rPr>
          <w:rFonts w:hint="eastAsia" w:ascii="宋体" w:hAnsi="宋体" w:cs="宋体"/>
          <w:szCs w:val="21"/>
          <w:highlight w:val="none"/>
        </w:rPr>
        <w:t>果同时公告。</w:t>
      </w:r>
    </w:p>
    <w:p w14:paraId="7C8DE734">
      <w:pPr>
        <w:spacing w:line="360" w:lineRule="auto"/>
        <w:ind w:firstLine="420" w:firstLineChars="200"/>
        <w:rPr>
          <w:rFonts w:ascii="宋体" w:hAnsi="宋体" w:cs="宋体"/>
          <w:szCs w:val="21"/>
          <w:highlight w:val="none"/>
        </w:rPr>
      </w:pPr>
      <w:r>
        <w:rPr>
          <w:rFonts w:hint="eastAsia" w:ascii="宋体" w:hAnsi="宋体" w:cs="宋体"/>
          <w:szCs w:val="21"/>
          <w:highlight w:val="none"/>
        </w:rPr>
        <w:t>7.2.2中标结果公告内容应当包括</w:t>
      </w:r>
      <w:r>
        <w:rPr>
          <w:rFonts w:hint="eastAsia" w:ascii="宋体" w:hAnsi="宋体" w:cs="宋体"/>
          <w:szCs w:val="21"/>
          <w:highlight w:val="none"/>
          <w:lang w:eastAsia="zh-CN"/>
        </w:rPr>
        <w:t>采购人</w:t>
      </w:r>
      <w:r>
        <w:rPr>
          <w:rFonts w:hint="eastAsia" w:ascii="宋体" w:hAnsi="宋体" w:cs="宋体"/>
          <w:szCs w:val="21"/>
          <w:highlight w:val="none"/>
        </w:rPr>
        <w:t>及代理机构的名称、地址、联系方式，项目名称和项目编号，中标人名称、地址和中标金额，主要中标标的的名称、数量、服务质量，中标公告期限以及评审专家名单。</w:t>
      </w:r>
    </w:p>
    <w:p w14:paraId="01B22FC5">
      <w:pPr>
        <w:spacing w:line="360" w:lineRule="auto"/>
        <w:ind w:firstLine="420" w:firstLineChars="200"/>
        <w:rPr>
          <w:rFonts w:ascii="宋体" w:hAnsi="宋体" w:cs="宋体"/>
          <w:szCs w:val="21"/>
        </w:rPr>
      </w:pPr>
      <w:r>
        <w:rPr>
          <w:rFonts w:hint="eastAsia" w:ascii="宋体" w:hAnsi="宋体" w:cs="宋体"/>
          <w:szCs w:val="21"/>
        </w:rPr>
        <w:t>7.2.3中标公告期限为1个工作日。</w:t>
      </w:r>
    </w:p>
    <w:p w14:paraId="2535118C">
      <w:pPr>
        <w:pStyle w:val="5"/>
        <w:spacing w:before="0" w:after="0" w:line="360" w:lineRule="auto"/>
        <w:rPr>
          <w:rFonts w:ascii="宋体" w:hAnsi="宋体" w:eastAsia="宋体" w:cs="宋体"/>
          <w:sz w:val="21"/>
          <w:szCs w:val="21"/>
        </w:rPr>
      </w:pPr>
      <w:r>
        <w:rPr>
          <w:rFonts w:hint="eastAsia" w:ascii="宋体" w:hAnsi="宋体" w:eastAsia="宋体" w:cs="宋体"/>
          <w:sz w:val="21"/>
          <w:szCs w:val="21"/>
        </w:rPr>
        <w:t>7.3中标通知</w:t>
      </w:r>
    </w:p>
    <w:p w14:paraId="0516FFDF">
      <w:pPr>
        <w:spacing w:line="360" w:lineRule="auto"/>
        <w:ind w:firstLine="420" w:firstLineChars="200"/>
        <w:rPr>
          <w:rFonts w:ascii="宋体" w:hAnsi="宋体" w:cs="宋体"/>
          <w:szCs w:val="21"/>
        </w:rPr>
      </w:pPr>
      <w:r>
        <w:rPr>
          <w:rFonts w:hint="eastAsia" w:ascii="宋体" w:hAnsi="宋体" w:cs="宋体"/>
        </w:rPr>
        <w:t>在确定中标人后应当向中标人发出中标通知书；并告知未中标人。</w:t>
      </w:r>
    </w:p>
    <w:p w14:paraId="2359BCC0">
      <w:pPr>
        <w:pStyle w:val="5"/>
        <w:spacing w:before="0" w:after="0" w:line="360" w:lineRule="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rPr>
        <w:t>7.4履约</w:t>
      </w:r>
      <w:r>
        <w:rPr>
          <w:rFonts w:hint="eastAsia" w:ascii="宋体" w:hAnsi="宋体" w:eastAsia="宋体" w:cs="宋体"/>
          <w:sz w:val="21"/>
          <w:szCs w:val="21"/>
          <w:highlight w:val="none"/>
          <w:lang w:eastAsia="zh-CN"/>
        </w:rPr>
        <w:t>保证金</w:t>
      </w:r>
    </w:p>
    <w:p w14:paraId="71210206">
      <w:pPr>
        <w:spacing w:line="360" w:lineRule="auto"/>
        <w:ind w:firstLine="420" w:firstLineChars="200"/>
        <w:rPr>
          <w:rFonts w:ascii="宋体" w:hAnsi="宋体" w:cs="宋体"/>
          <w:szCs w:val="21"/>
          <w:highlight w:val="none"/>
        </w:rPr>
      </w:pPr>
      <w:r>
        <w:rPr>
          <w:rFonts w:hint="eastAsia" w:ascii="宋体" w:hAnsi="宋体" w:cs="宋体"/>
          <w:szCs w:val="21"/>
          <w:highlight w:val="none"/>
        </w:rPr>
        <w:t>7.4.1 在签订合同前，中标人应按</w:t>
      </w:r>
      <w:r>
        <w:rPr>
          <w:rFonts w:hint="eastAsia" w:ascii="宋体" w:hAnsi="宋体" w:cs="宋体"/>
          <w:szCs w:val="21"/>
          <w:highlight w:val="none"/>
          <w:lang w:eastAsia="zh-CN"/>
        </w:rPr>
        <w:t>供应商须知</w:t>
      </w:r>
      <w:r>
        <w:rPr>
          <w:rFonts w:hint="eastAsia" w:ascii="宋体" w:hAnsi="宋体" w:cs="宋体"/>
          <w:szCs w:val="21"/>
          <w:highlight w:val="none"/>
        </w:rPr>
        <w:t>前附表规定的金额、担保形式和招标文件第四章“合同条款及格式”规定的履约担保格式向</w:t>
      </w:r>
      <w:r>
        <w:rPr>
          <w:rFonts w:hint="eastAsia" w:ascii="宋体" w:hAnsi="宋体" w:cs="宋体"/>
          <w:szCs w:val="21"/>
          <w:highlight w:val="none"/>
          <w:lang w:eastAsia="zh-CN"/>
        </w:rPr>
        <w:t>采购人</w:t>
      </w:r>
      <w:r>
        <w:rPr>
          <w:rFonts w:hint="eastAsia" w:ascii="宋体" w:hAnsi="宋体" w:cs="宋体"/>
          <w:szCs w:val="21"/>
          <w:highlight w:val="none"/>
        </w:rPr>
        <w:t>提交履约担保。联合体中标的，其履约担保由牵头人递交，并应符合</w:t>
      </w:r>
      <w:r>
        <w:rPr>
          <w:rFonts w:hint="eastAsia" w:ascii="宋体" w:hAnsi="宋体" w:cs="宋体"/>
          <w:szCs w:val="21"/>
          <w:highlight w:val="none"/>
          <w:lang w:eastAsia="zh-CN"/>
        </w:rPr>
        <w:t>供应商须知</w:t>
      </w:r>
      <w:r>
        <w:rPr>
          <w:rFonts w:hint="eastAsia" w:ascii="宋体" w:hAnsi="宋体" w:cs="宋体"/>
          <w:szCs w:val="21"/>
          <w:highlight w:val="none"/>
        </w:rPr>
        <w:t>前附表规定的金额、担保形式和招标文件第四章“合同条款及格式”规定的履约担保格式要求。</w:t>
      </w:r>
    </w:p>
    <w:p w14:paraId="1AF4B433">
      <w:pPr>
        <w:spacing w:line="360" w:lineRule="auto"/>
        <w:ind w:firstLine="420" w:firstLineChars="200"/>
        <w:rPr>
          <w:rFonts w:ascii="宋体" w:hAnsi="宋体" w:cs="宋体"/>
          <w:szCs w:val="21"/>
          <w:highlight w:val="none"/>
        </w:rPr>
      </w:pPr>
      <w:r>
        <w:rPr>
          <w:rFonts w:hint="eastAsia" w:ascii="宋体" w:hAnsi="宋体" w:cs="宋体"/>
          <w:szCs w:val="21"/>
          <w:highlight w:val="none"/>
        </w:rPr>
        <w:t>7.4.2 中标人不能按本章第7.4.1 项要求提交履约担保的，视为放弃中标，给</w:t>
      </w:r>
      <w:r>
        <w:rPr>
          <w:rFonts w:hint="eastAsia" w:ascii="宋体" w:hAnsi="宋体" w:cs="宋体"/>
          <w:szCs w:val="21"/>
          <w:highlight w:val="none"/>
          <w:lang w:eastAsia="zh-CN"/>
        </w:rPr>
        <w:t>采购人</w:t>
      </w:r>
      <w:r>
        <w:rPr>
          <w:rFonts w:hint="eastAsia" w:ascii="宋体" w:hAnsi="宋体" w:cs="宋体"/>
          <w:szCs w:val="21"/>
          <w:highlight w:val="none"/>
        </w:rPr>
        <w:t>造成损失的，中标人应当予以赔偿。</w:t>
      </w:r>
    </w:p>
    <w:p w14:paraId="5D34CEE9">
      <w:pPr>
        <w:pStyle w:val="5"/>
        <w:spacing w:before="0" w:after="0" w:line="360" w:lineRule="auto"/>
        <w:rPr>
          <w:rFonts w:ascii="宋体" w:hAnsi="宋体" w:eastAsia="宋体" w:cs="宋体"/>
          <w:sz w:val="21"/>
          <w:szCs w:val="21"/>
        </w:rPr>
      </w:pPr>
      <w:r>
        <w:rPr>
          <w:rFonts w:hint="eastAsia" w:ascii="宋体" w:hAnsi="宋体" w:eastAsia="宋体" w:cs="宋体"/>
          <w:sz w:val="21"/>
          <w:szCs w:val="21"/>
        </w:rPr>
        <w:t>7.5签订合同</w:t>
      </w:r>
    </w:p>
    <w:p w14:paraId="4E5F3904">
      <w:pPr>
        <w:spacing w:line="360" w:lineRule="auto"/>
        <w:ind w:firstLine="420" w:firstLineChars="200"/>
        <w:rPr>
          <w:rFonts w:ascii="宋体" w:hAnsi="宋体" w:cs="宋体"/>
          <w:szCs w:val="21"/>
        </w:rPr>
      </w:pPr>
      <w:r>
        <w:rPr>
          <w:rFonts w:hint="eastAsia" w:ascii="宋体" w:hAnsi="宋体" w:cs="宋体"/>
          <w:szCs w:val="21"/>
        </w:rPr>
        <w:t xml:space="preserve">7.5.1 </w:t>
      </w:r>
      <w:r>
        <w:rPr>
          <w:rFonts w:hint="eastAsia" w:ascii="宋体" w:hAnsi="宋体" w:cs="宋体"/>
          <w:szCs w:val="21"/>
          <w:highlight w:val="none"/>
          <w:lang w:eastAsia="zh-CN"/>
        </w:rPr>
        <w:t>采购人</w:t>
      </w:r>
      <w:r>
        <w:rPr>
          <w:rFonts w:hint="eastAsia" w:ascii="宋体" w:hAnsi="宋体" w:cs="宋体"/>
          <w:szCs w:val="21"/>
          <w:highlight w:val="none"/>
        </w:rPr>
        <w:t>应当自中标通知书发出之日起2个工作日内，</w:t>
      </w:r>
      <w:r>
        <w:rPr>
          <w:rFonts w:hint="eastAsia" w:ascii="宋体" w:hAnsi="宋体" w:cs="宋体"/>
          <w:szCs w:val="21"/>
        </w:rPr>
        <w:t>根据招标文件和中标人投标文件的规定，</w:t>
      </w:r>
      <w:r>
        <w:rPr>
          <w:rFonts w:hint="eastAsia" w:ascii="宋体" w:hAnsi="宋体" w:cs="宋体"/>
          <w:szCs w:val="21"/>
          <w:lang w:eastAsia="zh-CN"/>
        </w:rPr>
        <w:t>采购人</w:t>
      </w:r>
      <w:r>
        <w:rPr>
          <w:rFonts w:hint="eastAsia" w:ascii="宋体" w:hAnsi="宋体" w:cs="宋体"/>
          <w:szCs w:val="21"/>
        </w:rPr>
        <w:t>与中标人签订书面合同。所签订的合同不得对招标文件确定的事项和中标人投标文件作实质性修改。中标人拒绝与</w:t>
      </w:r>
      <w:r>
        <w:rPr>
          <w:rFonts w:hint="eastAsia" w:ascii="宋体" w:hAnsi="宋体" w:cs="宋体"/>
          <w:szCs w:val="21"/>
          <w:lang w:eastAsia="zh-CN"/>
        </w:rPr>
        <w:t>采购人</w:t>
      </w:r>
      <w:r>
        <w:rPr>
          <w:rFonts w:hint="eastAsia" w:ascii="宋体" w:hAnsi="宋体" w:cs="宋体"/>
          <w:szCs w:val="21"/>
        </w:rPr>
        <w:t>签订合同的，</w:t>
      </w:r>
      <w:r>
        <w:rPr>
          <w:rFonts w:hint="eastAsia" w:ascii="宋体" w:hAnsi="宋体" w:cs="宋体"/>
          <w:szCs w:val="21"/>
          <w:lang w:eastAsia="zh-CN"/>
        </w:rPr>
        <w:t>采购人</w:t>
      </w:r>
      <w:r>
        <w:rPr>
          <w:rFonts w:hint="eastAsia" w:ascii="宋体" w:hAnsi="宋体" w:cs="宋体"/>
          <w:szCs w:val="21"/>
        </w:rPr>
        <w:t>可以按照评审报告推荐的中标人名单排序确定下一候选人为中标人，也可以重新开展政府采购活动。</w:t>
      </w:r>
    </w:p>
    <w:p w14:paraId="4C18FE96">
      <w:pPr>
        <w:spacing w:line="360" w:lineRule="auto"/>
        <w:ind w:firstLine="420" w:firstLineChars="200"/>
        <w:rPr>
          <w:rFonts w:ascii="宋体" w:hAnsi="宋体" w:cs="宋体"/>
          <w:szCs w:val="21"/>
        </w:rPr>
      </w:pPr>
      <w:r>
        <w:rPr>
          <w:rFonts w:hint="eastAsia" w:ascii="宋体" w:hAnsi="宋体" w:cs="宋体"/>
          <w:szCs w:val="21"/>
        </w:rPr>
        <w:t xml:space="preserve">7.5.2 </w:t>
      </w:r>
      <w:r>
        <w:rPr>
          <w:rFonts w:hint="eastAsia" w:ascii="宋体" w:hAnsi="宋体" w:cs="宋体"/>
          <w:szCs w:val="21"/>
          <w:lang w:eastAsia="zh-CN"/>
        </w:rPr>
        <w:t>采购人</w:t>
      </w:r>
      <w:r>
        <w:rPr>
          <w:rFonts w:hint="eastAsia" w:ascii="宋体" w:hAnsi="宋体" w:cs="宋体"/>
          <w:szCs w:val="21"/>
        </w:rPr>
        <w:t>不得向中标人提出任何不合理的要求作为签订合同的条件。</w:t>
      </w:r>
    </w:p>
    <w:p w14:paraId="5F63C360">
      <w:pPr>
        <w:spacing w:line="360" w:lineRule="auto"/>
        <w:ind w:firstLine="420" w:firstLineChars="200"/>
        <w:rPr>
          <w:rFonts w:ascii="宋体" w:hAnsi="宋体" w:cs="宋体"/>
          <w:highlight w:val="none"/>
        </w:rPr>
      </w:pPr>
      <w:r>
        <w:rPr>
          <w:rFonts w:hint="eastAsia" w:ascii="宋体" w:hAnsi="宋体" w:cs="宋体"/>
          <w:szCs w:val="21"/>
          <w:highlight w:val="none"/>
        </w:rPr>
        <w:t>7.5.3 政府采购合同应当包括</w:t>
      </w:r>
      <w:r>
        <w:rPr>
          <w:rFonts w:hint="eastAsia" w:ascii="宋体" w:hAnsi="宋体" w:cs="宋体"/>
          <w:szCs w:val="21"/>
          <w:highlight w:val="none"/>
          <w:lang w:eastAsia="zh-CN"/>
        </w:rPr>
        <w:t>采购人</w:t>
      </w:r>
      <w:r>
        <w:rPr>
          <w:rFonts w:hint="eastAsia" w:ascii="宋体" w:hAnsi="宋体" w:cs="宋体"/>
          <w:szCs w:val="21"/>
          <w:highlight w:val="none"/>
        </w:rPr>
        <w:t>与中标人的名称和住所、标的、数量、质量、价款或者报酬、履行期限及地点和方式、验收要求、违约责任、解决争议的方法等内容</w:t>
      </w:r>
      <w:r>
        <w:rPr>
          <w:rFonts w:hint="eastAsia" w:ascii="宋体" w:hAnsi="宋体" w:cs="宋体"/>
          <w:highlight w:val="none"/>
        </w:rPr>
        <w:t>。</w:t>
      </w:r>
    </w:p>
    <w:p w14:paraId="6E841057">
      <w:pPr>
        <w:pStyle w:val="2"/>
        <w:spacing w:line="360" w:lineRule="auto"/>
        <w:rPr>
          <w:rFonts w:cs="宋体"/>
          <w:sz w:val="24"/>
          <w:szCs w:val="24"/>
        </w:rPr>
      </w:pPr>
      <w:bookmarkStart w:id="113" w:name="_Toc20072"/>
      <w:bookmarkStart w:id="114" w:name="_Toc5006"/>
      <w:bookmarkStart w:id="115" w:name="_Toc31326"/>
      <w:bookmarkStart w:id="116" w:name="_Toc12416"/>
      <w:bookmarkStart w:id="117" w:name="_Toc19503"/>
      <w:r>
        <w:rPr>
          <w:rFonts w:hint="eastAsia" w:cs="宋体"/>
          <w:sz w:val="24"/>
          <w:szCs w:val="24"/>
        </w:rPr>
        <w:t>8．重新招标和不再招标</w:t>
      </w:r>
      <w:bookmarkEnd w:id="112"/>
      <w:bookmarkEnd w:id="113"/>
      <w:bookmarkEnd w:id="114"/>
      <w:bookmarkEnd w:id="115"/>
      <w:bookmarkEnd w:id="116"/>
      <w:bookmarkEnd w:id="117"/>
    </w:p>
    <w:p w14:paraId="1288067E">
      <w:pPr>
        <w:pStyle w:val="5"/>
        <w:spacing w:before="0" w:after="0" w:line="360" w:lineRule="auto"/>
        <w:rPr>
          <w:rFonts w:ascii="宋体" w:hAnsi="宋体" w:eastAsia="宋体" w:cs="宋体"/>
          <w:sz w:val="21"/>
          <w:szCs w:val="21"/>
        </w:rPr>
      </w:pPr>
      <w:r>
        <w:rPr>
          <w:rFonts w:hint="eastAsia" w:ascii="宋体" w:hAnsi="宋体" w:eastAsia="宋体" w:cs="宋体"/>
          <w:sz w:val="21"/>
          <w:szCs w:val="21"/>
        </w:rPr>
        <w:t>8.1重新招标</w:t>
      </w:r>
    </w:p>
    <w:p w14:paraId="609E8B9F">
      <w:pPr>
        <w:spacing w:line="360" w:lineRule="auto"/>
        <w:ind w:firstLine="420" w:firstLineChars="200"/>
        <w:rPr>
          <w:rFonts w:ascii="宋体" w:hAnsi="宋体" w:cs="宋体"/>
          <w:szCs w:val="21"/>
        </w:rPr>
      </w:pPr>
      <w:r>
        <w:rPr>
          <w:rFonts w:hint="eastAsia" w:ascii="宋体" w:hAnsi="宋体" w:cs="宋体"/>
          <w:szCs w:val="21"/>
        </w:rPr>
        <w:t>投标截止时间止，投标人少于</w:t>
      </w:r>
      <w:r>
        <w:rPr>
          <w:rFonts w:hint="eastAsia" w:ascii="宋体" w:hAnsi="宋体" w:cs="宋体"/>
          <w:szCs w:val="21"/>
          <w:u w:val="single"/>
        </w:rPr>
        <w:t xml:space="preserve"> 3 </w:t>
      </w:r>
      <w:r>
        <w:rPr>
          <w:rFonts w:hint="eastAsia" w:ascii="宋体" w:hAnsi="宋体" w:cs="宋体"/>
          <w:szCs w:val="21"/>
        </w:rPr>
        <w:t>个的；</w:t>
      </w:r>
    </w:p>
    <w:p w14:paraId="7A6B74FE">
      <w:pPr>
        <w:pStyle w:val="5"/>
        <w:spacing w:before="0" w:after="0" w:line="360" w:lineRule="auto"/>
        <w:rPr>
          <w:rFonts w:ascii="宋体" w:hAnsi="宋体" w:eastAsia="宋体" w:cs="宋体"/>
          <w:sz w:val="21"/>
          <w:szCs w:val="21"/>
        </w:rPr>
      </w:pPr>
      <w:r>
        <w:rPr>
          <w:rFonts w:hint="eastAsia" w:ascii="宋体" w:hAnsi="宋体" w:eastAsia="宋体" w:cs="宋体"/>
          <w:sz w:val="21"/>
          <w:szCs w:val="21"/>
        </w:rPr>
        <w:t>8.2不再招标</w:t>
      </w:r>
    </w:p>
    <w:p w14:paraId="4BF02F3B">
      <w:pPr>
        <w:spacing w:line="360" w:lineRule="auto"/>
        <w:ind w:firstLine="420" w:firstLineChars="200"/>
        <w:rPr>
          <w:rFonts w:ascii="宋体" w:hAnsi="宋体" w:cs="宋体"/>
          <w:szCs w:val="21"/>
        </w:rPr>
      </w:pPr>
      <w:r>
        <w:rPr>
          <w:rFonts w:hint="eastAsia" w:ascii="宋体" w:hAnsi="宋体" w:cs="宋体"/>
          <w:szCs w:val="21"/>
        </w:rPr>
        <w:t>重新招标后投标人仍少于</w:t>
      </w:r>
      <w:r>
        <w:rPr>
          <w:rFonts w:hint="eastAsia" w:ascii="宋体" w:hAnsi="宋体" w:cs="宋体"/>
          <w:szCs w:val="21"/>
          <w:u w:val="single"/>
        </w:rPr>
        <w:t xml:space="preserve"> 3 </w:t>
      </w:r>
      <w:r>
        <w:rPr>
          <w:rFonts w:hint="eastAsia" w:ascii="宋体" w:hAnsi="宋体" w:cs="宋体"/>
          <w:szCs w:val="21"/>
        </w:rPr>
        <w:t>个或者符合竞争要求的投标人或者报价未超过采购预算的投标人不足3家的，属于必须审批或核准的工程建设项目，经原审批或核准部门批准后不再进行招标。</w:t>
      </w:r>
    </w:p>
    <w:p w14:paraId="0F32DEDA">
      <w:pPr>
        <w:pStyle w:val="2"/>
        <w:spacing w:line="360" w:lineRule="auto"/>
        <w:rPr>
          <w:rFonts w:cs="宋体"/>
          <w:sz w:val="24"/>
          <w:szCs w:val="24"/>
        </w:rPr>
      </w:pPr>
      <w:bookmarkStart w:id="118" w:name="_Toc30933"/>
      <w:bookmarkStart w:id="119" w:name="_Toc14923"/>
      <w:bookmarkStart w:id="120" w:name="_Toc22360"/>
      <w:bookmarkStart w:id="121" w:name="_Toc9466"/>
      <w:bookmarkStart w:id="122" w:name="_Toc184635079"/>
      <w:bookmarkStart w:id="123" w:name="_Toc28676"/>
      <w:r>
        <w:rPr>
          <w:rFonts w:hint="eastAsia" w:cs="宋体"/>
          <w:sz w:val="24"/>
          <w:szCs w:val="24"/>
        </w:rPr>
        <w:t>9．纪律和监督</w:t>
      </w:r>
      <w:bookmarkEnd w:id="118"/>
      <w:bookmarkEnd w:id="119"/>
      <w:bookmarkEnd w:id="120"/>
      <w:bookmarkEnd w:id="121"/>
      <w:bookmarkEnd w:id="122"/>
      <w:bookmarkEnd w:id="123"/>
    </w:p>
    <w:p w14:paraId="049B861D">
      <w:pPr>
        <w:spacing w:line="360" w:lineRule="auto"/>
        <w:rPr>
          <w:rFonts w:ascii="宋体" w:hAnsi="宋体" w:cs="宋体"/>
          <w:b/>
          <w:szCs w:val="21"/>
        </w:rPr>
      </w:pPr>
      <w:bookmarkStart w:id="124" w:name="_Toc28353"/>
      <w:bookmarkStart w:id="125" w:name="_Toc269828220"/>
      <w:bookmarkStart w:id="126" w:name="_Toc311277295"/>
      <w:bookmarkStart w:id="127" w:name="_Toc311276878"/>
      <w:bookmarkStart w:id="128" w:name="_Toc394051230"/>
      <w:bookmarkStart w:id="129" w:name="_Toc17408"/>
      <w:r>
        <w:rPr>
          <w:rFonts w:hint="eastAsia" w:ascii="宋体" w:hAnsi="宋体" w:cs="宋体"/>
          <w:b/>
          <w:szCs w:val="21"/>
        </w:rPr>
        <w:t>9.1 对</w:t>
      </w:r>
      <w:r>
        <w:rPr>
          <w:rFonts w:hint="eastAsia" w:ascii="宋体" w:hAnsi="宋体" w:cs="宋体"/>
          <w:b/>
          <w:szCs w:val="21"/>
          <w:lang w:eastAsia="zh-CN"/>
        </w:rPr>
        <w:t>采购人</w:t>
      </w:r>
      <w:r>
        <w:rPr>
          <w:rFonts w:hint="eastAsia" w:ascii="宋体" w:hAnsi="宋体" w:cs="宋体"/>
          <w:b/>
          <w:szCs w:val="21"/>
        </w:rPr>
        <w:t>的纪律要求</w:t>
      </w:r>
      <w:bookmarkEnd w:id="124"/>
      <w:bookmarkEnd w:id="125"/>
      <w:bookmarkEnd w:id="126"/>
      <w:bookmarkEnd w:id="127"/>
      <w:bookmarkEnd w:id="128"/>
      <w:bookmarkEnd w:id="129"/>
    </w:p>
    <w:p w14:paraId="09D0F3DC">
      <w:pPr>
        <w:spacing w:line="360" w:lineRule="auto"/>
        <w:ind w:firstLine="420" w:firstLineChars="200"/>
        <w:rPr>
          <w:rFonts w:ascii="宋体" w:hAnsi="宋体" w:cs="宋体"/>
          <w:szCs w:val="21"/>
        </w:rPr>
      </w:pPr>
      <w:r>
        <w:rPr>
          <w:rFonts w:hint="eastAsia" w:ascii="宋体" w:hAnsi="宋体" w:cs="宋体"/>
          <w:szCs w:val="21"/>
          <w:lang w:eastAsia="zh-CN"/>
        </w:rPr>
        <w:t>采购人</w:t>
      </w:r>
      <w:r>
        <w:rPr>
          <w:rFonts w:hint="eastAsia" w:ascii="宋体" w:hAnsi="宋体" w:cs="宋体"/>
          <w:szCs w:val="21"/>
        </w:rPr>
        <w:t>不得泄漏招标投标活动中应当保密的情况和资料，不得与投标人串通损害国家利益、社会公共利益或者他人合法权益。</w:t>
      </w:r>
    </w:p>
    <w:p w14:paraId="234AE184">
      <w:pPr>
        <w:spacing w:line="360" w:lineRule="auto"/>
        <w:rPr>
          <w:rFonts w:ascii="宋体" w:hAnsi="宋体" w:cs="宋体"/>
          <w:b/>
          <w:szCs w:val="21"/>
        </w:rPr>
      </w:pPr>
      <w:bookmarkStart w:id="130" w:name="_Toc8162"/>
      <w:bookmarkStart w:id="131" w:name="_Toc269828221"/>
      <w:bookmarkStart w:id="132" w:name="_Toc18524"/>
      <w:bookmarkStart w:id="133" w:name="_Toc311277296"/>
      <w:bookmarkStart w:id="134" w:name="_Toc394051231"/>
      <w:bookmarkStart w:id="135" w:name="_Toc311276879"/>
      <w:r>
        <w:rPr>
          <w:rFonts w:hint="eastAsia" w:ascii="宋体" w:hAnsi="宋体" w:cs="宋体"/>
          <w:b/>
          <w:szCs w:val="21"/>
        </w:rPr>
        <w:t>9.2 对投标人的纪律要求</w:t>
      </w:r>
      <w:bookmarkEnd w:id="130"/>
      <w:bookmarkEnd w:id="131"/>
      <w:bookmarkEnd w:id="132"/>
      <w:bookmarkEnd w:id="133"/>
      <w:bookmarkEnd w:id="134"/>
      <w:bookmarkEnd w:id="135"/>
    </w:p>
    <w:p w14:paraId="798F2C1F">
      <w:pPr>
        <w:spacing w:line="360" w:lineRule="auto"/>
        <w:ind w:firstLine="420" w:firstLineChars="200"/>
        <w:rPr>
          <w:rFonts w:ascii="宋体" w:hAnsi="宋体" w:cs="宋体"/>
          <w:szCs w:val="21"/>
        </w:rPr>
      </w:pPr>
      <w:r>
        <w:rPr>
          <w:rFonts w:hint="eastAsia" w:ascii="宋体" w:hAnsi="宋体" w:cs="宋体"/>
          <w:szCs w:val="21"/>
        </w:rPr>
        <w:t>投标人不得相互串通投标或者与</w:t>
      </w:r>
      <w:r>
        <w:rPr>
          <w:rFonts w:hint="eastAsia" w:ascii="宋体" w:hAnsi="宋体" w:cs="宋体"/>
          <w:szCs w:val="21"/>
          <w:lang w:eastAsia="zh-CN"/>
        </w:rPr>
        <w:t>采购人</w:t>
      </w:r>
      <w:r>
        <w:rPr>
          <w:rFonts w:hint="eastAsia" w:ascii="宋体" w:hAnsi="宋体" w:cs="宋体"/>
          <w:szCs w:val="21"/>
        </w:rPr>
        <w:t>串通投标，不得向</w:t>
      </w:r>
      <w:r>
        <w:rPr>
          <w:rFonts w:hint="eastAsia" w:ascii="宋体" w:hAnsi="宋体" w:cs="宋体"/>
          <w:szCs w:val="21"/>
          <w:lang w:eastAsia="zh-CN"/>
        </w:rPr>
        <w:t>采购人</w:t>
      </w:r>
      <w:r>
        <w:rPr>
          <w:rFonts w:hint="eastAsia" w:ascii="宋体" w:hAnsi="宋体" w:cs="宋体"/>
          <w:szCs w:val="21"/>
        </w:rPr>
        <w:t>或者评标委员会成员行贿谋取中标，不得以他人名义投标或者以其他方式弄虚作假骗取中标；投标人不得以任何方式干扰和影响评标工作。</w:t>
      </w:r>
    </w:p>
    <w:p w14:paraId="209FC293">
      <w:pPr>
        <w:spacing w:line="360" w:lineRule="auto"/>
        <w:rPr>
          <w:rFonts w:ascii="宋体" w:hAnsi="宋体" w:cs="宋体"/>
          <w:b/>
          <w:szCs w:val="21"/>
        </w:rPr>
      </w:pPr>
      <w:bookmarkStart w:id="136" w:name="_Toc269828222"/>
      <w:bookmarkStart w:id="137" w:name="_Toc17459"/>
      <w:bookmarkStart w:id="138" w:name="_Toc394051232"/>
      <w:bookmarkStart w:id="139" w:name="_Toc311276880"/>
      <w:bookmarkStart w:id="140" w:name="_Toc3382"/>
      <w:bookmarkStart w:id="141" w:name="_Toc311277297"/>
      <w:r>
        <w:rPr>
          <w:rFonts w:hint="eastAsia" w:ascii="宋体" w:hAnsi="宋体" w:cs="宋体"/>
          <w:b/>
          <w:szCs w:val="21"/>
        </w:rPr>
        <w:t>9.3 对评标委员会成员的纪律要求</w:t>
      </w:r>
      <w:bookmarkEnd w:id="136"/>
      <w:bookmarkEnd w:id="137"/>
      <w:bookmarkEnd w:id="138"/>
      <w:bookmarkEnd w:id="139"/>
      <w:bookmarkEnd w:id="140"/>
      <w:bookmarkEnd w:id="141"/>
    </w:p>
    <w:p w14:paraId="27453FE3">
      <w:pPr>
        <w:spacing w:line="360" w:lineRule="auto"/>
        <w:ind w:firstLine="420" w:firstLineChars="200"/>
        <w:rPr>
          <w:rFonts w:ascii="宋体" w:hAnsi="宋体" w:cs="宋体"/>
          <w:szCs w:val="21"/>
        </w:rPr>
      </w:pPr>
      <w:bookmarkStart w:id="142" w:name="_Toc311277298"/>
      <w:bookmarkStart w:id="143" w:name="_Toc311276881"/>
      <w:bookmarkStart w:id="144" w:name="_Toc269828223"/>
      <w:r>
        <w:rPr>
          <w:rFonts w:hint="eastAsia" w:ascii="宋体" w:hAnsi="宋体" w:cs="宋体"/>
          <w:szCs w:val="21"/>
        </w:rPr>
        <w:t>评标委员会成员不得收受他人财物或者其他好处，不得向他人透漏对投标文件的评审和比较、中标候选人的推荐情况以及评标有关的其他情况。在评标活动中，评标委员会成员不得擅离职守，影响评标程序正常进行，不得使用第三章“评标办法</w:t>
      </w:r>
      <w:r>
        <w:rPr>
          <w:rFonts w:hint="eastAsia" w:ascii="宋体" w:hAnsi="宋体" w:cs="宋体"/>
        </w:rPr>
        <w:t>（综合评分法）</w:t>
      </w:r>
      <w:r>
        <w:rPr>
          <w:rFonts w:hint="eastAsia" w:ascii="宋体" w:hAnsi="宋体" w:cs="宋体"/>
          <w:szCs w:val="21"/>
        </w:rPr>
        <w:t>”没有规定的评审因素和标准进行评标。</w:t>
      </w:r>
    </w:p>
    <w:p w14:paraId="3D2266F8">
      <w:pPr>
        <w:spacing w:line="360" w:lineRule="auto"/>
        <w:rPr>
          <w:rFonts w:ascii="宋体" w:hAnsi="宋体" w:cs="宋体"/>
          <w:b/>
          <w:szCs w:val="21"/>
        </w:rPr>
      </w:pPr>
      <w:bookmarkStart w:id="145" w:name="_Toc29407"/>
      <w:bookmarkStart w:id="146" w:name="_Toc25669"/>
      <w:bookmarkStart w:id="147" w:name="_Toc394051233"/>
      <w:r>
        <w:rPr>
          <w:rFonts w:hint="eastAsia" w:ascii="宋体" w:hAnsi="宋体" w:cs="宋体"/>
          <w:b/>
          <w:szCs w:val="21"/>
        </w:rPr>
        <w:t>9.4 对与评标活动有关的工作人员的纪律要求</w:t>
      </w:r>
      <w:bookmarkEnd w:id="142"/>
      <w:bookmarkEnd w:id="143"/>
      <w:bookmarkEnd w:id="144"/>
      <w:bookmarkEnd w:id="145"/>
      <w:bookmarkEnd w:id="146"/>
      <w:bookmarkEnd w:id="147"/>
    </w:p>
    <w:p w14:paraId="34A49F61">
      <w:pPr>
        <w:spacing w:line="360" w:lineRule="auto"/>
        <w:ind w:firstLine="420" w:firstLineChars="200"/>
        <w:rPr>
          <w:rFonts w:ascii="宋体" w:hAnsi="宋体" w:cs="宋体"/>
          <w:szCs w:val="21"/>
        </w:rPr>
      </w:pPr>
      <w:r>
        <w:rPr>
          <w:rFonts w:hint="eastAsia" w:ascii="宋体" w:hAnsi="宋体" w:cs="宋体"/>
          <w:szCs w:val="21"/>
        </w:rPr>
        <w:t>与评标活动有关的工作人员不得收受他人财物或者其他好处，不得向他人透漏对投标文件的评审和比较、中标候选人的推荐情况以及评标有关的其他情况。在评标活动中，与评标活动有关的工作人员不得擅离职守，影响评标程序正常进行。</w:t>
      </w:r>
    </w:p>
    <w:p w14:paraId="0FEB7C71">
      <w:pPr>
        <w:spacing w:line="360" w:lineRule="auto"/>
        <w:rPr>
          <w:rFonts w:ascii="宋体" w:hAnsi="宋体" w:cs="宋体"/>
          <w:b/>
          <w:szCs w:val="21"/>
        </w:rPr>
      </w:pPr>
      <w:bookmarkStart w:id="148" w:name="_Toc311277299"/>
      <w:bookmarkStart w:id="149" w:name="_Toc269828224"/>
      <w:bookmarkStart w:id="150" w:name="_Toc24162"/>
      <w:bookmarkStart w:id="151" w:name="_Toc394051234"/>
      <w:bookmarkStart w:id="152" w:name="_Toc311276882"/>
      <w:bookmarkStart w:id="153" w:name="_Toc2425"/>
      <w:r>
        <w:rPr>
          <w:rFonts w:hint="eastAsia" w:ascii="宋体" w:hAnsi="宋体" w:cs="宋体"/>
          <w:b/>
          <w:szCs w:val="21"/>
        </w:rPr>
        <w:t>9.5 质疑与投诉</w:t>
      </w:r>
      <w:bookmarkEnd w:id="148"/>
      <w:bookmarkEnd w:id="149"/>
      <w:bookmarkEnd w:id="150"/>
      <w:bookmarkEnd w:id="151"/>
      <w:bookmarkEnd w:id="152"/>
      <w:bookmarkEnd w:id="153"/>
    </w:p>
    <w:p w14:paraId="2EACA6B0">
      <w:pPr>
        <w:spacing w:line="360" w:lineRule="auto"/>
        <w:ind w:firstLine="420" w:firstLineChars="200"/>
        <w:rPr>
          <w:rFonts w:ascii="宋体" w:hAnsi="宋体" w:cs="宋体"/>
          <w:szCs w:val="21"/>
        </w:rPr>
      </w:pPr>
      <w:r>
        <w:rPr>
          <w:rFonts w:hint="eastAsia" w:ascii="宋体" w:hAnsi="宋体" w:cs="宋体"/>
          <w:szCs w:val="21"/>
        </w:rPr>
        <w:t>投标人和其他利害关系人认为本次招标活动违反法律、法规和规章规定的，可以向采购代理机构或</w:t>
      </w:r>
      <w:r>
        <w:rPr>
          <w:rFonts w:hint="eastAsia" w:ascii="宋体" w:hAnsi="宋体" w:cs="宋体"/>
          <w:szCs w:val="21"/>
          <w:lang w:eastAsia="zh-CN"/>
        </w:rPr>
        <w:t>采购人</w:t>
      </w:r>
      <w:r>
        <w:rPr>
          <w:rFonts w:hint="eastAsia" w:ascii="宋体" w:hAnsi="宋体" w:cs="宋体"/>
          <w:szCs w:val="21"/>
        </w:rPr>
        <w:t>提出质疑，有权向有关行政监督部门投诉，其质疑与投诉将按照中华人民共和国财政部令第94号-政府采购质疑和投诉办法等相关法律法规执行。</w:t>
      </w:r>
    </w:p>
    <w:p w14:paraId="790BB3AE">
      <w:pPr>
        <w:spacing w:line="360" w:lineRule="auto"/>
        <w:rPr>
          <w:rFonts w:ascii="宋体" w:hAnsi="宋体" w:cs="宋体"/>
          <w:szCs w:val="21"/>
        </w:rPr>
      </w:pPr>
      <w:bookmarkStart w:id="154" w:name="_Toc424801126"/>
      <w:bookmarkStart w:id="155" w:name="_Toc7389"/>
      <w:bookmarkStart w:id="156" w:name="_Toc269828225"/>
      <w:bookmarkStart w:id="157" w:name="_Toc418068553"/>
      <w:bookmarkStart w:id="158" w:name="_Toc394051235"/>
      <w:bookmarkStart w:id="159" w:name="_Toc575"/>
      <w:r>
        <w:rPr>
          <w:rFonts w:hint="eastAsia" w:ascii="宋体" w:hAnsi="宋体" w:cs="宋体"/>
          <w:b/>
          <w:szCs w:val="21"/>
        </w:rPr>
        <w:t>10、需要补充的其他内容</w:t>
      </w:r>
      <w:bookmarkEnd w:id="154"/>
      <w:bookmarkEnd w:id="155"/>
      <w:bookmarkEnd w:id="156"/>
      <w:bookmarkEnd w:id="157"/>
      <w:bookmarkEnd w:id="158"/>
      <w:bookmarkEnd w:id="159"/>
      <w:r>
        <w:rPr>
          <w:rFonts w:hint="eastAsia" w:ascii="宋体" w:hAnsi="宋体" w:cs="宋体"/>
          <w:b/>
          <w:szCs w:val="21"/>
        </w:rPr>
        <w:t>：</w:t>
      </w:r>
    </w:p>
    <w:p w14:paraId="17BD00AB">
      <w:pPr>
        <w:spacing w:after="156" w:afterLines="50" w:line="360" w:lineRule="auto"/>
        <w:jc w:val="left"/>
        <w:rPr>
          <w:rFonts w:ascii="宋体" w:hAnsi="宋体" w:cs="宋体"/>
        </w:rPr>
      </w:pPr>
      <w:r>
        <w:rPr>
          <w:rFonts w:hint="eastAsia" w:ascii="宋体" w:hAnsi="宋体" w:cs="宋体"/>
          <w:szCs w:val="21"/>
        </w:rPr>
        <w:t>需要补充的其他内容：见</w:t>
      </w:r>
      <w:r>
        <w:rPr>
          <w:rFonts w:hint="eastAsia" w:ascii="宋体" w:hAnsi="宋体" w:cs="宋体"/>
          <w:szCs w:val="21"/>
          <w:lang w:eastAsia="zh-CN"/>
        </w:rPr>
        <w:t>供应商须知</w:t>
      </w:r>
      <w:r>
        <w:rPr>
          <w:rFonts w:hint="eastAsia" w:ascii="宋体" w:hAnsi="宋体" w:cs="宋体"/>
          <w:szCs w:val="21"/>
        </w:rPr>
        <w:t>前附表。</w:t>
      </w:r>
      <w:bookmarkStart w:id="160" w:name="_Toc424801316"/>
      <w:bookmarkStart w:id="161" w:name="_Toc27425"/>
      <w:bookmarkStart w:id="162" w:name="_Toc6347"/>
      <w:bookmarkStart w:id="163" w:name="_Toc5049"/>
      <w:bookmarkStart w:id="164" w:name="_Toc15358"/>
      <w:bookmarkStart w:id="165" w:name="_Toc424801319"/>
      <w:bookmarkStart w:id="166" w:name="_Toc28907"/>
      <w:bookmarkStart w:id="167" w:name="_Toc23003"/>
      <w:r>
        <w:rPr>
          <w:rFonts w:hint="eastAsia" w:ascii="宋体" w:hAnsi="宋体" w:cs="宋体"/>
        </w:rPr>
        <w:br w:type="page"/>
      </w:r>
    </w:p>
    <w:p w14:paraId="3C0B3FF2">
      <w:pPr>
        <w:pStyle w:val="3"/>
        <w:spacing w:line="360" w:lineRule="auto"/>
        <w:jc w:val="center"/>
        <w:rPr>
          <w:rFonts w:ascii="宋体" w:hAnsi="宋体" w:cs="宋体"/>
        </w:rPr>
      </w:pPr>
      <w:bookmarkStart w:id="168" w:name="_Toc26151"/>
      <w:r>
        <w:rPr>
          <w:rFonts w:hint="eastAsia" w:ascii="宋体" w:hAnsi="宋体" w:cs="宋体"/>
        </w:rPr>
        <w:t>第三章 评标办法（综合评分法）</w:t>
      </w:r>
      <w:bookmarkEnd w:id="160"/>
      <w:bookmarkEnd w:id="161"/>
      <w:bookmarkEnd w:id="162"/>
      <w:bookmarkEnd w:id="163"/>
      <w:bookmarkEnd w:id="168"/>
    </w:p>
    <w:p w14:paraId="4FF933C7">
      <w:pPr>
        <w:snapToGrid w:val="0"/>
        <w:spacing w:line="360" w:lineRule="auto"/>
        <w:jc w:val="center"/>
        <w:rPr>
          <w:rFonts w:hint="eastAsia" w:ascii="宋体" w:hAnsi="宋体" w:cs="宋体"/>
          <w:b/>
          <w:bCs/>
          <w:color w:val="auto"/>
          <w:sz w:val="30"/>
          <w:szCs w:val="30"/>
        </w:rPr>
      </w:pPr>
      <w:r>
        <w:rPr>
          <w:rFonts w:hint="eastAsia" w:ascii="宋体" w:hAnsi="宋体" w:cs="宋体"/>
          <w:b/>
          <w:bCs/>
          <w:color w:val="auto"/>
          <w:sz w:val="30"/>
          <w:szCs w:val="30"/>
        </w:rPr>
        <w:t>评标办法前附表</w:t>
      </w:r>
    </w:p>
    <w:p w14:paraId="3FFBDC29">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20" w:firstLineChars="200"/>
        <w:jc w:val="left"/>
        <w:textAlignment w:val="auto"/>
        <w:rPr>
          <w:rFonts w:hint="eastAsia" w:ascii="宋体" w:hAnsi="宋体" w:eastAsia="宋体" w:cs="宋体"/>
          <w:color w:val="auto"/>
          <w:sz w:val="21"/>
          <w:szCs w:val="21"/>
        </w:rPr>
      </w:pPr>
      <w:r>
        <w:rPr>
          <w:rFonts w:hint="eastAsia" w:ascii="宋体" w:hAnsi="宋体" w:eastAsia="宋体" w:cs="宋体"/>
          <w:sz w:val="21"/>
          <w:szCs w:val="21"/>
        </w:rPr>
        <w:t>评委将根据评分标准，分别对通过符合性审查</w:t>
      </w:r>
      <w:r>
        <w:rPr>
          <w:rFonts w:hint="eastAsia" w:ascii="宋体" w:hAnsi="宋体" w:eastAsia="宋体" w:cs="宋体"/>
          <w:sz w:val="21"/>
          <w:szCs w:val="21"/>
          <w:lang w:eastAsia="zh-CN"/>
        </w:rPr>
        <w:t>、实质性响应审查</w:t>
      </w:r>
      <w:r>
        <w:rPr>
          <w:rFonts w:hint="eastAsia" w:ascii="宋体" w:hAnsi="宋体" w:eastAsia="宋体" w:cs="宋体"/>
          <w:sz w:val="21"/>
          <w:szCs w:val="21"/>
        </w:rPr>
        <w:t>、资</w:t>
      </w:r>
      <w:r>
        <w:rPr>
          <w:rFonts w:hint="eastAsia" w:ascii="宋体" w:hAnsi="宋体" w:eastAsia="宋体" w:cs="宋体"/>
          <w:color w:val="auto"/>
          <w:sz w:val="21"/>
          <w:szCs w:val="21"/>
        </w:rPr>
        <w:t>格性审查的投标人，进行综合评分。具体评分标准如下：</w:t>
      </w:r>
    </w:p>
    <w:tbl>
      <w:tblPr>
        <w:tblStyle w:val="26"/>
        <w:tblpPr w:leftFromText="180" w:rightFromText="180" w:vertAnchor="text" w:tblpXSpec="center" w:tblpY="157"/>
        <w:tblW w:w="95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5"/>
        <w:gridCol w:w="52"/>
        <w:gridCol w:w="2303"/>
        <w:gridCol w:w="193"/>
        <w:gridCol w:w="6146"/>
      </w:tblGrid>
      <w:tr w14:paraId="6558DF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 w:hRule="atLeast"/>
          <w:jc w:val="center"/>
        </w:trPr>
        <w:tc>
          <w:tcPr>
            <w:tcW w:w="885" w:type="dxa"/>
            <w:vAlign w:val="center"/>
          </w:tcPr>
          <w:p w14:paraId="2C30A492">
            <w:pPr>
              <w:spacing w:line="360" w:lineRule="auto"/>
              <w:jc w:val="center"/>
              <w:rPr>
                <w:rFonts w:ascii="宋体" w:hAnsi="宋体"/>
                <w:b/>
                <w:sz w:val="21"/>
                <w:szCs w:val="21"/>
              </w:rPr>
            </w:pPr>
            <w:r>
              <w:rPr>
                <w:rFonts w:ascii="宋体" w:hAnsi="宋体"/>
                <w:b/>
                <w:sz w:val="21"/>
                <w:szCs w:val="21"/>
              </w:rPr>
              <w:t>项目</w:t>
            </w:r>
          </w:p>
        </w:tc>
        <w:tc>
          <w:tcPr>
            <w:tcW w:w="8694" w:type="dxa"/>
            <w:gridSpan w:val="4"/>
            <w:vAlign w:val="center"/>
          </w:tcPr>
          <w:p w14:paraId="43A72FAE">
            <w:pPr>
              <w:widowControl/>
              <w:spacing w:line="360" w:lineRule="auto"/>
              <w:jc w:val="center"/>
              <w:rPr>
                <w:rFonts w:ascii="宋体" w:hAnsi="宋体"/>
                <w:b/>
                <w:sz w:val="21"/>
                <w:szCs w:val="21"/>
              </w:rPr>
            </w:pPr>
            <w:r>
              <w:rPr>
                <w:rFonts w:ascii="宋体" w:hAnsi="宋体"/>
                <w:b/>
                <w:sz w:val="21"/>
                <w:szCs w:val="21"/>
              </w:rPr>
              <w:t>评审因素评审标准</w:t>
            </w:r>
          </w:p>
        </w:tc>
      </w:tr>
      <w:tr w14:paraId="0496D6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885" w:type="dxa"/>
            <w:vMerge w:val="restart"/>
            <w:vAlign w:val="center"/>
          </w:tcPr>
          <w:p w14:paraId="2C385DCF">
            <w:pPr>
              <w:spacing w:line="360" w:lineRule="auto"/>
              <w:jc w:val="center"/>
              <w:rPr>
                <w:rFonts w:ascii="宋体" w:hAnsi="宋体"/>
                <w:b/>
                <w:sz w:val="21"/>
                <w:szCs w:val="21"/>
              </w:rPr>
            </w:pPr>
            <w:r>
              <w:rPr>
                <w:rFonts w:ascii="宋体" w:hAnsi="宋体"/>
                <w:b/>
                <w:sz w:val="21"/>
                <w:szCs w:val="21"/>
              </w:rPr>
              <w:t>资格性审查</w:t>
            </w:r>
          </w:p>
        </w:tc>
        <w:tc>
          <w:tcPr>
            <w:tcW w:w="2548" w:type="dxa"/>
            <w:gridSpan w:val="3"/>
            <w:vAlign w:val="center"/>
          </w:tcPr>
          <w:p w14:paraId="070346C5">
            <w:pPr>
              <w:spacing w:line="360" w:lineRule="auto"/>
              <w:jc w:val="center"/>
              <w:rPr>
                <w:rFonts w:hint="eastAsia" w:ascii="宋体" w:hAnsi="宋体" w:eastAsia="宋体" w:cs="宋体"/>
                <w:sz w:val="21"/>
                <w:szCs w:val="21"/>
              </w:rPr>
            </w:pPr>
            <w:bookmarkStart w:id="169" w:name="OLE_LINK5"/>
            <w:r>
              <w:rPr>
                <w:rFonts w:hint="eastAsia" w:ascii="宋体" w:hAnsi="宋体" w:eastAsia="宋体" w:cs="宋体"/>
                <w:sz w:val="21"/>
                <w:szCs w:val="21"/>
              </w:rPr>
              <w:t>具有独立承担民事责任</w:t>
            </w:r>
            <w:r>
              <w:rPr>
                <w:rFonts w:hint="eastAsia" w:ascii="宋体" w:hAnsi="宋体" w:cs="宋体"/>
                <w:sz w:val="21"/>
                <w:szCs w:val="21"/>
                <w:lang w:eastAsia="zh-CN"/>
              </w:rPr>
              <w:t>的</w:t>
            </w:r>
            <w:r>
              <w:rPr>
                <w:rFonts w:hint="eastAsia" w:ascii="宋体" w:hAnsi="宋体" w:eastAsia="宋体" w:cs="宋体"/>
                <w:sz w:val="21"/>
                <w:szCs w:val="21"/>
              </w:rPr>
              <w:t>能力</w:t>
            </w:r>
            <w:bookmarkEnd w:id="169"/>
          </w:p>
        </w:tc>
        <w:tc>
          <w:tcPr>
            <w:tcW w:w="6146" w:type="dxa"/>
            <w:vMerge w:val="restart"/>
            <w:vAlign w:val="center"/>
          </w:tcPr>
          <w:p w14:paraId="5EBBD378">
            <w:pPr>
              <w:spacing w:line="360" w:lineRule="auto"/>
              <w:jc w:val="center"/>
              <w:rPr>
                <w:rFonts w:hint="eastAsia" w:ascii="宋体" w:hAnsi="宋体" w:eastAsia="宋体" w:cs="宋体"/>
                <w:sz w:val="21"/>
                <w:szCs w:val="21"/>
              </w:rPr>
            </w:pPr>
            <w:bookmarkStart w:id="170" w:name="OLE_LINK9"/>
            <w:r>
              <w:rPr>
                <w:rFonts w:hint="eastAsia" w:ascii="宋体" w:hAnsi="宋体" w:eastAsia="宋体" w:cs="宋体"/>
                <w:sz w:val="21"/>
                <w:szCs w:val="21"/>
              </w:rPr>
              <w:t>供应商提供的《资格承诺声明函》</w:t>
            </w:r>
            <w:bookmarkEnd w:id="170"/>
          </w:p>
        </w:tc>
      </w:tr>
      <w:tr w14:paraId="69D790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4" w:hRule="atLeast"/>
          <w:jc w:val="center"/>
        </w:trPr>
        <w:tc>
          <w:tcPr>
            <w:tcW w:w="885" w:type="dxa"/>
            <w:vMerge w:val="continue"/>
            <w:vAlign w:val="center"/>
          </w:tcPr>
          <w:p w14:paraId="152C4D2E">
            <w:pPr>
              <w:spacing w:line="360" w:lineRule="auto"/>
              <w:jc w:val="center"/>
              <w:rPr>
                <w:rFonts w:ascii="宋体" w:hAnsi="宋体"/>
                <w:b/>
                <w:sz w:val="21"/>
                <w:szCs w:val="21"/>
              </w:rPr>
            </w:pPr>
          </w:p>
        </w:tc>
        <w:tc>
          <w:tcPr>
            <w:tcW w:w="2548" w:type="dxa"/>
            <w:gridSpan w:val="3"/>
            <w:vAlign w:val="center"/>
          </w:tcPr>
          <w:p w14:paraId="1637DBF7">
            <w:pPr>
              <w:spacing w:line="360" w:lineRule="auto"/>
              <w:jc w:val="center"/>
              <w:rPr>
                <w:rFonts w:hint="eastAsia" w:ascii="宋体" w:hAnsi="宋体" w:eastAsia="宋体" w:cs="宋体"/>
                <w:sz w:val="21"/>
                <w:szCs w:val="21"/>
              </w:rPr>
            </w:pPr>
            <w:bookmarkStart w:id="171" w:name="OLE_LINK37"/>
            <w:r>
              <w:rPr>
                <w:rFonts w:hint="eastAsia" w:ascii="宋体" w:hAnsi="宋体" w:eastAsia="宋体" w:cs="宋体"/>
                <w:sz w:val="21"/>
                <w:szCs w:val="21"/>
              </w:rPr>
              <w:t>具有良好的商业信誉和健全的财务会计制度</w:t>
            </w:r>
            <w:bookmarkEnd w:id="171"/>
          </w:p>
        </w:tc>
        <w:tc>
          <w:tcPr>
            <w:tcW w:w="6146" w:type="dxa"/>
            <w:vMerge w:val="continue"/>
            <w:vAlign w:val="center"/>
          </w:tcPr>
          <w:p w14:paraId="6DCA70FE">
            <w:pPr>
              <w:spacing w:line="360" w:lineRule="auto"/>
              <w:jc w:val="center"/>
              <w:rPr>
                <w:rFonts w:hint="eastAsia" w:ascii="宋体" w:hAnsi="宋体" w:eastAsia="宋体" w:cs="宋体"/>
                <w:sz w:val="21"/>
                <w:szCs w:val="21"/>
              </w:rPr>
            </w:pPr>
          </w:p>
        </w:tc>
      </w:tr>
      <w:tr w14:paraId="1BB281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2" w:hRule="atLeast"/>
          <w:jc w:val="center"/>
        </w:trPr>
        <w:tc>
          <w:tcPr>
            <w:tcW w:w="885" w:type="dxa"/>
            <w:vMerge w:val="continue"/>
            <w:vAlign w:val="center"/>
          </w:tcPr>
          <w:p w14:paraId="230F4ECC">
            <w:pPr>
              <w:spacing w:line="360" w:lineRule="auto"/>
              <w:jc w:val="center"/>
              <w:rPr>
                <w:rFonts w:ascii="宋体" w:hAnsi="宋体"/>
                <w:b/>
                <w:sz w:val="21"/>
                <w:szCs w:val="21"/>
              </w:rPr>
            </w:pPr>
          </w:p>
        </w:tc>
        <w:tc>
          <w:tcPr>
            <w:tcW w:w="2548" w:type="dxa"/>
            <w:gridSpan w:val="3"/>
            <w:vAlign w:val="center"/>
          </w:tcPr>
          <w:p w14:paraId="5E31E45C">
            <w:pPr>
              <w:spacing w:line="360" w:lineRule="auto"/>
              <w:jc w:val="center"/>
              <w:rPr>
                <w:rFonts w:hint="eastAsia" w:ascii="宋体" w:hAnsi="宋体" w:eastAsia="宋体" w:cs="宋体"/>
                <w:sz w:val="21"/>
                <w:szCs w:val="21"/>
              </w:rPr>
            </w:pPr>
            <w:bookmarkStart w:id="172" w:name="OLE_LINK38"/>
            <w:r>
              <w:rPr>
                <w:rFonts w:hint="eastAsia" w:ascii="宋体" w:hAnsi="宋体" w:eastAsia="宋体" w:cs="宋体"/>
                <w:sz w:val="21"/>
                <w:szCs w:val="21"/>
              </w:rPr>
              <w:t>具有履行合同所必需的设备和专业技术能力</w:t>
            </w:r>
            <w:bookmarkEnd w:id="172"/>
          </w:p>
        </w:tc>
        <w:tc>
          <w:tcPr>
            <w:tcW w:w="6146" w:type="dxa"/>
            <w:vMerge w:val="continue"/>
            <w:vAlign w:val="center"/>
          </w:tcPr>
          <w:p w14:paraId="736E13EA">
            <w:pPr>
              <w:spacing w:line="360" w:lineRule="auto"/>
              <w:jc w:val="center"/>
              <w:rPr>
                <w:rFonts w:hint="eastAsia" w:ascii="宋体" w:hAnsi="宋体" w:eastAsia="宋体" w:cs="宋体"/>
                <w:sz w:val="21"/>
                <w:szCs w:val="21"/>
              </w:rPr>
            </w:pPr>
          </w:p>
        </w:tc>
      </w:tr>
      <w:tr w14:paraId="4F4575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7" w:hRule="atLeast"/>
          <w:jc w:val="center"/>
        </w:trPr>
        <w:tc>
          <w:tcPr>
            <w:tcW w:w="885" w:type="dxa"/>
            <w:vMerge w:val="continue"/>
            <w:vAlign w:val="center"/>
          </w:tcPr>
          <w:p w14:paraId="778FF30B">
            <w:pPr>
              <w:spacing w:line="360" w:lineRule="auto"/>
              <w:jc w:val="center"/>
              <w:rPr>
                <w:rFonts w:ascii="宋体" w:hAnsi="宋体"/>
                <w:b/>
                <w:sz w:val="21"/>
                <w:szCs w:val="21"/>
              </w:rPr>
            </w:pPr>
          </w:p>
        </w:tc>
        <w:tc>
          <w:tcPr>
            <w:tcW w:w="2548" w:type="dxa"/>
            <w:gridSpan w:val="3"/>
            <w:vAlign w:val="center"/>
          </w:tcPr>
          <w:p w14:paraId="5980A8C3">
            <w:pPr>
              <w:spacing w:line="360" w:lineRule="auto"/>
              <w:jc w:val="center"/>
              <w:rPr>
                <w:rFonts w:hint="eastAsia" w:ascii="宋体" w:hAnsi="宋体" w:eastAsia="宋体" w:cs="宋体"/>
                <w:sz w:val="21"/>
                <w:szCs w:val="21"/>
              </w:rPr>
            </w:pPr>
            <w:bookmarkStart w:id="173" w:name="OLE_LINK39"/>
            <w:r>
              <w:rPr>
                <w:rFonts w:hint="eastAsia" w:ascii="宋体" w:hAnsi="宋体" w:eastAsia="宋体" w:cs="宋体"/>
                <w:sz w:val="21"/>
                <w:szCs w:val="21"/>
              </w:rPr>
              <w:t>有依法缴纳税收和社会保障资金的良好记录</w:t>
            </w:r>
            <w:bookmarkEnd w:id="173"/>
          </w:p>
        </w:tc>
        <w:tc>
          <w:tcPr>
            <w:tcW w:w="6146" w:type="dxa"/>
            <w:vMerge w:val="continue"/>
            <w:vAlign w:val="center"/>
          </w:tcPr>
          <w:p w14:paraId="5865BA68">
            <w:pPr>
              <w:spacing w:line="360" w:lineRule="auto"/>
              <w:jc w:val="center"/>
              <w:rPr>
                <w:rFonts w:hint="eastAsia" w:ascii="宋体" w:hAnsi="宋体" w:eastAsia="宋体" w:cs="宋体"/>
                <w:sz w:val="21"/>
                <w:szCs w:val="21"/>
                <w:lang w:eastAsia="zh-CN"/>
              </w:rPr>
            </w:pPr>
          </w:p>
        </w:tc>
      </w:tr>
      <w:tr w14:paraId="2E3D00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3" w:hRule="atLeast"/>
          <w:jc w:val="center"/>
        </w:trPr>
        <w:tc>
          <w:tcPr>
            <w:tcW w:w="885" w:type="dxa"/>
            <w:vMerge w:val="continue"/>
            <w:vAlign w:val="center"/>
          </w:tcPr>
          <w:p w14:paraId="6DC0536D">
            <w:pPr>
              <w:spacing w:line="360" w:lineRule="auto"/>
              <w:jc w:val="center"/>
              <w:rPr>
                <w:rFonts w:ascii="宋体" w:hAnsi="宋体"/>
                <w:b/>
                <w:sz w:val="21"/>
                <w:szCs w:val="21"/>
              </w:rPr>
            </w:pPr>
          </w:p>
        </w:tc>
        <w:tc>
          <w:tcPr>
            <w:tcW w:w="2548" w:type="dxa"/>
            <w:gridSpan w:val="3"/>
            <w:vAlign w:val="center"/>
          </w:tcPr>
          <w:p w14:paraId="4BD1891F">
            <w:pPr>
              <w:spacing w:line="360" w:lineRule="auto"/>
              <w:jc w:val="center"/>
              <w:rPr>
                <w:rFonts w:hint="eastAsia" w:ascii="宋体" w:hAnsi="宋体" w:eastAsia="宋体" w:cs="宋体"/>
                <w:sz w:val="21"/>
                <w:szCs w:val="21"/>
              </w:rPr>
            </w:pPr>
            <w:bookmarkStart w:id="174" w:name="OLE_LINK40"/>
            <w:r>
              <w:rPr>
                <w:rFonts w:hint="eastAsia" w:ascii="宋体" w:hAnsi="宋体" w:cs="宋体"/>
                <w:b w:val="0"/>
                <w:bCs w:val="0"/>
                <w:sz w:val="21"/>
                <w:szCs w:val="21"/>
                <w:lang w:val="en-US" w:eastAsia="zh-CN"/>
              </w:rPr>
              <w:t>参</w:t>
            </w:r>
            <w:r>
              <w:rPr>
                <w:rFonts w:hint="eastAsia" w:ascii="宋体" w:hAnsi="宋体" w:eastAsia="宋体" w:cs="宋体"/>
                <w:b w:val="0"/>
                <w:bCs w:val="0"/>
                <w:sz w:val="21"/>
                <w:szCs w:val="21"/>
                <w:lang w:val="en-US" w:eastAsia="zh-CN"/>
              </w:rPr>
              <w:t>加政府采购活动前三年内，在经营活动中没有重大违法记录</w:t>
            </w:r>
            <w:bookmarkEnd w:id="174"/>
          </w:p>
        </w:tc>
        <w:tc>
          <w:tcPr>
            <w:tcW w:w="6146" w:type="dxa"/>
            <w:vMerge w:val="continue"/>
            <w:vAlign w:val="center"/>
          </w:tcPr>
          <w:p w14:paraId="47DD0802">
            <w:pPr>
              <w:spacing w:line="360" w:lineRule="auto"/>
              <w:jc w:val="center"/>
              <w:rPr>
                <w:rFonts w:hint="eastAsia" w:ascii="宋体" w:hAnsi="宋体" w:eastAsia="宋体" w:cs="宋体"/>
                <w:sz w:val="21"/>
                <w:szCs w:val="21"/>
              </w:rPr>
            </w:pPr>
          </w:p>
        </w:tc>
      </w:tr>
      <w:tr w14:paraId="0C347E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jc w:val="center"/>
        </w:trPr>
        <w:tc>
          <w:tcPr>
            <w:tcW w:w="885" w:type="dxa"/>
            <w:vMerge w:val="continue"/>
            <w:vAlign w:val="center"/>
          </w:tcPr>
          <w:p w14:paraId="3309D263">
            <w:pPr>
              <w:spacing w:line="360" w:lineRule="auto"/>
              <w:jc w:val="center"/>
              <w:rPr>
                <w:rFonts w:ascii="宋体" w:hAnsi="宋体"/>
                <w:b/>
                <w:sz w:val="21"/>
                <w:szCs w:val="21"/>
              </w:rPr>
            </w:pPr>
          </w:p>
        </w:tc>
        <w:tc>
          <w:tcPr>
            <w:tcW w:w="2548" w:type="dxa"/>
            <w:gridSpan w:val="3"/>
            <w:vAlign w:val="center"/>
          </w:tcPr>
          <w:p w14:paraId="6C555570">
            <w:pPr>
              <w:spacing w:line="360" w:lineRule="auto"/>
              <w:ind w:firstLine="420" w:firstLineChars="200"/>
              <w:jc w:val="center"/>
              <w:rPr>
                <w:rFonts w:hint="eastAsia" w:ascii="宋体" w:hAnsi="宋体" w:eastAsia="宋体" w:cs="宋体"/>
                <w:sz w:val="21"/>
                <w:szCs w:val="21"/>
              </w:rPr>
            </w:pPr>
            <w:bookmarkStart w:id="175" w:name="OLE_LINK91"/>
            <w:r>
              <w:rPr>
                <w:rFonts w:hint="eastAsia"/>
                <w:lang w:val="en-US" w:eastAsia="zh-CN"/>
              </w:rPr>
              <w:t>法律、行政法规规定的其他条件</w:t>
            </w:r>
            <w:bookmarkEnd w:id="175"/>
          </w:p>
        </w:tc>
        <w:tc>
          <w:tcPr>
            <w:tcW w:w="6146" w:type="dxa"/>
            <w:vMerge w:val="continue"/>
            <w:vAlign w:val="center"/>
          </w:tcPr>
          <w:p w14:paraId="19565BD0">
            <w:pPr>
              <w:spacing w:line="360" w:lineRule="auto"/>
              <w:jc w:val="center"/>
              <w:rPr>
                <w:rFonts w:hint="eastAsia" w:ascii="宋体" w:hAnsi="宋体" w:eastAsia="宋体" w:cs="宋体"/>
                <w:sz w:val="21"/>
                <w:szCs w:val="21"/>
              </w:rPr>
            </w:pPr>
          </w:p>
        </w:tc>
      </w:tr>
      <w:tr w14:paraId="130376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jc w:val="center"/>
        </w:trPr>
        <w:tc>
          <w:tcPr>
            <w:tcW w:w="885" w:type="dxa"/>
            <w:vMerge w:val="continue"/>
            <w:vAlign w:val="center"/>
          </w:tcPr>
          <w:p w14:paraId="2CD470D2">
            <w:pPr>
              <w:spacing w:line="360" w:lineRule="auto"/>
              <w:jc w:val="center"/>
              <w:rPr>
                <w:rFonts w:ascii="宋体" w:hAnsi="宋体"/>
                <w:b/>
                <w:sz w:val="21"/>
                <w:szCs w:val="21"/>
              </w:rPr>
            </w:pPr>
            <w:bookmarkStart w:id="176" w:name="OLE_LINK115" w:colFirst="2" w:colLast="2"/>
          </w:p>
        </w:tc>
        <w:tc>
          <w:tcPr>
            <w:tcW w:w="2548" w:type="dxa"/>
            <w:gridSpan w:val="3"/>
            <w:vAlign w:val="center"/>
          </w:tcPr>
          <w:p w14:paraId="52D35A17">
            <w:pPr>
              <w:spacing w:line="360" w:lineRule="auto"/>
              <w:ind w:firstLine="420" w:firstLineChars="200"/>
              <w:jc w:val="center"/>
              <w:rPr>
                <w:rFonts w:hint="eastAsia" w:ascii="宋体" w:hAnsi="宋体" w:eastAsia="宋体" w:cs="宋体"/>
                <w:sz w:val="21"/>
                <w:szCs w:val="21"/>
                <w:lang w:eastAsia="zh-CN"/>
              </w:rPr>
            </w:pPr>
            <w:bookmarkStart w:id="177" w:name="OLE_LINK42"/>
            <w:r>
              <w:rPr>
                <w:rFonts w:hint="eastAsia" w:ascii="宋体" w:hAnsi="宋体" w:eastAsia="宋体" w:cs="宋体"/>
                <w:sz w:val="21"/>
                <w:szCs w:val="21"/>
              </w:rPr>
              <w:t>信誉</w:t>
            </w:r>
            <w:r>
              <w:rPr>
                <w:rFonts w:hint="eastAsia" w:ascii="宋体" w:hAnsi="宋体" w:eastAsia="宋体" w:cs="宋体"/>
                <w:sz w:val="21"/>
                <w:szCs w:val="21"/>
                <w:lang w:eastAsia="zh-CN"/>
              </w:rPr>
              <w:t>要求</w:t>
            </w:r>
            <w:bookmarkEnd w:id="177"/>
          </w:p>
        </w:tc>
        <w:tc>
          <w:tcPr>
            <w:tcW w:w="6146" w:type="dxa"/>
            <w:vAlign w:val="center"/>
          </w:tcPr>
          <w:p w14:paraId="6E0A02F5">
            <w:pPr>
              <w:spacing w:line="360" w:lineRule="auto"/>
              <w:jc w:val="center"/>
              <w:rPr>
                <w:rFonts w:hint="eastAsia" w:ascii="宋体" w:hAnsi="宋体" w:eastAsia="宋体" w:cs="宋体"/>
                <w:sz w:val="21"/>
                <w:szCs w:val="21"/>
              </w:rPr>
            </w:pPr>
            <w:bookmarkStart w:id="178" w:name="OLE_LINK41"/>
            <w:r>
              <w:rPr>
                <w:rFonts w:hint="eastAsia" w:ascii="宋体" w:hAnsi="宋体" w:eastAsia="宋体" w:cs="宋体"/>
                <w:sz w:val="21"/>
                <w:szCs w:val="21"/>
              </w:rPr>
              <w:t>未列入失信被执行人、</w:t>
            </w:r>
            <w:r>
              <w:rPr>
                <w:rFonts w:hint="eastAsia" w:ascii="宋体" w:hAnsi="宋体" w:eastAsia="宋体" w:cs="宋体"/>
                <w:sz w:val="21"/>
                <w:szCs w:val="21"/>
                <w:lang w:val="en-US" w:eastAsia="zh-CN"/>
              </w:rPr>
              <w:t>重大税收违法失信主体</w:t>
            </w:r>
            <w:r>
              <w:rPr>
                <w:rFonts w:hint="eastAsia" w:ascii="宋体" w:hAnsi="宋体" w:eastAsia="宋体" w:cs="宋体"/>
                <w:sz w:val="21"/>
                <w:szCs w:val="21"/>
              </w:rPr>
              <w:t>、政府采购严重违法失信行为记录名单</w:t>
            </w:r>
            <w:bookmarkEnd w:id="178"/>
          </w:p>
        </w:tc>
      </w:tr>
      <w:bookmarkEnd w:id="176"/>
      <w:tr w14:paraId="6E8C93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jc w:val="center"/>
        </w:trPr>
        <w:tc>
          <w:tcPr>
            <w:tcW w:w="885" w:type="dxa"/>
            <w:vMerge w:val="continue"/>
            <w:vAlign w:val="center"/>
          </w:tcPr>
          <w:p w14:paraId="4892F568">
            <w:pPr>
              <w:spacing w:line="360" w:lineRule="auto"/>
              <w:jc w:val="center"/>
              <w:rPr>
                <w:rFonts w:ascii="宋体" w:hAnsi="宋体"/>
                <w:b/>
                <w:sz w:val="21"/>
                <w:szCs w:val="21"/>
              </w:rPr>
            </w:pPr>
            <w:bookmarkStart w:id="179" w:name="OLE_LINK116" w:colFirst="2" w:colLast="2"/>
          </w:p>
        </w:tc>
        <w:tc>
          <w:tcPr>
            <w:tcW w:w="2548" w:type="dxa"/>
            <w:gridSpan w:val="3"/>
            <w:vAlign w:val="center"/>
          </w:tcPr>
          <w:p w14:paraId="340CC88C">
            <w:pPr>
              <w:spacing w:line="360" w:lineRule="auto"/>
              <w:ind w:firstLine="420" w:firstLineChars="200"/>
              <w:jc w:val="center"/>
              <w:rPr>
                <w:rFonts w:hint="eastAsia" w:ascii="宋体" w:hAnsi="宋体" w:eastAsia="宋体" w:cs="宋体"/>
                <w:sz w:val="21"/>
                <w:szCs w:val="21"/>
              </w:rPr>
            </w:pPr>
            <w:bookmarkStart w:id="180" w:name="OLE_LINK43"/>
            <w:r>
              <w:rPr>
                <w:rFonts w:hint="eastAsia" w:ascii="宋体" w:hAnsi="宋体" w:eastAsia="宋体" w:cs="宋体"/>
                <w:sz w:val="21"/>
                <w:szCs w:val="21"/>
              </w:rPr>
              <w:t>其他</w:t>
            </w:r>
            <w:r>
              <w:rPr>
                <w:rFonts w:hint="eastAsia" w:ascii="宋体" w:hAnsi="宋体" w:cs="宋体"/>
                <w:sz w:val="21"/>
                <w:szCs w:val="21"/>
                <w:lang w:eastAsia="zh-CN"/>
              </w:rPr>
              <w:t>要求</w:t>
            </w:r>
            <w:bookmarkEnd w:id="180"/>
          </w:p>
        </w:tc>
        <w:tc>
          <w:tcPr>
            <w:tcW w:w="6146" w:type="dxa"/>
            <w:vAlign w:val="center"/>
          </w:tcPr>
          <w:p w14:paraId="3E4BE4D0">
            <w:pPr>
              <w:spacing w:line="360" w:lineRule="auto"/>
              <w:jc w:val="center"/>
              <w:rPr>
                <w:rFonts w:hint="eastAsia" w:ascii="宋体" w:hAnsi="宋体" w:eastAsia="宋体" w:cs="宋体"/>
                <w:sz w:val="21"/>
                <w:szCs w:val="21"/>
              </w:rPr>
            </w:pPr>
            <w:bookmarkStart w:id="181" w:name="OLE_LINK44"/>
            <w:r>
              <w:rPr>
                <w:rFonts w:hint="eastAsia" w:ascii="宋体" w:hAnsi="宋体" w:eastAsia="宋体" w:cs="宋体"/>
                <w:sz w:val="21"/>
                <w:szCs w:val="21"/>
              </w:rPr>
              <w:t>符合</w:t>
            </w:r>
            <w:r>
              <w:rPr>
                <w:rFonts w:hint="eastAsia" w:ascii="宋体" w:hAnsi="宋体" w:eastAsia="宋体" w:cs="宋体"/>
                <w:sz w:val="21"/>
                <w:szCs w:val="21"/>
                <w:lang w:eastAsia="zh-CN"/>
              </w:rPr>
              <w:t>供应商须知</w:t>
            </w:r>
            <w:r>
              <w:rPr>
                <w:rFonts w:hint="eastAsia" w:ascii="宋体" w:hAnsi="宋体" w:eastAsia="宋体" w:cs="宋体"/>
                <w:sz w:val="21"/>
                <w:szCs w:val="21"/>
              </w:rPr>
              <w:t>前附表“</w:t>
            </w:r>
            <w:r>
              <w:rPr>
                <w:rFonts w:hint="eastAsia" w:ascii="宋体" w:hAnsi="宋体" w:cs="宋体"/>
                <w:sz w:val="21"/>
                <w:szCs w:val="21"/>
                <w:lang w:eastAsia="zh-CN"/>
              </w:rPr>
              <w:t>供应商资格要求</w:t>
            </w:r>
            <w:r>
              <w:rPr>
                <w:rFonts w:hint="eastAsia" w:ascii="宋体" w:hAnsi="宋体" w:eastAsia="宋体" w:cs="宋体"/>
                <w:sz w:val="21"/>
                <w:szCs w:val="21"/>
              </w:rPr>
              <w:t>”规定的其他内容</w:t>
            </w:r>
            <w:bookmarkEnd w:id="181"/>
          </w:p>
        </w:tc>
      </w:tr>
      <w:bookmarkEnd w:id="179"/>
      <w:tr w14:paraId="313AAA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6" w:hRule="atLeast"/>
          <w:jc w:val="center"/>
        </w:trPr>
        <w:tc>
          <w:tcPr>
            <w:tcW w:w="9579" w:type="dxa"/>
            <w:gridSpan w:val="5"/>
            <w:vAlign w:val="center"/>
          </w:tcPr>
          <w:p w14:paraId="48EDA350">
            <w:pPr>
              <w:spacing w:line="360" w:lineRule="auto"/>
              <w:jc w:val="left"/>
              <w:rPr>
                <w:rFonts w:ascii="宋体" w:hAnsi="宋体"/>
                <w:sz w:val="21"/>
                <w:szCs w:val="21"/>
              </w:rPr>
            </w:pPr>
            <w:r>
              <w:rPr>
                <w:rFonts w:ascii="宋体" w:hAnsi="宋体"/>
                <w:b/>
                <w:bCs/>
                <w:sz w:val="21"/>
                <w:szCs w:val="21"/>
              </w:rPr>
              <w:t>依据财政部87号令，公开招标采购项目开标结束后，采购人或代理机构依据法律法规和招标文件的规定，对投标文件中的资格证明等进行审查，以确定投标供应商是否具备投标资格。</w:t>
            </w:r>
          </w:p>
        </w:tc>
      </w:tr>
      <w:tr w14:paraId="4ED6AE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937" w:type="dxa"/>
            <w:gridSpan w:val="2"/>
            <w:vMerge w:val="restart"/>
            <w:vAlign w:val="center"/>
          </w:tcPr>
          <w:p w14:paraId="196B20A9">
            <w:pPr>
              <w:spacing w:line="360" w:lineRule="auto"/>
              <w:jc w:val="center"/>
              <w:rPr>
                <w:rFonts w:hint="eastAsia" w:ascii="宋体" w:hAnsi="宋体" w:eastAsia="宋体"/>
                <w:b/>
                <w:sz w:val="21"/>
                <w:szCs w:val="21"/>
                <w:lang w:eastAsia="zh-CN"/>
              </w:rPr>
            </w:pPr>
            <w:bookmarkStart w:id="182" w:name="OLE_LINK94" w:colFirst="2" w:colLast="2"/>
            <w:r>
              <w:rPr>
                <w:rFonts w:hint="eastAsia" w:ascii="宋体" w:hAnsi="宋体"/>
                <w:b/>
                <w:sz w:val="21"/>
                <w:szCs w:val="21"/>
                <w:lang w:eastAsia="zh-CN"/>
              </w:rPr>
              <w:t>实质性响应审查</w:t>
            </w:r>
          </w:p>
        </w:tc>
        <w:tc>
          <w:tcPr>
            <w:tcW w:w="2303" w:type="dxa"/>
            <w:vAlign w:val="center"/>
          </w:tcPr>
          <w:p w14:paraId="10AE74DE">
            <w:pPr>
              <w:spacing w:line="360" w:lineRule="auto"/>
              <w:jc w:val="center"/>
              <w:rPr>
                <w:rFonts w:ascii="宋体" w:hAnsi="宋体" w:eastAsia="宋体" w:cs="Times New Roman"/>
                <w:kern w:val="2"/>
                <w:sz w:val="21"/>
                <w:szCs w:val="21"/>
                <w:lang w:val="en-US" w:eastAsia="zh-CN" w:bidi="ar-SA"/>
              </w:rPr>
            </w:pPr>
            <w:bookmarkStart w:id="183" w:name="OLE_LINK54"/>
            <w:r>
              <w:rPr>
                <w:rFonts w:ascii="宋体" w:hAnsi="宋体"/>
                <w:sz w:val="21"/>
                <w:szCs w:val="21"/>
              </w:rPr>
              <w:t>投标报价</w:t>
            </w:r>
            <w:bookmarkEnd w:id="183"/>
          </w:p>
        </w:tc>
        <w:tc>
          <w:tcPr>
            <w:tcW w:w="6339" w:type="dxa"/>
            <w:gridSpan w:val="2"/>
            <w:vAlign w:val="center"/>
          </w:tcPr>
          <w:p w14:paraId="2AD32947">
            <w:pPr>
              <w:spacing w:line="360" w:lineRule="auto"/>
              <w:jc w:val="center"/>
              <w:rPr>
                <w:rFonts w:ascii="宋体" w:hAnsi="宋体" w:eastAsia="宋体" w:cs="Times New Roman"/>
                <w:kern w:val="2"/>
                <w:sz w:val="21"/>
                <w:szCs w:val="21"/>
                <w:lang w:val="en-US" w:eastAsia="zh-CN" w:bidi="ar-SA"/>
              </w:rPr>
            </w:pPr>
            <w:bookmarkStart w:id="184" w:name="OLE_LINK111"/>
            <w:r>
              <w:rPr>
                <w:rFonts w:ascii="宋体" w:hAnsi="宋体"/>
                <w:sz w:val="21"/>
                <w:szCs w:val="21"/>
              </w:rPr>
              <w:t>未超过采购预算价</w:t>
            </w:r>
            <w:bookmarkEnd w:id="184"/>
          </w:p>
        </w:tc>
      </w:tr>
      <w:bookmarkEnd w:id="182"/>
      <w:tr w14:paraId="328808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937" w:type="dxa"/>
            <w:gridSpan w:val="2"/>
            <w:vMerge w:val="continue"/>
            <w:vAlign w:val="center"/>
          </w:tcPr>
          <w:p w14:paraId="5B01408C">
            <w:pPr>
              <w:spacing w:line="360" w:lineRule="auto"/>
              <w:jc w:val="center"/>
              <w:rPr>
                <w:rFonts w:hint="eastAsia" w:ascii="宋体" w:hAnsi="宋体"/>
                <w:b/>
                <w:sz w:val="21"/>
                <w:szCs w:val="21"/>
                <w:lang w:eastAsia="zh-CN"/>
              </w:rPr>
            </w:pPr>
            <w:bookmarkStart w:id="185" w:name="OLE_LINK55" w:colFirst="1" w:colLast="1"/>
          </w:p>
        </w:tc>
        <w:tc>
          <w:tcPr>
            <w:tcW w:w="2303" w:type="dxa"/>
            <w:vAlign w:val="center"/>
          </w:tcPr>
          <w:p w14:paraId="7E151C95">
            <w:pPr>
              <w:spacing w:line="360" w:lineRule="auto"/>
              <w:jc w:val="center"/>
              <w:rPr>
                <w:rFonts w:ascii="宋体" w:hAnsi="宋体" w:eastAsia="宋体" w:cs="Times New Roman"/>
                <w:kern w:val="2"/>
                <w:sz w:val="21"/>
                <w:szCs w:val="21"/>
                <w:lang w:val="en-US" w:eastAsia="zh-CN" w:bidi="ar-SA"/>
              </w:rPr>
            </w:pPr>
            <w:bookmarkStart w:id="186" w:name="OLE_LINK56"/>
            <w:r>
              <w:rPr>
                <w:rFonts w:ascii="宋体" w:hAnsi="宋体"/>
                <w:sz w:val="21"/>
                <w:szCs w:val="21"/>
              </w:rPr>
              <w:t>投标有效期</w:t>
            </w:r>
            <w:bookmarkEnd w:id="186"/>
          </w:p>
        </w:tc>
        <w:tc>
          <w:tcPr>
            <w:tcW w:w="6339" w:type="dxa"/>
            <w:gridSpan w:val="2"/>
            <w:vAlign w:val="center"/>
          </w:tcPr>
          <w:p w14:paraId="22549404">
            <w:pPr>
              <w:tabs>
                <w:tab w:val="left" w:pos="2197"/>
                <w:tab w:val="center" w:pos="3121"/>
              </w:tabs>
              <w:spacing w:line="360" w:lineRule="auto"/>
              <w:jc w:val="left"/>
              <w:rPr>
                <w:rFonts w:ascii="宋体" w:hAnsi="宋体" w:eastAsia="宋体" w:cs="Times New Roman"/>
                <w:kern w:val="2"/>
                <w:sz w:val="21"/>
                <w:szCs w:val="21"/>
                <w:lang w:val="en-US" w:eastAsia="zh-CN" w:bidi="ar-SA"/>
              </w:rPr>
            </w:pPr>
            <w:bookmarkStart w:id="187" w:name="OLE_LINK57"/>
            <w:r>
              <w:rPr>
                <w:rFonts w:hint="eastAsia" w:ascii="宋体" w:hAnsi="宋体"/>
                <w:sz w:val="21"/>
                <w:szCs w:val="21"/>
                <w:lang w:eastAsia="zh-CN"/>
              </w:rPr>
              <w:tab/>
            </w:r>
            <w:bookmarkStart w:id="188" w:name="OLE_LINK112"/>
            <w:r>
              <w:rPr>
                <w:rFonts w:hint="eastAsia" w:ascii="宋体" w:hAnsi="宋体"/>
                <w:sz w:val="21"/>
                <w:szCs w:val="21"/>
                <w:lang w:eastAsia="zh-CN"/>
              </w:rPr>
              <w:tab/>
            </w:r>
            <w:bookmarkStart w:id="189" w:name="OLE_LINK117"/>
            <w:r>
              <w:rPr>
                <w:rFonts w:ascii="宋体" w:hAnsi="宋体"/>
                <w:sz w:val="21"/>
                <w:szCs w:val="21"/>
              </w:rPr>
              <w:t>符合招标文件要求</w:t>
            </w:r>
            <w:bookmarkEnd w:id="187"/>
            <w:bookmarkEnd w:id="188"/>
            <w:bookmarkEnd w:id="189"/>
          </w:p>
        </w:tc>
      </w:tr>
      <w:bookmarkEnd w:id="185"/>
      <w:tr w14:paraId="779C25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atLeast"/>
          <w:jc w:val="center"/>
        </w:trPr>
        <w:tc>
          <w:tcPr>
            <w:tcW w:w="937" w:type="dxa"/>
            <w:gridSpan w:val="2"/>
            <w:vMerge w:val="continue"/>
            <w:vAlign w:val="center"/>
          </w:tcPr>
          <w:p w14:paraId="4EFE59D6">
            <w:pPr>
              <w:spacing w:line="360" w:lineRule="auto"/>
              <w:jc w:val="center"/>
              <w:rPr>
                <w:rFonts w:hint="eastAsia" w:ascii="宋体" w:hAnsi="宋体"/>
                <w:b/>
                <w:sz w:val="21"/>
                <w:szCs w:val="21"/>
                <w:lang w:eastAsia="zh-CN"/>
              </w:rPr>
            </w:pPr>
          </w:p>
        </w:tc>
        <w:tc>
          <w:tcPr>
            <w:tcW w:w="2303" w:type="dxa"/>
            <w:vAlign w:val="center"/>
          </w:tcPr>
          <w:p w14:paraId="66369589">
            <w:pPr>
              <w:spacing w:line="360" w:lineRule="auto"/>
              <w:jc w:val="center"/>
              <w:rPr>
                <w:rFonts w:hint="eastAsia" w:ascii="宋体" w:hAnsi="宋体" w:eastAsia="宋体"/>
                <w:sz w:val="21"/>
                <w:szCs w:val="21"/>
                <w:highlight w:val="none"/>
                <w:lang w:eastAsia="zh-CN"/>
              </w:rPr>
            </w:pPr>
            <w:bookmarkStart w:id="190" w:name="OLE_LINK58"/>
            <w:r>
              <w:rPr>
                <w:rFonts w:hint="eastAsia" w:ascii="宋体" w:hAnsi="宋体"/>
                <w:sz w:val="21"/>
                <w:szCs w:val="21"/>
                <w:highlight w:val="none"/>
                <w:lang w:eastAsia="zh-CN"/>
              </w:rPr>
              <w:t>服务内容</w:t>
            </w:r>
            <w:bookmarkEnd w:id="190"/>
          </w:p>
        </w:tc>
        <w:tc>
          <w:tcPr>
            <w:tcW w:w="6339" w:type="dxa"/>
            <w:gridSpan w:val="2"/>
            <w:vAlign w:val="center"/>
          </w:tcPr>
          <w:p w14:paraId="09E7EB60">
            <w:pPr>
              <w:spacing w:line="360" w:lineRule="auto"/>
              <w:jc w:val="center"/>
              <w:rPr>
                <w:rFonts w:ascii="宋体" w:hAnsi="宋体"/>
                <w:sz w:val="21"/>
                <w:szCs w:val="21"/>
                <w:highlight w:val="none"/>
              </w:rPr>
            </w:pPr>
            <w:bookmarkStart w:id="191" w:name="OLE_LINK59"/>
            <w:r>
              <w:rPr>
                <w:rFonts w:ascii="宋体" w:hAnsi="宋体"/>
                <w:sz w:val="21"/>
                <w:szCs w:val="21"/>
                <w:highlight w:val="none"/>
              </w:rPr>
              <w:t>符合招标文件要求</w:t>
            </w:r>
            <w:bookmarkEnd w:id="191"/>
          </w:p>
        </w:tc>
      </w:tr>
      <w:tr w14:paraId="5D0696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937" w:type="dxa"/>
            <w:gridSpan w:val="2"/>
            <w:vMerge w:val="continue"/>
            <w:vAlign w:val="center"/>
          </w:tcPr>
          <w:p w14:paraId="0D9EB5F4">
            <w:pPr>
              <w:spacing w:line="360" w:lineRule="auto"/>
              <w:jc w:val="center"/>
              <w:rPr>
                <w:rFonts w:hint="eastAsia" w:ascii="宋体" w:hAnsi="宋体"/>
                <w:b/>
                <w:sz w:val="21"/>
                <w:szCs w:val="21"/>
                <w:lang w:eastAsia="zh-CN"/>
              </w:rPr>
            </w:pPr>
            <w:bookmarkStart w:id="192" w:name="OLE_LINK118" w:colFirst="2" w:colLast="2"/>
          </w:p>
        </w:tc>
        <w:tc>
          <w:tcPr>
            <w:tcW w:w="2303" w:type="dxa"/>
            <w:vAlign w:val="center"/>
          </w:tcPr>
          <w:p w14:paraId="633AAD0A">
            <w:pPr>
              <w:spacing w:line="360" w:lineRule="auto"/>
              <w:jc w:val="center"/>
              <w:rPr>
                <w:rFonts w:hint="eastAsia" w:ascii="宋体" w:hAnsi="宋体" w:eastAsia="宋体" w:cs="Times New Roman"/>
                <w:kern w:val="2"/>
                <w:sz w:val="21"/>
                <w:szCs w:val="21"/>
                <w:lang w:val="en-US" w:eastAsia="zh-CN" w:bidi="ar-SA"/>
              </w:rPr>
            </w:pPr>
            <w:bookmarkStart w:id="193" w:name="OLE_LINK60"/>
            <w:r>
              <w:rPr>
                <w:rFonts w:hint="eastAsia" w:ascii="宋体" w:hAnsi="宋体"/>
                <w:sz w:val="21"/>
                <w:szCs w:val="21"/>
                <w:lang w:eastAsia="zh-CN"/>
              </w:rPr>
              <w:t>合同履行期限</w:t>
            </w:r>
            <w:bookmarkEnd w:id="193"/>
          </w:p>
        </w:tc>
        <w:tc>
          <w:tcPr>
            <w:tcW w:w="6339" w:type="dxa"/>
            <w:gridSpan w:val="2"/>
            <w:vAlign w:val="center"/>
          </w:tcPr>
          <w:p w14:paraId="5FEF05E4">
            <w:pPr>
              <w:spacing w:line="360" w:lineRule="auto"/>
              <w:jc w:val="center"/>
              <w:rPr>
                <w:rFonts w:ascii="宋体" w:hAnsi="宋体" w:eastAsia="宋体" w:cs="Times New Roman"/>
                <w:kern w:val="2"/>
                <w:sz w:val="21"/>
                <w:szCs w:val="21"/>
                <w:lang w:val="en-US" w:eastAsia="zh-CN" w:bidi="ar-SA"/>
              </w:rPr>
            </w:pPr>
            <w:bookmarkStart w:id="194" w:name="OLE_LINK95"/>
            <w:r>
              <w:rPr>
                <w:rFonts w:ascii="宋体" w:hAnsi="宋体"/>
                <w:sz w:val="21"/>
                <w:szCs w:val="21"/>
              </w:rPr>
              <w:t>符合招标文件要求</w:t>
            </w:r>
            <w:bookmarkEnd w:id="194"/>
          </w:p>
        </w:tc>
      </w:tr>
      <w:bookmarkEnd w:id="192"/>
      <w:tr w14:paraId="29A07A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937" w:type="dxa"/>
            <w:gridSpan w:val="2"/>
            <w:vMerge w:val="continue"/>
            <w:vAlign w:val="center"/>
          </w:tcPr>
          <w:p w14:paraId="607FF1C4">
            <w:pPr>
              <w:spacing w:line="360" w:lineRule="auto"/>
              <w:jc w:val="center"/>
              <w:rPr>
                <w:rFonts w:hint="eastAsia" w:ascii="宋体" w:hAnsi="宋体"/>
                <w:b/>
                <w:sz w:val="21"/>
                <w:szCs w:val="21"/>
                <w:lang w:eastAsia="zh-CN"/>
              </w:rPr>
            </w:pPr>
          </w:p>
        </w:tc>
        <w:tc>
          <w:tcPr>
            <w:tcW w:w="2303" w:type="dxa"/>
            <w:vAlign w:val="center"/>
          </w:tcPr>
          <w:p w14:paraId="6D963580">
            <w:pPr>
              <w:spacing w:line="360" w:lineRule="auto"/>
              <w:jc w:val="center"/>
              <w:rPr>
                <w:rFonts w:hint="eastAsia" w:ascii="宋体" w:hAnsi="宋体" w:eastAsia="宋体" w:cs="Times New Roman"/>
                <w:kern w:val="2"/>
                <w:sz w:val="21"/>
                <w:szCs w:val="21"/>
                <w:lang w:val="en-US" w:eastAsia="zh-CN" w:bidi="ar-SA"/>
              </w:rPr>
            </w:pPr>
            <w:bookmarkStart w:id="195" w:name="OLE_LINK61"/>
            <w:r>
              <w:rPr>
                <w:rFonts w:hint="eastAsia" w:ascii="宋体" w:hAnsi="宋体"/>
                <w:color w:val="auto"/>
                <w:sz w:val="21"/>
                <w:szCs w:val="21"/>
                <w:lang w:eastAsia="zh-CN"/>
              </w:rPr>
              <w:t>服务质量</w:t>
            </w:r>
            <w:bookmarkEnd w:id="195"/>
          </w:p>
        </w:tc>
        <w:tc>
          <w:tcPr>
            <w:tcW w:w="6339" w:type="dxa"/>
            <w:gridSpan w:val="2"/>
            <w:vAlign w:val="center"/>
          </w:tcPr>
          <w:p w14:paraId="5B0570D1">
            <w:pPr>
              <w:spacing w:line="360" w:lineRule="auto"/>
              <w:jc w:val="center"/>
              <w:rPr>
                <w:rFonts w:ascii="宋体" w:hAnsi="宋体" w:eastAsia="宋体" w:cs="Times New Roman"/>
                <w:kern w:val="2"/>
                <w:sz w:val="21"/>
                <w:szCs w:val="21"/>
                <w:lang w:val="en-US" w:eastAsia="zh-CN" w:bidi="ar-SA"/>
              </w:rPr>
            </w:pPr>
            <w:bookmarkStart w:id="196" w:name="OLE_LINK62"/>
            <w:r>
              <w:rPr>
                <w:rFonts w:ascii="宋体" w:hAnsi="宋体"/>
                <w:sz w:val="21"/>
                <w:szCs w:val="21"/>
              </w:rPr>
              <w:t>符合招标文件要求</w:t>
            </w:r>
            <w:bookmarkEnd w:id="196"/>
          </w:p>
        </w:tc>
      </w:tr>
      <w:tr w14:paraId="4BDAA9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937" w:type="dxa"/>
            <w:gridSpan w:val="2"/>
            <w:vMerge w:val="continue"/>
            <w:vAlign w:val="center"/>
          </w:tcPr>
          <w:p w14:paraId="34A1C751">
            <w:pPr>
              <w:spacing w:line="360" w:lineRule="auto"/>
              <w:jc w:val="center"/>
              <w:rPr>
                <w:rFonts w:hint="eastAsia" w:ascii="宋体" w:hAnsi="宋体"/>
                <w:b/>
                <w:sz w:val="21"/>
                <w:szCs w:val="21"/>
                <w:lang w:eastAsia="zh-CN"/>
              </w:rPr>
            </w:pPr>
          </w:p>
        </w:tc>
        <w:tc>
          <w:tcPr>
            <w:tcW w:w="2303" w:type="dxa"/>
            <w:vAlign w:val="center"/>
          </w:tcPr>
          <w:p w14:paraId="0D34D8D6">
            <w:pPr>
              <w:spacing w:line="360" w:lineRule="auto"/>
              <w:jc w:val="center"/>
              <w:rPr>
                <w:rFonts w:ascii="宋体" w:hAnsi="宋体" w:eastAsia="宋体" w:cs="Times New Roman"/>
                <w:bCs/>
                <w:kern w:val="2"/>
                <w:sz w:val="21"/>
                <w:szCs w:val="21"/>
                <w:lang w:val="en-US" w:eastAsia="zh-CN" w:bidi="ar-SA"/>
              </w:rPr>
            </w:pPr>
            <w:bookmarkStart w:id="197" w:name="OLE_LINK63"/>
            <w:r>
              <w:rPr>
                <w:rFonts w:ascii="宋体" w:hAnsi="宋体"/>
                <w:bCs/>
                <w:sz w:val="21"/>
                <w:szCs w:val="21"/>
              </w:rPr>
              <w:t>其他</w:t>
            </w:r>
            <w:bookmarkEnd w:id="197"/>
          </w:p>
        </w:tc>
        <w:tc>
          <w:tcPr>
            <w:tcW w:w="6339" w:type="dxa"/>
            <w:gridSpan w:val="2"/>
            <w:vAlign w:val="center"/>
          </w:tcPr>
          <w:p w14:paraId="555F9D67">
            <w:pPr>
              <w:spacing w:line="360" w:lineRule="auto"/>
              <w:jc w:val="center"/>
              <w:rPr>
                <w:rFonts w:ascii="宋体" w:hAnsi="宋体" w:eastAsia="宋体" w:cs="Times New Roman"/>
                <w:kern w:val="2"/>
                <w:sz w:val="21"/>
                <w:szCs w:val="21"/>
                <w:lang w:val="en-US" w:eastAsia="zh-CN" w:bidi="ar-SA"/>
              </w:rPr>
            </w:pPr>
            <w:bookmarkStart w:id="198" w:name="OLE_LINK64"/>
            <w:r>
              <w:rPr>
                <w:rFonts w:ascii="宋体" w:hAnsi="宋体"/>
                <w:sz w:val="21"/>
                <w:szCs w:val="21"/>
              </w:rPr>
              <w:t>符合招标文件的其他实质性要求</w:t>
            </w:r>
            <w:bookmarkEnd w:id="198"/>
          </w:p>
        </w:tc>
      </w:tr>
      <w:tr w14:paraId="31A2E9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937" w:type="dxa"/>
            <w:gridSpan w:val="2"/>
            <w:vMerge w:val="restart"/>
            <w:vAlign w:val="center"/>
          </w:tcPr>
          <w:p w14:paraId="1F582B80">
            <w:pPr>
              <w:spacing w:line="360" w:lineRule="auto"/>
              <w:jc w:val="center"/>
              <w:rPr>
                <w:rFonts w:ascii="宋体" w:hAnsi="宋体"/>
                <w:b/>
                <w:sz w:val="21"/>
                <w:szCs w:val="21"/>
              </w:rPr>
            </w:pPr>
            <w:r>
              <w:rPr>
                <w:rFonts w:ascii="宋体" w:hAnsi="宋体"/>
                <w:b/>
                <w:sz w:val="21"/>
                <w:szCs w:val="21"/>
              </w:rPr>
              <w:t>符合性审查</w:t>
            </w:r>
          </w:p>
        </w:tc>
        <w:tc>
          <w:tcPr>
            <w:tcW w:w="2303" w:type="dxa"/>
            <w:vAlign w:val="center"/>
          </w:tcPr>
          <w:p w14:paraId="525E76CB">
            <w:pPr>
              <w:spacing w:line="360" w:lineRule="auto"/>
              <w:jc w:val="center"/>
              <w:rPr>
                <w:rFonts w:ascii="宋体" w:hAnsi="宋体"/>
                <w:sz w:val="21"/>
                <w:szCs w:val="21"/>
              </w:rPr>
            </w:pPr>
            <w:bookmarkStart w:id="199" w:name="OLE_LINK46"/>
            <w:r>
              <w:rPr>
                <w:rFonts w:ascii="宋体" w:hAnsi="宋体"/>
                <w:sz w:val="21"/>
                <w:szCs w:val="21"/>
              </w:rPr>
              <w:t>投标文件签署</w:t>
            </w:r>
            <w:bookmarkEnd w:id="199"/>
          </w:p>
        </w:tc>
        <w:tc>
          <w:tcPr>
            <w:tcW w:w="6339" w:type="dxa"/>
            <w:gridSpan w:val="2"/>
            <w:vAlign w:val="center"/>
          </w:tcPr>
          <w:p w14:paraId="7956AFBE">
            <w:pPr>
              <w:spacing w:line="360" w:lineRule="auto"/>
              <w:jc w:val="center"/>
              <w:rPr>
                <w:rFonts w:ascii="宋体" w:hAnsi="宋体"/>
                <w:sz w:val="21"/>
                <w:szCs w:val="21"/>
              </w:rPr>
            </w:pPr>
            <w:bookmarkStart w:id="200" w:name="OLE_LINK47"/>
            <w:r>
              <w:rPr>
                <w:rFonts w:ascii="宋体" w:hAnsi="宋体"/>
                <w:sz w:val="21"/>
                <w:szCs w:val="21"/>
              </w:rPr>
              <w:t>按招标文件要求签署</w:t>
            </w:r>
            <w:bookmarkEnd w:id="200"/>
          </w:p>
        </w:tc>
      </w:tr>
      <w:tr w14:paraId="0C3EA4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jc w:val="center"/>
        </w:trPr>
        <w:tc>
          <w:tcPr>
            <w:tcW w:w="937" w:type="dxa"/>
            <w:gridSpan w:val="2"/>
            <w:vMerge w:val="continue"/>
            <w:vAlign w:val="center"/>
          </w:tcPr>
          <w:p w14:paraId="0EF65169">
            <w:pPr>
              <w:spacing w:line="360" w:lineRule="auto"/>
              <w:jc w:val="center"/>
              <w:rPr>
                <w:rFonts w:ascii="宋体" w:hAnsi="宋体"/>
                <w:sz w:val="21"/>
                <w:szCs w:val="21"/>
              </w:rPr>
            </w:pPr>
          </w:p>
        </w:tc>
        <w:tc>
          <w:tcPr>
            <w:tcW w:w="2303" w:type="dxa"/>
            <w:vAlign w:val="center"/>
          </w:tcPr>
          <w:p w14:paraId="2E02DCD4">
            <w:pPr>
              <w:pStyle w:val="46"/>
              <w:spacing w:line="360" w:lineRule="auto"/>
              <w:jc w:val="center"/>
              <w:rPr>
                <w:rFonts w:ascii="宋体" w:hAnsi="宋体"/>
                <w:sz w:val="21"/>
                <w:szCs w:val="21"/>
              </w:rPr>
            </w:pPr>
            <w:bookmarkStart w:id="201" w:name="OLE_LINK92"/>
            <w:r>
              <w:rPr>
                <w:rFonts w:hint="eastAsia" w:ascii="宋体" w:hAnsi="宋体" w:eastAsia="宋体"/>
                <w:sz w:val="21"/>
                <w:szCs w:val="21"/>
                <w:lang w:eastAsia="zh-CN"/>
              </w:rPr>
              <w:t>供应商名称</w:t>
            </w:r>
            <w:bookmarkEnd w:id="201"/>
          </w:p>
        </w:tc>
        <w:tc>
          <w:tcPr>
            <w:tcW w:w="6339" w:type="dxa"/>
            <w:gridSpan w:val="2"/>
            <w:vAlign w:val="center"/>
          </w:tcPr>
          <w:p w14:paraId="66E9011C">
            <w:pPr>
              <w:pStyle w:val="46"/>
              <w:spacing w:line="360" w:lineRule="auto"/>
              <w:jc w:val="center"/>
              <w:rPr>
                <w:rFonts w:ascii="宋体" w:hAnsi="宋体"/>
                <w:sz w:val="21"/>
                <w:szCs w:val="21"/>
              </w:rPr>
            </w:pPr>
            <w:bookmarkStart w:id="202" w:name="_Toc31616"/>
            <w:bookmarkStart w:id="203" w:name="OLE_LINK93"/>
            <w:bookmarkStart w:id="204" w:name="_Toc28331"/>
            <w:r>
              <w:rPr>
                <w:rFonts w:hint="eastAsia" w:ascii="宋体" w:hAnsi="宋体" w:eastAsia="宋体"/>
                <w:sz w:val="21"/>
                <w:szCs w:val="21"/>
              </w:rPr>
              <w:t>与营业执照等一致</w:t>
            </w:r>
            <w:bookmarkEnd w:id="202"/>
            <w:bookmarkEnd w:id="203"/>
            <w:bookmarkEnd w:id="204"/>
          </w:p>
        </w:tc>
      </w:tr>
      <w:tr w14:paraId="6271E1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jc w:val="center"/>
        </w:trPr>
        <w:tc>
          <w:tcPr>
            <w:tcW w:w="937" w:type="dxa"/>
            <w:gridSpan w:val="2"/>
            <w:vMerge w:val="continue"/>
            <w:vAlign w:val="center"/>
          </w:tcPr>
          <w:p w14:paraId="13659F9C">
            <w:pPr>
              <w:spacing w:line="360" w:lineRule="auto"/>
              <w:jc w:val="center"/>
              <w:rPr>
                <w:rFonts w:ascii="宋体" w:hAnsi="宋体"/>
                <w:sz w:val="21"/>
                <w:szCs w:val="21"/>
              </w:rPr>
            </w:pPr>
          </w:p>
        </w:tc>
        <w:tc>
          <w:tcPr>
            <w:tcW w:w="2303" w:type="dxa"/>
            <w:vAlign w:val="center"/>
          </w:tcPr>
          <w:p w14:paraId="429CE2C6">
            <w:pPr>
              <w:pStyle w:val="46"/>
              <w:spacing w:line="360" w:lineRule="auto"/>
              <w:jc w:val="center"/>
              <w:rPr>
                <w:rFonts w:ascii="宋体" w:hAnsi="宋体"/>
                <w:sz w:val="21"/>
                <w:szCs w:val="21"/>
              </w:rPr>
            </w:pPr>
            <w:bookmarkStart w:id="205" w:name="_Toc28533"/>
            <w:bookmarkStart w:id="206" w:name="_Toc27460"/>
            <w:bookmarkStart w:id="207" w:name="OLE_LINK48"/>
            <w:r>
              <w:rPr>
                <w:rFonts w:hint="eastAsia" w:ascii="宋体" w:hAnsi="宋体" w:eastAsia="宋体"/>
                <w:sz w:val="21"/>
                <w:szCs w:val="21"/>
              </w:rPr>
              <w:t>投标函签字盖章</w:t>
            </w:r>
            <w:bookmarkEnd w:id="205"/>
            <w:bookmarkEnd w:id="206"/>
            <w:bookmarkEnd w:id="207"/>
          </w:p>
        </w:tc>
        <w:tc>
          <w:tcPr>
            <w:tcW w:w="6339" w:type="dxa"/>
            <w:gridSpan w:val="2"/>
            <w:vAlign w:val="center"/>
          </w:tcPr>
          <w:p w14:paraId="1C711EBC">
            <w:pPr>
              <w:pStyle w:val="46"/>
              <w:spacing w:line="360" w:lineRule="auto"/>
              <w:jc w:val="center"/>
              <w:rPr>
                <w:rFonts w:ascii="宋体" w:hAnsi="宋体"/>
                <w:sz w:val="21"/>
                <w:szCs w:val="21"/>
              </w:rPr>
            </w:pPr>
            <w:bookmarkStart w:id="208" w:name="_Toc3444"/>
            <w:bookmarkStart w:id="209" w:name="_Toc15375"/>
            <w:bookmarkStart w:id="210" w:name="OLE_LINK49"/>
            <w:r>
              <w:rPr>
                <w:rFonts w:hint="eastAsia" w:ascii="宋体" w:hAnsi="宋体" w:eastAsia="宋体"/>
                <w:sz w:val="21"/>
                <w:szCs w:val="21"/>
              </w:rPr>
              <w:t>有法定代表人或其委托代理人签字或</w:t>
            </w:r>
            <w:r>
              <w:rPr>
                <w:rFonts w:hint="eastAsia" w:ascii="宋体" w:hAnsi="宋体" w:eastAsia="宋体"/>
                <w:sz w:val="21"/>
                <w:szCs w:val="21"/>
                <w:lang w:val="en-US" w:eastAsia="zh-CN"/>
              </w:rPr>
              <w:t>盖章并加盖</w:t>
            </w:r>
            <w:r>
              <w:rPr>
                <w:rFonts w:hint="eastAsia" w:ascii="宋体" w:hAnsi="宋体" w:eastAsia="宋体"/>
                <w:sz w:val="21"/>
                <w:szCs w:val="21"/>
              </w:rPr>
              <w:t>单位公章</w:t>
            </w:r>
            <w:bookmarkEnd w:id="208"/>
            <w:bookmarkEnd w:id="209"/>
            <w:bookmarkEnd w:id="210"/>
          </w:p>
        </w:tc>
      </w:tr>
      <w:tr w14:paraId="408B6D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 w:hRule="atLeast"/>
          <w:jc w:val="center"/>
        </w:trPr>
        <w:tc>
          <w:tcPr>
            <w:tcW w:w="937" w:type="dxa"/>
            <w:gridSpan w:val="2"/>
            <w:vMerge w:val="continue"/>
            <w:vAlign w:val="center"/>
          </w:tcPr>
          <w:p w14:paraId="5135A70A">
            <w:pPr>
              <w:spacing w:line="360" w:lineRule="auto"/>
              <w:jc w:val="center"/>
              <w:rPr>
                <w:rFonts w:ascii="宋体" w:hAnsi="宋体"/>
                <w:sz w:val="21"/>
                <w:szCs w:val="21"/>
              </w:rPr>
            </w:pPr>
          </w:p>
        </w:tc>
        <w:tc>
          <w:tcPr>
            <w:tcW w:w="2303" w:type="dxa"/>
            <w:vAlign w:val="center"/>
          </w:tcPr>
          <w:p w14:paraId="33163FC8">
            <w:pPr>
              <w:pStyle w:val="46"/>
              <w:spacing w:line="360" w:lineRule="auto"/>
              <w:jc w:val="center"/>
              <w:rPr>
                <w:rFonts w:hint="eastAsia" w:ascii="宋体" w:hAnsi="宋体" w:eastAsia="宋体"/>
                <w:sz w:val="21"/>
                <w:szCs w:val="21"/>
                <w:lang w:eastAsia="zh-CN"/>
              </w:rPr>
            </w:pPr>
            <w:bookmarkStart w:id="211" w:name="_Toc29466"/>
            <w:bookmarkStart w:id="212" w:name="_Toc16337"/>
            <w:bookmarkStart w:id="213" w:name="OLE_LINK50"/>
            <w:r>
              <w:rPr>
                <w:rFonts w:hint="eastAsia" w:ascii="宋体" w:hAnsi="宋体" w:eastAsia="宋体"/>
                <w:sz w:val="21"/>
                <w:szCs w:val="21"/>
              </w:rPr>
              <w:t>投标文件格式</w:t>
            </w:r>
            <w:bookmarkEnd w:id="211"/>
            <w:bookmarkEnd w:id="212"/>
            <w:bookmarkEnd w:id="213"/>
          </w:p>
        </w:tc>
        <w:tc>
          <w:tcPr>
            <w:tcW w:w="6339" w:type="dxa"/>
            <w:gridSpan w:val="2"/>
            <w:vAlign w:val="center"/>
          </w:tcPr>
          <w:p w14:paraId="633746C7">
            <w:pPr>
              <w:pStyle w:val="46"/>
              <w:spacing w:line="360" w:lineRule="auto"/>
              <w:jc w:val="center"/>
              <w:rPr>
                <w:rFonts w:ascii="宋体" w:hAnsi="宋体"/>
                <w:sz w:val="21"/>
                <w:szCs w:val="21"/>
              </w:rPr>
            </w:pPr>
            <w:bookmarkStart w:id="214" w:name="OLE_LINK51"/>
            <w:bookmarkStart w:id="215" w:name="_Toc29862"/>
            <w:bookmarkStart w:id="216" w:name="_Toc31580"/>
            <w:r>
              <w:rPr>
                <w:rFonts w:hint="eastAsia" w:ascii="宋体" w:hAnsi="宋体" w:eastAsia="宋体"/>
                <w:sz w:val="21"/>
                <w:szCs w:val="21"/>
              </w:rPr>
              <w:t>符合第</w:t>
            </w:r>
            <w:r>
              <w:rPr>
                <w:rFonts w:hint="eastAsia" w:ascii="宋体" w:hAnsi="宋体" w:eastAsia="宋体"/>
                <w:sz w:val="21"/>
                <w:szCs w:val="21"/>
                <w:lang w:eastAsia="zh-CN"/>
              </w:rPr>
              <w:t>六</w:t>
            </w:r>
            <w:r>
              <w:rPr>
                <w:rFonts w:hint="eastAsia" w:ascii="宋体" w:hAnsi="宋体" w:eastAsia="宋体"/>
                <w:sz w:val="21"/>
                <w:szCs w:val="21"/>
              </w:rPr>
              <w:t>章“投标文件格式”的要求</w:t>
            </w:r>
            <w:bookmarkEnd w:id="214"/>
            <w:bookmarkEnd w:id="215"/>
            <w:bookmarkEnd w:id="216"/>
          </w:p>
        </w:tc>
      </w:tr>
      <w:tr w14:paraId="3A15FD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 w:hRule="atLeast"/>
          <w:jc w:val="center"/>
        </w:trPr>
        <w:tc>
          <w:tcPr>
            <w:tcW w:w="937" w:type="dxa"/>
            <w:gridSpan w:val="2"/>
            <w:vMerge w:val="continue"/>
            <w:vAlign w:val="center"/>
          </w:tcPr>
          <w:p w14:paraId="5B6B13BB">
            <w:pPr>
              <w:spacing w:line="360" w:lineRule="auto"/>
              <w:jc w:val="center"/>
              <w:rPr>
                <w:rFonts w:ascii="宋体" w:hAnsi="宋体"/>
                <w:sz w:val="21"/>
                <w:szCs w:val="21"/>
              </w:rPr>
            </w:pPr>
          </w:p>
        </w:tc>
        <w:tc>
          <w:tcPr>
            <w:tcW w:w="2303" w:type="dxa"/>
            <w:vAlign w:val="center"/>
          </w:tcPr>
          <w:p w14:paraId="5A59171C">
            <w:pPr>
              <w:autoSpaceDE w:val="0"/>
              <w:autoSpaceDN w:val="0"/>
              <w:adjustRightInd w:val="0"/>
              <w:spacing w:line="360" w:lineRule="auto"/>
              <w:ind w:firstLine="59" w:firstLineChars="28"/>
              <w:jc w:val="center"/>
              <w:rPr>
                <w:rFonts w:hint="eastAsia" w:ascii="宋体" w:hAnsi="宋体" w:eastAsia="宋体"/>
                <w:sz w:val="21"/>
                <w:szCs w:val="21"/>
              </w:rPr>
            </w:pPr>
            <w:bookmarkStart w:id="217" w:name="OLE_LINK52"/>
            <w:r>
              <w:rPr>
                <w:rFonts w:hint="eastAsia" w:ascii="宋体" w:hAnsi="宋体" w:cs="宋体"/>
                <w:color w:val="auto"/>
                <w:spacing w:val="1"/>
                <w:kern w:val="0"/>
                <w:szCs w:val="21"/>
                <w:highlight w:val="none"/>
              </w:rPr>
              <w:t>报价唯一</w:t>
            </w:r>
            <w:bookmarkEnd w:id="217"/>
          </w:p>
        </w:tc>
        <w:tc>
          <w:tcPr>
            <w:tcW w:w="6339" w:type="dxa"/>
            <w:gridSpan w:val="2"/>
            <w:vAlign w:val="center"/>
          </w:tcPr>
          <w:p w14:paraId="0B43C3D9">
            <w:pPr>
              <w:autoSpaceDE w:val="0"/>
              <w:autoSpaceDN w:val="0"/>
              <w:adjustRightInd w:val="0"/>
              <w:spacing w:line="360" w:lineRule="auto"/>
              <w:ind w:firstLine="59" w:firstLineChars="28"/>
              <w:jc w:val="center"/>
              <w:rPr>
                <w:rFonts w:hint="eastAsia" w:ascii="宋体" w:hAnsi="宋体" w:eastAsia="宋体"/>
                <w:sz w:val="21"/>
                <w:szCs w:val="21"/>
              </w:rPr>
            </w:pPr>
            <w:bookmarkStart w:id="218" w:name="OLE_LINK53"/>
            <w:r>
              <w:rPr>
                <w:rFonts w:hint="eastAsia" w:ascii="宋体" w:hAnsi="宋体" w:cs="宋体"/>
                <w:color w:val="auto"/>
                <w:spacing w:val="1"/>
                <w:kern w:val="0"/>
                <w:szCs w:val="21"/>
                <w:highlight w:val="none"/>
              </w:rPr>
              <w:t>只能有一个有效报价</w:t>
            </w:r>
            <w:bookmarkEnd w:id="218"/>
          </w:p>
        </w:tc>
      </w:tr>
    </w:tbl>
    <w:p w14:paraId="2BCAA33F">
      <w:pPr>
        <w:spacing w:line="360" w:lineRule="auto"/>
        <w:rPr>
          <w:rFonts w:hint="eastAsia"/>
          <w:b/>
          <w:bCs/>
          <w:lang w:val="en-US" w:eastAsia="zh-CN"/>
        </w:rPr>
      </w:pPr>
      <w:r>
        <w:rPr>
          <w:rFonts w:hint="eastAsia"/>
          <w:b/>
          <w:bCs/>
          <w:lang w:val="en-US" w:eastAsia="zh-CN"/>
        </w:rPr>
        <w:br w:type="page"/>
      </w:r>
    </w:p>
    <w:p w14:paraId="04A8C981">
      <w:pPr>
        <w:pStyle w:val="25"/>
        <w:keepNext w:val="0"/>
        <w:keepLines w:val="0"/>
        <w:pageBreakBefore w:val="0"/>
        <w:widowControl/>
        <w:kinsoku/>
        <w:wordWrap/>
        <w:overflowPunct/>
        <w:topLinePunct w:val="0"/>
        <w:autoSpaceDE/>
        <w:autoSpaceDN/>
        <w:bidi w:val="0"/>
        <w:adjustRightInd/>
        <w:snapToGrid/>
        <w:spacing w:before="313" w:beforeLines="100" w:after="313" w:afterLines="100" w:line="360" w:lineRule="auto"/>
        <w:jc w:val="center"/>
        <w:textAlignment w:val="auto"/>
        <w:rPr>
          <w:rFonts w:hint="eastAsia" w:eastAsia="宋体"/>
          <w:b/>
          <w:bCs/>
          <w:lang w:val="en-US" w:eastAsia="zh-CN"/>
        </w:rPr>
      </w:pPr>
      <w:r>
        <w:rPr>
          <w:rFonts w:hint="eastAsia"/>
          <w:b/>
          <w:bCs/>
          <w:lang w:val="en-US" w:eastAsia="zh-CN"/>
        </w:rPr>
        <w:t>A</w:t>
      </w:r>
      <w:r>
        <w:rPr>
          <w:rFonts w:hint="eastAsia" w:eastAsia="宋体"/>
          <w:b/>
          <w:bCs/>
          <w:lang w:val="en-US" w:eastAsia="zh-CN"/>
        </w:rPr>
        <w:t>包</w:t>
      </w:r>
      <w:r>
        <w:rPr>
          <w:rFonts w:hint="eastAsia"/>
          <w:b/>
          <w:bCs/>
          <w:lang w:val="en-US" w:eastAsia="zh-CN"/>
        </w:rPr>
        <w:t>-K包</w:t>
      </w:r>
      <w:r>
        <w:rPr>
          <w:rFonts w:hint="eastAsia" w:eastAsia="宋体"/>
          <w:b/>
          <w:bCs/>
          <w:lang w:val="en-US" w:eastAsia="zh-CN"/>
        </w:rPr>
        <w:t>评分标准：</w:t>
      </w:r>
    </w:p>
    <w:tbl>
      <w:tblPr>
        <w:tblStyle w:val="26"/>
        <w:tblW w:w="916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234"/>
        <w:gridCol w:w="1754"/>
        <w:gridCol w:w="693"/>
        <w:gridCol w:w="5483"/>
      </w:tblGrid>
      <w:tr w14:paraId="6E8C72C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jc w:val="center"/>
        </w:trPr>
        <w:tc>
          <w:tcPr>
            <w:tcW w:w="1234" w:type="dxa"/>
            <w:vAlign w:val="center"/>
          </w:tcPr>
          <w:p w14:paraId="0F1FBD7E">
            <w:pPr>
              <w:widowControl/>
              <w:adjustRightInd w:val="0"/>
              <w:snapToGrid w:val="0"/>
              <w:spacing w:line="360" w:lineRule="auto"/>
              <w:jc w:val="center"/>
              <w:textAlignment w:val="center"/>
              <w:rPr>
                <w:b/>
                <w:snapToGrid w:val="0"/>
                <w:kern w:val="0"/>
                <w:szCs w:val="21"/>
                <w:lang w:val="zh-CN"/>
              </w:rPr>
            </w:pPr>
            <w:r>
              <w:rPr>
                <w:rFonts w:hint="eastAsia"/>
                <w:b/>
                <w:snapToGrid w:val="0"/>
                <w:kern w:val="0"/>
                <w:szCs w:val="21"/>
                <w:lang w:val="zh-CN"/>
              </w:rPr>
              <w:t>评审</w:t>
            </w:r>
          </w:p>
          <w:p w14:paraId="005DD44A">
            <w:pPr>
              <w:widowControl/>
              <w:autoSpaceDE w:val="0"/>
              <w:autoSpaceDN w:val="0"/>
              <w:spacing w:line="360" w:lineRule="auto"/>
              <w:jc w:val="center"/>
              <w:rPr>
                <w:b/>
                <w:snapToGrid w:val="0"/>
                <w:kern w:val="0"/>
                <w:szCs w:val="21"/>
                <w:lang w:val="zh-CN"/>
              </w:rPr>
            </w:pPr>
            <w:r>
              <w:rPr>
                <w:rFonts w:hint="eastAsia"/>
                <w:b/>
                <w:snapToGrid w:val="0"/>
                <w:kern w:val="0"/>
                <w:szCs w:val="21"/>
                <w:lang w:val="zh-CN"/>
              </w:rPr>
              <w:t>部分</w:t>
            </w:r>
          </w:p>
        </w:tc>
        <w:tc>
          <w:tcPr>
            <w:tcW w:w="1754" w:type="dxa"/>
            <w:tcMar>
              <w:top w:w="170" w:type="dxa"/>
              <w:left w:w="0" w:type="dxa"/>
              <w:bottom w:w="0" w:type="dxa"/>
              <w:right w:w="0" w:type="dxa"/>
            </w:tcMar>
            <w:vAlign w:val="center"/>
          </w:tcPr>
          <w:p w14:paraId="1A779C85">
            <w:pPr>
              <w:widowControl/>
              <w:adjustRightInd w:val="0"/>
              <w:snapToGrid w:val="0"/>
              <w:spacing w:line="360" w:lineRule="auto"/>
              <w:jc w:val="center"/>
              <w:textAlignment w:val="center"/>
              <w:rPr>
                <w:b/>
                <w:snapToGrid w:val="0"/>
                <w:kern w:val="0"/>
                <w:szCs w:val="21"/>
                <w:lang w:val="zh-CN"/>
              </w:rPr>
            </w:pPr>
            <w:r>
              <w:rPr>
                <w:rFonts w:hint="eastAsia"/>
                <w:b/>
                <w:snapToGrid w:val="0"/>
                <w:kern w:val="0"/>
                <w:szCs w:val="21"/>
                <w:lang w:val="zh-CN"/>
              </w:rPr>
              <w:t>评审因素</w:t>
            </w:r>
          </w:p>
        </w:tc>
        <w:tc>
          <w:tcPr>
            <w:tcW w:w="693" w:type="dxa"/>
            <w:tcMar>
              <w:top w:w="170" w:type="dxa"/>
              <w:left w:w="0" w:type="dxa"/>
              <w:bottom w:w="0" w:type="dxa"/>
              <w:right w:w="0" w:type="dxa"/>
            </w:tcMar>
            <w:vAlign w:val="center"/>
          </w:tcPr>
          <w:p w14:paraId="7142EED1">
            <w:pPr>
              <w:widowControl/>
              <w:adjustRightInd w:val="0"/>
              <w:snapToGrid w:val="0"/>
              <w:spacing w:line="360" w:lineRule="auto"/>
              <w:jc w:val="center"/>
              <w:textAlignment w:val="center"/>
              <w:rPr>
                <w:b/>
                <w:snapToGrid w:val="0"/>
                <w:kern w:val="0"/>
                <w:szCs w:val="21"/>
                <w:lang w:val="zh-CN"/>
              </w:rPr>
            </w:pPr>
            <w:r>
              <w:rPr>
                <w:rFonts w:hint="eastAsia"/>
                <w:b/>
                <w:snapToGrid w:val="0"/>
                <w:kern w:val="0"/>
                <w:szCs w:val="21"/>
                <w:lang w:val="zh-CN"/>
              </w:rPr>
              <w:t>分值</w:t>
            </w:r>
          </w:p>
        </w:tc>
        <w:tc>
          <w:tcPr>
            <w:tcW w:w="5483" w:type="dxa"/>
            <w:tcMar>
              <w:top w:w="170" w:type="dxa"/>
              <w:left w:w="0" w:type="dxa"/>
              <w:bottom w:w="0" w:type="dxa"/>
              <w:right w:w="0" w:type="dxa"/>
            </w:tcMar>
            <w:vAlign w:val="center"/>
          </w:tcPr>
          <w:p w14:paraId="18A6FBE7">
            <w:pPr>
              <w:widowControl/>
              <w:adjustRightInd w:val="0"/>
              <w:snapToGrid w:val="0"/>
              <w:spacing w:line="360" w:lineRule="auto"/>
              <w:jc w:val="center"/>
              <w:textAlignment w:val="center"/>
              <w:rPr>
                <w:b/>
                <w:snapToGrid w:val="0"/>
                <w:kern w:val="0"/>
                <w:szCs w:val="21"/>
                <w:lang w:val="zh-CN"/>
              </w:rPr>
            </w:pPr>
            <w:r>
              <w:rPr>
                <w:rFonts w:hint="eastAsia"/>
                <w:b/>
                <w:snapToGrid w:val="0"/>
                <w:kern w:val="0"/>
                <w:szCs w:val="21"/>
                <w:lang w:val="zh-CN"/>
              </w:rPr>
              <w:t>评审标准</w:t>
            </w:r>
          </w:p>
        </w:tc>
      </w:tr>
      <w:tr w14:paraId="3361F38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87" w:hRule="atLeast"/>
          <w:jc w:val="center"/>
        </w:trPr>
        <w:tc>
          <w:tcPr>
            <w:tcW w:w="9164" w:type="dxa"/>
            <w:gridSpan w:val="4"/>
            <w:vAlign w:val="center"/>
          </w:tcPr>
          <w:p w14:paraId="45E7709A">
            <w:pPr>
              <w:widowControl/>
              <w:adjustRightInd w:val="0"/>
              <w:snapToGrid w:val="0"/>
              <w:spacing w:line="360" w:lineRule="auto"/>
              <w:jc w:val="center"/>
              <w:textAlignment w:val="center"/>
              <w:rPr>
                <w:rFonts w:hint="eastAsia"/>
                <w:b/>
                <w:snapToGrid w:val="0"/>
                <w:kern w:val="0"/>
                <w:szCs w:val="21"/>
                <w:lang w:val="zh-CN"/>
              </w:rPr>
            </w:pPr>
            <w:r>
              <w:rPr>
                <w:rFonts w:hint="eastAsia"/>
                <w:sz w:val="21"/>
                <w:szCs w:val="21"/>
              </w:rPr>
              <w:t>采用综合评分法，满分</w:t>
            </w:r>
            <w:r>
              <w:rPr>
                <w:sz w:val="21"/>
                <w:szCs w:val="21"/>
              </w:rPr>
              <w:t>100分，其中投标报价</w:t>
            </w:r>
            <w:r>
              <w:rPr>
                <w:rFonts w:hint="eastAsia"/>
                <w:sz w:val="21"/>
                <w:szCs w:val="21"/>
                <w:lang w:val="en-US" w:eastAsia="zh-CN"/>
              </w:rPr>
              <w:t>15</w:t>
            </w:r>
            <w:r>
              <w:rPr>
                <w:sz w:val="21"/>
                <w:szCs w:val="21"/>
              </w:rPr>
              <w:t>分，技术部分</w:t>
            </w:r>
            <w:r>
              <w:rPr>
                <w:rFonts w:hint="eastAsia"/>
                <w:sz w:val="21"/>
                <w:szCs w:val="21"/>
                <w:lang w:val="en-US" w:eastAsia="zh-CN"/>
              </w:rPr>
              <w:t>65</w:t>
            </w:r>
            <w:r>
              <w:rPr>
                <w:sz w:val="21"/>
                <w:szCs w:val="21"/>
              </w:rPr>
              <w:t>分，商务部分</w:t>
            </w:r>
            <w:r>
              <w:rPr>
                <w:rFonts w:hint="eastAsia"/>
                <w:sz w:val="21"/>
                <w:szCs w:val="21"/>
                <w:lang w:val="en-US" w:eastAsia="zh-CN"/>
              </w:rPr>
              <w:t>20</w:t>
            </w:r>
            <w:r>
              <w:rPr>
                <w:sz w:val="21"/>
                <w:szCs w:val="21"/>
              </w:rPr>
              <w:t>分</w:t>
            </w:r>
          </w:p>
        </w:tc>
      </w:tr>
      <w:tr w14:paraId="225A681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jc w:val="center"/>
        </w:trPr>
        <w:tc>
          <w:tcPr>
            <w:tcW w:w="1234" w:type="dxa"/>
            <w:vAlign w:val="center"/>
          </w:tcPr>
          <w:p w14:paraId="3E229E8D">
            <w:pPr>
              <w:autoSpaceDE w:val="0"/>
              <w:autoSpaceDN w:val="0"/>
              <w:spacing w:before="1" w:line="360" w:lineRule="auto"/>
              <w:ind w:left="300" w:right="291"/>
              <w:jc w:val="left"/>
              <w:rPr>
                <w:kern w:val="0"/>
                <w:szCs w:val="21"/>
                <w:lang w:val="zh-CN" w:bidi="zh-CN"/>
              </w:rPr>
            </w:pPr>
            <w:r>
              <w:rPr>
                <w:rFonts w:hint="eastAsia"/>
                <w:kern w:val="0"/>
                <w:szCs w:val="21"/>
                <w:lang w:bidi="zh-CN"/>
              </w:rPr>
              <w:t>投标</w:t>
            </w:r>
            <w:r>
              <w:rPr>
                <w:rFonts w:hint="eastAsia"/>
                <w:kern w:val="0"/>
                <w:szCs w:val="21"/>
                <w:lang w:val="zh-CN" w:bidi="zh-CN"/>
              </w:rPr>
              <w:t>报价</w:t>
            </w:r>
          </w:p>
          <w:p w14:paraId="2A0822DC">
            <w:pPr>
              <w:autoSpaceDE w:val="0"/>
              <w:autoSpaceDN w:val="0"/>
              <w:spacing w:line="360" w:lineRule="auto"/>
              <w:ind w:left="95"/>
              <w:rPr>
                <w:kern w:val="0"/>
                <w:szCs w:val="21"/>
                <w:lang w:val="zh-CN" w:bidi="zh-CN"/>
              </w:rPr>
            </w:pPr>
            <w:r>
              <w:rPr>
                <w:rFonts w:hint="eastAsia"/>
                <w:kern w:val="0"/>
                <w:szCs w:val="21"/>
                <w:lang w:val="zh-CN" w:bidi="zh-CN"/>
              </w:rPr>
              <w:t>（</w:t>
            </w:r>
            <w:r>
              <w:rPr>
                <w:rFonts w:hint="eastAsia"/>
                <w:kern w:val="0"/>
                <w:szCs w:val="21"/>
                <w:lang w:val="en-US" w:bidi="zh-CN"/>
              </w:rPr>
              <w:t>15</w:t>
            </w:r>
            <w:r>
              <w:rPr>
                <w:rFonts w:hint="eastAsia"/>
                <w:spacing w:val="-28"/>
                <w:kern w:val="0"/>
                <w:szCs w:val="21"/>
                <w:lang w:val="zh-CN" w:bidi="zh-CN"/>
              </w:rPr>
              <w:t>分</w:t>
            </w:r>
            <w:r>
              <w:rPr>
                <w:rFonts w:hint="eastAsia"/>
                <w:kern w:val="0"/>
                <w:szCs w:val="21"/>
                <w:lang w:val="zh-CN" w:bidi="zh-CN"/>
              </w:rPr>
              <w:t>）</w:t>
            </w:r>
          </w:p>
        </w:tc>
        <w:tc>
          <w:tcPr>
            <w:tcW w:w="1754" w:type="dxa"/>
            <w:tcMar>
              <w:top w:w="170" w:type="dxa"/>
              <w:left w:w="0" w:type="dxa"/>
              <w:bottom w:w="0" w:type="dxa"/>
              <w:right w:w="0" w:type="dxa"/>
            </w:tcMar>
            <w:vAlign w:val="center"/>
          </w:tcPr>
          <w:p w14:paraId="5758FE58">
            <w:pPr>
              <w:tabs>
                <w:tab w:val="left" w:pos="420"/>
              </w:tabs>
              <w:autoSpaceDE w:val="0"/>
              <w:autoSpaceDN w:val="0"/>
              <w:spacing w:line="360" w:lineRule="auto"/>
              <w:ind w:firstLine="0" w:firstLineChars="0"/>
              <w:jc w:val="center"/>
              <w:rPr>
                <w:kern w:val="0"/>
                <w:szCs w:val="21"/>
                <w:lang w:val="zh-CN" w:bidi="zh-CN"/>
              </w:rPr>
            </w:pPr>
            <w:bookmarkStart w:id="219" w:name="OLE_LINK65"/>
            <w:r>
              <w:rPr>
                <w:rFonts w:hint="eastAsia"/>
                <w:kern w:val="0"/>
                <w:sz w:val="21"/>
                <w:szCs w:val="21"/>
                <w:lang w:bidi="zh-CN"/>
              </w:rPr>
              <w:t>投标</w:t>
            </w:r>
            <w:r>
              <w:rPr>
                <w:rFonts w:hint="eastAsia"/>
                <w:kern w:val="0"/>
                <w:sz w:val="21"/>
                <w:szCs w:val="21"/>
                <w:lang w:val="zh-CN" w:bidi="zh-CN"/>
              </w:rPr>
              <w:t>报价（</w:t>
            </w:r>
            <w:r>
              <w:rPr>
                <w:rFonts w:hint="eastAsia"/>
                <w:kern w:val="0"/>
                <w:sz w:val="21"/>
                <w:szCs w:val="21"/>
                <w:lang w:val="en-US" w:bidi="zh-CN"/>
              </w:rPr>
              <w:t>15分</w:t>
            </w:r>
            <w:r>
              <w:rPr>
                <w:rFonts w:hint="eastAsia"/>
                <w:kern w:val="0"/>
                <w:sz w:val="21"/>
                <w:szCs w:val="21"/>
                <w:lang w:val="zh-CN" w:bidi="zh-CN"/>
              </w:rPr>
              <w:t>）</w:t>
            </w:r>
            <w:bookmarkEnd w:id="219"/>
          </w:p>
        </w:tc>
        <w:tc>
          <w:tcPr>
            <w:tcW w:w="693" w:type="dxa"/>
            <w:tcMar>
              <w:top w:w="170" w:type="dxa"/>
              <w:left w:w="0" w:type="dxa"/>
              <w:bottom w:w="0" w:type="dxa"/>
              <w:right w:w="0" w:type="dxa"/>
            </w:tcMar>
            <w:vAlign w:val="center"/>
          </w:tcPr>
          <w:p w14:paraId="57C0E451">
            <w:pPr>
              <w:tabs>
                <w:tab w:val="left" w:pos="420"/>
              </w:tabs>
              <w:autoSpaceDE w:val="0"/>
              <w:autoSpaceDN w:val="0"/>
              <w:spacing w:line="360" w:lineRule="auto"/>
              <w:ind w:firstLine="0" w:firstLineChars="0"/>
              <w:jc w:val="center"/>
              <w:rPr>
                <w:rFonts w:hint="default"/>
                <w:kern w:val="0"/>
                <w:szCs w:val="21"/>
                <w:lang w:val="en-US" w:bidi="zh-CN"/>
              </w:rPr>
            </w:pPr>
            <w:r>
              <w:rPr>
                <w:rFonts w:hint="eastAsia"/>
                <w:kern w:val="0"/>
                <w:sz w:val="21"/>
                <w:szCs w:val="21"/>
                <w:lang w:val="en-US" w:bidi="zh-CN"/>
              </w:rPr>
              <w:t>15</w:t>
            </w:r>
          </w:p>
        </w:tc>
        <w:tc>
          <w:tcPr>
            <w:tcW w:w="5483" w:type="dxa"/>
            <w:tcMar>
              <w:top w:w="170" w:type="dxa"/>
              <w:left w:w="0" w:type="dxa"/>
              <w:bottom w:w="0" w:type="dxa"/>
              <w:right w:w="0" w:type="dxa"/>
            </w:tcMar>
            <w:vAlign w:val="center"/>
          </w:tcPr>
          <w:p w14:paraId="49C7568C">
            <w:pPr>
              <w:keepNext w:val="0"/>
              <w:keepLines w:val="0"/>
              <w:pageBreakBefore w:val="0"/>
              <w:widowControl w:val="0"/>
              <w:kinsoku/>
              <w:wordWrap/>
              <w:overflowPunct/>
              <w:topLinePunct w:val="0"/>
              <w:bidi w:val="0"/>
              <w:snapToGrid/>
              <w:spacing w:beforeAutospacing="0" w:afterAutospacing="0" w:line="360" w:lineRule="auto"/>
              <w:ind w:left="210" w:leftChars="0" w:right="0" w:hanging="210" w:hangingChars="100"/>
              <w:rPr>
                <w:rFonts w:hint="default" w:ascii="宋体" w:hAnsi="宋体" w:eastAsia="宋体" w:cs="宋体"/>
                <w:color w:val="000000"/>
                <w:sz w:val="21"/>
                <w:szCs w:val="21"/>
                <w:highlight w:val="none"/>
                <w:lang w:val="en-US" w:eastAsia="zh-CN"/>
              </w:rPr>
            </w:pPr>
            <w:bookmarkStart w:id="220" w:name="OLE_LINK66"/>
            <w:r>
              <w:rPr>
                <w:rFonts w:hint="eastAsia" w:ascii="宋体" w:hAnsi="宋体" w:eastAsia="宋体" w:cs="宋体"/>
                <w:color w:val="000000"/>
                <w:sz w:val="21"/>
                <w:szCs w:val="21"/>
                <w:highlight w:val="none"/>
                <w:lang w:val="en-US" w:eastAsia="zh-CN"/>
              </w:rPr>
              <w:t>1.</w:t>
            </w:r>
            <w:r>
              <w:rPr>
                <w:rFonts w:hint="eastAsia" w:ascii="宋体" w:hAnsi="宋体" w:eastAsia="宋体" w:cs="宋体"/>
                <w:color w:val="000000"/>
                <w:sz w:val="21"/>
                <w:szCs w:val="21"/>
                <w:highlight w:val="none"/>
              </w:rPr>
              <w:t>报价分统一采用低价优先法计算，即满足招标文件要求且价格最低的投标报价为评标基准价，其报价分为满分</w:t>
            </w:r>
            <w:r>
              <w:rPr>
                <w:rFonts w:hint="eastAsia" w:ascii="宋体" w:hAnsi="宋体" w:cs="宋体"/>
                <w:color w:val="000000"/>
                <w:sz w:val="21"/>
                <w:szCs w:val="21"/>
                <w:highlight w:val="none"/>
                <w:lang w:val="en-US" w:eastAsia="zh-CN"/>
              </w:rPr>
              <w:t>15</w:t>
            </w:r>
            <w:r>
              <w:rPr>
                <w:rFonts w:hint="eastAsia" w:ascii="宋体" w:hAnsi="宋体" w:eastAsia="宋体" w:cs="宋体"/>
                <w:color w:val="000000"/>
                <w:sz w:val="21"/>
                <w:szCs w:val="21"/>
                <w:highlight w:val="none"/>
              </w:rPr>
              <w:t>分。其他</w:t>
            </w:r>
            <w:r>
              <w:rPr>
                <w:rFonts w:hint="eastAsia" w:ascii="宋体" w:hAnsi="宋体" w:eastAsia="宋体" w:cs="宋体"/>
                <w:color w:val="000000"/>
                <w:sz w:val="21"/>
                <w:szCs w:val="21"/>
                <w:highlight w:val="none"/>
                <w:lang w:eastAsia="zh-CN"/>
              </w:rPr>
              <w:t>供应商</w:t>
            </w:r>
            <w:r>
              <w:rPr>
                <w:rFonts w:hint="eastAsia" w:ascii="宋体" w:hAnsi="宋体" w:eastAsia="宋体" w:cs="宋体"/>
                <w:color w:val="000000"/>
                <w:sz w:val="21"/>
                <w:szCs w:val="21"/>
                <w:highlight w:val="none"/>
              </w:rPr>
              <w:t>的报价分统一按照下列公式计算：投标报价得分=（评标基准价/投标报价）×</w:t>
            </w:r>
            <w:r>
              <w:rPr>
                <w:rFonts w:hint="eastAsia" w:ascii="宋体" w:hAnsi="宋体" w:eastAsia="宋体" w:cs="宋体"/>
                <w:color w:val="000000"/>
                <w:sz w:val="21"/>
                <w:szCs w:val="21"/>
                <w:highlight w:val="none"/>
                <w:lang w:val="en-US" w:eastAsia="zh-CN"/>
              </w:rPr>
              <w:t>1</w:t>
            </w:r>
            <w:r>
              <w:rPr>
                <w:rFonts w:hint="eastAsia" w:ascii="宋体" w:hAnsi="宋体" w:cs="宋体"/>
                <w:color w:val="000000"/>
                <w:sz w:val="21"/>
                <w:szCs w:val="21"/>
                <w:highlight w:val="none"/>
                <w:lang w:val="en-US" w:eastAsia="zh-CN"/>
              </w:rPr>
              <w:t>5</w:t>
            </w:r>
          </w:p>
          <w:p w14:paraId="68E77B8E">
            <w:pPr>
              <w:keepNext w:val="0"/>
              <w:keepLines w:val="0"/>
              <w:pageBreakBefore w:val="0"/>
              <w:widowControl w:val="0"/>
              <w:kinsoku/>
              <w:wordWrap/>
              <w:overflowPunct/>
              <w:topLinePunct w:val="0"/>
              <w:bidi w:val="0"/>
              <w:snapToGrid/>
              <w:spacing w:beforeAutospacing="0" w:afterAutospacing="0" w:line="360" w:lineRule="auto"/>
              <w:ind w:left="210" w:leftChars="0" w:right="0" w:hanging="210" w:hangingChars="1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2.投标报价得分保留两位小数。</w:t>
            </w:r>
          </w:p>
          <w:p w14:paraId="7301B51F">
            <w:pPr>
              <w:tabs>
                <w:tab w:val="left" w:pos="420"/>
              </w:tabs>
              <w:autoSpaceDE w:val="0"/>
              <w:autoSpaceDN w:val="0"/>
              <w:spacing w:line="360" w:lineRule="auto"/>
              <w:ind w:firstLine="0" w:firstLineChars="0"/>
              <w:rPr>
                <w:kern w:val="0"/>
                <w:szCs w:val="21"/>
                <w:lang w:val="zh-CN" w:bidi="zh-CN"/>
              </w:rPr>
            </w:pPr>
            <w:r>
              <w:rPr>
                <w:rFonts w:hint="eastAsia" w:ascii="宋体" w:hAnsi="宋体" w:eastAsia="宋体" w:cs="宋体"/>
                <w:color w:val="000000"/>
                <w:sz w:val="21"/>
                <w:szCs w:val="21"/>
                <w:highlight w:val="none"/>
              </w:rPr>
              <w:t>3.遵循《政府采购促进中小企业发展暂行办法》(财库[2020]46号)文件、《关于进一步加大政府采购支持中小企业力度的通知》(财库[2022]19号)、《河南省财政厅关于进一步做好政府采购支持中小企业发展有关事项的通知》（豫财购〔2022〕5号）及《郑州市郑东新区财政局（审计局）关于政府采购支持稳经济促增长的通知》（郑东财审[2022]9号)文件规定，本次采购项目价格扣除比例为20%。</w:t>
            </w:r>
            <w:bookmarkEnd w:id="220"/>
          </w:p>
        </w:tc>
      </w:tr>
      <w:tr w14:paraId="0332C61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jc w:val="center"/>
        </w:trPr>
        <w:tc>
          <w:tcPr>
            <w:tcW w:w="1234" w:type="dxa"/>
            <w:vMerge w:val="restart"/>
            <w:vAlign w:val="center"/>
          </w:tcPr>
          <w:p w14:paraId="000288C8">
            <w:pPr>
              <w:autoSpaceDE w:val="0"/>
              <w:autoSpaceDN w:val="0"/>
              <w:spacing w:line="360" w:lineRule="auto"/>
              <w:rPr>
                <w:kern w:val="0"/>
                <w:szCs w:val="21"/>
                <w:lang w:val="zh-CN" w:bidi="zh-CN"/>
              </w:rPr>
            </w:pPr>
            <w:bookmarkStart w:id="221" w:name="OLE_LINK104" w:colFirst="3" w:colLast="3"/>
          </w:p>
          <w:p w14:paraId="35660FC1">
            <w:pPr>
              <w:autoSpaceDE w:val="0"/>
              <w:autoSpaceDN w:val="0"/>
              <w:spacing w:line="360" w:lineRule="auto"/>
              <w:rPr>
                <w:kern w:val="0"/>
                <w:szCs w:val="21"/>
                <w:lang w:val="zh-CN" w:bidi="zh-CN"/>
              </w:rPr>
            </w:pPr>
          </w:p>
          <w:p w14:paraId="2734F963">
            <w:pPr>
              <w:autoSpaceDE w:val="0"/>
              <w:autoSpaceDN w:val="0"/>
              <w:spacing w:line="360" w:lineRule="auto"/>
              <w:rPr>
                <w:kern w:val="0"/>
                <w:szCs w:val="21"/>
                <w:lang w:val="zh-CN" w:bidi="zh-CN"/>
              </w:rPr>
            </w:pPr>
          </w:p>
          <w:p w14:paraId="10A3A2E2">
            <w:pPr>
              <w:autoSpaceDE w:val="0"/>
              <w:autoSpaceDN w:val="0"/>
              <w:spacing w:line="360" w:lineRule="auto"/>
              <w:rPr>
                <w:kern w:val="0"/>
                <w:szCs w:val="21"/>
                <w:lang w:val="zh-CN" w:bidi="zh-CN"/>
              </w:rPr>
            </w:pPr>
          </w:p>
          <w:p w14:paraId="33599F46">
            <w:pPr>
              <w:autoSpaceDE w:val="0"/>
              <w:autoSpaceDN w:val="0"/>
              <w:spacing w:line="360" w:lineRule="auto"/>
              <w:rPr>
                <w:kern w:val="0"/>
                <w:szCs w:val="21"/>
                <w:lang w:val="zh-CN" w:bidi="zh-CN"/>
              </w:rPr>
            </w:pPr>
          </w:p>
          <w:p w14:paraId="1197344D">
            <w:pPr>
              <w:autoSpaceDE w:val="0"/>
              <w:autoSpaceDN w:val="0"/>
              <w:spacing w:line="360" w:lineRule="auto"/>
              <w:rPr>
                <w:kern w:val="0"/>
                <w:szCs w:val="21"/>
                <w:lang w:val="zh-CN" w:bidi="zh-CN"/>
              </w:rPr>
            </w:pPr>
          </w:p>
          <w:p w14:paraId="4F5DCEA2">
            <w:pPr>
              <w:autoSpaceDE w:val="0"/>
              <w:autoSpaceDN w:val="0"/>
              <w:spacing w:line="360" w:lineRule="auto"/>
              <w:rPr>
                <w:kern w:val="0"/>
                <w:szCs w:val="21"/>
                <w:lang w:val="zh-CN" w:bidi="zh-CN"/>
              </w:rPr>
            </w:pPr>
          </w:p>
          <w:p w14:paraId="3A06CA14">
            <w:pPr>
              <w:autoSpaceDE w:val="0"/>
              <w:autoSpaceDN w:val="0"/>
              <w:spacing w:line="360" w:lineRule="auto"/>
              <w:rPr>
                <w:kern w:val="0"/>
                <w:szCs w:val="21"/>
                <w:lang w:val="zh-CN" w:bidi="zh-CN"/>
              </w:rPr>
            </w:pPr>
          </w:p>
          <w:p w14:paraId="468777A8">
            <w:pPr>
              <w:autoSpaceDE w:val="0"/>
              <w:autoSpaceDN w:val="0"/>
              <w:spacing w:before="178" w:line="360" w:lineRule="auto"/>
              <w:ind w:left="300" w:right="291"/>
              <w:jc w:val="left"/>
              <w:rPr>
                <w:kern w:val="0"/>
                <w:szCs w:val="21"/>
                <w:lang w:val="zh-CN" w:bidi="zh-CN"/>
              </w:rPr>
            </w:pPr>
            <w:r>
              <w:rPr>
                <w:rFonts w:hint="eastAsia"/>
                <w:kern w:val="0"/>
                <w:szCs w:val="21"/>
                <w:lang w:val="zh-CN" w:bidi="zh-CN"/>
              </w:rPr>
              <w:t>商务部分</w:t>
            </w:r>
          </w:p>
          <w:p w14:paraId="48B9B013">
            <w:pPr>
              <w:autoSpaceDE w:val="0"/>
              <w:autoSpaceDN w:val="0"/>
              <w:spacing w:before="1" w:line="360" w:lineRule="auto"/>
              <w:ind w:left="95"/>
              <w:rPr>
                <w:kern w:val="0"/>
                <w:szCs w:val="21"/>
                <w:lang w:val="zh-CN" w:bidi="zh-CN"/>
              </w:rPr>
            </w:pPr>
            <w:r>
              <w:rPr>
                <w:rFonts w:hint="eastAsia"/>
                <w:kern w:val="0"/>
                <w:szCs w:val="21"/>
                <w:lang w:val="zh-CN" w:bidi="zh-CN"/>
              </w:rPr>
              <w:t>（</w:t>
            </w:r>
            <w:r>
              <w:rPr>
                <w:rFonts w:hint="eastAsia"/>
                <w:kern w:val="0"/>
                <w:szCs w:val="21"/>
                <w:lang w:val="en-US" w:bidi="zh-CN"/>
              </w:rPr>
              <w:t>20</w:t>
            </w:r>
            <w:r>
              <w:rPr>
                <w:rFonts w:hint="eastAsia"/>
                <w:spacing w:val="-28"/>
                <w:kern w:val="0"/>
                <w:szCs w:val="21"/>
                <w:lang w:val="zh-CN" w:bidi="zh-CN"/>
              </w:rPr>
              <w:t>分</w:t>
            </w:r>
            <w:r>
              <w:rPr>
                <w:rFonts w:hint="eastAsia"/>
                <w:kern w:val="0"/>
                <w:szCs w:val="21"/>
                <w:lang w:val="zh-CN" w:bidi="zh-CN"/>
              </w:rPr>
              <w:t>）</w:t>
            </w:r>
          </w:p>
        </w:tc>
        <w:tc>
          <w:tcPr>
            <w:tcW w:w="1754" w:type="dxa"/>
            <w:vAlign w:val="center"/>
          </w:tcPr>
          <w:p w14:paraId="4E9F968C">
            <w:pPr>
              <w:tabs>
                <w:tab w:val="left" w:pos="420"/>
              </w:tabs>
              <w:autoSpaceDE w:val="0"/>
              <w:autoSpaceDN w:val="0"/>
              <w:spacing w:line="360" w:lineRule="auto"/>
              <w:ind w:firstLine="0" w:firstLineChars="0"/>
              <w:jc w:val="center"/>
              <w:rPr>
                <w:kern w:val="0"/>
                <w:szCs w:val="21"/>
                <w:highlight w:val="yellow"/>
                <w:lang w:val="zh-CN" w:bidi="zh-CN"/>
              </w:rPr>
            </w:pPr>
            <w:bookmarkStart w:id="222" w:name="OLE_LINK103"/>
            <w:bookmarkStart w:id="223" w:name="OLE_LINK67"/>
            <w:r>
              <w:rPr>
                <w:rFonts w:hint="eastAsia"/>
                <w:kern w:val="0"/>
                <w:sz w:val="21"/>
                <w:szCs w:val="21"/>
                <w:lang w:bidi="zh-CN"/>
              </w:rPr>
              <w:t>企业业</w:t>
            </w:r>
            <w:r>
              <w:rPr>
                <w:rFonts w:hint="eastAsia" w:eastAsia="宋体"/>
                <w:kern w:val="0"/>
                <w:sz w:val="21"/>
                <w:szCs w:val="21"/>
                <w:lang w:bidi="zh-CN"/>
              </w:rPr>
              <w:t>绩</w:t>
            </w:r>
            <w:bookmarkEnd w:id="222"/>
            <w:r>
              <w:rPr>
                <w:rFonts w:hint="eastAsia" w:eastAsia="宋体"/>
                <w:kern w:val="0"/>
                <w:sz w:val="21"/>
                <w:szCs w:val="21"/>
                <w:lang w:val="en-US" w:eastAsia="zh-CN" w:bidi="zh-CN"/>
              </w:rPr>
              <w:t>（6分）</w:t>
            </w:r>
            <w:bookmarkEnd w:id="223"/>
          </w:p>
        </w:tc>
        <w:tc>
          <w:tcPr>
            <w:tcW w:w="693" w:type="dxa"/>
            <w:vAlign w:val="center"/>
          </w:tcPr>
          <w:p w14:paraId="1AE5E92F">
            <w:pPr>
              <w:tabs>
                <w:tab w:val="left" w:pos="420"/>
              </w:tabs>
              <w:autoSpaceDE w:val="0"/>
              <w:autoSpaceDN w:val="0"/>
              <w:spacing w:line="360" w:lineRule="auto"/>
              <w:ind w:firstLine="0" w:firstLineChars="0"/>
              <w:jc w:val="center"/>
              <w:rPr>
                <w:kern w:val="0"/>
                <w:szCs w:val="21"/>
                <w:lang w:bidi="zh-CN"/>
              </w:rPr>
            </w:pPr>
            <w:r>
              <w:rPr>
                <w:rFonts w:hint="eastAsia"/>
                <w:kern w:val="0"/>
                <w:sz w:val="21"/>
                <w:szCs w:val="21"/>
                <w:lang w:bidi="zh-CN"/>
              </w:rPr>
              <w:t>6</w:t>
            </w:r>
          </w:p>
        </w:tc>
        <w:tc>
          <w:tcPr>
            <w:tcW w:w="5483" w:type="dxa"/>
            <w:tcMar>
              <w:top w:w="57" w:type="dxa"/>
              <w:left w:w="57" w:type="dxa"/>
              <w:bottom w:w="57" w:type="dxa"/>
              <w:right w:w="57" w:type="dxa"/>
            </w:tcMar>
            <w:vAlign w:val="center"/>
          </w:tcPr>
          <w:p w14:paraId="071879C4">
            <w:pPr>
              <w:tabs>
                <w:tab w:val="left" w:pos="420"/>
              </w:tabs>
              <w:autoSpaceDE w:val="0"/>
              <w:autoSpaceDN w:val="0"/>
              <w:spacing w:line="360" w:lineRule="auto"/>
              <w:ind w:firstLine="0" w:firstLineChars="0"/>
              <w:rPr>
                <w:kern w:val="0"/>
                <w:szCs w:val="21"/>
                <w:lang w:val="zh-CN" w:bidi="zh-CN"/>
              </w:rPr>
            </w:pPr>
            <w:bookmarkStart w:id="224" w:name="OLE_LINK68"/>
            <w:r>
              <w:rPr>
                <w:rFonts w:hint="eastAsia"/>
                <w:kern w:val="0"/>
                <w:szCs w:val="21"/>
                <w:lang w:val="zh-CN" w:eastAsia="zh-CN" w:bidi="zh-CN"/>
              </w:rPr>
              <w:t>供应商自 2020 年 1 月 1 日以来具有类似服务业绩。每提供一份得 2 分，最多得 6 分。（提供合同协议书的扫描件）</w:t>
            </w:r>
            <w:bookmarkEnd w:id="224"/>
          </w:p>
        </w:tc>
      </w:tr>
      <w:bookmarkEnd w:id="221"/>
      <w:tr w14:paraId="225274F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jc w:val="center"/>
        </w:trPr>
        <w:tc>
          <w:tcPr>
            <w:tcW w:w="1234" w:type="dxa"/>
            <w:vMerge w:val="continue"/>
          </w:tcPr>
          <w:p w14:paraId="68780F25">
            <w:pPr>
              <w:autoSpaceDE w:val="0"/>
              <w:autoSpaceDN w:val="0"/>
              <w:spacing w:line="360" w:lineRule="auto"/>
              <w:rPr>
                <w:kern w:val="0"/>
                <w:szCs w:val="21"/>
                <w:lang w:val="zh-CN" w:bidi="zh-CN"/>
              </w:rPr>
            </w:pPr>
          </w:p>
        </w:tc>
        <w:tc>
          <w:tcPr>
            <w:tcW w:w="1754" w:type="dxa"/>
            <w:vAlign w:val="center"/>
          </w:tcPr>
          <w:p w14:paraId="6127E19F">
            <w:pPr>
              <w:tabs>
                <w:tab w:val="left" w:pos="420"/>
              </w:tabs>
              <w:autoSpaceDE w:val="0"/>
              <w:autoSpaceDN w:val="0"/>
              <w:spacing w:line="360" w:lineRule="auto"/>
              <w:ind w:firstLine="0" w:firstLineChars="0"/>
              <w:jc w:val="center"/>
              <w:rPr>
                <w:kern w:val="0"/>
                <w:szCs w:val="21"/>
                <w:lang w:val="zh-CN" w:bidi="zh-CN"/>
              </w:rPr>
            </w:pPr>
            <w:bookmarkStart w:id="225" w:name="OLE_LINK105"/>
            <w:bookmarkStart w:id="226" w:name="OLE_LINK69"/>
            <w:r>
              <w:rPr>
                <w:rFonts w:hint="eastAsia"/>
                <w:kern w:val="0"/>
                <w:szCs w:val="21"/>
                <w:lang w:val="zh-CN" w:eastAsia="zh-CN" w:bidi="zh-CN"/>
              </w:rPr>
              <w:t>其他评分因素</w:t>
            </w:r>
            <w:bookmarkEnd w:id="225"/>
            <w:r>
              <w:rPr>
                <w:rFonts w:hint="eastAsia"/>
                <w:kern w:val="0"/>
                <w:szCs w:val="21"/>
                <w:lang w:val="zh-CN" w:eastAsia="zh-CN" w:bidi="zh-CN"/>
              </w:rPr>
              <w:t>（4 分）</w:t>
            </w:r>
            <w:bookmarkEnd w:id="226"/>
          </w:p>
        </w:tc>
        <w:tc>
          <w:tcPr>
            <w:tcW w:w="693" w:type="dxa"/>
            <w:vAlign w:val="center"/>
          </w:tcPr>
          <w:p w14:paraId="7951CF68">
            <w:pPr>
              <w:tabs>
                <w:tab w:val="left" w:pos="420"/>
              </w:tabs>
              <w:autoSpaceDE w:val="0"/>
              <w:autoSpaceDN w:val="0"/>
              <w:spacing w:line="360" w:lineRule="auto"/>
              <w:ind w:firstLine="0" w:firstLineChars="0"/>
              <w:jc w:val="center"/>
              <w:rPr>
                <w:kern w:val="0"/>
                <w:szCs w:val="21"/>
                <w:lang w:bidi="zh-CN"/>
              </w:rPr>
            </w:pPr>
            <w:r>
              <w:rPr>
                <w:rFonts w:hint="eastAsia"/>
                <w:kern w:val="0"/>
                <w:sz w:val="21"/>
                <w:szCs w:val="21"/>
                <w:lang w:val="en-US" w:bidi="zh-CN"/>
              </w:rPr>
              <w:t>4</w:t>
            </w:r>
          </w:p>
        </w:tc>
        <w:tc>
          <w:tcPr>
            <w:tcW w:w="5483" w:type="dxa"/>
            <w:tcMar>
              <w:top w:w="57" w:type="dxa"/>
              <w:left w:w="57" w:type="dxa"/>
              <w:bottom w:w="57" w:type="dxa"/>
              <w:right w:w="57" w:type="dxa"/>
            </w:tcMar>
            <w:vAlign w:val="center"/>
          </w:tcPr>
          <w:p w14:paraId="5E98054B">
            <w:pPr>
              <w:tabs>
                <w:tab w:val="left" w:pos="420"/>
              </w:tabs>
              <w:wordWrap w:val="0"/>
              <w:autoSpaceDE w:val="0"/>
              <w:autoSpaceDN w:val="0"/>
              <w:spacing w:line="360" w:lineRule="auto"/>
              <w:ind w:firstLine="0" w:firstLineChars="0"/>
              <w:jc w:val="left"/>
              <w:rPr>
                <w:rFonts w:hint="default"/>
                <w:lang w:val="en-US" w:eastAsia="zh-CN"/>
              </w:rPr>
            </w:pPr>
            <w:bookmarkStart w:id="227" w:name="OLE_LINK70"/>
            <w:r>
              <w:rPr>
                <w:rFonts w:hint="default"/>
                <w:lang w:val="en-US" w:eastAsia="zh-CN"/>
              </w:rPr>
              <w:t>承诺能够及时响应采购人的委托事项，积极组织落实，按期完成采购人拟定的服务项目，评审小组根据供应商提供得服务承诺进行打分；</w:t>
            </w:r>
          </w:p>
          <w:p w14:paraId="3DEECB29">
            <w:pPr>
              <w:tabs>
                <w:tab w:val="left" w:pos="420"/>
              </w:tabs>
              <w:wordWrap w:val="0"/>
              <w:autoSpaceDE w:val="0"/>
              <w:autoSpaceDN w:val="0"/>
              <w:spacing w:line="360" w:lineRule="auto"/>
              <w:ind w:firstLine="0" w:firstLineChars="0"/>
              <w:jc w:val="left"/>
              <w:rPr>
                <w:rFonts w:hint="default"/>
                <w:lang w:val="en-US" w:eastAsia="zh-CN"/>
              </w:rPr>
            </w:pPr>
            <w:r>
              <w:rPr>
                <w:rFonts w:hint="default"/>
                <w:lang w:val="en-US" w:eastAsia="zh-CN"/>
              </w:rPr>
              <w:t>服务承诺全面可行性好内容全面合理得 4 分；服务承诺基本全面、可行对采购需求响应程度较高得 2 分；服务承诺一般、可行性对采购需求响应程度一般得 1 分；缺项得 0 分</w:t>
            </w:r>
            <w:bookmarkEnd w:id="227"/>
          </w:p>
        </w:tc>
      </w:tr>
      <w:tr w14:paraId="6DF818E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jc w:val="center"/>
        </w:trPr>
        <w:tc>
          <w:tcPr>
            <w:tcW w:w="1234" w:type="dxa"/>
            <w:vMerge w:val="continue"/>
          </w:tcPr>
          <w:p w14:paraId="3FE4BCD0">
            <w:pPr>
              <w:autoSpaceDE w:val="0"/>
              <w:autoSpaceDN w:val="0"/>
              <w:spacing w:line="360" w:lineRule="auto"/>
              <w:rPr>
                <w:kern w:val="0"/>
                <w:szCs w:val="21"/>
                <w:lang w:val="zh-CN" w:bidi="zh-CN"/>
              </w:rPr>
            </w:pPr>
            <w:bookmarkStart w:id="228" w:name="OLE_LINK120" w:colFirst="3" w:colLast="3"/>
          </w:p>
        </w:tc>
        <w:tc>
          <w:tcPr>
            <w:tcW w:w="1754" w:type="dxa"/>
            <w:vAlign w:val="center"/>
          </w:tcPr>
          <w:p w14:paraId="586D5520">
            <w:pPr>
              <w:tabs>
                <w:tab w:val="left" w:pos="420"/>
              </w:tabs>
              <w:autoSpaceDE w:val="0"/>
              <w:autoSpaceDN w:val="0"/>
              <w:spacing w:line="360" w:lineRule="auto"/>
              <w:ind w:firstLine="0" w:firstLineChars="0"/>
              <w:jc w:val="center"/>
              <w:rPr>
                <w:kern w:val="0"/>
                <w:szCs w:val="21"/>
                <w:lang w:val="zh-CN" w:bidi="zh-CN"/>
              </w:rPr>
            </w:pPr>
            <w:bookmarkStart w:id="229" w:name="OLE_LINK106"/>
            <w:bookmarkStart w:id="230" w:name="OLE_LINK71"/>
            <w:r>
              <w:rPr>
                <w:rFonts w:hint="eastAsia"/>
                <w:kern w:val="0"/>
                <w:szCs w:val="21"/>
                <w:lang w:val="zh-CN" w:eastAsia="zh-CN" w:bidi="zh-CN"/>
              </w:rPr>
              <w:t>财务使用计划</w:t>
            </w:r>
            <w:bookmarkEnd w:id="229"/>
            <w:r>
              <w:rPr>
                <w:rFonts w:hint="eastAsia"/>
                <w:kern w:val="0"/>
                <w:szCs w:val="21"/>
                <w:lang w:val="zh-CN" w:eastAsia="zh-CN" w:bidi="zh-CN"/>
              </w:rPr>
              <w:t>（10分）</w:t>
            </w:r>
            <w:bookmarkEnd w:id="230"/>
          </w:p>
        </w:tc>
        <w:tc>
          <w:tcPr>
            <w:tcW w:w="693" w:type="dxa"/>
            <w:vAlign w:val="center"/>
          </w:tcPr>
          <w:p w14:paraId="4998E189">
            <w:pPr>
              <w:tabs>
                <w:tab w:val="left" w:pos="420"/>
              </w:tabs>
              <w:autoSpaceDE w:val="0"/>
              <w:autoSpaceDN w:val="0"/>
              <w:spacing w:line="360" w:lineRule="auto"/>
              <w:ind w:firstLine="0" w:firstLineChars="0"/>
              <w:jc w:val="center"/>
              <w:rPr>
                <w:rFonts w:hint="default"/>
                <w:kern w:val="0"/>
                <w:szCs w:val="21"/>
                <w:lang w:val="en-US" w:bidi="zh-CN"/>
              </w:rPr>
            </w:pPr>
            <w:r>
              <w:rPr>
                <w:rFonts w:hint="eastAsia"/>
                <w:kern w:val="0"/>
                <w:sz w:val="21"/>
                <w:szCs w:val="21"/>
                <w:lang w:val="en-US" w:bidi="zh-CN"/>
              </w:rPr>
              <w:t>10</w:t>
            </w:r>
          </w:p>
        </w:tc>
        <w:tc>
          <w:tcPr>
            <w:tcW w:w="5483" w:type="dxa"/>
            <w:tcMar>
              <w:top w:w="57" w:type="dxa"/>
              <w:left w:w="57" w:type="dxa"/>
              <w:bottom w:w="57" w:type="dxa"/>
              <w:right w:w="57" w:type="dxa"/>
            </w:tcMar>
            <w:vAlign w:val="center"/>
          </w:tcPr>
          <w:p w14:paraId="3DAC2D92">
            <w:pPr>
              <w:tabs>
                <w:tab w:val="left" w:pos="420"/>
              </w:tabs>
              <w:wordWrap w:val="0"/>
              <w:autoSpaceDE w:val="0"/>
              <w:autoSpaceDN w:val="0"/>
              <w:spacing w:line="360" w:lineRule="auto"/>
              <w:ind w:firstLine="0" w:firstLineChars="0"/>
              <w:jc w:val="left"/>
              <w:rPr>
                <w:rFonts w:hint="eastAsia"/>
                <w:kern w:val="0"/>
                <w:szCs w:val="21"/>
                <w:lang w:val="zh-CN" w:eastAsia="zh-CN" w:bidi="zh-CN"/>
              </w:rPr>
            </w:pPr>
            <w:bookmarkStart w:id="231" w:name="OLE_LINK107"/>
            <w:bookmarkStart w:id="232" w:name="OLE_LINK72"/>
            <w:r>
              <w:rPr>
                <w:rFonts w:hint="eastAsia"/>
                <w:kern w:val="0"/>
                <w:szCs w:val="21"/>
                <w:lang w:val="zh-CN" w:eastAsia="zh-CN" w:bidi="zh-CN"/>
              </w:rPr>
              <w:t>社工服务项目财务使用计划（10分）</w:t>
            </w:r>
          </w:p>
          <w:p w14:paraId="5C162812">
            <w:pPr>
              <w:tabs>
                <w:tab w:val="left" w:pos="420"/>
              </w:tabs>
              <w:wordWrap w:val="0"/>
              <w:autoSpaceDE w:val="0"/>
              <w:autoSpaceDN w:val="0"/>
              <w:spacing w:line="360" w:lineRule="auto"/>
              <w:ind w:firstLine="0" w:firstLineChars="0"/>
              <w:jc w:val="left"/>
              <w:rPr>
                <w:rFonts w:hint="eastAsia"/>
                <w:kern w:val="0"/>
                <w:szCs w:val="21"/>
                <w:lang w:val="zh-CN" w:eastAsia="zh-CN" w:bidi="zh-CN"/>
              </w:rPr>
            </w:pPr>
            <w:r>
              <w:rPr>
                <w:rFonts w:hint="eastAsia"/>
                <w:kern w:val="0"/>
                <w:szCs w:val="21"/>
                <w:lang w:val="zh-CN" w:eastAsia="zh-CN" w:bidi="zh-CN"/>
              </w:rPr>
              <w:t>计划内容详尽、合理的得10分；</w:t>
            </w:r>
          </w:p>
          <w:bookmarkEnd w:id="231"/>
          <w:p w14:paraId="7A51E2FB">
            <w:pPr>
              <w:tabs>
                <w:tab w:val="left" w:pos="420"/>
              </w:tabs>
              <w:wordWrap w:val="0"/>
              <w:autoSpaceDE w:val="0"/>
              <w:autoSpaceDN w:val="0"/>
              <w:spacing w:line="360" w:lineRule="auto"/>
              <w:ind w:firstLine="0" w:firstLineChars="0"/>
              <w:jc w:val="left"/>
              <w:rPr>
                <w:rFonts w:hint="eastAsia"/>
                <w:kern w:val="0"/>
                <w:szCs w:val="21"/>
                <w:lang w:val="zh-CN" w:eastAsia="zh-CN" w:bidi="zh-CN"/>
              </w:rPr>
            </w:pPr>
            <w:bookmarkStart w:id="233" w:name="OLE_LINK108"/>
            <w:r>
              <w:rPr>
                <w:rFonts w:hint="eastAsia"/>
                <w:kern w:val="0"/>
                <w:szCs w:val="21"/>
                <w:lang w:val="zh-CN" w:eastAsia="zh-CN" w:bidi="zh-CN"/>
              </w:rPr>
              <w:t>计划内容较为详尽、合理的得7分；</w:t>
            </w:r>
          </w:p>
          <w:p w14:paraId="56F44E56">
            <w:pPr>
              <w:tabs>
                <w:tab w:val="left" w:pos="420"/>
              </w:tabs>
              <w:wordWrap w:val="0"/>
              <w:autoSpaceDE w:val="0"/>
              <w:autoSpaceDN w:val="0"/>
              <w:spacing w:line="360" w:lineRule="auto"/>
              <w:ind w:firstLine="0" w:firstLineChars="0"/>
              <w:jc w:val="left"/>
              <w:rPr>
                <w:rFonts w:hint="eastAsia"/>
                <w:kern w:val="0"/>
                <w:szCs w:val="21"/>
                <w:lang w:val="zh-CN" w:eastAsia="zh-CN" w:bidi="zh-CN"/>
              </w:rPr>
            </w:pPr>
            <w:r>
              <w:rPr>
                <w:rFonts w:hint="eastAsia"/>
                <w:kern w:val="0"/>
                <w:szCs w:val="21"/>
                <w:lang w:val="zh-CN" w:eastAsia="zh-CN" w:bidi="zh-CN"/>
              </w:rPr>
              <w:t>计划内容不够详尽、不够合理的得4分；</w:t>
            </w:r>
          </w:p>
          <w:p w14:paraId="293B9D84">
            <w:pPr>
              <w:tabs>
                <w:tab w:val="left" w:pos="420"/>
              </w:tabs>
              <w:wordWrap w:val="0"/>
              <w:autoSpaceDE w:val="0"/>
              <w:autoSpaceDN w:val="0"/>
              <w:spacing w:line="360" w:lineRule="auto"/>
              <w:ind w:firstLine="0" w:firstLineChars="0"/>
              <w:jc w:val="left"/>
              <w:rPr>
                <w:rFonts w:hint="eastAsia"/>
                <w:kern w:val="0"/>
                <w:szCs w:val="21"/>
                <w:lang w:val="zh-CN" w:eastAsia="zh-CN" w:bidi="zh-CN"/>
              </w:rPr>
            </w:pPr>
            <w:r>
              <w:rPr>
                <w:rFonts w:hint="eastAsia"/>
                <w:kern w:val="0"/>
                <w:szCs w:val="21"/>
                <w:lang w:val="zh-CN" w:eastAsia="zh-CN" w:bidi="zh-CN"/>
              </w:rPr>
              <w:t>计划内容不详尽、不合理的得1分。</w:t>
            </w:r>
          </w:p>
          <w:p w14:paraId="3B2A85F6">
            <w:pPr>
              <w:tabs>
                <w:tab w:val="left" w:pos="420"/>
              </w:tabs>
              <w:wordWrap w:val="0"/>
              <w:autoSpaceDE w:val="0"/>
              <w:autoSpaceDN w:val="0"/>
              <w:spacing w:line="360" w:lineRule="auto"/>
              <w:ind w:firstLine="0" w:firstLineChars="0"/>
              <w:jc w:val="left"/>
              <w:rPr>
                <w:kern w:val="0"/>
                <w:szCs w:val="21"/>
                <w:lang w:val="zh-CN" w:bidi="zh-CN"/>
              </w:rPr>
            </w:pPr>
            <w:r>
              <w:rPr>
                <w:rFonts w:hint="eastAsia"/>
                <w:kern w:val="0"/>
                <w:szCs w:val="21"/>
                <w:lang w:val="zh-CN" w:eastAsia="zh-CN" w:bidi="zh-CN"/>
              </w:rPr>
              <w:t>未提供不得分。</w:t>
            </w:r>
            <w:bookmarkEnd w:id="232"/>
            <w:bookmarkEnd w:id="233"/>
          </w:p>
        </w:tc>
      </w:tr>
      <w:bookmarkEnd w:id="228"/>
      <w:tr w14:paraId="78E76BA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jc w:val="center"/>
        </w:trPr>
        <w:tc>
          <w:tcPr>
            <w:tcW w:w="1234" w:type="dxa"/>
            <w:vMerge w:val="restart"/>
            <w:vAlign w:val="center"/>
          </w:tcPr>
          <w:p w14:paraId="5CDA46E9">
            <w:pPr>
              <w:autoSpaceDE w:val="0"/>
              <w:autoSpaceDN w:val="0"/>
              <w:spacing w:before="141" w:line="360" w:lineRule="auto"/>
              <w:ind w:left="300" w:right="291"/>
              <w:jc w:val="left"/>
              <w:rPr>
                <w:kern w:val="0"/>
                <w:szCs w:val="21"/>
                <w:lang w:bidi="zh-CN"/>
              </w:rPr>
            </w:pPr>
            <w:r>
              <w:rPr>
                <w:rFonts w:hint="eastAsia"/>
                <w:kern w:val="0"/>
                <w:szCs w:val="21"/>
                <w:lang w:val="zh-CN" w:bidi="zh-CN"/>
              </w:rPr>
              <w:t>技术</w:t>
            </w:r>
            <w:r>
              <w:rPr>
                <w:rFonts w:hint="eastAsia"/>
                <w:kern w:val="0"/>
                <w:szCs w:val="21"/>
                <w:lang w:bidi="zh-CN"/>
              </w:rPr>
              <w:t>部分</w:t>
            </w:r>
          </w:p>
          <w:p w14:paraId="273C718E">
            <w:pPr>
              <w:autoSpaceDE w:val="0"/>
              <w:autoSpaceDN w:val="0"/>
              <w:spacing w:line="360" w:lineRule="auto"/>
              <w:ind w:left="95"/>
              <w:rPr>
                <w:kern w:val="0"/>
                <w:szCs w:val="21"/>
                <w:lang w:val="zh-CN" w:bidi="zh-CN"/>
              </w:rPr>
            </w:pPr>
            <w:r>
              <w:rPr>
                <w:rFonts w:hint="eastAsia"/>
                <w:kern w:val="0"/>
                <w:szCs w:val="21"/>
                <w:lang w:val="zh-CN" w:bidi="zh-CN"/>
              </w:rPr>
              <w:t>（</w:t>
            </w:r>
            <w:r>
              <w:rPr>
                <w:rFonts w:hint="eastAsia"/>
                <w:kern w:val="0"/>
                <w:szCs w:val="21"/>
                <w:lang w:val="en-US" w:bidi="zh-CN"/>
              </w:rPr>
              <w:t>65</w:t>
            </w:r>
            <w:r>
              <w:rPr>
                <w:rFonts w:hint="eastAsia"/>
                <w:spacing w:val="-28"/>
                <w:kern w:val="0"/>
                <w:szCs w:val="21"/>
                <w:lang w:val="zh-CN" w:bidi="zh-CN"/>
              </w:rPr>
              <w:t>分</w:t>
            </w:r>
            <w:r>
              <w:rPr>
                <w:rFonts w:hint="eastAsia"/>
                <w:kern w:val="0"/>
                <w:szCs w:val="21"/>
                <w:lang w:val="zh-CN" w:bidi="zh-CN"/>
              </w:rPr>
              <w:t>）</w:t>
            </w:r>
          </w:p>
        </w:tc>
        <w:tc>
          <w:tcPr>
            <w:tcW w:w="1754" w:type="dxa"/>
            <w:vAlign w:val="center"/>
          </w:tcPr>
          <w:p w14:paraId="40DBE22D">
            <w:pPr>
              <w:tabs>
                <w:tab w:val="left" w:pos="420"/>
              </w:tabs>
              <w:wordWrap w:val="0"/>
              <w:autoSpaceDE w:val="0"/>
              <w:autoSpaceDN w:val="0"/>
              <w:spacing w:line="360" w:lineRule="auto"/>
              <w:ind w:firstLine="0" w:firstLineChars="0"/>
              <w:jc w:val="center"/>
              <w:rPr>
                <w:rFonts w:hint="eastAsia" w:ascii="Times New Roman" w:hAnsi="Times New Roman" w:eastAsia="宋体" w:cs="Times New Roman"/>
                <w:kern w:val="2"/>
                <w:sz w:val="21"/>
                <w:szCs w:val="24"/>
                <w:lang w:val="zh-CN" w:eastAsia="zh-CN" w:bidi="ar-SA"/>
              </w:rPr>
            </w:pPr>
            <w:r>
              <w:rPr>
                <w:rFonts w:hint="eastAsia" w:ascii="Times New Roman" w:hAnsi="Times New Roman" w:eastAsia="宋体" w:cs="Times New Roman"/>
                <w:kern w:val="2"/>
                <w:sz w:val="21"/>
                <w:szCs w:val="24"/>
                <w:lang w:val="en-US" w:eastAsia="zh-CN" w:bidi="ar-SA"/>
              </w:rPr>
              <w:t>1.</w:t>
            </w:r>
            <w:bookmarkStart w:id="234" w:name="OLE_LINK96"/>
            <w:bookmarkStart w:id="235" w:name="OLE_LINK121"/>
            <w:bookmarkStart w:id="236" w:name="OLE_LINK73"/>
            <w:r>
              <w:rPr>
                <w:rFonts w:hint="eastAsia" w:ascii="Times New Roman" w:hAnsi="Times New Roman" w:eastAsia="宋体" w:cs="Times New Roman"/>
                <w:kern w:val="2"/>
                <w:sz w:val="21"/>
                <w:szCs w:val="24"/>
                <w:lang w:val="en-US" w:eastAsia="zh-CN" w:bidi="ar-SA"/>
              </w:rPr>
              <w:t>整体方案</w:t>
            </w:r>
            <w:bookmarkEnd w:id="234"/>
            <w:r>
              <w:rPr>
                <w:rFonts w:hint="eastAsia" w:ascii="Times New Roman" w:hAnsi="Times New Roman" w:eastAsia="宋体" w:cs="Times New Roman"/>
                <w:kern w:val="2"/>
                <w:sz w:val="21"/>
                <w:szCs w:val="24"/>
                <w:lang w:val="en-US" w:eastAsia="zh-CN" w:bidi="ar-SA"/>
              </w:rPr>
              <w:t>（20分</w:t>
            </w:r>
            <w:bookmarkEnd w:id="235"/>
            <w:r>
              <w:rPr>
                <w:rFonts w:hint="eastAsia" w:ascii="Times New Roman" w:hAnsi="Times New Roman" w:eastAsia="宋体" w:cs="Times New Roman"/>
                <w:kern w:val="2"/>
                <w:sz w:val="21"/>
                <w:szCs w:val="24"/>
                <w:lang w:val="en-US" w:eastAsia="zh-CN" w:bidi="ar-SA"/>
              </w:rPr>
              <w:t>）</w:t>
            </w:r>
            <w:bookmarkEnd w:id="236"/>
          </w:p>
        </w:tc>
        <w:tc>
          <w:tcPr>
            <w:tcW w:w="693" w:type="dxa"/>
            <w:vAlign w:val="center"/>
          </w:tcPr>
          <w:p w14:paraId="29EE52C6">
            <w:pPr>
              <w:tabs>
                <w:tab w:val="left" w:pos="420"/>
              </w:tabs>
              <w:wordWrap w:val="0"/>
              <w:autoSpaceDE w:val="0"/>
              <w:autoSpaceDN w:val="0"/>
              <w:spacing w:line="360" w:lineRule="auto"/>
              <w:ind w:firstLine="0" w:firstLineChars="0"/>
              <w:jc w:val="center"/>
              <w:rPr>
                <w:rFonts w:hint="default" w:ascii="Times New Roman" w:hAnsi="Times New Roman" w:eastAsia="宋体" w:cs="Times New Roman"/>
                <w:kern w:val="2"/>
                <w:sz w:val="21"/>
                <w:szCs w:val="24"/>
                <w:lang w:val="en-US" w:eastAsia="zh-CN" w:bidi="ar-SA"/>
              </w:rPr>
            </w:pPr>
            <w:r>
              <w:rPr>
                <w:rFonts w:hint="eastAsia" w:ascii="Times New Roman" w:hAnsi="Times New Roman" w:eastAsia="宋体" w:cs="Times New Roman"/>
                <w:kern w:val="2"/>
                <w:sz w:val="21"/>
                <w:szCs w:val="24"/>
                <w:lang w:val="en-US" w:eastAsia="zh-CN" w:bidi="ar-SA"/>
              </w:rPr>
              <w:t>20</w:t>
            </w:r>
          </w:p>
        </w:tc>
        <w:tc>
          <w:tcPr>
            <w:tcW w:w="5483" w:type="dxa"/>
            <w:tcMar>
              <w:top w:w="57" w:type="dxa"/>
              <w:left w:w="57" w:type="dxa"/>
              <w:bottom w:w="57" w:type="dxa"/>
              <w:right w:w="57" w:type="dxa"/>
            </w:tcMar>
            <w:vAlign w:val="center"/>
          </w:tcPr>
          <w:p w14:paraId="18A5FF1B">
            <w:pPr>
              <w:tabs>
                <w:tab w:val="left" w:pos="420"/>
              </w:tabs>
              <w:wordWrap w:val="0"/>
              <w:autoSpaceDE w:val="0"/>
              <w:autoSpaceDN w:val="0"/>
              <w:spacing w:line="360" w:lineRule="auto"/>
              <w:ind w:firstLine="0" w:firstLineChars="0"/>
              <w:jc w:val="left"/>
              <w:rPr>
                <w:rFonts w:hint="default" w:eastAsia="宋体"/>
                <w:lang w:val="zh-CN" w:eastAsia="zh-CN"/>
              </w:rPr>
            </w:pPr>
            <w:bookmarkStart w:id="237" w:name="OLE_LINK97"/>
            <w:r>
              <w:rPr>
                <w:rFonts w:hint="eastAsia" w:eastAsia="宋体"/>
                <w:lang w:val="en-US" w:eastAsia="zh-CN"/>
              </w:rPr>
              <w:t>供应商应针对本项目特点制定的专业社会工作服务方案和规划包括但不限于社会救助、养老服务、儿童福利、社区治理、社会事务等进行综合评价 。评审小组根据供应商提供的整体方案可行性、合理性进行打分； 服务方案基本全面，覆盖以上内容，内容全面合理得 20 分； 服务方案基本全面，覆盖以上内容，对采购需求响应程度较高得 10分； 服务方案基本全面，覆盖以上内容，对采购需求响应程度一般得 5 分；缺项得 0 分。</w:t>
            </w:r>
            <w:bookmarkEnd w:id="237"/>
          </w:p>
        </w:tc>
      </w:tr>
      <w:tr w14:paraId="30E00C3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jc w:val="center"/>
        </w:trPr>
        <w:tc>
          <w:tcPr>
            <w:tcW w:w="1234" w:type="dxa"/>
            <w:vMerge w:val="continue"/>
          </w:tcPr>
          <w:p w14:paraId="029DBE5C">
            <w:pPr>
              <w:autoSpaceDE w:val="0"/>
              <w:autoSpaceDN w:val="0"/>
              <w:spacing w:line="360" w:lineRule="auto"/>
              <w:rPr>
                <w:kern w:val="0"/>
                <w:szCs w:val="21"/>
                <w:lang w:val="zh-CN" w:bidi="zh-CN"/>
              </w:rPr>
            </w:pPr>
          </w:p>
        </w:tc>
        <w:tc>
          <w:tcPr>
            <w:tcW w:w="1754" w:type="dxa"/>
            <w:vAlign w:val="center"/>
          </w:tcPr>
          <w:p w14:paraId="7C797E18">
            <w:pPr>
              <w:tabs>
                <w:tab w:val="left" w:pos="420"/>
              </w:tabs>
              <w:wordWrap w:val="0"/>
              <w:autoSpaceDE w:val="0"/>
              <w:autoSpaceDN w:val="0"/>
              <w:spacing w:line="360" w:lineRule="auto"/>
              <w:ind w:firstLine="0" w:firstLineChars="0"/>
              <w:jc w:val="center"/>
              <w:rPr>
                <w:rFonts w:hint="eastAsia" w:ascii="Times New Roman" w:hAnsi="Times New Roman" w:eastAsia="宋体" w:cs="Times New Roman"/>
                <w:kern w:val="2"/>
                <w:sz w:val="21"/>
                <w:szCs w:val="24"/>
                <w:lang w:val="zh-CN" w:eastAsia="zh-CN" w:bidi="ar-SA"/>
              </w:rPr>
            </w:pPr>
            <w:r>
              <w:rPr>
                <w:rFonts w:hint="eastAsia" w:ascii="Times New Roman" w:hAnsi="Times New Roman" w:eastAsia="宋体" w:cs="Times New Roman"/>
                <w:kern w:val="2"/>
                <w:sz w:val="21"/>
                <w:szCs w:val="24"/>
                <w:lang w:val="en-US" w:eastAsia="zh-CN" w:bidi="ar-SA"/>
              </w:rPr>
              <w:t>2.</w:t>
            </w:r>
            <w:bookmarkStart w:id="238" w:name="OLE_LINK113"/>
            <w:bookmarkStart w:id="239" w:name="OLE_LINK74"/>
            <w:r>
              <w:rPr>
                <w:rFonts w:hint="eastAsia" w:ascii="Times New Roman" w:hAnsi="Times New Roman" w:eastAsia="宋体" w:cs="Times New Roman"/>
                <w:kern w:val="2"/>
                <w:sz w:val="21"/>
                <w:szCs w:val="24"/>
                <w:lang w:val="en-US" w:eastAsia="zh-CN" w:bidi="ar-SA"/>
              </w:rPr>
              <w:t>人员培训及督导计划</w:t>
            </w:r>
            <w:bookmarkEnd w:id="238"/>
            <w:r>
              <w:rPr>
                <w:rFonts w:hint="eastAsia" w:ascii="Times New Roman" w:hAnsi="Times New Roman" w:eastAsia="宋体" w:cs="Times New Roman"/>
                <w:kern w:val="2"/>
                <w:sz w:val="21"/>
                <w:szCs w:val="24"/>
                <w:lang w:val="en-US" w:eastAsia="zh-CN" w:bidi="ar-SA"/>
              </w:rPr>
              <w:t>（10 分）</w:t>
            </w:r>
            <w:bookmarkEnd w:id="239"/>
          </w:p>
        </w:tc>
        <w:tc>
          <w:tcPr>
            <w:tcW w:w="693" w:type="dxa"/>
            <w:vAlign w:val="center"/>
          </w:tcPr>
          <w:p w14:paraId="4885426D">
            <w:pPr>
              <w:tabs>
                <w:tab w:val="left" w:pos="420"/>
              </w:tabs>
              <w:wordWrap w:val="0"/>
              <w:autoSpaceDE w:val="0"/>
              <w:autoSpaceDN w:val="0"/>
              <w:spacing w:line="360" w:lineRule="auto"/>
              <w:ind w:firstLine="0" w:firstLineChars="0"/>
              <w:jc w:val="center"/>
              <w:rPr>
                <w:rFonts w:hint="default" w:ascii="Times New Roman" w:hAnsi="Times New Roman" w:eastAsia="宋体" w:cs="Times New Roman"/>
                <w:kern w:val="2"/>
                <w:sz w:val="21"/>
                <w:szCs w:val="24"/>
                <w:lang w:val="en-US" w:eastAsia="zh-CN" w:bidi="ar-SA"/>
              </w:rPr>
            </w:pPr>
            <w:r>
              <w:rPr>
                <w:rFonts w:hint="eastAsia" w:ascii="Times New Roman" w:hAnsi="Times New Roman" w:eastAsia="宋体" w:cs="Times New Roman"/>
                <w:kern w:val="2"/>
                <w:sz w:val="21"/>
                <w:szCs w:val="24"/>
                <w:lang w:val="en-US" w:eastAsia="zh-CN" w:bidi="ar-SA"/>
              </w:rPr>
              <w:t>10</w:t>
            </w:r>
          </w:p>
        </w:tc>
        <w:tc>
          <w:tcPr>
            <w:tcW w:w="5483" w:type="dxa"/>
            <w:tcMar>
              <w:top w:w="57" w:type="dxa"/>
              <w:left w:w="57" w:type="dxa"/>
              <w:bottom w:w="57" w:type="dxa"/>
              <w:right w:w="57" w:type="dxa"/>
            </w:tcMar>
            <w:vAlign w:val="center"/>
          </w:tcPr>
          <w:p w14:paraId="3E9C5343">
            <w:pPr>
              <w:tabs>
                <w:tab w:val="left" w:pos="420"/>
              </w:tabs>
              <w:wordWrap w:val="0"/>
              <w:autoSpaceDE w:val="0"/>
              <w:autoSpaceDN w:val="0"/>
              <w:spacing w:line="360" w:lineRule="auto"/>
              <w:ind w:firstLine="0" w:firstLineChars="0"/>
              <w:jc w:val="left"/>
              <w:rPr>
                <w:rFonts w:hint="default" w:eastAsia="宋体"/>
                <w:lang w:val="zh-CN" w:eastAsia="zh-CN"/>
              </w:rPr>
            </w:pPr>
            <w:bookmarkStart w:id="240" w:name="OLE_LINK75"/>
            <w:r>
              <w:rPr>
                <w:rFonts w:hint="eastAsia" w:eastAsia="宋体"/>
                <w:lang w:val="en-US" w:eastAsia="zh-CN"/>
              </w:rPr>
              <w:t>供应商应根据辖区情况制定拟派驻本项目的人员培训及督导计划：合理性、可行性、专业性、系统性。评审小组根据供应商提供的人员培训及督导计划进行打分；人员培训及督导计划内容全面合理得 10 分；人员培训及督导计划对采购需求响应程度较高得 7 分；人员培训及督导计划对采购需求响应程度一般得 4 分；缺项得 0 分。</w:t>
            </w:r>
            <w:bookmarkEnd w:id="240"/>
          </w:p>
        </w:tc>
      </w:tr>
      <w:tr w14:paraId="02DD81D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jc w:val="center"/>
        </w:trPr>
        <w:tc>
          <w:tcPr>
            <w:tcW w:w="1234" w:type="dxa"/>
            <w:vMerge w:val="continue"/>
          </w:tcPr>
          <w:p w14:paraId="45B59840">
            <w:pPr>
              <w:autoSpaceDE w:val="0"/>
              <w:autoSpaceDN w:val="0"/>
              <w:spacing w:line="360" w:lineRule="auto"/>
              <w:rPr>
                <w:kern w:val="0"/>
                <w:szCs w:val="21"/>
                <w:lang w:val="zh-CN" w:bidi="zh-CN"/>
              </w:rPr>
            </w:pPr>
          </w:p>
        </w:tc>
        <w:tc>
          <w:tcPr>
            <w:tcW w:w="1754" w:type="dxa"/>
            <w:vAlign w:val="center"/>
          </w:tcPr>
          <w:p w14:paraId="7F2E6C15">
            <w:pPr>
              <w:tabs>
                <w:tab w:val="left" w:pos="420"/>
              </w:tabs>
              <w:wordWrap w:val="0"/>
              <w:autoSpaceDE w:val="0"/>
              <w:autoSpaceDN w:val="0"/>
              <w:spacing w:line="360" w:lineRule="auto"/>
              <w:ind w:firstLine="0" w:firstLineChars="0"/>
              <w:jc w:val="center"/>
              <w:rPr>
                <w:rFonts w:hint="eastAsia" w:ascii="Times New Roman" w:hAnsi="Times New Roman" w:eastAsia="宋体" w:cs="Times New Roman"/>
                <w:kern w:val="2"/>
                <w:sz w:val="21"/>
                <w:szCs w:val="24"/>
                <w:lang w:val="en-US" w:eastAsia="zh-CN" w:bidi="ar-SA"/>
              </w:rPr>
            </w:pPr>
            <w:r>
              <w:rPr>
                <w:rFonts w:hint="eastAsia" w:ascii="Times New Roman" w:hAnsi="Times New Roman" w:eastAsia="宋体" w:cs="Times New Roman"/>
                <w:kern w:val="2"/>
                <w:sz w:val="21"/>
                <w:szCs w:val="24"/>
                <w:lang w:val="en-US" w:eastAsia="zh-CN" w:bidi="ar-SA"/>
              </w:rPr>
              <w:t>3.</w:t>
            </w:r>
            <w:bookmarkStart w:id="241" w:name="OLE_LINK98"/>
            <w:bookmarkStart w:id="242" w:name="OLE_LINK122"/>
            <w:bookmarkStart w:id="243" w:name="OLE_LINK76"/>
            <w:r>
              <w:rPr>
                <w:rFonts w:hint="eastAsia" w:ascii="Times New Roman" w:hAnsi="Times New Roman" w:eastAsia="宋体" w:cs="Times New Roman"/>
                <w:kern w:val="2"/>
                <w:sz w:val="21"/>
                <w:szCs w:val="24"/>
                <w:lang w:val="en-US" w:eastAsia="zh-CN" w:bidi="ar-SA"/>
              </w:rPr>
              <w:t>运作机制及工作流程</w:t>
            </w:r>
            <w:bookmarkEnd w:id="241"/>
            <w:r>
              <w:rPr>
                <w:rFonts w:hint="eastAsia" w:ascii="Times New Roman" w:hAnsi="Times New Roman" w:eastAsia="宋体" w:cs="Times New Roman"/>
                <w:kern w:val="2"/>
                <w:sz w:val="21"/>
                <w:szCs w:val="24"/>
                <w:lang w:val="en-US" w:eastAsia="zh-CN" w:bidi="ar-SA"/>
              </w:rPr>
              <w:t>（10 分</w:t>
            </w:r>
            <w:bookmarkEnd w:id="242"/>
            <w:r>
              <w:rPr>
                <w:rFonts w:hint="eastAsia" w:ascii="Times New Roman" w:hAnsi="Times New Roman" w:eastAsia="宋体" w:cs="Times New Roman"/>
                <w:kern w:val="2"/>
                <w:sz w:val="21"/>
                <w:szCs w:val="24"/>
                <w:lang w:val="en-US" w:eastAsia="zh-CN" w:bidi="ar-SA"/>
              </w:rPr>
              <w:t>）</w:t>
            </w:r>
            <w:bookmarkEnd w:id="243"/>
          </w:p>
        </w:tc>
        <w:tc>
          <w:tcPr>
            <w:tcW w:w="693" w:type="dxa"/>
            <w:vAlign w:val="center"/>
          </w:tcPr>
          <w:p w14:paraId="324932CC">
            <w:pPr>
              <w:tabs>
                <w:tab w:val="left" w:pos="420"/>
              </w:tabs>
              <w:wordWrap w:val="0"/>
              <w:autoSpaceDE w:val="0"/>
              <w:autoSpaceDN w:val="0"/>
              <w:spacing w:line="360" w:lineRule="auto"/>
              <w:ind w:firstLine="0" w:firstLineChars="0"/>
              <w:jc w:val="center"/>
              <w:rPr>
                <w:rFonts w:hint="default" w:ascii="Times New Roman" w:hAnsi="Times New Roman" w:eastAsia="宋体" w:cs="Times New Roman"/>
                <w:kern w:val="2"/>
                <w:sz w:val="21"/>
                <w:szCs w:val="24"/>
                <w:lang w:val="en-US" w:eastAsia="zh-CN" w:bidi="ar-SA"/>
              </w:rPr>
            </w:pPr>
            <w:r>
              <w:rPr>
                <w:rFonts w:hint="eastAsia" w:ascii="Times New Roman" w:hAnsi="Times New Roman" w:eastAsia="宋体" w:cs="Times New Roman"/>
                <w:kern w:val="2"/>
                <w:sz w:val="21"/>
                <w:szCs w:val="24"/>
                <w:lang w:val="en-US" w:eastAsia="zh-CN" w:bidi="ar-SA"/>
              </w:rPr>
              <w:t>10</w:t>
            </w:r>
          </w:p>
        </w:tc>
        <w:tc>
          <w:tcPr>
            <w:tcW w:w="5483" w:type="dxa"/>
            <w:tcMar>
              <w:top w:w="57" w:type="dxa"/>
              <w:left w:w="57" w:type="dxa"/>
              <w:bottom w:w="57" w:type="dxa"/>
              <w:right w:w="57" w:type="dxa"/>
            </w:tcMar>
            <w:vAlign w:val="center"/>
          </w:tcPr>
          <w:p w14:paraId="42E41BC1">
            <w:pPr>
              <w:tabs>
                <w:tab w:val="left" w:pos="420"/>
              </w:tabs>
              <w:wordWrap w:val="0"/>
              <w:autoSpaceDE w:val="0"/>
              <w:autoSpaceDN w:val="0"/>
              <w:spacing w:line="360" w:lineRule="auto"/>
              <w:ind w:firstLine="0" w:firstLineChars="0"/>
              <w:jc w:val="left"/>
              <w:rPr>
                <w:rFonts w:hint="default" w:eastAsia="宋体"/>
                <w:lang w:val="zh-CN" w:eastAsia="zh-CN"/>
              </w:rPr>
            </w:pPr>
            <w:bookmarkStart w:id="244" w:name="OLE_LINK77"/>
            <w:r>
              <w:rPr>
                <w:rFonts w:hint="eastAsia" w:eastAsia="宋体"/>
                <w:lang w:val="en-US" w:eastAsia="zh-CN"/>
              </w:rPr>
              <w:t>制定本项目工作流程的详细程度、内部运作机制、项目各个环节是否均设置有相应的机构督导等进行对比评审；运作机制及工作流程内容全面合理得 10 分；运作机制及工作流程明确，对采购需求响应程度较高得 7 分；运作机制及工作流程对采购需求响应程度一般得 4 分；缺项得 0 分。</w:t>
            </w:r>
            <w:bookmarkEnd w:id="244"/>
          </w:p>
        </w:tc>
      </w:tr>
      <w:tr w14:paraId="0264852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jc w:val="center"/>
        </w:trPr>
        <w:tc>
          <w:tcPr>
            <w:tcW w:w="1234" w:type="dxa"/>
            <w:vMerge w:val="continue"/>
          </w:tcPr>
          <w:p w14:paraId="6D38F661">
            <w:pPr>
              <w:autoSpaceDE w:val="0"/>
              <w:autoSpaceDN w:val="0"/>
              <w:spacing w:line="360" w:lineRule="auto"/>
              <w:rPr>
                <w:kern w:val="0"/>
                <w:szCs w:val="21"/>
                <w:lang w:val="zh-CN" w:bidi="zh-CN"/>
              </w:rPr>
            </w:pPr>
          </w:p>
        </w:tc>
        <w:tc>
          <w:tcPr>
            <w:tcW w:w="1754" w:type="dxa"/>
            <w:vAlign w:val="center"/>
          </w:tcPr>
          <w:p w14:paraId="5EFC49C4">
            <w:pPr>
              <w:tabs>
                <w:tab w:val="left" w:pos="420"/>
              </w:tabs>
              <w:wordWrap w:val="0"/>
              <w:autoSpaceDE w:val="0"/>
              <w:autoSpaceDN w:val="0"/>
              <w:spacing w:line="360" w:lineRule="auto"/>
              <w:ind w:firstLine="0" w:firstLineChars="0"/>
              <w:jc w:val="center"/>
              <w:rPr>
                <w:rFonts w:hint="eastAsia" w:ascii="Times New Roman" w:hAnsi="Times New Roman" w:eastAsia="宋体" w:cs="Times New Roman"/>
                <w:kern w:val="2"/>
                <w:sz w:val="21"/>
                <w:szCs w:val="24"/>
                <w:lang w:val="en-US" w:eastAsia="zh-CN" w:bidi="ar-SA"/>
              </w:rPr>
            </w:pPr>
            <w:r>
              <w:rPr>
                <w:rFonts w:hint="eastAsia" w:ascii="Times New Roman" w:hAnsi="Times New Roman" w:eastAsia="宋体" w:cs="Times New Roman"/>
                <w:kern w:val="2"/>
                <w:sz w:val="21"/>
                <w:szCs w:val="24"/>
                <w:lang w:val="en-US" w:eastAsia="zh-CN" w:bidi="ar-SA"/>
              </w:rPr>
              <w:t>4.</w:t>
            </w:r>
            <w:bookmarkStart w:id="245" w:name="OLE_LINK99"/>
            <w:bookmarkStart w:id="246" w:name="OLE_LINK78"/>
            <w:r>
              <w:rPr>
                <w:rFonts w:hint="eastAsia" w:ascii="Times New Roman" w:hAnsi="Times New Roman" w:eastAsia="宋体" w:cs="Times New Roman"/>
                <w:kern w:val="2"/>
                <w:sz w:val="21"/>
                <w:szCs w:val="24"/>
                <w:lang w:val="en-US" w:eastAsia="zh-CN" w:bidi="ar-SA"/>
              </w:rPr>
              <w:t>服务质量保证措施</w:t>
            </w:r>
            <w:bookmarkEnd w:id="245"/>
            <w:r>
              <w:rPr>
                <w:rFonts w:hint="eastAsia" w:ascii="Times New Roman" w:hAnsi="Times New Roman" w:eastAsia="宋体" w:cs="Times New Roman"/>
                <w:kern w:val="2"/>
                <w:sz w:val="21"/>
                <w:szCs w:val="24"/>
                <w:lang w:val="en-US" w:eastAsia="zh-CN" w:bidi="ar-SA"/>
              </w:rPr>
              <w:t>（10 分）</w:t>
            </w:r>
            <w:bookmarkEnd w:id="246"/>
          </w:p>
        </w:tc>
        <w:tc>
          <w:tcPr>
            <w:tcW w:w="693" w:type="dxa"/>
            <w:vAlign w:val="center"/>
          </w:tcPr>
          <w:p w14:paraId="10B68327">
            <w:pPr>
              <w:tabs>
                <w:tab w:val="left" w:pos="420"/>
              </w:tabs>
              <w:wordWrap w:val="0"/>
              <w:autoSpaceDE w:val="0"/>
              <w:autoSpaceDN w:val="0"/>
              <w:spacing w:line="360" w:lineRule="auto"/>
              <w:ind w:firstLine="0" w:firstLineChars="0"/>
              <w:jc w:val="center"/>
              <w:rPr>
                <w:rFonts w:hint="default" w:ascii="Times New Roman" w:hAnsi="Times New Roman" w:eastAsia="宋体" w:cs="Times New Roman"/>
                <w:kern w:val="2"/>
                <w:sz w:val="21"/>
                <w:szCs w:val="24"/>
                <w:lang w:val="en-US" w:eastAsia="zh-CN" w:bidi="ar-SA"/>
              </w:rPr>
            </w:pPr>
            <w:r>
              <w:rPr>
                <w:rFonts w:hint="eastAsia" w:ascii="Times New Roman" w:hAnsi="Times New Roman" w:eastAsia="宋体" w:cs="Times New Roman"/>
                <w:kern w:val="2"/>
                <w:sz w:val="21"/>
                <w:szCs w:val="24"/>
                <w:lang w:val="en-US" w:eastAsia="zh-CN" w:bidi="ar-SA"/>
              </w:rPr>
              <w:t>10</w:t>
            </w:r>
          </w:p>
        </w:tc>
        <w:tc>
          <w:tcPr>
            <w:tcW w:w="5483" w:type="dxa"/>
            <w:tcMar>
              <w:top w:w="57" w:type="dxa"/>
              <w:left w:w="57" w:type="dxa"/>
              <w:bottom w:w="57" w:type="dxa"/>
              <w:right w:w="57" w:type="dxa"/>
            </w:tcMar>
            <w:vAlign w:val="center"/>
          </w:tcPr>
          <w:p w14:paraId="5F847067">
            <w:pPr>
              <w:tabs>
                <w:tab w:val="left" w:pos="420"/>
              </w:tabs>
              <w:wordWrap w:val="0"/>
              <w:autoSpaceDE w:val="0"/>
              <w:autoSpaceDN w:val="0"/>
              <w:spacing w:line="360" w:lineRule="auto"/>
              <w:ind w:firstLine="0" w:firstLineChars="0"/>
              <w:jc w:val="left"/>
              <w:rPr>
                <w:rFonts w:hint="default" w:eastAsia="宋体"/>
                <w:lang w:val="zh-CN" w:eastAsia="zh-CN"/>
              </w:rPr>
            </w:pPr>
            <w:bookmarkStart w:id="247" w:name="OLE_LINK100"/>
            <w:bookmarkStart w:id="248" w:name="OLE_LINK79"/>
            <w:r>
              <w:rPr>
                <w:rFonts w:hint="eastAsia" w:eastAsia="宋体"/>
                <w:lang w:val="en-US" w:eastAsia="zh-CN"/>
              </w:rPr>
              <w:t xml:space="preserve">供应商应根据本项目特点制定针对本项目服务质量的实施保证措施，评审小组根据供应商提供的质量的实施保证措施进行打分；服务质量保证措施到位且内容全面合理得 10 分；服务质量保证措施对采购需求响应程度较高得 7 分；服务质量保证措施对采购需求响应程度一般得4分；缺项得 </w:t>
            </w:r>
            <w:bookmarkEnd w:id="247"/>
            <w:bookmarkStart w:id="249" w:name="OLE_LINK101"/>
            <w:r>
              <w:rPr>
                <w:rFonts w:hint="eastAsia" w:eastAsia="宋体"/>
                <w:lang w:val="en-US" w:eastAsia="zh-CN"/>
              </w:rPr>
              <w:t>0 分。</w:t>
            </w:r>
            <w:bookmarkEnd w:id="248"/>
            <w:bookmarkEnd w:id="249"/>
          </w:p>
        </w:tc>
      </w:tr>
      <w:tr w14:paraId="2D2D908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jc w:val="center"/>
        </w:trPr>
        <w:tc>
          <w:tcPr>
            <w:tcW w:w="1234" w:type="dxa"/>
            <w:vMerge w:val="continue"/>
          </w:tcPr>
          <w:p w14:paraId="2AFA653C">
            <w:pPr>
              <w:autoSpaceDE w:val="0"/>
              <w:autoSpaceDN w:val="0"/>
              <w:spacing w:line="360" w:lineRule="auto"/>
              <w:rPr>
                <w:kern w:val="0"/>
                <w:szCs w:val="21"/>
                <w:lang w:val="zh-CN" w:bidi="zh-CN"/>
              </w:rPr>
            </w:pPr>
          </w:p>
        </w:tc>
        <w:tc>
          <w:tcPr>
            <w:tcW w:w="1754" w:type="dxa"/>
            <w:vAlign w:val="center"/>
          </w:tcPr>
          <w:p w14:paraId="33890172">
            <w:pPr>
              <w:pStyle w:val="7"/>
              <w:spacing w:line="360" w:lineRule="auto"/>
              <w:ind w:left="0" w:leftChars="0" w:firstLine="0" w:firstLineChars="0"/>
              <w:jc w:val="center"/>
              <w:rPr>
                <w:rFonts w:hint="eastAsia" w:ascii="Times New Roman" w:hAnsi="Times New Roman" w:eastAsia="宋体" w:cs="Times New Roman"/>
                <w:kern w:val="2"/>
                <w:sz w:val="21"/>
                <w:szCs w:val="24"/>
                <w:lang w:val="en-US" w:eastAsia="zh-CN" w:bidi="ar-SA"/>
              </w:rPr>
            </w:pPr>
            <w:r>
              <w:rPr>
                <w:rFonts w:hint="eastAsia" w:ascii="Times New Roman" w:hAnsi="Times New Roman" w:eastAsia="宋体" w:cs="Times New Roman"/>
                <w:kern w:val="2"/>
                <w:sz w:val="21"/>
                <w:szCs w:val="24"/>
                <w:lang w:val="en-US" w:eastAsia="zh-CN" w:bidi="ar-SA"/>
              </w:rPr>
              <w:t>5.</w:t>
            </w:r>
            <w:bookmarkStart w:id="250" w:name="OLE_LINK102"/>
            <w:bookmarkStart w:id="251" w:name="OLE_LINK80"/>
            <w:r>
              <w:rPr>
                <w:rFonts w:hint="eastAsia" w:ascii="Times New Roman" w:hAnsi="Times New Roman" w:eastAsia="宋体" w:cs="Times New Roman"/>
                <w:kern w:val="2"/>
                <w:sz w:val="21"/>
                <w:szCs w:val="24"/>
                <w:lang w:val="en-US" w:eastAsia="zh-CN" w:bidi="ar-SA"/>
              </w:rPr>
              <w:t>项目制度</w:t>
            </w:r>
            <w:bookmarkEnd w:id="250"/>
            <w:r>
              <w:rPr>
                <w:rFonts w:hint="eastAsia" w:ascii="Times New Roman" w:hAnsi="Times New Roman" w:eastAsia="宋体" w:cs="Times New Roman"/>
                <w:kern w:val="2"/>
                <w:sz w:val="21"/>
                <w:szCs w:val="24"/>
                <w:lang w:val="en-US" w:eastAsia="zh-CN" w:bidi="ar-SA"/>
              </w:rPr>
              <w:t>（10分）</w:t>
            </w:r>
            <w:bookmarkEnd w:id="251"/>
          </w:p>
          <w:p w14:paraId="1511752D">
            <w:pPr>
              <w:tabs>
                <w:tab w:val="left" w:pos="420"/>
              </w:tabs>
              <w:autoSpaceDE w:val="0"/>
              <w:autoSpaceDN w:val="0"/>
              <w:spacing w:line="360" w:lineRule="auto"/>
              <w:ind w:left="-21" w:leftChars="-10" w:right="-21" w:rightChars="-10" w:firstLine="0" w:firstLineChars="0"/>
              <w:jc w:val="center"/>
              <w:rPr>
                <w:rFonts w:hint="eastAsia" w:ascii="Times New Roman" w:hAnsi="Times New Roman" w:eastAsia="宋体" w:cs="Times New Roman"/>
                <w:kern w:val="2"/>
                <w:sz w:val="21"/>
                <w:szCs w:val="24"/>
                <w:lang w:val="zh-CN" w:eastAsia="zh-CN" w:bidi="ar-SA"/>
              </w:rPr>
            </w:pPr>
          </w:p>
        </w:tc>
        <w:tc>
          <w:tcPr>
            <w:tcW w:w="693" w:type="dxa"/>
            <w:vAlign w:val="center"/>
          </w:tcPr>
          <w:p w14:paraId="37C5A142">
            <w:pPr>
              <w:tabs>
                <w:tab w:val="left" w:pos="420"/>
              </w:tabs>
              <w:autoSpaceDE w:val="0"/>
              <w:autoSpaceDN w:val="0"/>
              <w:spacing w:line="360" w:lineRule="auto"/>
              <w:ind w:left="-21" w:leftChars="-10" w:right="-21" w:rightChars="-10" w:firstLine="0" w:firstLineChars="0"/>
              <w:jc w:val="center"/>
              <w:rPr>
                <w:rFonts w:hint="default" w:ascii="Times New Roman" w:hAnsi="Times New Roman" w:eastAsia="宋体" w:cs="Times New Roman"/>
                <w:kern w:val="2"/>
                <w:sz w:val="21"/>
                <w:szCs w:val="24"/>
                <w:lang w:val="en-US" w:eastAsia="zh-CN" w:bidi="ar-SA"/>
              </w:rPr>
            </w:pPr>
            <w:r>
              <w:rPr>
                <w:rFonts w:hint="eastAsia" w:ascii="Times New Roman" w:hAnsi="Times New Roman" w:eastAsia="宋体" w:cs="Times New Roman"/>
                <w:kern w:val="2"/>
                <w:sz w:val="21"/>
                <w:szCs w:val="24"/>
                <w:lang w:val="en-US" w:eastAsia="zh-CN" w:bidi="ar-SA"/>
              </w:rPr>
              <w:t>10</w:t>
            </w:r>
          </w:p>
        </w:tc>
        <w:tc>
          <w:tcPr>
            <w:tcW w:w="5483" w:type="dxa"/>
            <w:tcMar>
              <w:top w:w="57" w:type="dxa"/>
              <w:left w:w="57" w:type="dxa"/>
              <w:bottom w:w="57" w:type="dxa"/>
              <w:right w:w="57" w:type="dxa"/>
            </w:tcMar>
            <w:vAlign w:val="center"/>
          </w:tcPr>
          <w:p w14:paraId="7DC05B2C">
            <w:pPr>
              <w:tabs>
                <w:tab w:val="left" w:pos="420"/>
              </w:tabs>
              <w:wordWrap w:val="0"/>
              <w:autoSpaceDE w:val="0"/>
              <w:autoSpaceDN w:val="0"/>
              <w:spacing w:line="360" w:lineRule="auto"/>
              <w:ind w:firstLine="0" w:firstLineChars="0"/>
              <w:jc w:val="left"/>
              <w:rPr>
                <w:rFonts w:hint="default" w:eastAsia="宋体"/>
                <w:lang w:val="zh-CN" w:eastAsia="zh-CN"/>
              </w:rPr>
            </w:pPr>
            <w:bookmarkStart w:id="252" w:name="OLE_LINK81"/>
            <w:r>
              <w:rPr>
                <w:rFonts w:hint="eastAsia" w:eastAsia="宋体"/>
                <w:lang w:val="en-US" w:eastAsia="zh-CN"/>
              </w:rPr>
              <w:t>供应商应根据本项目特点制定项目制度，评审小组根据供应商提供的项目制度进行打分；项目制度合理、可操作性强且内容全面合理得 10 分；项目制度基本合理、操作性基本合理且对采购需求响应程度较高得 7 分；项目制度一般、操作性差且对采购需求响应程度一般得4分；缺项得 0 分。</w:t>
            </w:r>
            <w:bookmarkEnd w:id="252"/>
          </w:p>
        </w:tc>
      </w:tr>
      <w:tr w14:paraId="1D6B5CC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jc w:val="center"/>
        </w:trPr>
        <w:tc>
          <w:tcPr>
            <w:tcW w:w="1234" w:type="dxa"/>
            <w:vMerge w:val="continue"/>
          </w:tcPr>
          <w:p w14:paraId="09B3E086">
            <w:pPr>
              <w:autoSpaceDE w:val="0"/>
              <w:autoSpaceDN w:val="0"/>
              <w:spacing w:line="360" w:lineRule="auto"/>
              <w:rPr>
                <w:kern w:val="0"/>
                <w:szCs w:val="21"/>
                <w:lang w:val="zh-CN" w:bidi="zh-CN"/>
              </w:rPr>
            </w:pPr>
          </w:p>
        </w:tc>
        <w:tc>
          <w:tcPr>
            <w:tcW w:w="1754" w:type="dxa"/>
            <w:vAlign w:val="center"/>
          </w:tcPr>
          <w:p w14:paraId="2E9621B3">
            <w:pPr>
              <w:tabs>
                <w:tab w:val="left" w:pos="420"/>
              </w:tabs>
              <w:wordWrap w:val="0"/>
              <w:autoSpaceDE w:val="0"/>
              <w:autoSpaceDN w:val="0"/>
              <w:spacing w:line="360" w:lineRule="auto"/>
              <w:ind w:firstLine="0" w:firstLineChars="0"/>
              <w:jc w:val="center"/>
              <w:rPr>
                <w:rFonts w:hint="eastAsia" w:eastAsia="宋体"/>
                <w:lang w:val="zh-CN" w:eastAsia="zh-CN"/>
              </w:rPr>
            </w:pPr>
            <w:r>
              <w:rPr>
                <w:rFonts w:hint="eastAsia" w:eastAsia="宋体"/>
                <w:lang w:val="en-US" w:eastAsia="zh-CN"/>
              </w:rPr>
              <w:t>6.</w:t>
            </w:r>
            <w:bookmarkStart w:id="253" w:name="OLE_LINK114"/>
            <w:bookmarkStart w:id="254" w:name="OLE_LINK83"/>
            <w:r>
              <w:rPr>
                <w:rFonts w:hint="eastAsia" w:eastAsia="宋体"/>
                <w:lang w:val="en-US" w:eastAsia="zh-CN"/>
              </w:rPr>
              <w:t>应急方案</w:t>
            </w:r>
            <w:bookmarkEnd w:id="253"/>
            <w:r>
              <w:rPr>
                <w:rFonts w:hint="eastAsia" w:eastAsia="宋体"/>
                <w:lang w:val="en-US" w:eastAsia="zh-CN"/>
              </w:rPr>
              <w:t>（5分）</w:t>
            </w:r>
            <w:bookmarkEnd w:id="254"/>
          </w:p>
        </w:tc>
        <w:tc>
          <w:tcPr>
            <w:tcW w:w="693" w:type="dxa"/>
            <w:vAlign w:val="center"/>
          </w:tcPr>
          <w:p w14:paraId="00E54A31">
            <w:pPr>
              <w:tabs>
                <w:tab w:val="left" w:pos="420"/>
              </w:tabs>
              <w:wordWrap w:val="0"/>
              <w:autoSpaceDE w:val="0"/>
              <w:autoSpaceDN w:val="0"/>
              <w:spacing w:line="360" w:lineRule="auto"/>
              <w:ind w:firstLine="0" w:firstLineChars="0"/>
              <w:jc w:val="center"/>
              <w:rPr>
                <w:rFonts w:hint="default" w:eastAsia="宋体"/>
                <w:lang w:val="en-US" w:eastAsia="zh-CN"/>
              </w:rPr>
            </w:pPr>
            <w:r>
              <w:rPr>
                <w:rFonts w:hint="eastAsia" w:eastAsia="宋体"/>
                <w:lang w:val="en-US" w:eastAsia="zh-CN"/>
              </w:rPr>
              <w:t>5</w:t>
            </w:r>
          </w:p>
        </w:tc>
        <w:tc>
          <w:tcPr>
            <w:tcW w:w="5483" w:type="dxa"/>
            <w:tcMar>
              <w:top w:w="57" w:type="dxa"/>
              <w:left w:w="57" w:type="dxa"/>
              <w:bottom w:w="57" w:type="dxa"/>
              <w:right w:w="57" w:type="dxa"/>
            </w:tcMar>
            <w:vAlign w:val="center"/>
          </w:tcPr>
          <w:p w14:paraId="082830B9">
            <w:pPr>
              <w:tabs>
                <w:tab w:val="left" w:pos="420"/>
              </w:tabs>
              <w:wordWrap w:val="0"/>
              <w:autoSpaceDE w:val="0"/>
              <w:autoSpaceDN w:val="0"/>
              <w:spacing w:line="360" w:lineRule="auto"/>
              <w:ind w:firstLine="0" w:firstLineChars="0"/>
              <w:jc w:val="left"/>
              <w:rPr>
                <w:rFonts w:hint="default" w:eastAsia="宋体"/>
                <w:lang w:val="zh-CN" w:eastAsia="zh-CN"/>
              </w:rPr>
            </w:pPr>
            <w:bookmarkStart w:id="255" w:name="OLE_LINK82"/>
            <w:r>
              <w:rPr>
                <w:rFonts w:hint="eastAsia" w:eastAsia="宋体"/>
                <w:lang w:val="en-US" w:eastAsia="zh-CN"/>
              </w:rPr>
              <w:t>根据各供应商应急方案及措施，包含工作方案、人员调集方案等，对突发事件的应急预案，评标委员会根据方案的完整性和合理性进行横向比较打分。方案全面、详细 ，完全满足用户需求；得5分；方案较全面、详细 ，基本满足用户需求；得3分；方案全面性、详细性、合理性欠缺；得1分；没有不得分。</w:t>
            </w:r>
            <w:bookmarkEnd w:id="255"/>
          </w:p>
        </w:tc>
      </w:tr>
      <w:tr w14:paraId="3586655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jc w:val="center"/>
        </w:trPr>
        <w:tc>
          <w:tcPr>
            <w:tcW w:w="9164" w:type="dxa"/>
            <w:gridSpan w:val="4"/>
          </w:tcPr>
          <w:p w14:paraId="7E52E4AB">
            <w:pPr>
              <w:keepNext w:val="0"/>
              <w:keepLines w:val="0"/>
              <w:pageBreakBefore w:val="0"/>
              <w:widowControl w:val="0"/>
              <w:kinsoku/>
              <w:wordWrap/>
              <w:overflowPunct/>
              <w:topLinePunct w:val="0"/>
              <w:autoSpaceDE w:val="0"/>
              <w:autoSpaceDN w:val="0"/>
              <w:bidi w:val="0"/>
              <w:adjustRightInd w:val="0"/>
              <w:snapToGrid/>
              <w:spacing w:beforeAutospacing="0" w:afterAutospacing="0" w:line="360" w:lineRule="auto"/>
              <w:ind w:left="0" w:leftChars="0" w:right="0"/>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注：1.</w:t>
            </w:r>
            <w:r>
              <w:rPr>
                <w:rFonts w:hint="eastAsia" w:ascii="宋体" w:hAnsi="宋体" w:eastAsia="宋体" w:cs="宋体"/>
                <w:color w:val="000000"/>
                <w:kern w:val="1"/>
                <w:sz w:val="21"/>
                <w:szCs w:val="21"/>
                <w:highlight w:val="none"/>
              </w:rPr>
              <w:t>评委依据编制的内容是否完整，各项的优劣程度在规定范围内赋分。</w:t>
            </w:r>
          </w:p>
          <w:p w14:paraId="0240C695">
            <w:pPr>
              <w:tabs>
                <w:tab w:val="left" w:pos="420"/>
              </w:tabs>
              <w:wordWrap w:val="0"/>
              <w:autoSpaceDE w:val="0"/>
              <w:autoSpaceDN w:val="0"/>
              <w:spacing w:line="360" w:lineRule="auto"/>
              <w:ind w:firstLine="0" w:firstLineChars="0"/>
              <w:jc w:val="left"/>
              <w:rPr>
                <w:rFonts w:hint="eastAsia" w:eastAsia="宋体"/>
                <w:lang w:val="en-US" w:eastAsia="zh-CN"/>
              </w:rPr>
            </w:pPr>
            <w:r>
              <w:rPr>
                <w:rFonts w:hint="eastAsia" w:ascii="宋体" w:hAnsi="宋体" w:eastAsia="宋体" w:cs="宋体"/>
                <w:color w:val="000000"/>
                <w:kern w:val="1"/>
                <w:sz w:val="21"/>
                <w:szCs w:val="21"/>
                <w:highlight w:val="none"/>
              </w:rPr>
              <w:t>2.以上各分项若有缺项，该项为0分。</w:t>
            </w:r>
          </w:p>
        </w:tc>
      </w:tr>
      <w:tr w14:paraId="563EBEE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jc w:val="center"/>
        </w:trPr>
        <w:tc>
          <w:tcPr>
            <w:tcW w:w="9164" w:type="dxa"/>
            <w:gridSpan w:val="4"/>
          </w:tcPr>
          <w:p w14:paraId="39E6DEB8">
            <w:pPr>
              <w:tabs>
                <w:tab w:val="left" w:pos="420"/>
              </w:tabs>
              <w:wordWrap w:val="0"/>
              <w:autoSpaceDE w:val="0"/>
              <w:autoSpaceDN w:val="0"/>
              <w:spacing w:line="360" w:lineRule="auto"/>
              <w:ind w:firstLine="0" w:firstLineChars="0"/>
              <w:jc w:val="left"/>
              <w:rPr>
                <w:rFonts w:hint="eastAsia" w:ascii="宋体" w:hAnsi="宋体" w:eastAsia="宋体" w:cs="宋体"/>
                <w:color w:val="000000"/>
                <w:kern w:val="1"/>
                <w:sz w:val="21"/>
                <w:szCs w:val="21"/>
                <w:highlight w:val="none"/>
              </w:rPr>
            </w:pPr>
            <w:r>
              <w:rPr>
                <w:rFonts w:hint="eastAsia" w:ascii="宋体" w:hAnsi="宋体" w:eastAsia="宋体" w:cs="宋体"/>
                <w:bCs/>
                <w:color w:val="auto"/>
                <w:kern w:val="2"/>
                <w:sz w:val="21"/>
                <w:szCs w:val="21"/>
                <w:lang w:val="en-US" w:eastAsia="zh-CN" w:bidi="ar-SA"/>
              </w:rPr>
              <w:t>所有包段的实施方案均应按照包段中的项目实际情况进行准备，如：包F中的项目涉及多个社工站，投标文件中实施方案部分应分别进行阐述，并应结合项目实际情况。</w:t>
            </w:r>
          </w:p>
        </w:tc>
      </w:tr>
      <w:tr w14:paraId="21221DB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jc w:val="center"/>
        </w:trPr>
        <w:tc>
          <w:tcPr>
            <w:tcW w:w="9164" w:type="dxa"/>
            <w:gridSpan w:val="4"/>
          </w:tcPr>
          <w:p w14:paraId="0C2C884F">
            <w:pPr>
              <w:keepNext w:val="0"/>
              <w:keepLines w:val="0"/>
              <w:pageBreakBefore w:val="0"/>
              <w:widowControl w:val="0"/>
              <w:kinsoku/>
              <w:wordWrap/>
              <w:overflowPunct/>
              <w:topLinePunct w:val="0"/>
              <w:bidi w:val="0"/>
              <w:snapToGrid/>
              <w:spacing w:beforeAutospacing="0" w:afterAutospacing="0" w:line="360" w:lineRule="auto"/>
              <w:ind w:left="0" w:leftChars="0" w:right="0"/>
              <w:rPr>
                <w:rFonts w:hint="eastAsia" w:ascii="宋体" w:hAnsi="宋体" w:eastAsia="宋体" w:cs="宋体"/>
                <w:b/>
                <w:color w:val="000000"/>
                <w:kern w:val="0"/>
                <w:sz w:val="21"/>
                <w:szCs w:val="21"/>
                <w:highlight w:val="none"/>
              </w:rPr>
            </w:pPr>
            <w:r>
              <w:rPr>
                <w:rFonts w:hint="eastAsia" w:ascii="宋体" w:hAnsi="宋体" w:eastAsia="宋体" w:cs="宋体"/>
                <w:b/>
                <w:color w:val="000000"/>
                <w:kern w:val="0"/>
                <w:sz w:val="21"/>
                <w:szCs w:val="21"/>
                <w:highlight w:val="none"/>
                <w:lang w:eastAsia="zh-CN"/>
              </w:rPr>
              <w:t>供应商</w:t>
            </w:r>
            <w:r>
              <w:rPr>
                <w:rFonts w:hint="eastAsia" w:ascii="宋体" w:hAnsi="宋体" w:eastAsia="宋体" w:cs="宋体"/>
                <w:b/>
                <w:color w:val="000000"/>
                <w:kern w:val="0"/>
                <w:sz w:val="21"/>
                <w:szCs w:val="21"/>
                <w:highlight w:val="none"/>
              </w:rPr>
              <w:t>的最终得分：</w:t>
            </w:r>
          </w:p>
          <w:p w14:paraId="58100CF1">
            <w:pPr>
              <w:tabs>
                <w:tab w:val="left" w:pos="420"/>
              </w:tabs>
              <w:wordWrap w:val="0"/>
              <w:autoSpaceDE w:val="0"/>
              <w:autoSpaceDN w:val="0"/>
              <w:spacing w:line="360" w:lineRule="auto"/>
              <w:ind w:firstLine="0" w:firstLineChars="0"/>
              <w:jc w:val="left"/>
              <w:rPr>
                <w:rFonts w:hint="eastAsia" w:ascii="宋体" w:hAnsi="宋体" w:eastAsia="宋体" w:cs="宋体"/>
                <w:color w:val="000000"/>
                <w:kern w:val="1"/>
                <w:sz w:val="21"/>
                <w:szCs w:val="21"/>
                <w:highlight w:val="none"/>
              </w:rPr>
            </w:pPr>
            <w:r>
              <w:rPr>
                <w:rFonts w:hint="eastAsia" w:ascii="宋体" w:hAnsi="宋体" w:eastAsia="宋体" w:cs="宋体"/>
                <w:color w:val="000000"/>
                <w:kern w:val="0"/>
                <w:sz w:val="21"/>
                <w:szCs w:val="21"/>
                <w:highlight w:val="none"/>
              </w:rPr>
              <w:t>评标委员会对各</w:t>
            </w:r>
            <w:r>
              <w:rPr>
                <w:rFonts w:hint="eastAsia" w:ascii="宋体" w:hAnsi="宋体" w:eastAsia="宋体" w:cs="宋体"/>
                <w:color w:val="000000"/>
                <w:kern w:val="0"/>
                <w:sz w:val="21"/>
                <w:szCs w:val="21"/>
                <w:highlight w:val="none"/>
                <w:lang w:eastAsia="zh-CN"/>
              </w:rPr>
              <w:t>供应商</w:t>
            </w:r>
            <w:r>
              <w:rPr>
                <w:rFonts w:hint="eastAsia" w:ascii="宋体" w:hAnsi="宋体" w:eastAsia="宋体" w:cs="宋体"/>
                <w:color w:val="000000"/>
                <w:kern w:val="0"/>
                <w:sz w:val="21"/>
                <w:szCs w:val="21"/>
                <w:highlight w:val="none"/>
              </w:rPr>
              <w:t>的得分进行汇总，计算过程中评委个人分值按四舍五入保留</w:t>
            </w:r>
            <w:r>
              <w:rPr>
                <w:rFonts w:hint="eastAsia" w:ascii="宋体" w:hAnsi="宋体" w:eastAsia="宋体" w:cs="宋体"/>
                <w:color w:val="000000"/>
                <w:kern w:val="0"/>
                <w:sz w:val="21"/>
                <w:szCs w:val="21"/>
                <w:highlight w:val="none"/>
                <w:lang w:eastAsia="zh-CN"/>
              </w:rPr>
              <w:t>两</w:t>
            </w:r>
            <w:r>
              <w:rPr>
                <w:rFonts w:hint="eastAsia" w:ascii="宋体" w:hAnsi="宋体" w:eastAsia="宋体" w:cs="宋体"/>
                <w:color w:val="000000"/>
                <w:kern w:val="0"/>
                <w:sz w:val="21"/>
                <w:szCs w:val="21"/>
                <w:highlight w:val="none"/>
              </w:rPr>
              <w:t>位数，最终结果按四舍五入保留两位小数。以各评委打分的算术平均值作为该</w:t>
            </w:r>
            <w:r>
              <w:rPr>
                <w:rFonts w:hint="eastAsia" w:ascii="宋体" w:hAnsi="宋体" w:eastAsia="宋体" w:cs="宋体"/>
                <w:color w:val="000000"/>
                <w:kern w:val="0"/>
                <w:sz w:val="21"/>
                <w:szCs w:val="21"/>
                <w:highlight w:val="none"/>
                <w:lang w:eastAsia="zh-CN"/>
              </w:rPr>
              <w:t>供应商</w:t>
            </w:r>
            <w:r>
              <w:rPr>
                <w:rFonts w:hint="eastAsia" w:ascii="宋体" w:hAnsi="宋体" w:eastAsia="宋体" w:cs="宋体"/>
                <w:color w:val="000000"/>
                <w:kern w:val="0"/>
                <w:sz w:val="21"/>
                <w:szCs w:val="21"/>
                <w:highlight w:val="none"/>
              </w:rPr>
              <w:t>的最终得分。</w:t>
            </w:r>
          </w:p>
        </w:tc>
      </w:tr>
      <w:tr w14:paraId="48E3167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jc w:val="center"/>
        </w:trPr>
        <w:tc>
          <w:tcPr>
            <w:tcW w:w="9164" w:type="dxa"/>
            <w:gridSpan w:val="4"/>
          </w:tcPr>
          <w:p w14:paraId="732A0A89">
            <w:pPr>
              <w:keepNext w:val="0"/>
              <w:keepLines w:val="0"/>
              <w:pageBreakBefore w:val="0"/>
              <w:widowControl w:val="0"/>
              <w:kinsoku/>
              <w:wordWrap w:val="0"/>
              <w:overflowPunct/>
              <w:topLinePunct/>
              <w:autoSpaceDE/>
              <w:autoSpaceDN/>
              <w:bidi w:val="0"/>
              <w:adjustRightInd w:val="0"/>
              <w:snapToGrid/>
              <w:spacing w:line="360" w:lineRule="auto"/>
              <w:ind w:left="0" w:leftChars="0"/>
              <w:jc w:val="both"/>
              <w:textAlignment w:val="auto"/>
              <w:rPr>
                <w:rFonts w:hint="eastAsia" w:ascii="宋体" w:hAnsi="宋体" w:cs="宋体"/>
                <w:b/>
                <w:bCs/>
                <w:color w:val="auto"/>
                <w:szCs w:val="21"/>
                <w:highlight w:val="none"/>
                <w:lang w:val="en-US" w:eastAsia="zh-CN"/>
              </w:rPr>
            </w:pPr>
            <w:r>
              <w:rPr>
                <w:rFonts w:hint="eastAsia" w:ascii="宋体" w:hAnsi="宋体" w:cs="宋体"/>
                <w:b/>
                <w:bCs/>
                <w:color w:val="auto"/>
                <w:szCs w:val="21"/>
                <w:highlight w:val="none"/>
                <w:lang w:val="en-US" w:eastAsia="zh-CN"/>
              </w:rPr>
              <w:t>中标候选人推荐原则：</w:t>
            </w:r>
          </w:p>
          <w:p w14:paraId="23531A60">
            <w:pPr>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napToGrid/>
              <w:spacing w:before="157" w:beforeLines="50" w:beforeAutospacing="0" w:afterAutospacing="0" w:line="360" w:lineRule="auto"/>
              <w:ind w:right="0" w:rightChars="0"/>
              <w:jc w:val="left"/>
              <w:textAlignment w:val="auto"/>
              <w:outlineLvl w:val="9"/>
              <w:rPr>
                <w:rFonts w:hint="eastAsia" w:ascii="宋体" w:hAnsi="宋体" w:cs="宋体"/>
                <w:b w:val="0"/>
                <w:bCs w:val="0"/>
                <w:color w:val="auto"/>
                <w:szCs w:val="21"/>
                <w:highlight w:val="none"/>
                <w:lang w:val="en-US" w:eastAsia="zh-CN"/>
              </w:rPr>
            </w:pPr>
            <w:r>
              <w:rPr>
                <w:rFonts w:hint="eastAsia" w:ascii="宋体" w:hAnsi="宋体" w:cs="宋体"/>
                <w:b w:val="0"/>
                <w:bCs w:val="0"/>
                <w:color w:val="auto"/>
                <w:kern w:val="2"/>
                <w:sz w:val="21"/>
                <w:szCs w:val="21"/>
                <w:lang w:val="en-US" w:eastAsia="zh-CN" w:bidi="ar-SA"/>
              </w:rPr>
              <w:t>（1</w:t>
            </w:r>
            <w:r>
              <w:rPr>
                <w:rFonts w:hint="eastAsia" w:ascii="宋体" w:hAnsi="宋体" w:cs="宋体"/>
                <w:b w:val="0"/>
                <w:bCs w:val="0"/>
                <w:color w:val="auto"/>
                <w:kern w:val="2"/>
                <w:sz w:val="21"/>
                <w:szCs w:val="21"/>
                <w:highlight w:val="none"/>
                <w:lang w:val="en-US" w:eastAsia="zh-CN" w:bidi="ar-SA"/>
              </w:rPr>
              <w:t>）</w:t>
            </w:r>
            <w:r>
              <w:rPr>
                <w:rFonts w:hint="eastAsia" w:ascii="宋体" w:hAnsi="宋体" w:cs="宋体"/>
                <w:b w:val="0"/>
                <w:bCs w:val="0"/>
                <w:color w:val="auto"/>
                <w:szCs w:val="21"/>
                <w:highlight w:val="none"/>
                <w:lang w:val="en-US" w:eastAsia="zh-CN"/>
              </w:rPr>
              <w:t>评标委员会推荐3名供应商为中标候选人，并标明排序。</w:t>
            </w:r>
          </w:p>
          <w:p w14:paraId="7BBD93F0">
            <w:pPr>
              <w:keepNext w:val="0"/>
              <w:keepLines w:val="0"/>
              <w:pageBreakBefore w:val="0"/>
              <w:widowControl w:val="0"/>
              <w:kinsoku/>
              <w:wordWrap w:val="0"/>
              <w:overflowPunct/>
              <w:topLinePunct/>
              <w:autoSpaceDE/>
              <w:autoSpaceDN/>
              <w:bidi w:val="0"/>
              <w:adjustRightInd w:val="0"/>
              <w:snapToGrid/>
              <w:spacing w:line="360" w:lineRule="auto"/>
              <w:ind w:left="0" w:leftChars="0"/>
              <w:jc w:val="both"/>
              <w:textAlignment w:val="auto"/>
              <w:rPr>
                <w:rFonts w:hint="eastAsia" w:ascii="宋体" w:hAnsi="宋体" w:cs="宋体"/>
                <w:b w:val="0"/>
                <w:bCs w:val="0"/>
                <w:color w:val="auto"/>
                <w:szCs w:val="21"/>
                <w:highlight w:val="none"/>
                <w:lang w:val="en-US" w:eastAsia="zh-CN"/>
              </w:rPr>
            </w:pPr>
            <w:r>
              <w:rPr>
                <w:rFonts w:hint="eastAsia" w:ascii="宋体" w:hAnsi="宋体" w:cs="宋体"/>
                <w:b w:val="0"/>
                <w:bCs w:val="0"/>
                <w:color w:val="auto"/>
                <w:szCs w:val="21"/>
                <w:highlight w:val="none"/>
                <w:lang w:val="en-US" w:eastAsia="zh-CN"/>
              </w:rPr>
              <w:t>（2）评标委员会评审时按照标包顺序</w:t>
            </w:r>
            <w:r>
              <w:rPr>
                <w:rFonts w:hint="eastAsia" w:ascii="宋体" w:hAnsi="宋体" w:cs="宋体"/>
                <w:b w:val="0"/>
                <w:bCs w:val="0"/>
                <w:color w:val="auto"/>
                <w:szCs w:val="21"/>
                <w:highlight w:val="none"/>
              </w:rPr>
              <w:t>进行</w:t>
            </w:r>
            <w:r>
              <w:rPr>
                <w:rFonts w:hint="eastAsia" w:ascii="宋体" w:hAnsi="宋体" w:cs="宋体"/>
                <w:b w:val="0"/>
                <w:bCs w:val="0"/>
                <w:color w:val="auto"/>
                <w:szCs w:val="21"/>
                <w:highlight w:val="none"/>
                <w:lang w:val="en-US" w:eastAsia="zh-CN"/>
              </w:rPr>
              <w:t>评审并推荐中标候选人，排序方法如下：</w:t>
            </w:r>
          </w:p>
          <w:p w14:paraId="6AB14746">
            <w:pPr>
              <w:keepNext w:val="0"/>
              <w:keepLines w:val="0"/>
              <w:pageBreakBefore w:val="0"/>
              <w:widowControl w:val="0"/>
              <w:kinsoku/>
              <w:wordWrap w:val="0"/>
              <w:overflowPunct/>
              <w:topLinePunct/>
              <w:autoSpaceDE/>
              <w:autoSpaceDN/>
              <w:bidi w:val="0"/>
              <w:adjustRightInd w:val="0"/>
              <w:snapToGrid/>
              <w:spacing w:line="360" w:lineRule="auto"/>
              <w:ind w:left="0" w:leftChars="0"/>
              <w:jc w:val="both"/>
              <w:textAlignment w:val="auto"/>
              <w:rPr>
                <w:rFonts w:hint="eastAsia" w:ascii="宋体" w:hAnsi="宋体" w:cs="宋体"/>
                <w:b w:val="0"/>
                <w:bCs w:val="0"/>
                <w:color w:val="auto"/>
                <w:szCs w:val="21"/>
                <w:highlight w:val="none"/>
                <w:lang w:val="en-US" w:eastAsia="zh-CN"/>
              </w:rPr>
            </w:pPr>
            <w:r>
              <w:rPr>
                <w:rFonts w:hint="eastAsia" w:ascii="宋体" w:hAnsi="宋体" w:cs="宋体"/>
                <w:b w:val="0"/>
                <w:bCs w:val="0"/>
                <w:color w:val="auto"/>
                <w:szCs w:val="21"/>
                <w:highlight w:val="none"/>
                <w:lang w:val="en-US" w:eastAsia="zh-CN"/>
              </w:rPr>
              <w:t>①如果某供应商被推荐为A包的第一中标候选人，则其它标包不再推荐其为中标候选人。</w:t>
            </w:r>
          </w:p>
          <w:p w14:paraId="5D9DD523">
            <w:pPr>
              <w:tabs>
                <w:tab w:val="left" w:pos="420"/>
              </w:tabs>
              <w:wordWrap w:val="0"/>
              <w:autoSpaceDE w:val="0"/>
              <w:autoSpaceDN w:val="0"/>
              <w:spacing w:line="360" w:lineRule="auto"/>
              <w:ind w:firstLine="0" w:firstLineChars="0"/>
              <w:jc w:val="left"/>
              <w:rPr>
                <w:rFonts w:hint="eastAsia" w:ascii="宋体" w:hAnsi="宋体" w:eastAsia="宋体" w:cs="宋体"/>
                <w:color w:val="000000"/>
                <w:kern w:val="0"/>
                <w:sz w:val="21"/>
                <w:szCs w:val="21"/>
                <w:highlight w:val="none"/>
              </w:rPr>
            </w:pPr>
            <w:r>
              <w:rPr>
                <w:rFonts w:hint="eastAsia" w:ascii="宋体" w:hAnsi="宋体" w:cs="宋体"/>
                <w:b w:val="0"/>
                <w:bCs w:val="0"/>
                <w:color w:val="auto"/>
                <w:szCs w:val="21"/>
                <w:highlight w:val="none"/>
                <w:lang w:val="en-US" w:eastAsia="zh-CN"/>
              </w:rPr>
              <w:t>②如果某供应商在B包至K包评审综合得分由大到小的排序中，在2个以上（含2个）标包中排序第一，则标包顺序排序在前的那个标包推荐此供应商为第一中标候选人（剩余标包顺序排序在后的几个标包不再推荐此供应商为第一中标候选人）</w:t>
            </w:r>
            <w:r>
              <w:rPr>
                <w:rFonts w:hint="eastAsia" w:ascii="宋体" w:hAnsi="宋体" w:eastAsia="宋体" w:cs="宋体"/>
                <w:b w:val="0"/>
                <w:bCs w:val="0"/>
                <w:color w:val="auto"/>
                <w:szCs w:val="21"/>
                <w:highlight w:val="none"/>
                <w:lang w:val="en-US" w:eastAsia="zh-CN"/>
              </w:rPr>
              <w:t>，排序第二的供应商被推荐为第二中标候选人，剩余标包按照标包顺序依次推荐中标候选人；如果排序第二的供应商未被推荐为包B至包K任一标包的第一中标候选人，则推荐其为第一中标候选人，推荐排序第三的供应商为第二中标候选人；如果排序第二的供应商也已经被推荐为包B至包K中1个以上（含1个）标包的第一中标候选人，则推荐排序第三的供应商为第一中标候选人，推荐排序第四的供应商为第二中标候选人，依此类推，直至推荐出至少1名中标候选人。若进入详细评审的某个标包的所有供应商在前述的标包中（包B至包K）均被推荐为第一中标候选人，则仍然推荐该标包排序第一的供应商为第一中标候选人，推荐排序第二的供应商为第二中标候选人。</w:t>
            </w:r>
          </w:p>
        </w:tc>
      </w:tr>
    </w:tbl>
    <w:p w14:paraId="7DA23427">
      <w:pPr>
        <w:spacing w:line="360" w:lineRule="auto"/>
        <w:rPr>
          <w:rFonts w:hint="eastAsia"/>
          <w:lang w:val="en-US" w:eastAsia="zh-CN"/>
        </w:rPr>
      </w:pPr>
      <w:r>
        <w:rPr>
          <w:rFonts w:hint="eastAsia"/>
          <w:lang w:val="en-US" w:eastAsia="zh-CN"/>
        </w:rPr>
        <w:br w:type="page"/>
      </w:r>
    </w:p>
    <w:p w14:paraId="5AC2066B">
      <w:pPr>
        <w:pStyle w:val="14"/>
        <w:spacing w:after="0" w:line="360" w:lineRule="auto"/>
        <w:ind w:left="0"/>
        <w:rPr>
          <w:rFonts w:ascii="宋体" w:hAnsi="宋体" w:cs="宋体"/>
          <w:b/>
          <w:bCs/>
          <w:szCs w:val="21"/>
        </w:rPr>
      </w:pPr>
      <w:bookmarkStart w:id="256" w:name="_Toc184635095"/>
      <w:bookmarkStart w:id="257" w:name="_Toc15062"/>
      <w:bookmarkStart w:id="258" w:name="_Toc301454123"/>
      <w:bookmarkStart w:id="259" w:name="_Toc30309"/>
      <w:bookmarkStart w:id="260" w:name="_Toc10331"/>
      <w:r>
        <w:rPr>
          <w:rFonts w:hint="eastAsia" w:ascii="宋体" w:hAnsi="宋体" w:cs="宋体"/>
          <w:b/>
          <w:bCs/>
          <w:szCs w:val="21"/>
        </w:rPr>
        <w:t xml:space="preserve">一、评标方法 </w:t>
      </w:r>
    </w:p>
    <w:p w14:paraId="3306C572">
      <w:pPr>
        <w:spacing w:line="360" w:lineRule="auto"/>
        <w:ind w:firstLine="420" w:firstLineChars="200"/>
        <w:rPr>
          <w:rFonts w:ascii="宋体" w:hAnsi="宋体" w:cs="宋体"/>
          <w:szCs w:val="21"/>
        </w:rPr>
      </w:pPr>
      <w:r>
        <w:rPr>
          <w:rFonts w:hint="eastAsia" w:ascii="宋体" w:hAnsi="宋体" w:cs="宋体"/>
          <w:bCs/>
          <w:szCs w:val="21"/>
        </w:rPr>
        <w:t>1.本项目采用综合评分法，总分值100分</w:t>
      </w:r>
      <w:r>
        <w:rPr>
          <w:rFonts w:hint="eastAsia" w:ascii="宋体" w:hAnsi="宋体" w:cs="宋体"/>
          <w:szCs w:val="21"/>
        </w:rPr>
        <w:t>。</w:t>
      </w:r>
    </w:p>
    <w:p w14:paraId="5C24ABF9">
      <w:pPr>
        <w:spacing w:line="360" w:lineRule="auto"/>
        <w:ind w:firstLine="420" w:firstLineChars="200"/>
        <w:rPr>
          <w:rFonts w:ascii="宋体" w:hAnsi="宋体" w:cs="宋体"/>
          <w:szCs w:val="21"/>
        </w:rPr>
      </w:pPr>
      <w:r>
        <w:rPr>
          <w:rFonts w:hint="eastAsia" w:ascii="宋体" w:hAnsi="宋体" w:cs="宋体"/>
          <w:szCs w:val="21"/>
        </w:rPr>
        <w:t>2.评标委员会根据最终得分高低确定的排序，总分排序中综合得分相同的投标人，以</w:t>
      </w:r>
      <w:r>
        <w:rPr>
          <w:rFonts w:hint="eastAsia" w:ascii="宋体" w:hAnsi="宋体" w:cs="宋体"/>
          <w:szCs w:val="21"/>
          <w:lang w:eastAsia="zh-CN"/>
        </w:rPr>
        <w:t>服务能力</w:t>
      </w:r>
      <w:r>
        <w:rPr>
          <w:rFonts w:hint="eastAsia" w:ascii="宋体" w:hAnsi="宋体" w:cs="宋体"/>
          <w:szCs w:val="21"/>
        </w:rPr>
        <w:t>得分较高的优先；如果</w:t>
      </w:r>
      <w:r>
        <w:rPr>
          <w:rFonts w:hint="eastAsia" w:ascii="宋体" w:hAnsi="宋体" w:cs="宋体"/>
          <w:szCs w:val="21"/>
          <w:lang w:eastAsia="zh-CN"/>
        </w:rPr>
        <w:t>服务能力</w:t>
      </w:r>
      <w:r>
        <w:rPr>
          <w:rFonts w:hint="eastAsia" w:ascii="宋体" w:hAnsi="宋体" w:cs="宋体"/>
          <w:szCs w:val="21"/>
        </w:rPr>
        <w:t>得分也相等，以报价较低优先；如果报价也相等以商务部分得分高的优先；如果所有都相等，由评标委员会另行商议确定。</w:t>
      </w:r>
    </w:p>
    <w:p w14:paraId="45A58F20">
      <w:pPr>
        <w:spacing w:line="360" w:lineRule="auto"/>
        <w:rPr>
          <w:rFonts w:ascii="宋体" w:hAnsi="宋体" w:cs="宋体"/>
          <w:b/>
          <w:bCs/>
          <w:szCs w:val="21"/>
        </w:rPr>
      </w:pPr>
      <w:r>
        <w:rPr>
          <w:rFonts w:hint="eastAsia" w:ascii="宋体" w:hAnsi="宋体" w:cs="宋体"/>
          <w:b/>
          <w:bCs/>
          <w:szCs w:val="21"/>
        </w:rPr>
        <w:t>二、评标原则：</w:t>
      </w:r>
    </w:p>
    <w:p w14:paraId="7134256E">
      <w:pPr>
        <w:spacing w:line="360" w:lineRule="auto"/>
        <w:ind w:firstLine="420" w:firstLineChars="200"/>
        <w:rPr>
          <w:rFonts w:ascii="宋体" w:hAnsi="宋体" w:cs="宋体"/>
          <w:bCs/>
          <w:szCs w:val="21"/>
        </w:rPr>
      </w:pPr>
      <w:r>
        <w:rPr>
          <w:rFonts w:hint="eastAsia" w:ascii="宋体" w:hAnsi="宋体" w:cs="宋体"/>
          <w:bCs/>
          <w:szCs w:val="21"/>
        </w:rPr>
        <w:t>1.评标活动遵循公平、公正、科学和择优的原则。</w:t>
      </w:r>
    </w:p>
    <w:p w14:paraId="5B40E4C7">
      <w:pPr>
        <w:spacing w:line="360" w:lineRule="auto"/>
        <w:ind w:firstLine="420" w:firstLineChars="200"/>
        <w:rPr>
          <w:rFonts w:ascii="宋体" w:hAnsi="宋体" w:cs="宋体"/>
          <w:bCs/>
          <w:szCs w:val="21"/>
        </w:rPr>
      </w:pPr>
      <w:r>
        <w:rPr>
          <w:rFonts w:hint="eastAsia" w:ascii="宋体" w:hAnsi="宋体" w:cs="宋体"/>
          <w:bCs/>
          <w:szCs w:val="21"/>
        </w:rPr>
        <w:t>2.对所有投标人的投标评定都采用相同的程序和标准。</w:t>
      </w:r>
    </w:p>
    <w:p w14:paraId="7E9C4CFF">
      <w:pPr>
        <w:spacing w:line="360" w:lineRule="auto"/>
        <w:rPr>
          <w:rFonts w:ascii="宋体" w:hAnsi="宋体" w:cs="宋体"/>
          <w:b/>
          <w:bCs/>
          <w:szCs w:val="21"/>
        </w:rPr>
      </w:pPr>
      <w:r>
        <w:rPr>
          <w:rFonts w:hint="eastAsia" w:ascii="宋体" w:hAnsi="宋体" w:cs="宋体"/>
          <w:b/>
          <w:bCs/>
          <w:szCs w:val="21"/>
        </w:rPr>
        <w:t>三、评标委员会</w:t>
      </w:r>
    </w:p>
    <w:p w14:paraId="66A29BC0">
      <w:pPr>
        <w:spacing w:line="360" w:lineRule="auto"/>
        <w:ind w:firstLine="420" w:firstLineChars="200"/>
        <w:rPr>
          <w:rFonts w:ascii="宋体" w:hAnsi="宋体" w:cs="宋体"/>
          <w:bCs/>
          <w:szCs w:val="21"/>
        </w:rPr>
      </w:pPr>
      <w:r>
        <w:rPr>
          <w:rFonts w:hint="eastAsia" w:ascii="宋体" w:hAnsi="宋体" w:cs="宋体"/>
          <w:bCs/>
          <w:szCs w:val="21"/>
        </w:rPr>
        <w:t>1.评标由评标委员会负责，评标委员会由有关技术、经济等方面的专家组成，</w:t>
      </w:r>
      <w:r>
        <w:rPr>
          <w:rFonts w:hint="eastAsia" w:ascii="宋体" w:hAnsi="宋体" w:cs="宋体"/>
        </w:rPr>
        <w:t>评标委员会成员人数以及技术、经济等方面专家的确定方式见</w:t>
      </w:r>
      <w:r>
        <w:rPr>
          <w:rFonts w:hint="eastAsia" w:ascii="宋体" w:hAnsi="宋体" w:cs="宋体"/>
          <w:lang w:eastAsia="zh-CN"/>
        </w:rPr>
        <w:t>供应商须知</w:t>
      </w:r>
      <w:r>
        <w:rPr>
          <w:rFonts w:hint="eastAsia" w:ascii="宋体" w:hAnsi="宋体" w:cs="宋体"/>
        </w:rPr>
        <w:t>前附表</w:t>
      </w:r>
      <w:r>
        <w:rPr>
          <w:rFonts w:hint="eastAsia" w:ascii="宋体" w:hAnsi="宋体" w:cs="宋体"/>
          <w:bCs/>
          <w:szCs w:val="21"/>
        </w:rPr>
        <w:t>。</w:t>
      </w:r>
    </w:p>
    <w:p w14:paraId="0FACB14C">
      <w:pPr>
        <w:spacing w:line="360" w:lineRule="auto"/>
        <w:ind w:firstLine="420" w:firstLineChars="200"/>
        <w:rPr>
          <w:rFonts w:ascii="宋体" w:hAnsi="宋体" w:cs="宋体"/>
          <w:bCs/>
          <w:szCs w:val="21"/>
        </w:rPr>
      </w:pPr>
      <w:r>
        <w:rPr>
          <w:rFonts w:hint="eastAsia" w:ascii="宋体" w:hAnsi="宋体" w:cs="宋体"/>
          <w:bCs/>
          <w:szCs w:val="21"/>
        </w:rPr>
        <w:t>2.与投标人有利害关系的人员不得进入评标委员会；</w:t>
      </w:r>
    </w:p>
    <w:p w14:paraId="797CA45C">
      <w:pPr>
        <w:spacing w:line="360" w:lineRule="auto"/>
        <w:ind w:firstLine="420" w:firstLineChars="200"/>
        <w:rPr>
          <w:rFonts w:ascii="宋体" w:hAnsi="宋体" w:cs="宋体"/>
          <w:bCs/>
          <w:szCs w:val="21"/>
        </w:rPr>
      </w:pPr>
      <w:r>
        <w:rPr>
          <w:rFonts w:hint="eastAsia" w:ascii="宋体" w:hAnsi="宋体" w:cs="宋体"/>
          <w:bCs/>
          <w:szCs w:val="21"/>
        </w:rPr>
        <w:t>3.评委按招标文件要求对所有投标文件进行符合性审查、综合比较和评价，独立评审。</w:t>
      </w:r>
    </w:p>
    <w:p w14:paraId="545F6D47">
      <w:pPr>
        <w:spacing w:line="360" w:lineRule="auto"/>
        <w:rPr>
          <w:rFonts w:ascii="宋体" w:hAnsi="宋体" w:cs="宋体"/>
          <w:szCs w:val="21"/>
        </w:rPr>
      </w:pPr>
      <w:r>
        <w:rPr>
          <w:rFonts w:hint="eastAsia" w:ascii="宋体" w:hAnsi="宋体" w:cs="宋体"/>
          <w:b/>
          <w:bCs/>
          <w:szCs w:val="21"/>
        </w:rPr>
        <w:t>四、评标纪律</w:t>
      </w:r>
    </w:p>
    <w:p w14:paraId="5507FC41">
      <w:pPr>
        <w:spacing w:line="360" w:lineRule="auto"/>
        <w:rPr>
          <w:rFonts w:ascii="宋体" w:hAnsi="宋体" w:cs="宋体"/>
          <w:szCs w:val="21"/>
        </w:rPr>
      </w:pPr>
      <w:r>
        <w:rPr>
          <w:rFonts w:hint="eastAsia" w:ascii="宋体" w:hAnsi="宋体" w:cs="宋体"/>
          <w:szCs w:val="21"/>
        </w:rPr>
        <w:t xml:space="preserve">    1.评标委员会成员应当客观、公正地履行职责，遵守职业道德，对所提出的评审意见承担个人责任。</w:t>
      </w:r>
    </w:p>
    <w:p w14:paraId="58B6A062">
      <w:pPr>
        <w:spacing w:line="360" w:lineRule="auto"/>
        <w:ind w:firstLine="420" w:firstLineChars="200"/>
        <w:rPr>
          <w:rFonts w:ascii="宋体" w:hAnsi="宋体" w:cs="宋体"/>
          <w:szCs w:val="21"/>
        </w:rPr>
      </w:pPr>
      <w:r>
        <w:rPr>
          <w:rFonts w:hint="eastAsia" w:ascii="宋体" w:hAnsi="宋体" w:cs="宋体"/>
          <w:szCs w:val="21"/>
        </w:rPr>
        <w:t>2.评标委员会成员不得向他人透漏对投标文件的评审和比较、中标候选人的推荐情况以及评标有关的其他情况。</w:t>
      </w:r>
    </w:p>
    <w:p w14:paraId="0A9E024B">
      <w:pPr>
        <w:spacing w:line="360" w:lineRule="auto"/>
        <w:rPr>
          <w:rFonts w:ascii="宋体" w:hAnsi="宋体" w:cs="宋体"/>
          <w:szCs w:val="21"/>
        </w:rPr>
      </w:pPr>
      <w:r>
        <w:rPr>
          <w:rFonts w:hint="eastAsia" w:ascii="宋体" w:hAnsi="宋体" w:cs="宋体"/>
          <w:szCs w:val="21"/>
        </w:rPr>
        <w:t xml:space="preserve">    3.在评标活动中，评标委员会成员不得擅离职守，影响评标程序正常进行。</w:t>
      </w:r>
    </w:p>
    <w:p w14:paraId="51A8A654">
      <w:pPr>
        <w:spacing w:line="360" w:lineRule="auto"/>
        <w:rPr>
          <w:rFonts w:ascii="宋体" w:hAnsi="宋体" w:cs="宋体"/>
          <w:szCs w:val="21"/>
        </w:rPr>
      </w:pPr>
      <w:r>
        <w:rPr>
          <w:rFonts w:hint="eastAsia" w:ascii="宋体" w:hAnsi="宋体" w:cs="宋体"/>
          <w:szCs w:val="21"/>
        </w:rPr>
        <w:t xml:space="preserve">    4.评标委员会应当根据招标文件规定的评标标准和方法，对投标文件进行系统地评审和比较。招标文件中没有规定的标准和方法不得作为评标的依据。</w:t>
      </w:r>
    </w:p>
    <w:p w14:paraId="50B9E486">
      <w:pPr>
        <w:spacing w:line="360" w:lineRule="auto"/>
        <w:rPr>
          <w:rFonts w:ascii="宋体" w:hAnsi="宋体" w:cs="宋体"/>
          <w:szCs w:val="21"/>
        </w:rPr>
      </w:pPr>
      <w:r>
        <w:rPr>
          <w:rFonts w:hint="eastAsia" w:ascii="宋体" w:hAnsi="宋体" w:cs="宋体"/>
          <w:szCs w:val="21"/>
        </w:rPr>
        <w:t xml:space="preserve">    5.在评标活动中，评标委员会成员不得与任何投标人或者与招标结果有利害关系的人进行私下接触，不得收受投标人、中介人、其他利害关系人的财物或者其他好处。</w:t>
      </w:r>
    </w:p>
    <w:p w14:paraId="0C5555B8">
      <w:pPr>
        <w:spacing w:line="360" w:lineRule="auto"/>
        <w:rPr>
          <w:rFonts w:ascii="宋体" w:hAnsi="宋体" w:cs="宋体"/>
          <w:szCs w:val="21"/>
        </w:rPr>
      </w:pPr>
      <w:r>
        <w:rPr>
          <w:rFonts w:hint="eastAsia" w:ascii="宋体" w:hAnsi="宋体" w:cs="宋体"/>
          <w:szCs w:val="21"/>
        </w:rPr>
        <w:t xml:space="preserve">    6.与投标人有利害关系的应主动回避。</w:t>
      </w:r>
    </w:p>
    <w:p w14:paraId="0DA95A2D">
      <w:pPr>
        <w:spacing w:line="360" w:lineRule="auto"/>
        <w:rPr>
          <w:rFonts w:ascii="宋体" w:hAnsi="宋体" w:cs="宋体"/>
          <w:szCs w:val="21"/>
        </w:rPr>
      </w:pPr>
      <w:r>
        <w:rPr>
          <w:rFonts w:hint="eastAsia" w:ascii="宋体" w:hAnsi="宋体" w:cs="宋体"/>
          <w:szCs w:val="21"/>
        </w:rPr>
        <w:t xml:space="preserve">    7.参加评标的人员应严格遵守国家有关保密的法律、法规和规定，并接受有关部门的监督；</w:t>
      </w:r>
    </w:p>
    <w:p w14:paraId="05459308">
      <w:pPr>
        <w:spacing w:line="360" w:lineRule="auto"/>
        <w:rPr>
          <w:rFonts w:ascii="宋体" w:hAnsi="宋体" w:cs="宋体"/>
          <w:szCs w:val="21"/>
        </w:rPr>
      </w:pPr>
      <w:r>
        <w:rPr>
          <w:rFonts w:hint="eastAsia" w:ascii="宋体" w:hAnsi="宋体" w:cs="宋体"/>
          <w:szCs w:val="21"/>
        </w:rPr>
        <w:t xml:space="preserve">    8.与评标活动有关的工作人员不得收受他人的财物或者其他好处，不得向他人透漏对投标文件的评审和比较、中标候选人的推荐情况以及评标有关的其他情况。在评标活动中，与评标活动有关的工作人员不得擅离职守，影响评标程序正常进行。</w:t>
      </w:r>
    </w:p>
    <w:p w14:paraId="27DE550F">
      <w:pPr>
        <w:spacing w:line="360" w:lineRule="auto"/>
        <w:ind w:firstLine="480"/>
        <w:rPr>
          <w:rFonts w:ascii="宋体" w:hAnsi="宋体" w:cs="宋体"/>
          <w:szCs w:val="21"/>
        </w:rPr>
      </w:pPr>
      <w:r>
        <w:rPr>
          <w:rFonts w:hint="eastAsia" w:ascii="宋体" w:hAnsi="宋体" w:cs="宋体"/>
          <w:szCs w:val="21"/>
        </w:rPr>
        <w:t>9.遵守法律、行政法规有关评标的相关规定。</w:t>
      </w:r>
    </w:p>
    <w:p w14:paraId="3077185A">
      <w:pPr>
        <w:pStyle w:val="10"/>
        <w:spacing w:line="360" w:lineRule="auto"/>
        <w:rPr>
          <w:rFonts w:hAnsi="宋体"/>
          <w:color w:val="auto"/>
          <w:sz w:val="21"/>
          <w:szCs w:val="21"/>
        </w:rPr>
      </w:pPr>
      <w:r>
        <w:rPr>
          <w:rFonts w:hint="eastAsia" w:hAnsi="宋体"/>
          <w:b/>
          <w:bCs/>
          <w:color w:val="auto"/>
          <w:sz w:val="21"/>
          <w:szCs w:val="21"/>
        </w:rPr>
        <w:t>五、评审程序及方法</w:t>
      </w:r>
    </w:p>
    <w:p w14:paraId="393AA882">
      <w:pPr>
        <w:pStyle w:val="10"/>
        <w:spacing w:line="360" w:lineRule="auto"/>
        <w:ind w:firstLine="480"/>
        <w:rPr>
          <w:rFonts w:hAnsi="宋体"/>
          <w:color w:val="auto"/>
          <w:sz w:val="21"/>
          <w:szCs w:val="21"/>
        </w:rPr>
      </w:pPr>
      <w:r>
        <w:rPr>
          <w:rFonts w:hint="eastAsia" w:hAnsi="宋体"/>
          <w:color w:val="auto"/>
          <w:sz w:val="21"/>
          <w:szCs w:val="21"/>
        </w:rPr>
        <w:t>投标文件初审。初审分为资格性审查</w:t>
      </w:r>
      <w:r>
        <w:rPr>
          <w:rFonts w:hint="eastAsia" w:hAnsi="宋体"/>
          <w:color w:val="auto"/>
          <w:sz w:val="21"/>
          <w:szCs w:val="21"/>
          <w:lang w:eastAsia="zh-CN"/>
        </w:rPr>
        <w:t>、</w:t>
      </w:r>
      <w:r>
        <w:rPr>
          <w:rFonts w:hint="eastAsia" w:hAnsi="宋体"/>
          <w:color w:val="auto"/>
          <w:sz w:val="21"/>
          <w:szCs w:val="21"/>
        </w:rPr>
        <w:t>符合性审查</w:t>
      </w:r>
      <w:r>
        <w:rPr>
          <w:rFonts w:hint="eastAsia" w:hAnsi="宋体"/>
          <w:color w:val="auto"/>
          <w:sz w:val="21"/>
          <w:szCs w:val="21"/>
          <w:lang w:eastAsia="zh-CN"/>
        </w:rPr>
        <w:t>和</w:t>
      </w:r>
      <w:r>
        <w:rPr>
          <w:rFonts w:hint="eastAsia" w:ascii="宋体" w:hAnsi="宋体" w:eastAsia="宋体" w:cs="宋体"/>
          <w:color w:val="auto"/>
          <w:sz w:val="21"/>
          <w:szCs w:val="21"/>
          <w:lang w:val="en-US" w:eastAsia="zh-CN"/>
        </w:rPr>
        <w:t>实质性响应审查</w:t>
      </w:r>
      <w:r>
        <w:rPr>
          <w:rFonts w:hint="eastAsia" w:hAnsi="宋体"/>
          <w:color w:val="auto"/>
          <w:sz w:val="21"/>
          <w:szCs w:val="21"/>
        </w:rPr>
        <w:t>。</w:t>
      </w:r>
    </w:p>
    <w:p w14:paraId="42F82042">
      <w:pPr>
        <w:pStyle w:val="10"/>
        <w:spacing w:line="360" w:lineRule="auto"/>
        <w:ind w:firstLine="480"/>
        <w:rPr>
          <w:rFonts w:hAnsi="宋体"/>
          <w:color w:val="auto"/>
          <w:sz w:val="21"/>
          <w:szCs w:val="21"/>
        </w:rPr>
      </w:pPr>
      <w:r>
        <w:rPr>
          <w:rFonts w:hint="eastAsia" w:hAnsi="宋体"/>
          <w:color w:val="auto"/>
          <w:sz w:val="21"/>
          <w:szCs w:val="21"/>
        </w:rPr>
        <w:t>5.1资格性审查：</w:t>
      </w:r>
    </w:p>
    <w:p w14:paraId="0DD039C8">
      <w:pPr>
        <w:pStyle w:val="10"/>
        <w:spacing w:line="360" w:lineRule="auto"/>
        <w:ind w:firstLine="480"/>
        <w:rPr>
          <w:rFonts w:hAnsi="宋体"/>
          <w:color w:val="auto"/>
          <w:sz w:val="21"/>
          <w:szCs w:val="21"/>
        </w:rPr>
      </w:pPr>
      <w:r>
        <w:rPr>
          <w:rFonts w:hint="eastAsia" w:hAnsi="宋体"/>
          <w:color w:val="auto"/>
          <w:sz w:val="21"/>
          <w:szCs w:val="21"/>
        </w:rPr>
        <w:t>开标结束后，</w:t>
      </w:r>
      <w:r>
        <w:rPr>
          <w:rFonts w:hint="eastAsia" w:hAnsi="宋体"/>
          <w:color w:val="auto"/>
          <w:sz w:val="21"/>
          <w:szCs w:val="21"/>
          <w:lang w:eastAsia="zh-CN"/>
        </w:rPr>
        <w:t>采购人</w:t>
      </w:r>
      <w:r>
        <w:rPr>
          <w:rFonts w:hint="eastAsia" w:hAnsi="宋体"/>
          <w:color w:val="auto"/>
          <w:sz w:val="21"/>
          <w:szCs w:val="21"/>
        </w:rPr>
        <w:t>或者采购代理机构应当依法对投标人的资格进行审查，以确定投标人是否具备投标资格；有一项不符合评审标准的，应当否决其投标。当通过资格审查的投标人大于等于三家时进入评标阶段，当通过资格审查的投标人小于三家时不得进入评标阶段。资格审查人员将资格审查结果提交评标委员会。</w:t>
      </w:r>
    </w:p>
    <w:p w14:paraId="52611541">
      <w:pPr>
        <w:pStyle w:val="10"/>
        <w:spacing w:line="360" w:lineRule="auto"/>
        <w:ind w:firstLine="480"/>
        <w:rPr>
          <w:rFonts w:hAnsi="宋体"/>
          <w:color w:val="auto"/>
          <w:sz w:val="21"/>
          <w:szCs w:val="21"/>
        </w:rPr>
      </w:pPr>
      <w:r>
        <w:rPr>
          <w:rFonts w:hint="eastAsia" w:hAnsi="宋体"/>
          <w:color w:val="auto"/>
          <w:sz w:val="21"/>
          <w:szCs w:val="21"/>
        </w:rPr>
        <w:t>5.2符合性审查：</w:t>
      </w:r>
    </w:p>
    <w:p w14:paraId="74CF6A75">
      <w:pPr>
        <w:pStyle w:val="10"/>
        <w:spacing w:line="360" w:lineRule="auto"/>
        <w:ind w:firstLine="480"/>
        <w:rPr>
          <w:rFonts w:hint="eastAsia" w:hAnsi="宋体"/>
          <w:color w:val="auto"/>
          <w:sz w:val="21"/>
          <w:szCs w:val="21"/>
        </w:rPr>
      </w:pPr>
      <w:r>
        <w:rPr>
          <w:rFonts w:hint="eastAsia" w:hAnsi="宋体"/>
          <w:color w:val="auto"/>
          <w:sz w:val="21"/>
          <w:szCs w:val="21"/>
        </w:rPr>
        <w:t>评标委员会应当对符合资格的投标人的投标文件进行符合性审查，以确定其是否满足招标文件的实质性要求。在对投标文件进行详细评估之前，评委会将确定每一投标文件是否对招标文件的要求做出了实质性的响应，而没有重大偏离。实质性响应的投标是指投标符合招标文件的所有条款、条件和规定且没有重大偏离和保留。重大偏离和保留是指对招标文件规定的范围、质量和性能产生重大或不可接受的偏差，或限制了</w:t>
      </w:r>
      <w:r>
        <w:rPr>
          <w:rFonts w:hint="eastAsia" w:hAnsi="宋体"/>
          <w:color w:val="auto"/>
          <w:sz w:val="21"/>
          <w:szCs w:val="21"/>
          <w:lang w:eastAsia="zh-CN"/>
        </w:rPr>
        <w:t>采购人</w:t>
      </w:r>
      <w:r>
        <w:rPr>
          <w:rFonts w:hint="eastAsia" w:hAnsi="宋体"/>
          <w:color w:val="auto"/>
          <w:sz w:val="21"/>
          <w:szCs w:val="21"/>
        </w:rPr>
        <w:t>的权利和投标人的义务的规定，而纠正这些偏离将影响到其它提交实质性响应投标的投标人的公平竞争地位。</w:t>
      </w:r>
    </w:p>
    <w:p w14:paraId="07CD808E">
      <w:pPr>
        <w:pStyle w:val="10"/>
        <w:spacing w:line="360" w:lineRule="auto"/>
        <w:ind w:firstLine="480"/>
        <w:rPr>
          <w:rFonts w:hint="default"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5.3实质性响应审查：</w:t>
      </w:r>
    </w:p>
    <w:p w14:paraId="23BFD729">
      <w:pPr>
        <w:pStyle w:val="10"/>
        <w:spacing w:line="360" w:lineRule="auto"/>
        <w:ind w:firstLine="480"/>
        <w:rPr>
          <w:rFonts w:hAnsi="宋体"/>
          <w:color w:val="auto"/>
          <w:sz w:val="21"/>
          <w:szCs w:val="21"/>
        </w:rPr>
      </w:pPr>
      <w:r>
        <w:rPr>
          <w:rFonts w:hint="eastAsia" w:hAnsi="宋体"/>
          <w:color w:val="auto"/>
          <w:sz w:val="21"/>
          <w:szCs w:val="21"/>
        </w:rPr>
        <w:t>评委会判断投标文件的响应性仅基于投标文件本身内容而不靠外部证据。</w:t>
      </w:r>
    </w:p>
    <w:p w14:paraId="1C561BBF">
      <w:pPr>
        <w:pStyle w:val="10"/>
        <w:spacing w:line="360" w:lineRule="auto"/>
        <w:ind w:firstLine="480"/>
        <w:rPr>
          <w:rFonts w:hAnsi="宋体"/>
          <w:color w:val="auto"/>
          <w:sz w:val="21"/>
          <w:szCs w:val="21"/>
        </w:rPr>
      </w:pPr>
      <w:r>
        <w:rPr>
          <w:rFonts w:hint="eastAsia" w:hAnsi="宋体"/>
          <w:color w:val="auto"/>
          <w:sz w:val="21"/>
          <w:szCs w:val="21"/>
        </w:rPr>
        <w:t>评委会将依据投标人提供的资格证明文件审查投标人的财务、技术和生产能力。如果确定投标人无资格履行合同，其投标将被拒绝。</w:t>
      </w:r>
    </w:p>
    <w:p w14:paraId="2FAA83DF">
      <w:pPr>
        <w:pStyle w:val="10"/>
        <w:spacing w:line="360" w:lineRule="auto"/>
        <w:ind w:firstLine="480"/>
        <w:rPr>
          <w:rFonts w:hAnsi="宋体"/>
          <w:color w:val="auto"/>
          <w:sz w:val="21"/>
          <w:szCs w:val="21"/>
        </w:rPr>
      </w:pPr>
      <w:r>
        <w:rPr>
          <w:rFonts w:hint="eastAsia" w:hAnsi="宋体"/>
          <w:color w:val="auto"/>
          <w:sz w:val="21"/>
          <w:szCs w:val="21"/>
        </w:rPr>
        <w:t>实质上没有响应招标文件要求的投标将被拒绝，投标人不得通过修正或撤消不符之处而使其投标成为实质上响应投标。</w:t>
      </w:r>
    </w:p>
    <w:p w14:paraId="42DFBFEA">
      <w:pPr>
        <w:pStyle w:val="10"/>
        <w:spacing w:line="360" w:lineRule="auto"/>
        <w:ind w:firstLine="480"/>
        <w:rPr>
          <w:rFonts w:hAnsi="宋体"/>
          <w:color w:val="auto"/>
          <w:sz w:val="21"/>
          <w:szCs w:val="21"/>
        </w:rPr>
      </w:pPr>
      <w:r>
        <w:rPr>
          <w:rFonts w:hint="eastAsia" w:hAnsi="宋体"/>
          <w:color w:val="auto"/>
          <w:sz w:val="21"/>
          <w:szCs w:val="21"/>
        </w:rPr>
        <w:t>评标中具有下列情形之一的，其投标无效：</w:t>
      </w:r>
    </w:p>
    <w:p w14:paraId="3EB8376C">
      <w:pPr>
        <w:spacing w:line="360" w:lineRule="auto"/>
        <w:ind w:left="17" w:leftChars="8" w:firstLine="420" w:firstLineChars="200"/>
        <w:rPr>
          <w:rFonts w:ascii="宋体" w:hAnsi="宋体" w:cs="宋体"/>
          <w:szCs w:val="21"/>
        </w:rPr>
      </w:pPr>
      <w:r>
        <w:rPr>
          <w:rFonts w:hint="eastAsia" w:ascii="宋体" w:hAnsi="宋体" w:cs="宋体"/>
          <w:szCs w:val="21"/>
        </w:rPr>
        <w:t>（一）投标文件附有</w:t>
      </w:r>
      <w:r>
        <w:rPr>
          <w:rFonts w:hint="eastAsia" w:ascii="宋体" w:hAnsi="宋体" w:cs="宋体"/>
          <w:szCs w:val="21"/>
          <w:lang w:eastAsia="zh-CN"/>
        </w:rPr>
        <w:t>采购人</w:t>
      </w:r>
      <w:r>
        <w:rPr>
          <w:rFonts w:hint="eastAsia" w:ascii="宋体" w:hAnsi="宋体" w:cs="宋体"/>
          <w:szCs w:val="21"/>
        </w:rPr>
        <w:t>不能接受的附加条件；</w:t>
      </w:r>
    </w:p>
    <w:p w14:paraId="756E817D">
      <w:pPr>
        <w:spacing w:line="360" w:lineRule="auto"/>
        <w:ind w:left="17" w:leftChars="8" w:firstLine="420" w:firstLineChars="200"/>
        <w:rPr>
          <w:rFonts w:ascii="宋体" w:hAnsi="宋体" w:cs="宋体"/>
          <w:szCs w:val="21"/>
        </w:rPr>
      </w:pPr>
      <w:r>
        <w:rPr>
          <w:rFonts w:hint="eastAsia" w:ascii="宋体" w:hAnsi="宋体" w:cs="宋体"/>
          <w:szCs w:val="21"/>
        </w:rPr>
        <w:t>（二）投标报价超出预算金额；</w:t>
      </w:r>
    </w:p>
    <w:p w14:paraId="6EFDB833">
      <w:pPr>
        <w:spacing w:line="360" w:lineRule="auto"/>
        <w:ind w:left="17" w:leftChars="8" w:firstLine="420" w:firstLineChars="200"/>
        <w:rPr>
          <w:rFonts w:ascii="宋体" w:hAnsi="宋体" w:cs="宋体"/>
          <w:szCs w:val="21"/>
        </w:rPr>
      </w:pPr>
      <w:r>
        <w:rPr>
          <w:rFonts w:hint="eastAsia" w:ascii="宋体" w:hAnsi="宋体" w:cs="宋体"/>
          <w:szCs w:val="21"/>
        </w:rPr>
        <w:t>（三）多个投标人出现“制作机器码”一致的，机器码一致的所有投标文件均做无效文件处理；</w:t>
      </w:r>
    </w:p>
    <w:p w14:paraId="0355CB04">
      <w:pPr>
        <w:spacing w:line="360" w:lineRule="auto"/>
        <w:ind w:left="17" w:leftChars="8" w:firstLine="420" w:firstLineChars="200"/>
        <w:rPr>
          <w:rFonts w:ascii="宋体" w:hAnsi="宋体" w:cs="宋体"/>
          <w:szCs w:val="21"/>
        </w:rPr>
      </w:pPr>
      <w:r>
        <w:rPr>
          <w:rFonts w:hint="eastAsia" w:ascii="宋体" w:hAnsi="宋体" w:cs="宋体"/>
          <w:szCs w:val="21"/>
        </w:rPr>
        <w:t>（四）不符合招标文件中规定的其他实质性要求。</w:t>
      </w:r>
    </w:p>
    <w:p w14:paraId="6DEB0C4C">
      <w:pPr>
        <w:pStyle w:val="10"/>
        <w:spacing w:line="360" w:lineRule="auto"/>
        <w:rPr>
          <w:rFonts w:hAnsi="宋体"/>
          <w:b/>
          <w:bCs/>
          <w:color w:val="auto"/>
          <w:sz w:val="21"/>
          <w:szCs w:val="21"/>
        </w:rPr>
      </w:pPr>
      <w:r>
        <w:rPr>
          <w:rFonts w:hint="eastAsia" w:hAnsi="宋体"/>
          <w:b/>
          <w:bCs/>
          <w:color w:val="auto"/>
          <w:sz w:val="21"/>
          <w:szCs w:val="21"/>
        </w:rPr>
        <w:t>六、详细评审</w:t>
      </w:r>
    </w:p>
    <w:p w14:paraId="5D1F31A6">
      <w:pPr>
        <w:pStyle w:val="10"/>
        <w:spacing w:line="360" w:lineRule="auto"/>
        <w:ind w:firstLine="480"/>
        <w:rPr>
          <w:rFonts w:hAnsi="宋体"/>
          <w:color w:val="auto"/>
          <w:sz w:val="21"/>
          <w:szCs w:val="21"/>
        </w:rPr>
      </w:pPr>
      <w:r>
        <w:rPr>
          <w:rFonts w:hint="eastAsia" w:hAnsi="宋体"/>
          <w:color w:val="auto"/>
          <w:sz w:val="21"/>
          <w:szCs w:val="21"/>
        </w:rPr>
        <w:t>6.1评标委员会按评标办法进行打分，并计算出最终得分。</w:t>
      </w:r>
    </w:p>
    <w:p w14:paraId="130D45A8">
      <w:pPr>
        <w:pStyle w:val="10"/>
        <w:spacing w:line="360" w:lineRule="auto"/>
        <w:ind w:firstLine="480"/>
        <w:rPr>
          <w:rFonts w:hAnsi="宋体"/>
          <w:color w:val="auto"/>
          <w:sz w:val="21"/>
          <w:szCs w:val="21"/>
        </w:rPr>
      </w:pPr>
      <w:r>
        <w:rPr>
          <w:rFonts w:hint="eastAsia" w:hAnsi="宋体"/>
          <w:color w:val="auto"/>
          <w:sz w:val="21"/>
          <w:szCs w:val="21"/>
        </w:rPr>
        <w:t>（1）按本章详细评审表“报价部分”规定的评审因素和分值对投标报价计算出得分A；</w:t>
      </w:r>
    </w:p>
    <w:p w14:paraId="4BCF6E5A">
      <w:pPr>
        <w:pStyle w:val="10"/>
        <w:spacing w:line="360" w:lineRule="auto"/>
        <w:ind w:firstLine="480"/>
        <w:rPr>
          <w:rFonts w:hAnsi="宋体"/>
          <w:color w:val="auto"/>
          <w:sz w:val="21"/>
          <w:szCs w:val="21"/>
        </w:rPr>
      </w:pPr>
      <w:r>
        <w:rPr>
          <w:rFonts w:hint="eastAsia" w:hAnsi="宋体"/>
          <w:color w:val="auto"/>
          <w:sz w:val="21"/>
          <w:szCs w:val="21"/>
        </w:rPr>
        <w:t>（2）按本章详细评审表“商务部分”规定的评审因素和分值对技术部分计算出得分B；</w:t>
      </w:r>
    </w:p>
    <w:p w14:paraId="4DFF1720">
      <w:pPr>
        <w:pStyle w:val="10"/>
        <w:spacing w:line="360" w:lineRule="auto"/>
        <w:ind w:firstLine="480"/>
        <w:rPr>
          <w:rFonts w:hAnsi="宋体"/>
          <w:color w:val="auto"/>
          <w:sz w:val="21"/>
          <w:szCs w:val="21"/>
        </w:rPr>
      </w:pPr>
      <w:r>
        <w:rPr>
          <w:rFonts w:hint="eastAsia" w:hAnsi="宋体"/>
          <w:color w:val="auto"/>
          <w:sz w:val="21"/>
          <w:szCs w:val="21"/>
        </w:rPr>
        <w:t>（3）按本章详细评审表“技术部分”规定的评审因素和分值对综合部分计算出得分C；</w:t>
      </w:r>
    </w:p>
    <w:p w14:paraId="3C5A23E7">
      <w:pPr>
        <w:pStyle w:val="10"/>
        <w:spacing w:line="360" w:lineRule="auto"/>
        <w:ind w:firstLine="480"/>
        <w:rPr>
          <w:rFonts w:hAnsi="宋体"/>
          <w:color w:val="auto"/>
          <w:sz w:val="21"/>
          <w:szCs w:val="21"/>
        </w:rPr>
      </w:pPr>
      <w:r>
        <w:rPr>
          <w:rFonts w:hint="eastAsia" w:hAnsi="宋体"/>
          <w:color w:val="auto"/>
          <w:sz w:val="21"/>
          <w:szCs w:val="21"/>
        </w:rPr>
        <w:t>（4）评分分值计算保留小数点后两位，小数点后第三位“四舍五入”。</w:t>
      </w:r>
    </w:p>
    <w:p w14:paraId="6DD5A4F5">
      <w:pPr>
        <w:pStyle w:val="10"/>
        <w:spacing w:line="360" w:lineRule="auto"/>
        <w:ind w:firstLine="480"/>
        <w:rPr>
          <w:rFonts w:hAnsi="宋体"/>
          <w:color w:val="auto"/>
          <w:sz w:val="21"/>
          <w:szCs w:val="21"/>
        </w:rPr>
      </w:pPr>
      <w:r>
        <w:rPr>
          <w:rFonts w:hint="eastAsia" w:hAnsi="宋体"/>
          <w:color w:val="auto"/>
          <w:sz w:val="21"/>
          <w:szCs w:val="21"/>
        </w:rPr>
        <w:t>（5）投标人得分=A+B+C</w:t>
      </w:r>
    </w:p>
    <w:p w14:paraId="1F258792">
      <w:pPr>
        <w:pStyle w:val="10"/>
        <w:spacing w:line="360" w:lineRule="auto"/>
        <w:ind w:firstLine="480"/>
        <w:rPr>
          <w:rFonts w:hAnsi="宋体"/>
          <w:color w:val="auto"/>
          <w:sz w:val="21"/>
          <w:szCs w:val="21"/>
        </w:rPr>
      </w:pPr>
      <w:r>
        <w:rPr>
          <w:rFonts w:hint="eastAsia" w:hAnsi="宋体"/>
          <w:color w:val="auto"/>
          <w:sz w:val="21"/>
          <w:szCs w:val="21"/>
        </w:rPr>
        <w:t>6.2评审委员会发现投标人的报价明显低于其他投标报价，使得其投标报价可能低于其个别成本的，应当要求该投标人作出书面说明并提供相应的证明材料。投标人不能合理说明或者不能提供相应证明材料的，由评审委员会认定该投标人以低于成本报价竞标，其投标作否决投标处理。</w:t>
      </w:r>
    </w:p>
    <w:p w14:paraId="7B841D7F">
      <w:pPr>
        <w:pStyle w:val="10"/>
        <w:spacing w:line="360" w:lineRule="auto"/>
        <w:ind w:firstLine="480"/>
        <w:rPr>
          <w:rFonts w:hAnsi="宋体"/>
          <w:color w:val="auto"/>
          <w:sz w:val="21"/>
          <w:szCs w:val="21"/>
        </w:rPr>
      </w:pPr>
      <w:r>
        <w:rPr>
          <w:rFonts w:hint="eastAsia" w:hAnsi="宋体"/>
          <w:color w:val="auto"/>
          <w:sz w:val="21"/>
          <w:szCs w:val="21"/>
        </w:rPr>
        <w:t>6.3</w:t>
      </w:r>
      <w:bookmarkStart w:id="261" w:name="OLE_LINK84"/>
      <w:bookmarkStart w:id="262" w:name="OLE_LINK119"/>
      <w:bookmarkStart w:id="263" w:name="OLE_LINK109"/>
      <w:r>
        <w:rPr>
          <w:rFonts w:hint="eastAsia" w:hAnsi="宋体"/>
          <w:color w:val="auto"/>
          <w:sz w:val="21"/>
          <w:szCs w:val="21"/>
        </w:rPr>
        <w:t>在招标采购中，出现下列情形之一的，应予废标：</w:t>
      </w:r>
    </w:p>
    <w:p w14:paraId="5D2B0B4D">
      <w:pPr>
        <w:pStyle w:val="10"/>
        <w:spacing w:line="360" w:lineRule="auto"/>
        <w:ind w:firstLine="480"/>
        <w:rPr>
          <w:rFonts w:hAnsi="宋体"/>
          <w:color w:val="auto"/>
          <w:sz w:val="21"/>
          <w:szCs w:val="21"/>
        </w:rPr>
      </w:pPr>
      <w:r>
        <w:rPr>
          <w:rFonts w:hint="eastAsia" w:hAnsi="宋体"/>
          <w:color w:val="auto"/>
          <w:sz w:val="21"/>
          <w:szCs w:val="21"/>
        </w:rPr>
        <w:t>（1）符合专业条件的投标人或者对招标文件作实质响应的投标人不足三家的；</w:t>
      </w:r>
    </w:p>
    <w:p w14:paraId="44B61FA6">
      <w:pPr>
        <w:pStyle w:val="10"/>
        <w:spacing w:line="360" w:lineRule="auto"/>
        <w:ind w:firstLine="480"/>
        <w:rPr>
          <w:rFonts w:hAnsi="宋体"/>
          <w:color w:val="auto"/>
          <w:sz w:val="21"/>
          <w:szCs w:val="21"/>
        </w:rPr>
      </w:pPr>
      <w:r>
        <w:rPr>
          <w:rFonts w:hint="eastAsia" w:hAnsi="宋体"/>
          <w:color w:val="auto"/>
          <w:sz w:val="21"/>
          <w:szCs w:val="21"/>
        </w:rPr>
        <w:t>（2）出现影响采购公正的违法、违规行为的；</w:t>
      </w:r>
    </w:p>
    <w:p w14:paraId="255B4326">
      <w:pPr>
        <w:pStyle w:val="10"/>
        <w:spacing w:line="360" w:lineRule="auto"/>
        <w:ind w:firstLine="480"/>
        <w:rPr>
          <w:rFonts w:hAnsi="宋体"/>
          <w:color w:val="auto"/>
          <w:sz w:val="21"/>
          <w:szCs w:val="21"/>
        </w:rPr>
      </w:pPr>
      <w:r>
        <w:rPr>
          <w:rFonts w:hint="eastAsia" w:hAnsi="宋体"/>
          <w:color w:val="auto"/>
          <w:sz w:val="21"/>
          <w:szCs w:val="21"/>
        </w:rPr>
        <w:t>（3）投标人的报价均超过了采购预算，</w:t>
      </w:r>
      <w:r>
        <w:rPr>
          <w:rFonts w:hint="eastAsia" w:hAnsi="宋体"/>
          <w:color w:val="auto"/>
          <w:sz w:val="21"/>
          <w:szCs w:val="21"/>
          <w:lang w:eastAsia="zh-CN"/>
        </w:rPr>
        <w:t>采购人</w:t>
      </w:r>
      <w:r>
        <w:rPr>
          <w:rFonts w:hint="eastAsia" w:hAnsi="宋体"/>
          <w:color w:val="auto"/>
          <w:sz w:val="21"/>
          <w:szCs w:val="21"/>
        </w:rPr>
        <w:t>不能支付的；</w:t>
      </w:r>
    </w:p>
    <w:bookmarkEnd w:id="261"/>
    <w:p w14:paraId="7AA2B456">
      <w:pPr>
        <w:pStyle w:val="10"/>
        <w:spacing w:line="360" w:lineRule="auto"/>
        <w:ind w:firstLine="480"/>
        <w:rPr>
          <w:rFonts w:hAnsi="宋体"/>
          <w:color w:val="auto"/>
          <w:sz w:val="21"/>
          <w:szCs w:val="21"/>
        </w:rPr>
      </w:pPr>
      <w:r>
        <w:rPr>
          <w:rFonts w:hint="eastAsia" w:hAnsi="宋体"/>
          <w:color w:val="auto"/>
          <w:sz w:val="21"/>
          <w:szCs w:val="21"/>
        </w:rPr>
        <w:t>（4）因重大变故，采购任务取消的。</w:t>
      </w:r>
      <w:bookmarkEnd w:id="262"/>
    </w:p>
    <w:bookmarkEnd w:id="263"/>
    <w:p w14:paraId="6D8EC762">
      <w:pPr>
        <w:pStyle w:val="10"/>
        <w:spacing w:line="360" w:lineRule="auto"/>
        <w:ind w:firstLine="480"/>
        <w:rPr>
          <w:rFonts w:hAnsi="宋体"/>
          <w:b/>
          <w:bCs/>
          <w:color w:val="auto"/>
          <w:sz w:val="21"/>
          <w:szCs w:val="21"/>
        </w:rPr>
      </w:pPr>
      <w:r>
        <w:rPr>
          <w:rFonts w:hint="eastAsia" w:hAnsi="宋体"/>
          <w:b/>
          <w:bCs/>
          <w:color w:val="auto"/>
          <w:sz w:val="21"/>
          <w:szCs w:val="21"/>
        </w:rPr>
        <w:t>七、投标文件的澄清和补正</w:t>
      </w:r>
    </w:p>
    <w:p w14:paraId="5E299C45">
      <w:pPr>
        <w:pStyle w:val="10"/>
        <w:spacing w:line="360" w:lineRule="auto"/>
        <w:ind w:firstLine="480"/>
        <w:rPr>
          <w:rFonts w:hAnsi="宋体"/>
          <w:color w:val="auto"/>
          <w:sz w:val="21"/>
          <w:szCs w:val="21"/>
        </w:rPr>
      </w:pPr>
      <w:r>
        <w:rPr>
          <w:rFonts w:hint="eastAsia" w:hAnsi="宋体"/>
          <w:color w:val="auto"/>
          <w:sz w:val="21"/>
          <w:szCs w:val="21"/>
        </w:rPr>
        <w:t>7.1在评标过程中，评标委员会可以书面形式要求投标人对所提交投标文件中不明确的内容进行书面澄清或说明，或者对细微偏差进行补正。评标委员会不接受投标人主动提出的澄清、说明或补正。</w:t>
      </w:r>
    </w:p>
    <w:p w14:paraId="25329266">
      <w:pPr>
        <w:pStyle w:val="10"/>
        <w:spacing w:line="360" w:lineRule="auto"/>
        <w:ind w:firstLine="480"/>
        <w:rPr>
          <w:rFonts w:hAnsi="宋体"/>
          <w:color w:val="auto"/>
          <w:sz w:val="21"/>
          <w:szCs w:val="21"/>
        </w:rPr>
      </w:pPr>
      <w:r>
        <w:rPr>
          <w:rFonts w:hint="eastAsia" w:hAnsi="宋体"/>
          <w:color w:val="auto"/>
          <w:sz w:val="21"/>
          <w:szCs w:val="21"/>
        </w:rPr>
        <w:t>7.2澄清、说明和补正不得改变投标文件的实质性内容（算术性错误修正的除外）。投标人的书面澄清、说明和补正属于投标文件的组成部分。</w:t>
      </w:r>
    </w:p>
    <w:p w14:paraId="64A895B6">
      <w:pPr>
        <w:pStyle w:val="10"/>
        <w:spacing w:line="360" w:lineRule="auto"/>
        <w:ind w:firstLine="480"/>
        <w:rPr>
          <w:rFonts w:hAnsi="宋体"/>
          <w:color w:val="auto"/>
          <w:sz w:val="21"/>
          <w:szCs w:val="21"/>
        </w:rPr>
      </w:pPr>
      <w:r>
        <w:rPr>
          <w:rFonts w:hint="eastAsia" w:hAnsi="宋体"/>
          <w:color w:val="auto"/>
          <w:sz w:val="21"/>
          <w:szCs w:val="21"/>
        </w:rPr>
        <w:t>7.3评标委员会对投标人提交的澄清、说明或补正有疑问的，可以要求投标人进一步澄清、说明或补正，直至满足评标委员会的要求。</w:t>
      </w:r>
    </w:p>
    <w:p w14:paraId="375A702B">
      <w:pPr>
        <w:pStyle w:val="10"/>
        <w:spacing w:line="360" w:lineRule="auto"/>
        <w:ind w:firstLine="480"/>
        <w:rPr>
          <w:rFonts w:hAnsi="宋体"/>
          <w:b/>
          <w:bCs/>
          <w:color w:val="auto"/>
          <w:sz w:val="21"/>
          <w:szCs w:val="21"/>
        </w:rPr>
      </w:pPr>
      <w:r>
        <w:rPr>
          <w:rFonts w:hint="eastAsia" w:hAnsi="宋体"/>
          <w:b/>
          <w:bCs/>
          <w:color w:val="auto"/>
          <w:sz w:val="21"/>
          <w:szCs w:val="21"/>
        </w:rPr>
        <w:t>八、评标结果</w:t>
      </w:r>
    </w:p>
    <w:p w14:paraId="2BB45F38">
      <w:pPr>
        <w:pStyle w:val="10"/>
        <w:spacing w:line="360" w:lineRule="auto"/>
        <w:ind w:firstLine="480"/>
        <w:rPr>
          <w:rFonts w:hAnsi="宋体"/>
          <w:color w:val="auto"/>
          <w:sz w:val="21"/>
          <w:szCs w:val="21"/>
        </w:rPr>
      </w:pPr>
      <w:r>
        <w:rPr>
          <w:rFonts w:hint="eastAsia" w:hAnsi="宋体"/>
          <w:color w:val="auto"/>
          <w:sz w:val="21"/>
          <w:szCs w:val="21"/>
        </w:rPr>
        <w:t>8.1评标委员会按照评标办法要求推荐中标候选人。</w:t>
      </w:r>
    </w:p>
    <w:p w14:paraId="66448E81">
      <w:pPr>
        <w:pStyle w:val="10"/>
        <w:spacing w:line="360" w:lineRule="auto"/>
        <w:ind w:firstLine="480"/>
        <w:rPr>
          <w:rFonts w:hAnsi="宋体"/>
          <w:color w:val="auto"/>
          <w:sz w:val="21"/>
          <w:szCs w:val="21"/>
        </w:rPr>
      </w:pPr>
      <w:r>
        <w:rPr>
          <w:rFonts w:hint="eastAsia" w:hAnsi="宋体"/>
          <w:color w:val="auto"/>
          <w:sz w:val="21"/>
          <w:szCs w:val="21"/>
        </w:rPr>
        <w:t>8.2评标委员会完成评标后，应当向</w:t>
      </w:r>
      <w:r>
        <w:rPr>
          <w:rFonts w:hint="eastAsia" w:hAnsi="宋体"/>
          <w:color w:val="auto"/>
          <w:sz w:val="21"/>
          <w:szCs w:val="21"/>
          <w:lang w:eastAsia="zh-CN"/>
        </w:rPr>
        <w:t>采购人</w:t>
      </w:r>
      <w:r>
        <w:rPr>
          <w:rFonts w:hint="eastAsia" w:hAnsi="宋体"/>
          <w:color w:val="auto"/>
          <w:sz w:val="21"/>
          <w:szCs w:val="21"/>
        </w:rPr>
        <w:t>提交书面评标报告。评标报告应当由全体评标委员会成员签字。</w:t>
      </w:r>
    </w:p>
    <w:p w14:paraId="41D9CE38">
      <w:pPr>
        <w:pStyle w:val="10"/>
        <w:spacing w:line="360" w:lineRule="auto"/>
        <w:ind w:firstLine="480"/>
        <w:rPr>
          <w:rFonts w:hAnsi="宋体"/>
          <w:color w:val="auto"/>
          <w:sz w:val="21"/>
          <w:szCs w:val="21"/>
        </w:rPr>
      </w:pPr>
      <w:r>
        <w:rPr>
          <w:rFonts w:hint="eastAsia" w:hAnsi="宋体"/>
          <w:color w:val="auto"/>
          <w:sz w:val="21"/>
          <w:szCs w:val="21"/>
        </w:rPr>
        <w:t>8.3对评标结论持有异议的，评标委员会成员可以书面方式阐述其不同意见和理由。评标委员会成员拒绝在评标报告上签字且不陈述其不同意见和理由的，视为同意评标结论。评标委员会应当对此作出书面说明并记录在案。</w:t>
      </w:r>
    </w:p>
    <w:bookmarkEnd w:id="256"/>
    <w:bookmarkEnd w:id="257"/>
    <w:bookmarkEnd w:id="258"/>
    <w:bookmarkEnd w:id="259"/>
    <w:bookmarkEnd w:id="260"/>
    <w:p w14:paraId="672BA8B6">
      <w:pPr>
        <w:pStyle w:val="20"/>
        <w:spacing w:line="360" w:lineRule="auto"/>
        <w:ind w:firstLine="0" w:firstLineChars="0"/>
        <w:rPr>
          <w:rFonts w:ascii="宋体" w:eastAsia="宋体" w:cs="宋体"/>
        </w:rPr>
        <w:sectPr>
          <w:footerReference r:id="rId5" w:type="default"/>
          <w:pgSz w:w="11906" w:h="16838"/>
          <w:pgMar w:top="1417" w:right="1701" w:bottom="1417" w:left="1701" w:header="851" w:footer="992" w:gutter="0"/>
          <w:pgNumType w:fmt="numberInDash" w:start="1"/>
          <w:cols w:space="720" w:num="1"/>
          <w:docGrid w:type="lines" w:linePitch="312" w:charSpace="0"/>
        </w:sectPr>
      </w:pPr>
    </w:p>
    <w:p w14:paraId="64F9ECBA">
      <w:pPr>
        <w:pStyle w:val="3"/>
        <w:spacing w:line="600" w:lineRule="auto"/>
        <w:ind w:right="105" w:rightChars="50"/>
        <w:jc w:val="center"/>
        <w:rPr>
          <w:rFonts w:hint="eastAsia" w:ascii="宋体" w:hAnsi="宋体" w:eastAsia="宋体" w:cs="宋体"/>
          <w:szCs w:val="32"/>
          <w:highlight w:val="none"/>
          <w:lang w:eastAsia="zh-CN"/>
        </w:rPr>
      </w:pPr>
      <w:bookmarkStart w:id="264" w:name="_Toc21294"/>
      <w:r>
        <w:rPr>
          <w:rFonts w:hint="eastAsia" w:ascii="宋体" w:hAnsi="宋体" w:cs="宋体"/>
          <w:szCs w:val="32"/>
          <w:highlight w:val="none"/>
        </w:rPr>
        <w:t>第四章 合同</w:t>
      </w:r>
      <w:bookmarkEnd w:id="164"/>
      <w:bookmarkEnd w:id="165"/>
      <w:bookmarkEnd w:id="166"/>
      <w:bookmarkEnd w:id="167"/>
      <w:r>
        <w:rPr>
          <w:rFonts w:hint="eastAsia" w:ascii="宋体" w:hAnsi="宋体" w:cs="宋体"/>
          <w:szCs w:val="32"/>
          <w:highlight w:val="none"/>
          <w:lang w:eastAsia="zh-CN"/>
        </w:rPr>
        <w:t>条款</w:t>
      </w:r>
      <w:bookmarkEnd w:id="264"/>
    </w:p>
    <w:p w14:paraId="22BBA94A">
      <w:pPr>
        <w:spacing w:line="360" w:lineRule="auto"/>
        <w:jc w:val="center"/>
        <w:rPr>
          <w:rFonts w:hint="eastAsia" w:ascii="黑体" w:hAnsi="黑体" w:eastAsia="黑体" w:cs="黑体"/>
          <w:b/>
          <w:bCs/>
          <w:color w:val="000000"/>
          <w:spacing w:val="-20"/>
          <w:sz w:val="52"/>
          <w:szCs w:val="52"/>
        </w:rPr>
      </w:pPr>
      <w:bookmarkStart w:id="265" w:name="_Toc7207"/>
      <w:bookmarkStart w:id="266" w:name="_Toc8678"/>
      <w:bookmarkStart w:id="267" w:name="_Toc12109"/>
      <w:bookmarkStart w:id="268" w:name="_Toc430020796"/>
      <w:bookmarkStart w:id="269" w:name="_Toc270946198"/>
      <w:bookmarkStart w:id="270" w:name="_Toc181344351"/>
      <w:bookmarkStart w:id="271" w:name="_Toc267574131"/>
      <w:bookmarkStart w:id="272" w:name="_Toc181348162"/>
      <w:bookmarkStart w:id="273" w:name="_Toc179456560"/>
      <w:r>
        <w:rPr>
          <w:rFonts w:hint="eastAsia" w:ascii="黑体" w:hAnsi="黑体" w:eastAsia="黑体" w:cs="黑体"/>
          <w:b/>
          <w:bCs/>
          <w:color w:val="000000"/>
          <w:spacing w:val="-20"/>
          <w:sz w:val="52"/>
          <w:szCs w:val="52"/>
        </w:rPr>
        <w:t>郑州市郑东新区社会事业局</w:t>
      </w:r>
    </w:p>
    <w:p w14:paraId="2049A971">
      <w:pPr>
        <w:spacing w:line="360" w:lineRule="auto"/>
        <w:jc w:val="center"/>
        <w:rPr>
          <w:rFonts w:hint="eastAsia" w:ascii="黑体" w:hAnsi="黑体" w:eastAsia="黑体" w:cs="黑体"/>
          <w:b/>
          <w:bCs/>
          <w:color w:val="000000"/>
          <w:sz w:val="52"/>
          <w:szCs w:val="52"/>
        </w:rPr>
      </w:pPr>
      <w:r>
        <w:rPr>
          <w:rFonts w:hint="eastAsia" w:ascii="黑体" w:hAnsi="黑体" w:eastAsia="黑体" w:cs="黑体"/>
          <w:b/>
          <w:bCs/>
          <w:color w:val="000000"/>
          <w:sz w:val="52"/>
          <w:szCs w:val="52"/>
        </w:rPr>
        <w:t>20</w:t>
      </w:r>
      <w:r>
        <w:rPr>
          <w:rFonts w:hint="eastAsia" w:ascii="黑体" w:hAnsi="黑体" w:eastAsia="黑体" w:cs="黑体"/>
          <w:b/>
          <w:bCs/>
          <w:color w:val="000000"/>
          <w:sz w:val="52"/>
          <w:szCs w:val="52"/>
          <w:lang w:val="en-US" w:eastAsia="zh-CN"/>
        </w:rPr>
        <w:t>24</w:t>
      </w:r>
      <w:r>
        <w:rPr>
          <w:rFonts w:hint="eastAsia" w:ascii="黑体" w:hAnsi="黑体" w:eastAsia="黑体" w:cs="黑体"/>
          <w:b/>
          <w:bCs/>
          <w:color w:val="000000"/>
          <w:sz w:val="52"/>
          <w:szCs w:val="52"/>
        </w:rPr>
        <w:t>年度政府购买社会工作服务</w:t>
      </w:r>
    </w:p>
    <w:p w14:paraId="6F7E3F0F">
      <w:pPr>
        <w:spacing w:line="360" w:lineRule="auto"/>
        <w:jc w:val="center"/>
        <w:rPr>
          <w:rFonts w:ascii="黑体" w:hAnsi="黑体" w:eastAsia="黑体" w:cs="黑体"/>
          <w:b/>
          <w:bCs/>
          <w:color w:val="000000"/>
          <w:sz w:val="52"/>
          <w:szCs w:val="52"/>
        </w:rPr>
      </w:pPr>
    </w:p>
    <w:p w14:paraId="0A035360">
      <w:pPr>
        <w:spacing w:line="360" w:lineRule="auto"/>
        <w:jc w:val="center"/>
        <w:rPr>
          <w:rFonts w:ascii="黑体" w:hAnsi="黑体" w:eastAsia="黑体" w:cs="黑体"/>
          <w:b/>
          <w:bCs/>
          <w:color w:val="000000"/>
          <w:sz w:val="52"/>
          <w:szCs w:val="52"/>
        </w:rPr>
      </w:pPr>
      <w:r>
        <w:rPr>
          <w:rFonts w:hint="eastAsia" w:ascii="黑体" w:hAnsi="黑体" w:eastAsia="黑体" w:cs="黑体"/>
          <w:b/>
          <w:bCs/>
          <w:color w:val="000000"/>
          <w:sz w:val="52"/>
          <w:szCs w:val="52"/>
        </w:rPr>
        <w:t>合</w:t>
      </w:r>
    </w:p>
    <w:p w14:paraId="70892E5E">
      <w:pPr>
        <w:spacing w:line="360" w:lineRule="auto"/>
        <w:jc w:val="center"/>
        <w:rPr>
          <w:rFonts w:ascii="黑体" w:hAnsi="黑体" w:eastAsia="黑体" w:cs="黑体"/>
          <w:b/>
          <w:bCs/>
          <w:color w:val="000000"/>
          <w:sz w:val="52"/>
          <w:szCs w:val="52"/>
        </w:rPr>
      </w:pPr>
    </w:p>
    <w:p w14:paraId="063A29BA">
      <w:pPr>
        <w:spacing w:line="360" w:lineRule="auto"/>
        <w:jc w:val="center"/>
        <w:rPr>
          <w:rFonts w:ascii="黑体" w:hAnsi="黑体" w:eastAsia="黑体" w:cs="黑体"/>
          <w:b/>
          <w:bCs/>
          <w:color w:val="000000"/>
          <w:sz w:val="52"/>
          <w:szCs w:val="52"/>
        </w:rPr>
      </w:pPr>
      <w:r>
        <w:rPr>
          <w:rFonts w:hint="eastAsia" w:ascii="黑体" w:hAnsi="黑体" w:eastAsia="黑体" w:cs="黑体"/>
          <w:b/>
          <w:bCs/>
          <w:color w:val="000000"/>
          <w:sz w:val="52"/>
          <w:szCs w:val="52"/>
        </w:rPr>
        <w:t>同</w:t>
      </w:r>
    </w:p>
    <w:p w14:paraId="5CF96ED1">
      <w:pPr>
        <w:spacing w:line="360" w:lineRule="auto"/>
        <w:jc w:val="center"/>
        <w:rPr>
          <w:rFonts w:ascii="黑体" w:hAnsi="黑体" w:eastAsia="黑体" w:cs="黑体"/>
          <w:b/>
          <w:bCs/>
          <w:color w:val="000000"/>
          <w:sz w:val="52"/>
          <w:szCs w:val="52"/>
        </w:rPr>
      </w:pPr>
    </w:p>
    <w:p w14:paraId="5AE4A9FE">
      <w:pPr>
        <w:spacing w:line="360" w:lineRule="auto"/>
        <w:jc w:val="center"/>
        <w:rPr>
          <w:rFonts w:ascii="黑体" w:hAnsi="黑体" w:eastAsia="黑体" w:cs="黑体"/>
          <w:b/>
          <w:bCs/>
          <w:color w:val="000000"/>
          <w:sz w:val="52"/>
          <w:szCs w:val="52"/>
        </w:rPr>
      </w:pPr>
      <w:r>
        <w:rPr>
          <w:rFonts w:hint="eastAsia" w:ascii="黑体" w:hAnsi="黑体" w:eastAsia="黑体" w:cs="黑体"/>
          <w:b/>
          <w:bCs/>
          <w:color w:val="000000"/>
          <w:sz w:val="52"/>
          <w:szCs w:val="52"/>
        </w:rPr>
        <w:t>书</w:t>
      </w:r>
    </w:p>
    <w:p w14:paraId="145AC8FF">
      <w:pPr>
        <w:pStyle w:val="2"/>
        <w:jc w:val="both"/>
      </w:pPr>
    </w:p>
    <w:p w14:paraId="05171645">
      <w:pPr>
        <w:spacing w:line="360" w:lineRule="auto"/>
        <w:rPr>
          <w:rFonts w:ascii="仿宋" w:hAnsi="仿宋" w:eastAsia="仿宋" w:cs="仿宋"/>
          <w:color w:val="000000"/>
          <w:sz w:val="44"/>
          <w:szCs w:val="44"/>
        </w:rPr>
      </w:pPr>
    </w:p>
    <w:p w14:paraId="03428270">
      <w:pPr>
        <w:spacing w:line="360" w:lineRule="auto"/>
        <w:rPr>
          <w:rFonts w:ascii="宋体" w:hAnsi="宋体" w:eastAsia="等线" w:cs="仿宋"/>
          <w:color w:val="000000"/>
          <w:sz w:val="36"/>
          <w:szCs w:val="36"/>
          <w:u w:val="single"/>
        </w:rPr>
      </w:pPr>
      <w:r>
        <w:rPr>
          <w:rFonts w:hint="eastAsia" w:ascii="宋体" w:hAnsi="宋体" w:eastAsia="等线" w:cs="仿宋"/>
          <w:color w:val="000000"/>
          <w:sz w:val="36"/>
          <w:szCs w:val="36"/>
        </w:rPr>
        <w:t xml:space="preserve">项 </w:t>
      </w:r>
      <w:r>
        <w:rPr>
          <w:rFonts w:ascii="宋体" w:hAnsi="宋体" w:eastAsia="等线" w:cs="仿宋"/>
          <w:color w:val="000000"/>
          <w:sz w:val="36"/>
          <w:szCs w:val="36"/>
        </w:rPr>
        <w:t xml:space="preserve">  </w:t>
      </w:r>
      <w:r>
        <w:rPr>
          <w:rFonts w:hint="eastAsia" w:ascii="宋体" w:hAnsi="宋体" w:eastAsia="等线" w:cs="仿宋"/>
          <w:color w:val="000000"/>
          <w:sz w:val="36"/>
          <w:szCs w:val="36"/>
        </w:rPr>
        <w:t xml:space="preserve">目 </w:t>
      </w:r>
      <w:r>
        <w:rPr>
          <w:rFonts w:ascii="宋体" w:hAnsi="宋体" w:eastAsia="等线" w:cs="仿宋"/>
          <w:color w:val="000000"/>
          <w:sz w:val="36"/>
          <w:szCs w:val="36"/>
        </w:rPr>
        <w:t xml:space="preserve">  </w:t>
      </w:r>
      <w:r>
        <w:rPr>
          <w:rFonts w:hint="eastAsia" w:ascii="宋体" w:hAnsi="宋体" w:eastAsia="等线" w:cs="仿宋"/>
          <w:color w:val="000000"/>
          <w:sz w:val="36"/>
          <w:szCs w:val="36"/>
          <w:lang w:val="en-US" w:eastAsia="zh-CN"/>
        </w:rPr>
        <w:t>包   段</w:t>
      </w:r>
      <w:r>
        <w:rPr>
          <w:rFonts w:hint="eastAsia" w:ascii="宋体" w:hAnsi="宋体" w:eastAsia="等线" w:cs="仿宋"/>
          <w:color w:val="000000"/>
          <w:sz w:val="36"/>
          <w:szCs w:val="36"/>
        </w:rPr>
        <w:t>：</w:t>
      </w:r>
      <w:r>
        <w:rPr>
          <w:rFonts w:hint="eastAsia" w:ascii="宋体" w:hAnsi="宋体" w:eastAsia="等线" w:cs="仿宋"/>
          <w:color w:val="000000"/>
          <w:sz w:val="36"/>
          <w:szCs w:val="36"/>
          <w:u w:val="single"/>
        </w:rPr>
        <w:t xml:space="preserve">  </w:t>
      </w:r>
      <w:r>
        <w:rPr>
          <w:rFonts w:ascii="宋体" w:hAnsi="宋体" w:eastAsia="等线" w:cs="仿宋"/>
          <w:color w:val="000000"/>
          <w:sz w:val="36"/>
          <w:szCs w:val="36"/>
          <w:u w:val="single"/>
        </w:rPr>
        <w:t xml:space="preserve">  </w:t>
      </w:r>
      <w:r>
        <w:rPr>
          <w:rFonts w:hint="eastAsia" w:ascii="宋体" w:hAnsi="宋体" w:eastAsia="等线" w:cs="仿宋"/>
          <w:color w:val="000000"/>
          <w:sz w:val="36"/>
          <w:szCs w:val="36"/>
          <w:u w:val="single"/>
          <w:lang w:val="en-US" w:eastAsia="zh-CN"/>
        </w:rPr>
        <w:t xml:space="preserve">                    </w:t>
      </w:r>
      <w:r>
        <w:rPr>
          <w:rFonts w:hint="eastAsia" w:ascii="宋体" w:hAnsi="宋体" w:eastAsia="等线" w:cs="仿宋"/>
          <w:color w:val="000000"/>
          <w:sz w:val="36"/>
          <w:szCs w:val="36"/>
          <w:u w:val="single"/>
        </w:rPr>
        <w:t xml:space="preserve"> </w:t>
      </w:r>
    </w:p>
    <w:p w14:paraId="4151101D">
      <w:pPr>
        <w:spacing w:line="360" w:lineRule="auto"/>
        <w:rPr>
          <w:rFonts w:ascii="宋体" w:hAnsi="宋体" w:eastAsia="等线" w:cs="仿宋"/>
          <w:color w:val="000000"/>
          <w:sz w:val="36"/>
          <w:szCs w:val="36"/>
        </w:rPr>
      </w:pPr>
      <w:r>
        <w:rPr>
          <w:rFonts w:hint="eastAsia" w:ascii="宋体" w:hAnsi="宋体" w:eastAsia="等线" w:cs="仿宋"/>
          <w:color w:val="000000"/>
          <w:sz w:val="36"/>
          <w:szCs w:val="36"/>
        </w:rPr>
        <w:t xml:space="preserve">编      </w:t>
      </w:r>
      <w:r>
        <w:rPr>
          <w:rFonts w:ascii="宋体" w:hAnsi="宋体" w:eastAsia="等线" w:cs="仿宋"/>
          <w:color w:val="000000"/>
          <w:sz w:val="36"/>
          <w:szCs w:val="36"/>
        </w:rPr>
        <w:t xml:space="preserve">      </w:t>
      </w:r>
      <w:r>
        <w:rPr>
          <w:rFonts w:hint="eastAsia" w:ascii="宋体" w:hAnsi="宋体" w:eastAsia="等线" w:cs="仿宋"/>
          <w:color w:val="000000"/>
          <w:sz w:val="36"/>
          <w:szCs w:val="36"/>
        </w:rPr>
        <w:t xml:space="preserve"> 号：</w:t>
      </w:r>
      <w:r>
        <w:rPr>
          <w:rFonts w:hint="eastAsia" w:ascii="宋体" w:hAnsi="宋体" w:eastAsia="等线" w:cs="仿宋"/>
          <w:b/>
          <w:bCs/>
          <w:color w:val="000000"/>
          <w:sz w:val="36"/>
          <w:szCs w:val="36"/>
          <w:u w:val="single"/>
        </w:rPr>
        <w:t xml:space="preserve">              </w:t>
      </w:r>
      <w:r>
        <w:rPr>
          <w:rFonts w:ascii="宋体" w:hAnsi="宋体" w:eastAsia="等线" w:cs="仿宋"/>
          <w:b/>
          <w:bCs/>
          <w:color w:val="000000"/>
          <w:sz w:val="36"/>
          <w:szCs w:val="36"/>
          <w:u w:val="single"/>
        </w:rPr>
        <w:t xml:space="preserve">        </w:t>
      </w:r>
      <w:r>
        <w:rPr>
          <w:rFonts w:hint="eastAsia" w:ascii="宋体" w:hAnsi="宋体" w:eastAsia="等线" w:cs="仿宋"/>
          <w:b/>
          <w:bCs/>
          <w:color w:val="000000"/>
          <w:sz w:val="36"/>
          <w:szCs w:val="36"/>
          <w:u w:val="single"/>
        </w:rPr>
        <w:t xml:space="preserve">   </w:t>
      </w:r>
      <w:r>
        <w:rPr>
          <w:rFonts w:hint="eastAsia" w:ascii="宋体" w:hAnsi="宋体" w:eastAsia="等线" w:cs="仿宋"/>
          <w:color w:val="000000"/>
          <w:sz w:val="36"/>
          <w:szCs w:val="36"/>
        </w:rPr>
        <w:t xml:space="preserve"> </w:t>
      </w:r>
    </w:p>
    <w:p w14:paraId="26A00526">
      <w:pPr>
        <w:spacing w:line="360" w:lineRule="auto"/>
        <w:jc w:val="center"/>
        <w:rPr>
          <w:rFonts w:hint="eastAsia" w:ascii="仿宋" w:hAnsi="仿宋" w:eastAsia="仿宋" w:cs="仿宋"/>
          <w:color w:val="000000"/>
          <w:sz w:val="32"/>
          <w:szCs w:val="32"/>
        </w:rPr>
      </w:pPr>
    </w:p>
    <w:p w14:paraId="7759FB0A">
      <w:pPr>
        <w:spacing w:line="360" w:lineRule="auto"/>
        <w:jc w:val="center"/>
        <w:rPr>
          <w:rFonts w:hint="eastAsia" w:ascii="仿宋" w:hAnsi="仿宋" w:eastAsia="仿宋" w:cs="仿宋"/>
          <w:color w:val="000000"/>
          <w:sz w:val="32"/>
          <w:szCs w:val="32"/>
        </w:rPr>
      </w:pPr>
    </w:p>
    <w:p w14:paraId="746DBFED">
      <w:pPr>
        <w:spacing w:line="360" w:lineRule="auto"/>
        <w:jc w:val="center"/>
        <w:rPr>
          <w:rFonts w:ascii="仿宋" w:hAnsi="仿宋" w:eastAsia="仿宋" w:cs="仿宋"/>
          <w:color w:val="000000"/>
          <w:sz w:val="32"/>
          <w:szCs w:val="32"/>
        </w:rPr>
      </w:pPr>
      <w:r>
        <w:rPr>
          <w:rFonts w:hint="eastAsia" w:ascii="仿宋" w:hAnsi="仿宋" w:eastAsia="仿宋" w:cs="仿宋"/>
          <w:color w:val="000000"/>
          <w:sz w:val="32"/>
          <w:szCs w:val="32"/>
        </w:rPr>
        <w:t>20</w:t>
      </w:r>
      <w:r>
        <w:rPr>
          <w:rFonts w:hint="eastAsia" w:ascii="仿宋" w:hAnsi="仿宋" w:eastAsia="仿宋" w:cs="仿宋"/>
          <w:color w:val="000000"/>
          <w:sz w:val="32"/>
          <w:szCs w:val="32"/>
          <w:lang w:val="en-US" w:eastAsia="zh-CN"/>
        </w:rPr>
        <w:t>24</w:t>
      </w:r>
      <w:r>
        <w:rPr>
          <w:rFonts w:hint="eastAsia" w:ascii="仿宋" w:hAnsi="仿宋" w:eastAsia="仿宋" w:cs="仿宋"/>
          <w:color w:val="000000"/>
          <w:sz w:val="32"/>
          <w:szCs w:val="32"/>
        </w:rPr>
        <w:t>年</w:t>
      </w:r>
      <w:r>
        <w:rPr>
          <w:rFonts w:hint="eastAsia" w:ascii="仿宋" w:hAnsi="仿宋" w:eastAsia="仿宋" w:cs="仿宋"/>
          <w:color w:val="000000"/>
          <w:sz w:val="32"/>
          <w:szCs w:val="32"/>
          <w:lang w:val="en-US" w:eastAsia="zh-CN"/>
        </w:rPr>
        <w:t xml:space="preserve"> </w:t>
      </w:r>
      <w:r>
        <w:rPr>
          <w:rFonts w:hint="eastAsia" w:ascii="仿宋" w:hAnsi="仿宋" w:eastAsia="仿宋" w:cs="仿宋"/>
          <w:color w:val="000000"/>
          <w:sz w:val="32"/>
          <w:szCs w:val="32"/>
        </w:rPr>
        <w:t xml:space="preserve">  月   日</w:t>
      </w:r>
    </w:p>
    <w:p w14:paraId="6E57C947">
      <w:pPr>
        <w:spacing w:line="360" w:lineRule="auto"/>
        <w:jc w:val="center"/>
        <w:rPr>
          <w:rFonts w:ascii="宋体" w:hAnsi="宋体" w:eastAsia="宋体" w:cs="Times New Roman"/>
          <w:b/>
          <w:color w:val="000000"/>
          <w:sz w:val="44"/>
          <w:szCs w:val="44"/>
          <w:shd w:val="clear" w:color="auto" w:fill="FFFFFF"/>
        </w:rPr>
        <w:sectPr>
          <w:footerReference r:id="rId6" w:type="default"/>
          <w:pgSz w:w="11906" w:h="16838"/>
          <w:pgMar w:top="1440" w:right="1800" w:bottom="1440" w:left="1800" w:header="851" w:footer="992" w:gutter="0"/>
          <w:pgNumType w:fmt="numberInDash"/>
          <w:cols w:space="425" w:num="1"/>
          <w:docGrid w:type="lines" w:linePitch="312" w:charSpace="0"/>
        </w:sectPr>
      </w:pPr>
      <w:r>
        <w:rPr>
          <w:rFonts w:hint="eastAsia" w:ascii="仿宋" w:hAnsi="仿宋" w:eastAsia="仿宋" w:cs="仿宋"/>
          <w:bCs/>
          <w:color w:val="000000"/>
          <w:sz w:val="32"/>
          <w:szCs w:val="32"/>
        </w:rPr>
        <w:t>郑州市郑东新区</w:t>
      </w:r>
      <w:r>
        <w:rPr>
          <w:rFonts w:ascii="仿宋" w:hAnsi="仿宋" w:eastAsia="仿宋" w:cs="仿宋"/>
          <w:bCs/>
          <w:color w:val="000000"/>
          <w:sz w:val="32"/>
          <w:szCs w:val="32"/>
        </w:rPr>
        <w:t>社会事业局</w:t>
      </w:r>
    </w:p>
    <w:p w14:paraId="41FB6D66">
      <w:pPr>
        <w:keepNext w:val="0"/>
        <w:keepLines w:val="0"/>
        <w:pageBreakBefore w:val="0"/>
        <w:kinsoku/>
        <w:wordWrap/>
        <w:overflowPunct/>
        <w:topLinePunct w:val="0"/>
        <w:autoSpaceDE/>
        <w:autoSpaceDN/>
        <w:bidi w:val="0"/>
        <w:adjustRightInd w:val="0"/>
        <w:snapToGrid w:val="0"/>
        <w:spacing w:line="560" w:lineRule="exact"/>
        <w:ind w:right="-395" w:rightChars="-188" w:firstLine="320" w:firstLineChars="100"/>
        <w:textAlignment w:val="auto"/>
        <w:rPr>
          <w:rFonts w:hint="eastAsia" w:ascii="黑体" w:hAnsi="黑体" w:eastAsia="黑体" w:cs="黑体"/>
          <w:b w:val="0"/>
          <w:bCs w:val="0"/>
          <w:color w:val="auto"/>
          <w:sz w:val="32"/>
          <w:szCs w:val="32"/>
          <w:highlight w:val="none"/>
        </w:rPr>
      </w:pPr>
      <w:r>
        <w:rPr>
          <w:rFonts w:hint="eastAsia" w:ascii="黑体" w:hAnsi="黑体" w:eastAsia="黑体" w:cs="黑体"/>
          <w:b w:val="0"/>
          <w:bCs w:val="0"/>
          <w:color w:val="auto"/>
          <w:sz w:val="32"/>
          <w:szCs w:val="32"/>
          <w:highlight w:val="none"/>
        </w:rPr>
        <w:t>第一条：本合同当事人</w:t>
      </w:r>
    </w:p>
    <w:p w14:paraId="3A841BEA">
      <w:pPr>
        <w:keepNext w:val="0"/>
        <w:keepLines w:val="0"/>
        <w:pageBreakBefore w:val="0"/>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u w:val="none"/>
        </w:rPr>
      </w:pPr>
      <w:r>
        <w:rPr>
          <w:rFonts w:hint="eastAsia" w:ascii="仿宋" w:hAnsi="仿宋" w:eastAsia="仿宋" w:cs="仿宋"/>
          <w:color w:val="auto"/>
          <w:sz w:val="32"/>
          <w:szCs w:val="32"/>
          <w:highlight w:val="none"/>
        </w:rPr>
        <w:t>甲方（服务</w:t>
      </w:r>
      <w:r>
        <w:rPr>
          <w:rFonts w:hint="eastAsia" w:ascii="仿宋" w:hAnsi="仿宋" w:eastAsia="仿宋" w:cs="仿宋"/>
          <w:color w:val="auto"/>
          <w:sz w:val="32"/>
          <w:szCs w:val="32"/>
          <w:highlight w:val="none"/>
          <w:lang w:val="en-US" w:eastAsia="zh-CN"/>
        </w:rPr>
        <w:t>购买方</w:t>
      </w:r>
      <w:r>
        <w:rPr>
          <w:rFonts w:hint="eastAsia" w:ascii="仿宋" w:hAnsi="仿宋" w:eastAsia="仿宋" w:cs="仿宋"/>
          <w:color w:val="auto"/>
          <w:sz w:val="32"/>
          <w:szCs w:val="32"/>
          <w:highlight w:val="none"/>
        </w:rPr>
        <w:t>）：</w:t>
      </w:r>
      <w:r>
        <w:rPr>
          <w:rFonts w:hint="eastAsia" w:ascii="仿宋" w:hAnsi="仿宋" w:eastAsia="仿宋" w:cs="仿宋"/>
          <w:color w:val="auto"/>
          <w:sz w:val="32"/>
          <w:szCs w:val="32"/>
          <w:highlight w:val="none"/>
          <w:u w:val="single"/>
          <w:lang w:val="en-US" w:eastAsia="zh-CN"/>
        </w:rPr>
        <w:t xml:space="preserve">    </w:t>
      </w:r>
      <w:r>
        <w:rPr>
          <w:rFonts w:hint="eastAsia" w:ascii="仿宋" w:hAnsi="仿宋" w:eastAsia="仿宋" w:cs="仿宋"/>
          <w:color w:val="auto"/>
          <w:sz w:val="32"/>
          <w:szCs w:val="32"/>
          <w:highlight w:val="none"/>
          <w:u w:val="single"/>
        </w:rPr>
        <w:t>郑州市郑东新区社会事业局</w:t>
      </w:r>
      <w:r>
        <w:rPr>
          <w:rFonts w:hint="eastAsia" w:ascii="仿宋" w:hAnsi="仿宋" w:eastAsia="仿宋" w:cs="仿宋"/>
          <w:color w:val="auto"/>
          <w:sz w:val="32"/>
          <w:szCs w:val="32"/>
          <w:highlight w:val="none"/>
          <w:u w:val="single"/>
          <w:lang w:val="en-US" w:eastAsia="zh-CN"/>
        </w:rPr>
        <w:t xml:space="preserve">     </w:t>
      </w:r>
      <w:r>
        <w:rPr>
          <w:rFonts w:hint="eastAsia" w:ascii="仿宋" w:hAnsi="仿宋" w:eastAsia="仿宋" w:cs="仿宋"/>
          <w:color w:val="auto"/>
          <w:sz w:val="32"/>
          <w:szCs w:val="32"/>
          <w:highlight w:val="none"/>
          <w:u w:val="none"/>
          <w:lang w:val="en-US" w:eastAsia="zh-CN"/>
        </w:rPr>
        <w:t xml:space="preserve"> </w:t>
      </w:r>
      <w:r>
        <w:rPr>
          <w:rFonts w:hint="eastAsia" w:ascii="仿宋" w:hAnsi="仿宋" w:eastAsia="仿宋" w:cs="仿宋"/>
          <w:color w:val="auto"/>
          <w:sz w:val="32"/>
          <w:szCs w:val="32"/>
          <w:highlight w:val="none"/>
          <w:u w:val="none"/>
        </w:rPr>
        <w:t xml:space="preserve"> </w:t>
      </w:r>
    </w:p>
    <w:p w14:paraId="11BB5985">
      <w:pPr>
        <w:keepNext w:val="0"/>
        <w:keepLines w:val="0"/>
        <w:pageBreakBefore w:val="0"/>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default" w:ascii="仿宋" w:hAnsi="仿宋" w:eastAsia="仿宋" w:cs="仿宋"/>
          <w:color w:val="auto"/>
          <w:sz w:val="32"/>
          <w:szCs w:val="32"/>
          <w:highlight w:val="none"/>
          <w:u w:val="single"/>
          <w:lang w:val="en-US"/>
        </w:rPr>
      </w:pPr>
      <w:r>
        <w:rPr>
          <w:rFonts w:hint="eastAsia" w:ascii="仿宋" w:hAnsi="仿宋" w:eastAsia="仿宋" w:cs="仿宋"/>
          <w:color w:val="auto"/>
          <w:sz w:val="32"/>
          <w:szCs w:val="32"/>
          <w:highlight w:val="none"/>
        </w:rPr>
        <w:t>乙方（服务</w:t>
      </w:r>
      <w:r>
        <w:rPr>
          <w:rFonts w:hint="eastAsia" w:ascii="仿宋" w:hAnsi="仿宋" w:eastAsia="仿宋" w:cs="仿宋"/>
          <w:color w:val="auto"/>
          <w:sz w:val="32"/>
          <w:szCs w:val="32"/>
          <w:highlight w:val="none"/>
          <w:lang w:val="en-US" w:eastAsia="zh-CN"/>
        </w:rPr>
        <w:t>承接方</w:t>
      </w:r>
      <w:r>
        <w:rPr>
          <w:rFonts w:hint="eastAsia" w:ascii="仿宋" w:hAnsi="仿宋" w:eastAsia="仿宋" w:cs="仿宋"/>
          <w:color w:val="auto"/>
          <w:sz w:val="32"/>
          <w:szCs w:val="32"/>
          <w:highlight w:val="none"/>
        </w:rPr>
        <w:t>）</w:t>
      </w: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u w:val="single"/>
          <w:lang w:val="en-US" w:eastAsia="zh-CN"/>
        </w:rPr>
        <w:t xml:space="preserve">                                 </w:t>
      </w:r>
    </w:p>
    <w:p w14:paraId="1552823F">
      <w:pPr>
        <w:keepNext w:val="0"/>
        <w:keepLines w:val="0"/>
        <w:pageBreakBefore w:val="0"/>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default" w:ascii="仿宋" w:hAnsi="仿宋" w:eastAsia="仿宋" w:cs="仿宋"/>
          <w:color w:val="auto"/>
          <w:sz w:val="32"/>
          <w:szCs w:val="32"/>
          <w:highlight w:val="none"/>
          <w:u w:val="single"/>
          <w:lang w:val="en-US"/>
        </w:rPr>
      </w:pPr>
      <w:r>
        <w:rPr>
          <w:rFonts w:hint="eastAsia" w:ascii="仿宋" w:hAnsi="仿宋" w:eastAsia="仿宋" w:cs="仿宋"/>
          <w:color w:val="auto"/>
          <w:sz w:val="32"/>
          <w:szCs w:val="32"/>
          <w:highlight w:val="none"/>
        </w:rPr>
        <w:t>法定代表人/负责人：</w:t>
      </w:r>
      <w:r>
        <w:rPr>
          <w:rFonts w:hint="eastAsia" w:ascii="仿宋" w:hAnsi="仿宋" w:eastAsia="仿宋" w:cs="仿宋"/>
          <w:color w:val="auto"/>
          <w:sz w:val="32"/>
          <w:szCs w:val="32"/>
          <w:highlight w:val="none"/>
          <w:u w:val="single"/>
        </w:rPr>
        <w:t xml:space="preserve">                           </w:t>
      </w:r>
      <w:r>
        <w:rPr>
          <w:rFonts w:hint="eastAsia" w:ascii="仿宋" w:hAnsi="仿宋" w:eastAsia="仿宋" w:cs="仿宋"/>
          <w:color w:val="auto"/>
          <w:sz w:val="32"/>
          <w:szCs w:val="32"/>
          <w:highlight w:val="none"/>
          <w:u w:val="single"/>
          <w:lang w:val="en-US" w:eastAsia="zh-CN"/>
        </w:rPr>
        <w:t xml:space="preserve">      </w:t>
      </w:r>
    </w:p>
    <w:p w14:paraId="5D576158">
      <w:pPr>
        <w:keepNext w:val="0"/>
        <w:keepLines w:val="0"/>
        <w:pageBreakBefore w:val="0"/>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根据</w:t>
      </w:r>
      <w:r>
        <w:rPr>
          <w:rFonts w:hint="eastAsia" w:ascii="仿宋" w:hAnsi="仿宋" w:eastAsia="仿宋" w:cs="仿宋"/>
          <w:bCs/>
          <w:color w:val="auto"/>
          <w:sz w:val="32"/>
          <w:szCs w:val="32"/>
          <w:highlight w:val="none"/>
        </w:rPr>
        <w:t>《郑东新区政府购买社会工作服务实施办法》（郑东</w:t>
      </w:r>
      <w:r>
        <w:rPr>
          <w:rFonts w:hint="eastAsia" w:ascii="仿宋" w:hAnsi="仿宋" w:eastAsia="仿宋" w:cs="仿宋"/>
          <w:bCs/>
          <w:color w:val="auto"/>
          <w:sz w:val="32"/>
          <w:szCs w:val="32"/>
          <w:highlight w:val="none"/>
          <w:lang w:val="en-US" w:eastAsia="zh-CN"/>
        </w:rPr>
        <w:t>办</w:t>
      </w:r>
      <w:r>
        <w:rPr>
          <w:rFonts w:hint="eastAsia" w:ascii="仿宋" w:hAnsi="仿宋" w:eastAsia="仿宋" w:cs="仿宋"/>
          <w:bCs/>
          <w:color w:val="auto"/>
          <w:sz w:val="32"/>
          <w:szCs w:val="32"/>
          <w:highlight w:val="none"/>
        </w:rPr>
        <w:t>〔2020〕32号）</w:t>
      </w:r>
      <w:r>
        <w:rPr>
          <w:rFonts w:hint="eastAsia" w:ascii="仿宋" w:hAnsi="仿宋" w:eastAsia="仿宋" w:cs="仿宋"/>
          <w:color w:val="auto"/>
          <w:sz w:val="32"/>
          <w:szCs w:val="32"/>
          <w:highlight w:val="none"/>
        </w:rPr>
        <w:t>文件的要求，在平等、自愿、互利的基础上，经共同协商，就甲方将委托乙方对相关服务事宜，订立本合同。</w:t>
      </w:r>
    </w:p>
    <w:p w14:paraId="66EBEABA">
      <w:pPr>
        <w:keepNext w:val="0"/>
        <w:keepLines w:val="0"/>
        <w:pageBreakBefore w:val="0"/>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黑体" w:hAnsi="黑体" w:eastAsia="黑体" w:cs="黑体"/>
          <w:b w:val="0"/>
          <w:bCs w:val="0"/>
          <w:color w:val="auto"/>
          <w:sz w:val="32"/>
          <w:szCs w:val="32"/>
          <w:highlight w:val="none"/>
        </w:rPr>
      </w:pPr>
      <w:r>
        <w:rPr>
          <w:rFonts w:hint="eastAsia" w:ascii="黑体" w:hAnsi="黑体" w:eastAsia="黑体" w:cs="黑体"/>
          <w:b w:val="0"/>
          <w:bCs w:val="0"/>
          <w:color w:val="auto"/>
          <w:sz w:val="32"/>
          <w:szCs w:val="32"/>
          <w:highlight w:val="none"/>
        </w:rPr>
        <w:t>第二条：价格</w:t>
      </w:r>
    </w:p>
    <w:p w14:paraId="153F95FE">
      <w:pPr>
        <w:keepNext w:val="0"/>
        <w:keepLines w:val="0"/>
        <w:pageBreakBefore w:val="0"/>
        <w:numPr>
          <w:ilvl w:val="0"/>
          <w:numId w:val="2"/>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u w:val="single"/>
        </w:rPr>
      </w:pPr>
      <w:r>
        <w:rPr>
          <w:rFonts w:hint="eastAsia" w:ascii="仿宋" w:hAnsi="仿宋" w:eastAsia="仿宋" w:cs="仿宋"/>
          <w:color w:val="auto"/>
          <w:sz w:val="32"/>
          <w:szCs w:val="32"/>
          <w:highlight w:val="none"/>
        </w:rPr>
        <w:t>合同总价（人民币）：</w:t>
      </w:r>
      <w:r>
        <w:rPr>
          <w:rFonts w:hint="eastAsia" w:ascii="仿宋" w:hAnsi="仿宋" w:eastAsia="仿宋" w:cs="仿宋"/>
          <w:color w:val="auto"/>
          <w:sz w:val="32"/>
          <w:szCs w:val="32"/>
          <w:highlight w:val="none"/>
          <w:u w:val="single"/>
        </w:rPr>
        <w:t xml:space="preserve">           </w:t>
      </w:r>
      <w:r>
        <w:rPr>
          <w:rFonts w:hint="eastAsia" w:ascii="仿宋" w:hAnsi="仿宋" w:eastAsia="仿宋" w:cs="仿宋"/>
          <w:color w:val="auto"/>
          <w:sz w:val="32"/>
          <w:szCs w:val="32"/>
          <w:highlight w:val="none"/>
        </w:rPr>
        <w:t xml:space="preserve">万元。 </w:t>
      </w:r>
    </w:p>
    <w:p w14:paraId="2CF8140C">
      <w:pPr>
        <w:keepNext w:val="0"/>
        <w:keepLines w:val="0"/>
        <w:pageBreakBefore w:val="0"/>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color w:val="auto"/>
        </w:rPr>
      </w:pPr>
      <w:r>
        <w:rPr>
          <w:rFonts w:hint="eastAsia" w:ascii="仿宋" w:hAnsi="仿宋" w:eastAsia="仿宋" w:cs="仿宋"/>
          <w:color w:val="auto"/>
          <w:sz w:val="32"/>
          <w:szCs w:val="32"/>
          <w:highlight w:val="none"/>
        </w:rPr>
        <w:t xml:space="preserve">  大写：</w:t>
      </w:r>
      <w:r>
        <w:rPr>
          <w:rFonts w:hint="eastAsia" w:ascii="仿宋" w:hAnsi="仿宋" w:eastAsia="仿宋" w:cs="仿宋"/>
          <w:color w:val="auto"/>
          <w:sz w:val="32"/>
          <w:szCs w:val="32"/>
          <w:highlight w:val="none"/>
          <w:u w:val="single"/>
        </w:rPr>
        <w:t xml:space="preserve">  </w:t>
      </w:r>
      <w:r>
        <w:rPr>
          <w:rFonts w:hint="eastAsia" w:ascii="仿宋" w:hAnsi="仿宋" w:eastAsia="仿宋" w:cs="仿宋"/>
          <w:color w:val="auto"/>
          <w:sz w:val="32"/>
          <w:szCs w:val="32"/>
          <w:highlight w:val="none"/>
          <w:u w:val="single"/>
          <w:lang w:val="en-US" w:eastAsia="zh-CN"/>
        </w:rPr>
        <w:t xml:space="preserve">                          </w:t>
      </w:r>
      <w:r>
        <w:rPr>
          <w:rFonts w:hint="eastAsia" w:ascii="仿宋" w:hAnsi="仿宋" w:eastAsia="仿宋" w:cs="仿宋"/>
          <w:color w:val="auto"/>
          <w:sz w:val="32"/>
          <w:szCs w:val="32"/>
          <w:highlight w:val="none"/>
          <w:u w:val="single"/>
        </w:rPr>
        <w:t xml:space="preserve">   </w:t>
      </w:r>
      <w:r>
        <w:rPr>
          <w:rFonts w:hint="eastAsia" w:ascii="仿宋" w:hAnsi="仿宋" w:eastAsia="仿宋" w:cs="仿宋"/>
          <w:color w:val="auto"/>
          <w:sz w:val="32"/>
          <w:szCs w:val="32"/>
          <w:highlight w:val="none"/>
        </w:rPr>
        <w:t>。</w:t>
      </w:r>
    </w:p>
    <w:p w14:paraId="0B53B4E8">
      <w:pPr>
        <w:keepNext w:val="0"/>
        <w:keepLines w:val="0"/>
        <w:pageBreakBefore w:val="0"/>
        <w:numPr>
          <w:ilvl w:val="0"/>
          <w:numId w:val="2"/>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合同总价包括了所有服务人员薪酬、督导培训、办公经费、服务活动、项目管理、技术支持、税费（包括关税、增值税）、保险费等全部费用。</w:t>
      </w:r>
    </w:p>
    <w:p w14:paraId="54787DC0">
      <w:pPr>
        <w:pStyle w:val="79"/>
        <w:keepNext w:val="0"/>
        <w:keepLines w:val="0"/>
        <w:pageBreakBefore w:val="0"/>
        <w:numPr>
          <w:ilvl w:val="0"/>
          <w:numId w:val="0"/>
        </w:numPr>
        <w:kinsoku/>
        <w:wordWrap/>
        <w:overflowPunct/>
        <w:topLinePunct w:val="0"/>
        <w:autoSpaceDE/>
        <w:autoSpaceDN/>
        <w:bidi w:val="0"/>
        <w:adjustRightInd w:val="0"/>
        <w:snapToGrid w:val="0"/>
        <w:spacing w:line="560" w:lineRule="exact"/>
        <w:ind w:left="-199" w:leftChars="-95" w:right="-395" w:rightChars="-188" w:firstLine="640" w:firstLineChars="200"/>
        <w:jc w:val="left"/>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3.项目薪酬部分占据项目总款项比例不得低于89%，</w:t>
      </w:r>
      <w:r>
        <w:rPr>
          <w:rFonts w:hint="eastAsia" w:ascii="仿宋" w:hAnsi="仿宋" w:eastAsia="仿宋" w:cs="仿宋"/>
          <w:bCs/>
          <w:color w:val="auto"/>
          <w:sz w:val="32"/>
          <w:szCs w:val="32"/>
          <w:highlight w:val="none"/>
          <w:lang w:eastAsia="zh-CN"/>
        </w:rPr>
        <w:t>项目社工薪酬构成包含基础工资、社保、公积金和</w:t>
      </w:r>
      <w:r>
        <w:rPr>
          <w:rFonts w:hint="eastAsia" w:ascii="仿宋" w:hAnsi="仿宋" w:eastAsia="仿宋" w:cs="仿宋"/>
          <w:bCs/>
          <w:color w:val="auto"/>
          <w:sz w:val="32"/>
          <w:szCs w:val="32"/>
          <w:highlight w:val="none"/>
          <w:lang w:val="en-US" w:eastAsia="zh-CN"/>
        </w:rPr>
        <w:t>社会服务绩效</w:t>
      </w:r>
      <w:r>
        <w:rPr>
          <w:rFonts w:hint="eastAsia" w:ascii="仿宋" w:hAnsi="仿宋" w:eastAsia="仿宋" w:cs="仿宋"/>
          <w:bCs/>
          <w:color w:val="auto"/>
          <w:sz w:val="32"/>
          <w:szCs w:val="32"/>
          <w:highlight w:val="none"/>
          <w:lang w:eastAsia="zh-CN"/>
        </w:rPr>
        <w:t>，其中绩效额度由甲方</w:t>
      </w:r>
      <w:r>
        <w:rPr>
          <w:rFonts w:hint="eastAsia" w:ascii="仿宋" w:hAnsi="仿宋" w:eastAsia="仿宋" w:cs="仿宋"/>
          <w:bCs/>
          <w:color w:val="auto"/>
          <w:sz w:val="32"/>
          <w:szCs w:val="32"/>
          <w:highlight w:val="none"/>
          <w:lang w:val="en-US" w:eastAsia="zh-CN"/>
        </w:rPr>
        <w:t>能力评定结果</w:t>
      </w:r>
      <w:r>
        <w:rPr>
          <w:rFonts w:hint="eastAsia" w:ascii="仿宋" w:hAnsi="仿宋" w:eastAsia="仿宋" w:cs="仿宋"/>
          <w:bCs/>
          <w:color w:val="auto"/>
          <w:sz w:val="32"/>
          <w:szCs w:val="32"/>
          <w:highlight w:val="none"/>
          <w:lang w:eastAsia="zh-CN"/>
        </w:rPr>
        <w:t>确定</w:t>
      </w:r>
      <w:r>
        <w:rPr>
          <w:rFonts w:hint="eastAsia" w:ascii="仿宋" w:hAnsi="仿宋" w:eastAsia="仿宋" w:cs="仿宋"/>
          <w:bCs/>
          <w:color w:val="auto"/>
          <w:sz w:val="32"/>
          <w:szCs w:val="32"/>
          <w:highlight w:val="none"/>
          <w:lang w:val="en-US" w:eastAsia="zh-CN"/>
        </w:rPr>
        <w:t>，</w:t>
      </w:r>
      <w:r>
        <w:rPr>
          <w:rFonts w:hint="eastAsia" w:ascii="仿宋" w:hAnsi="仿宋" w:eastAsia="仿宋" w:cs="仿宋"/>
          <w:bCs/>
          <w:color w:val="auto"/>
          <w:sz w:val="32"/>
          <w:szCs w:val="32"/>
          <w:highlight w:val="none"/>
          <w:lang w:eastAsia="zh-CN"/>
        </w:rPr>
        <w:t>根据《郑东新区社工能力评定》，按照</w:t>
      </w:r>
      <w:r>
        <w:rPr>
          <w:rFonts w:hint="eastAsia" w:ascii="仿宋" w:hAnsi="仿宋" w:eastAsia="仿宋" w:cs="仿宋"/>
          <w:bCs/>
          <w:color w:val="auto"/>
          <w:sz w:val="32"/>
          <w:szCs w:val="32"/>
          <w:highlight w:val="none"/>
          <w:lang w:val="en-US" w:eastAsia="zh-CN"/>
        </w:rPr>
        <w:t>季度</w:t>
      </w:r>
      <w:r>
        <w:rPr>
          <w:rFonts w:hint="eastAsia" w:ascii="仿宋" w:hAnsi="仿宋" w:eastAsia="仿宋" w:cs="仿宋"/>
          <w:bCs/>
          <w:color w:val="auto"/>
          <w:sz w:val="32"/>
          <w:szCs w:val="32"/>
          <w:highlight w:val="none"/>
          <w:lang w:eastAsia="zh-CN"/>
        </w:rPr>
        <w:t>由乙方发放至社工个人。</w:t>
      </w:r>
    </w:p>
    <w:p w14:paraId="199F8B28">
      <w:pPr>
        <w:keepNext w:val="0"/>
        <w:keepLines w:val="0"/>
        <w:pageBreakBefore w:val="0"/>
        <w:numPr>
          <w:ilvl w:val="0"/>
          <w:numId w:val="0"/>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lang w:val="en-US" w:eastAsia="zh-CN"/>
        </w:rPr>
        <w:t>4.</w:t>
      </w:r>
      <w:r>
        <w:rPr>
          <w:rFonts w:hint="eastAsia" w:ascii="仿宋" w:hAnsi="仿宋" w:eastAsia="仿宋" w:cs="仿宋"/>
          <w:color w:val="auto"/>
          <w:sz w:val="32"/>
          <w:szCs w:val="32"/>
          <w:highlight w:val="none"/>
        </w:rPr>
        <w:t>如合同内容没有变更，本合同价格为固定不变价。</w:t>
      </w:r>
    </w:p>
    <w:p w14:paraId="1089B30A">
      <w:pPr>
        <w:keepNext w:val="0"/>
        <w:keepLines w:val="0"/>
        <w:pageBreakBefore w:val="0"/>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黑体" w:hAnsi="黑体" w:eastAsia="黑体" w:cs="黑体"/>
          <w:b w:val="0"/>
          <w:bCs w:val="0"/>
          <w:color w:val="auto"/>
          <w:sz w:val="32"/>
          <w:szCs w:val="32"/>
          <w:highlight w:val="none"/>
        </w:rPr>
      </w:pPr>
      <w:r>
        <w:rPr>
          <w:rFonts w:hint="eastAsia" w:ascii="黑体" w:hAnsi="黑体" w:eastAsia="黑体" w:cs="黑体"/>
          <w:b w:val="0"/>
          <w:bCs w:val="0"/>
          <w:color w:val="auto"/>
          <w:sz w:val="32"/>
          <w:szCs w:val="32"/>
          <w:highlight w:val="none"/>
        </w:rPr>
        <w:t>第三条：项目基本情况</w:t>
      </w:r>
    </w:p>
    <w:p w14:paraId="0D6BC4DD">
      <w:pPr>
        <w:pStyle w:val="79"/>
        <w:keepNext w:val="0"/>
        <w:keepLines w:val="0"/>
        <w:pageBreakBefore w:val="0"/>
        <w:numPr>
          <w:ilvl w:val="0"/>
          <w:numId w:val="0"/>
        </w:numPr>
        <w:kinsoku/>
        <w:wordWrap/>
        <w:overflowPunct/>
        <w:topLinePunct w:val="0"/>
        <w:autoSpaceDE/>
        <w:autoSpaceDN/>
        <w:bidi w:val="0"/>
        <w:adjustRightInd w:val="0"/>
        <w:snapToGrid w:val="0"/>
        <w:spacing w:line="560" w:lineRule="exact"/>
        <w:ind w:left="-199" w:leftChars="-95" w:right="-395" w:rightChars="-188" w:firstLine="640" w:firstLineChars="200"/>
        <w:jc w:val="left"/>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1.项目包段：</w:t>
      </w:r>
      <w:r>
        <w:rPr>
          <w:rFonts w:hint="eastAsia" w:ascii="仿宋" w:hAnsi="仿宋" w:eastAsia="仿宋" w:cs="仿宋"/>
          <w:color w:val="auto"/>
          <w:sz w:val="32"/>
          <w:szCs w:val="32"/>
          <w:highlight w:val="none"/>
          <w:u w:val="single"/>
          <w:lang w:val="en-US" w:eastAsia="zh-CN"/>
        </w:rPr>
        <w:t xml:space="preserve">                                       </w:t>
      </w:r>
      <w:r>
        <w:rPr>
          <w:rFonts w:hint="eastAsia" w:ascii="仿宋" w:hAnsi="仿宋" w:eastAsia="仿宋" w:cs="仿宋"/>
          <w:color w:val="auto"/>
          <w:sz w:val="32"/>
          <w:szCs w:val="32"/>
          <w:highlight w:val="none"/>
          <w:lang w:val="en-US" w:eastAsia="zh-CN"/>
        </w:rPr>
        <w:t xml:space="preserve">                                  </w:t>
      </w:r>
    </w:p>
    <w:p w14:paraId="46E84A9E">
      <w:pPr>
        <w:pStyle w:val="79"/>
        <w:keepNext w:val="0"/>
        <w:keepLines w:val="0"/>
        <w:pageBreakBefore w:val="0"/>
        <w:numPr>
          <w:ilvl w:val="0"/>
          <w:numId w:val="0"/>
        </w:numPr>
        <w:kinsoku/>
        <w:wordWrap/>
        <w:overflowPunct/>
        <w:topLinePunct w:val="0"/>
        <w:autoSpaceDE/>
        <w:autoSpaceDN/>
        <w:bidi w:val="0"/>
        <w:adjustRightInd w:val="0"/>
        <w:snapToGrid w:val="0"/>
        <w:spacing w:line="560" w:lineRule="exact"/>
        <w:ind w:left="-199" w:leftChars="-95" w:right="-395" w:rightChars="-188" w:firstLine="640" w:firstLineChars="200"/>
        <w:jc w:val="left"/>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2.项目服务范围：</w:t>
      </w:r>
      <w:r>
        <w:rPr>
          <w:rFonts w:hint="eastAsia" w:ascii="仿宋" w:hAnsi="仿宋" w:eastAsia="仿宋" w:cs="仿宋"/>
          <w:color w:val="auto"/>
          <w:sz w:val="32"/>
          <w:szCs w:val="32"/>
          <w:highlight w:val="none"/>
          <w:u w:val="single"/>
          <w:lang w:val="en-US" w:eastAsia="zh-CN"/>
        </w:rPr>
        <w:t xml:space="preserve">                                   </w:t>
      </w:r>
      <w:r>
        <w:rPr>
          <w:rFonts w:hint="eastAsia" w:ascii="仿宋" w:hAnsi="仿宋" w:eastAsia="仿宋" w:cs="仿宋"/>
          <w:color w:val="auto"/>
          <w:sz w:val="32"/>
          <w:szCs w:val="32"/>
          <w:highlight w:val="none"/>
          <w:lang w:val="en-US" w:eastAsia="zh-CN"/>
        </w:rPr>
        <w:t xml:space="preserve">                              </w:t>
      </w:r>
    </w:p>
    <w:p w14:paraId="38FCEF77">
      <w:pPr>
        <w:pStyle w:val="79"/>
        <w:keepNext w:val="0"/>
        <w:keepLines w:val="0"/>
        <w:pageBreakBefore w:val="0"/>
        <w:numPr>
          <w:ilvl w:val="0"/>
          <w:numId w:val="0"/>
        </w:numPr>
        <w:kinsoku/>
        <w:wordWrap/>
        <w:overflowPunct/>
        <w:topLinePunct w:val="0"/>
        <w:autoSpaceDE/>
        <w:autoSpaceDN/>
        <w:bidi w:val="0"/>
        <w:adjustRightInd w:val="0"/>
        <w:snapToGrid w:val="0"/>
        <w:spacing w:line="560" w:lineRule="exact"/>
        <w:ind w:left="-199" w:leftChars="-95" w:right="-395" w:rightChars="-188" w:firstLine="640" w:firstLineChars="200"/>
        <w:jc w:val="left"/>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 xml:space="preserve">3.服务对象：参照招标文件具体要求。 </w:t>
      </w:r>
    </w:p>
    <w:p w14:paraId="2D2CDC46">
      <w:pPr>
        <w:pStyle w:val="79"/>
        <w:keepNext w:val="0"/>
        <w:keepLines w:val="0"/>
        <w:pageBreakBefore w:val="0"/>
        <w:numPr>
          <w:ilvl w:val="0"/>
          <w:numId w:val="0"/>
        </w:numPr>
        <w:kinsoku/>
        <w:wordWrap/>
        <w:overflowPunct/>
        <w:topLinePunct w:val="0"/>
        <w:autoSpaceDE/>
        <w:autoSpaceDN/>
        <w:bidi w:val="0"/>
        <w:adjustRightInd w:val="0"/>
        <w:snapToGrid w:val="0"/>
        <w:spacing w:line="560" w:lineRule="exact"/>
        <w:ind w:left="-199" w:leftChars="-95" w:right="-395" w:rightChars="-188" w:firstLine="640" w:firstLineChars="200"/>
        <w:jc w:val="left"/>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4.基本服务内容：参照招标文件具体要求。</w:t>
      </w:r>
    </w:p>
    <w:p w14:paraId="187C2DC7">
      <w:pPr>
        <w:keepNext w:val="0"/>
        <w:keepLines w:val="0"/>
        <w:pageBreakBefore w:val="0"/>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黑体" w:hAnsi="黑体" w:eastAsia="黑体" w:cs="黑体"/>
          <w:b w:val="0"/>
          <w:bCs w:val="0"/>
          <w:color w:val="auto"/>
          <w:sz w:val="32"/>
          <w:szCs w:val="32"/>
          <w:highlight w:val="none"/>
        </w:rPr>
      </w:pPr>
      <w:r>
        <w:rPr>
          <w:rFonts w:hint="eastAsia" w:ascii="黑体" w:hAnsi="黑体" w:eastAsia="黑体" w:cs="黑体"/>
          <w:b w:val="0"/>
          <w:bCs w:val="0"/>
          <w:color w:val="auto"/>
          <w:sz w:val="32"/>
          <w:szCs w:val="32"/>
          <w:highlight w:val="none"/>
        </w:rPr>
        <w:t>第四条：项目具体实施情况</w:t>
      </w:r>
    </w:p>
    <w:p w14:paraId="3FDC34D6">
      <w:pPr>
        <w:keepNext w:val="0"/>
        <w:keepLines w:val="0"/>
        <w:pageBreakBefore w:val="0"/>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sectPr>
          <w:footerReference r:id="rId7" w:type="default"/>
          <w:pgSz w:w="11906" w:h="16838"/>
          <w:pgMar w:top="1440" w:right="1800" w:bottom="1440" w:left="1800" w:header="851" w:footer="992" w:gutter="0"/>
          <w:pgNumType w:fmt="numberInDash"/>
          <w:cols w:space="425" w:num="1"/>
          <w:docGrid w:type="lines" w:linePitch="312" w:charSpace="0"/>
        </w:sectPr>
      </w:pPr>
    </w:p>
    <w:p w14:paraId="3E0B8A7B">
      <w:pPr>
        <w:keepNext w:val="0"/>
        <w:keepLines w:val="0"/>
        <w:pageBreakBefore w:val="0"/>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1.项目实施方案</w:t>
      </w:r>
    </w:p>
    <w:p w14:paraId="71BB1855">
      <w:pPr>
        <w:keepNext w:val="0"/>
        <w:keepLines w:val="0"/>
        <w:pageBreakBefore w:val="0"/>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lang w:eastAsia="zh-CN"/>
        </w:rPr>
      </w:pPr>
      <w:r>
        <w:rPr>
          <w:rFonts w:hint="eastAsia" w:ascii="仿宋" w:hAnsi="仿宋" w:eastAsia="仿宋" w:cs="仿宋"/>
          <w:color w:val="auto"/>
          <w:sz w:val="32"/>
          <w:szCs w:val="32"/>
          <w:highlight w:val="none"/>
        </w:rPr>
        <w:t>项目实施方案按照落项后与服务需求方对接协商的最终年度实施方案计划为准。</w:t>
      </w:r>
    </w:p>
    <w:p w14:paraId="582EA9AD">
      <w:pPr>
        <w:keepNext w:val="0"/>
        <w:keepLines w:val="0"/>
        <w:pageBreakBefore w:val="0"/>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2.项目服务指标</w:t>
      </w:r>
    </w:p>
    <w:p w14:paraId="37463A0E">
      <w:pPr>
        <w:keepNext w:val="0"/>
        <w:keepLines w:val="0"/>
        <w:pageBreakBefore w:val="0"/>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lang w:eastAsia="zh-CN"/>
        </w:rPr>
      </w:pPr>
      <w:r>
        <w:rPr>
          <w:rFonts w:hint="eastAsia" w:ascii="仿宋" w:hAnsi="仿宋" w:eastAsia="仿宋" w:cs="仿宋"/>
          <w:color w:val="auto"/>
          <w:sz w:val="32"/>
          <w:szCs w:val="32"/>
          <w:highlight w:val="none"/>
          <w:lang w:eastAsia="zh-CN"/>
        </w:rPr>
        <w:t>参照招标文件具体要求，</w:t>
      </w:r>
      <w:r>
        <w:rPr>
          <w:rFonts w:hint="eastAsia" w:ascii="仿宋" w:hAnsi="仿宋" w:eastAsia="仿宋" w:cs="仿宋"/>
          <w:color w:val="auto"/>
          <w:sz w:val="32"/>
          <w:szCs w:val="32"/>
          <w:highlight w:val="none"/>
          <w:lang w:val="en-US" w:eastAsia="zh-CN"/>
        </w:rPr>
        <w:t>并根据甲方所定区域工作实际指标为准</w:t>
      </w:r>
      <w:r>
        <w:rPr>
          <w:rFonts w:hint="eastAsia" w:ascii="仿宋" w:hAnsi="仿宋" w:eastAsia="仿宋" w:cs="仿宋"/>
          <w:color w:val="auto"/>
          <w:sz w:val="32"/>
          <w:szCs w:val="32"/>
          <w:highlight w:val="none"/>
          <w:lang w:eastAsia="zh-CN"/>
        </w:rPr>
        <w:t>。</w:t>
      </w:r>
    </w:p>
    <w:p w14:paraId="0400F7D1">
      <w:pPr>
        <w:keepNext w:val="0"/>
        <w:keepLines w:val="0"/>
        <w:pageBreakBefore w:val="0"/>
        <w:numPr>
          <w:ilvl w:val="0"/>
          <w:numId w:val="2"/>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_GB2312" w:hAnsi="仿宋_GB2312" w:eastAsia="仿宋_GB2312" w:cs="仿宋_GB2312"/>
          <w:color w:val="auto"/>
          <w:sz w:val="32"/>
          <w:szCs w:val="32"/>
          <w:lang w:eastAsia="zh-CN"/>
        </w:rPr>
      </w:pPr>
      <w:r>
        <w:rPr>
          <w:rFonts w:hint="eastAsia" w:ascii="仿宋" w:hAnsi="仿宋" w:eastAsia="仿宋" w:cs="仿宋"/>
          <w:color w:val="auto"/>
          <w:sz w:val="32"/>
          <w:szCs w:val="32"/>
          <w:highlight w:val="none"/>
        </w:rPr>
        <w:t>项目（岗位）派驻人员</w:t>
      </w:r>
      <w:r>
        <w:rPr>
          <w:rFonts w:hint="eastAsia" w:ascii="仿宋" w:hAnsi="仿宋" w:eastAsia="仿宋" w:cs="仿宋"/>
          <w:color w:val="auto"/>
          <w:sz w:val="32"/>
          <w:szCs w:val="32"/>
          <w:highlight w:val="none"/>
          <w:lang w:eastAsia="zh-CN"/>
        </w:rPr>
        <w:t>要求</w:t>
      </w:r>
    </w:p>
    <w:p w14:paraId="552C8E45">
      <w:pPr>
        <w:keepNext w:val="0"/>
        <w:keepLines w:val="0"/>
        <w:pageBreakBefore w:val="0"/>
        <w:numPr>
          <w:ilvl w:val="0"/>
          <w:numId w:val="0"/>
        </w:numPr>
        <w:kinsoku/>
        <w:wordWrap/>
        <w:overflowPunct/>
        <w:topLinePunct w:val="0"/>
        <w:autoSpaceDE/>
        <w:autoSpaceDN/>
        <w:bidi w:val="0"/>
        <w:adjustRightInd w:val="0"/>
        <w:snapToGrid w:val="0"/>
        <w:spacing w:line="560" w:lineRule="exact"/>
        <w:ind w:right="-395" w:rightChars="-188" w:firstLine="320" w:firstLineChars="100"/>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驻站社工要求年龄 45 岁以下，</w:t>
      </w:r>
      <w:r>
        <w:rPr>
          <w:rFonts w:hint="eastAsia" w:ascii="仿宋_GB2312" w:hAnsi="仿宋_GB2312" w:eastAsia="仿宋_GB2312" w:cs="仿宋_GB2312"/>
          <w:color w:val="auto"/>
          <w:sz w:val="32"/>
          <w:szCs w:val="32"/>
          <w:lang w:val="en-US" w:eastAsia="zh-CN"/>
        </w:rPr>
        <w:t>全日制</w:t>
      </w:r>
      <w:r>
        <w:rPr>
          <w:rFonts w:hint="eastAsia" w:ascii="仿宋_GB2312" w:hAnsi="仿宋_GB2312" w:eastAsia="仿宋_GB2312" w:cs="仿宋_GB2312"/>
          <w:color w:val="auto"/>
          <w:sz w:val="32"/>
          <w:szCs w:val="32"/>
          <w:lang w:eastAsia="zh-CN"/>
        </w:rPr>
        <w:t>本科及以上学历，取得国家认可的社工师（含助理社工师）资质的专业社会工作者，</w:t>
      </w:r>
      <w:r>
        <w:rPr>
          <w:rFonts w:hint="eastAsia" w:ascii="仿宋_GB2312" w:hAnsi="仿宋_GB2312" w:eastAsia="仿宋_GB2312" w:cs="仿宋_GB2312"/>
          <w:color w:val="auto"/>
          <w:sz w:val="32"/>
          <w:szCs w:val="32"/>
          <w:lang w:val="en-US" w:eastAsia="zh-CN"/>
        </w:rPr>
        <w:t>未持证的上岗后需考取助理</w:t>
      </w:r>
      <w:r>
        <w:rPr>
          <w:rFonts w:hint="eastAsia" w:ascii="仿宋_GB2312" w:hAnsi="仿宋_GB2312" w:eastAsia="仿宋_GB2312" w:cs="仿宋_GB2312"/>
          <w:color w:val="auto"/>
          <w:sz w:val="32"/>
          <w:szCs w:val="32"/>
          <w:lang w:eastAsia="zh-CN"/>
        </w:rPr>
        <w:t>社工师</w:t>
      </w:r>
      <w:r>
        <w:rPr>
          <w:rFonts w:hint="eastAsia" w:ascii="仿宋_GB2312" w:hAnsi="仿宋_GB2312" w:eastAsia="仿宋_GB2312" w:cs="仿宋_GB2312"/>
          <w:color w:val="auto"/>
          <w:sz w:val="32"/>
          <w:szCs w:val="32"/>
          <w:lang w:val="en-US" w:eastAsia="zh-CN"/>
        </w:rPr>
        <w:t>。</w:t>
      </w:r>
    </w:p>
    <w:p w14:paraId="1C16A99F">
      <w:pPr>
        <w:keepNext w:val="0"/>
        <w:keepLines w:val="0"/>
        <w:pageBreakBefore w:val="0"/>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u w:val="single"/>
        </w:rPr>
      </w:pPr>
      <w:r>
        <w:rPr>
          <w:rFonts w:hint="eastAsia" w:ascii="黑体" w:hAnsi="黑体" w:eastAsia="黑体" w:cs="黑体"/>
          <w:b w:val="0"/>
          <w:bCs w:val="0"/>
          <w:color w:val="auto"/>
          <w:sz w:val="32"/>
          <w:szCs w:val="32"/>
          <w:highlight w:val="none"/>
        </w:rPr>
        <w:t>第五条：</w:t>
      </w:r>
      <w:r>
        <w:rPr>
          <w:rFonts w:hint="eastAsia" w:ascii="仿宋" w:hAnsi="仿宋" w:eastAsia="仿宋" w:cs="仿宋"/>
          <w:color w:val="auto"/>
          <w:sz w:val="32"/>
          <w:szCs w:val="32"/>
          <w:highlight w:val="none"/>
        </w:rPr>
        <w:t>委托合同依法签订后，即具有法律约束力，甲、乙</w:t>
      </w:r>
      <w:r>
        <w:rPr>
          <w:rFonts w:hint="eastAsia" w:ascii="仿宋" w:hAnsi="仿宋" w:eastAsia="仿宋" w:cs="仿宋"/>
          <w:color w:val="auto"/>
          <w:sz w:val="32"/>
          <w:szCs w:val="32"/>
          <w:highlight w:val="none"/>
          <w:lang w:eastAsia="zh-CN"/>
        </w:rPr>
        <w:t>双</w:t>
      </w:r>
      <w:r>
        <w:rPr>
          <w:rFonts w:hint="eastAsia" w:ascii="仿宋" w:hAnsi="仿宋" w:eastAsia="仿宋" w:cs="仿宋"/>
          <w:color w:val="auto"/>
          <w:sz w:val="32"/>
          <w:szCs w:val="32"/>
          <w:highlight w:val="none"/>
        </w:rPr>
        <w:t>方必须遵守合同条款，履行合同规定的责任义务。</w:t>
      </w:r>
    </w:p>
    <w:p w14:paraId="17D10999">
      <w:pPr>
        <w:keepNext w:val="0"/>
        <w:keepLines w:val="0"/>
        <w:pageBreakBefore w:val="0"/>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黑体" w:hAnsi="黑体" w:eastAsia="黑体" w:cs="黑体"/>
          <w:b w:val="0"/>
          <w:bCs w:val="0"/>
          <w:color w:val="auto"/>
          <w:sz w:val="32"/>
          <w:szCs w:val="32"/>
          <w:highlight w:val="none"/>
        </w:rPr>
      </w:pPr>
      <w:r>
        <w:rPr>
          <w:rFonts w:hint="eastAsia" w:ascii="黑体" w:hAnsi="黑体" w:eastAsia="黑体" w:cs="黑体"/>
          <w:b w:val="0"/>
          <w:bCs w:val="0"/>
          <w:color w:val="auto"/>
          <w:sz w:val="32"/>
          <w:szCs w:val="32"/>
          <w:highlight w:val="none"/>
        </w:rPr>
        <w:t>第六条：项目服务期及验收标准：</w:t>
      </w:r>
    </w:p>
    <w:p w14:paraId="1D00EA8F">
      <w:pPr>
        <w:keepNext w:val="0"/>
        <w:keepLines w:val="0"/>
        <w:pageBreakBefore w:val="0"/>
        <w:numPr>
          <w:ilvl w:val="0"/>
          <w:numId w:val="3"/>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本合同期限</w:t>
      </w:r>
      <w:r>
        <w:rPr>
          <w:rFonts w:hint="eastAsia" w:ascii="仿宋" w:hAnsi="仿宋" w:eastAsia="仿宋" w:cs="仿宋"/>
          <w:color w:val="auto"/>
          <w:sz w:val="32"/>
          <w:szCs w:val="32"/>
          <w:highlight w:val="none"/>
          <w:u w:val="single"/>
        </w:rPr>
        <w:t xml:space="preserve">  </w:t>
      </w:r>
      <w:r>
        <w:rPr>
          <w:rFonts w:hint="eastAsia" w:ascii="仿宋" w:hAnsi="仿宋" w:eastAsia="仿宋" w:cs="仿宋"/>
          <w:color w:val="auto"/>
          <w:sz w:val="32"/>
          <w:szCs w:val="32"/>
          <w:highlight w:val="none"/>
          <w:u w:val="single"/>
          <w:lang w:val="en-US" w:eastAsia="zh-CN"/>
        </w:rPr>
        <w:t xml:space="preserve">12 </w:t>
      </w:r>
      <w:r>
        <w:rPr>
          <w:rFonts w:hint="eastAsia" w:ascii="仿宋" w:hAnsi="仿宋" w:eastAsia="仿宋" w:cs="仿宋"/>
          <w:color w:val="auto"/>
          <w:sz w:val="32"/>
          <w:szCs w:val="32"/>
          <w:highlight w:val="none"/>
          <w:u w:val="none"/>
          <w:lang w:val="en-US" w:eastAsia="zh-CN"/>
        </w:rPr>
        <w:t>个月</w:t>
      </w:r>
      <w:r>
        <w:rPr>
          <w:rFonts w:hint="eastAsia" w:ascii="仿宋" w:hAnsi="仿宋" w:eastAsia="仿宋" w:cs="仿宋"/>
          <w:color w:val="auto"/>
          <w:sz w:val="32"/>
          <w:szCs w:val="32"/>
          <w:highlight w:val="none"/>
        </w:rPr>
        <w:t>，自</w:t>
      </w:r>
      <w:r>
        <w:rPr>
          <w:rFonts w:hint="eastAsia" w:ascii="仿宋" w:hAnsi="仿宋" w:eastAsia="仿宋" w:cs="仿宋"/>
          <w:color w:val="auto"/>
          <w:sz w:val="32"/>
          <w:szCs w:val="32"/>
          <w:highlight w:val="none"/>
          <w:u w:val="single"/>
          <w:lang w:val="en-US" w:eastAsia="zh-CN"/>
        </w:rPr>
        <w:t xml:space="preserve">    </w:t>
      </w:r>
      <w:r>
        <w:rPr>
          <w:rFonts w:hint="eastAsia" w:ascii="仿宋" w:hAnsi="仿宋" w:eastAsia="仿宋" w:cs="仿宋"/>
          <w:color w:val="auto"/>
          <w:sz w:val="32"/>
          <w:szCs w:val="32"/>
          <w:highlight w:val="none"/>
          <w:u w:val="single"/>
        </w:rPr>
        <w:t xml:space="preserve"> </w:t>
      </w:r>
      <w:r>
        <w:rPr>
          <w:rFonts w:hint="eastAsia" w:ascii="仿宋" w:hAnsi="仿宋" w:eastAsia="仿宋" w:cs="仿宋"/>
          <w:color w:val="auto"/>
          <w:sz w:val="32"/>
          <w:szCs w:val="32"/>
          <w:highlight w:val="none"/>
        </w:rPr>
        <w:t>年</w:t>
      </w:r>
      <w:r>
        <w:rPr>
          <w:rFonts w:hint="eastAsia" w:ascii="仿宋" w:hAnsi="仿宋" w:eastAsia="仿宋" w:cs="仿宋"/>
          <w:color w:val="auto"/>
          <w:sz w:val="32"/>
          <w:szCs w:val="32"/>
          <w:highlight w:val="none"/>
          <w:u w:val="single"/>
        </w:rPr>
        <w:t xml:space="preserve">  </w:t>
      </w:r>
      <w:r>
        <w:rPr>
          <w:rFonts w:hint="eastAsia" w:ascii="仿宋" w:hAnsi="仿宋" w:eastAsia="仿宋" w:cs="仿宋"/>
          <w:color w:val="auto"/>
          <w:sz w:val="32"/>
          <w:szCs w:val="32"/>
          <w:highlight w:val="none"/>
          <w:u w:val="single"/>
          <w:lang w:val="en-US" w:eastAsia="zh-CN"/>
        </w:rPr>
        <w:t xml:space="preserve">   </w:t>
      </w:r>
      <w:r>
        <w:rPr>
          <w:rFonts w:hint="eastAsia" w:ascii="仿宋" w:hAnsi="仿宋" w:eastAsia="仿宋" w:cs="仿宋"/>
          <w:color w:val="auto"/>
          <w:sz w:val="32"/>
          <w:szCs w:val="32"/>
          <w:highlight w:val="none"/>
        </w:rPr>
        <w:t>月</w:t>
      </w:r>
      <w:r>
        <w:rPr>
          <w:rFonts w:hint="eastAsia" w:ascii="仿宋" w:hAnsi="仿宋" w:eastAsia="仿宋" w:cs="仿宋"/>
          <w:color w:val="auto"/>
          <w:sz w:val="32"/>
          <w:szCs w:val="32"/>
          <w:highlight w:val="none"/>
          <w:u w:val="single"/>
        </w:rPr>
        <w:t xml:space="preserve"> </w:t>
      </w:r>
      <w:r>
        <w:rPr>
          <w:rFonts w:hint="eastAsia" w:ascii="仿宋" w:hAnsi="仿宋" w:eastAsia="仿宋" w:cs="仿宋"/>
          <w:color w:val="auto"/>
          <w:sz w:val="32"/>
          <w:szCs w:val="32"/>
          <w:highlight w:val="none"/>
          <w:u w:val="single"/>
          <w:lang w:val="en-US" w:eastAsia="zh-CN"/>
        </w:rPr>
        <w:t xml:space="preserve">   </w:t>
      </w:r>
      <w:r>
        <w:rPr>
          <w:rFonts w:hint="eastAsia" w:ascii="仿宋" w:hAnsi="仿宋" w:eastAsia="仿宋" w:cs="仿宋"/>
          <w:color w:val="auto"/>
          <w:sz w:val="32"/>
          <w:szCs w:val="32"/>
          <w:highlight w:val="none"/>
          <w:u w:val="single"/>
        </w:rPr>
        <w:t xml:space="preserve"> </w:t>
      </w:r>
      <w:r>
        <w:rPr>
          <w:rFonts w:hint="eastAsia" w:ascii="仿宋" w:hAnsi="仿宋" w:eastAsia="仿宋" w:cs="仿宋"/>
          <w:color w:val="auto"/>
          <w:sz w:val="32"/>
          <w:szCs w:val="32"/>
          <w:highlight w:val="none"/>
        </w:rPr>
        <w:t>日起至</w:t>
      </w:r>
      <w:r>
        <w:rPr>
          <w:rFonts w:hint="eastAsia" w:ascii="仿宋" w:hAnsi="仿宋" w:eastAsia="仿宋" w:cs="仿宋"/>
          <w:color w:val="auto"/>
          <w:sz w:val="32"/>
          <w:szCs w:val="32"/>
          <w:highlight w:val="none"/>
          <w:u w:val="single"/>
          <w:lang w:val="en-US" w:eastAsia="zh-CN"/>
        </w:rPr>
        <w:t xml:space="preserve">    </w:t>
      </w:r>
      <w:r>
        <w:rPr>
          <w:rFonts w:hint="eastAsia" w:ascii="仿宋" w:hAnsi="仿宋" w:eastAsia="仿宋" w:cs="仿宋"/>
          <w:color w:val="auto"/>
          <w:sz w:val="32"/>
          <w:szCs w:val="32"/>
          <w:highlight w:val="none"/>
        </w:rPr>
        <w:t>年</w:t>
      </w:r>
      <w:r>
        <w:rPr>
          <w:rFonts w:hint="eastAsia" w:ascii="仿宋" w:hAnsi="仿宋" w:eastAsia="仿宋" w:cs="仿宋"/>
          <w:color w:val="auto"/>
          <w:sz w:val="32"/>
          <w:szCs w:val="32"/>
          <w:highlight w:val="none"/>
          <w:u w:val="single"/>
        </w:rPr>
        <w:t xml:space="preserve"> </w:t>
      </w:r>
      <w:r>
        <w:rPr>
          <w:rFonts w:hint="eastAsia" w:ascii="仿宋" w:hAnsi="仿宋" w:eastAsia="仿宋" w:cs="仿宋"/>
          <w:color w:val="auto"/>
          <w:sz w:val="32"/>
          <w:szCs w:val="32"/>
          <w:highlight w:val="none"/>
          <w:u w:val="single"/>
          <w:lang w:val="en-US" w:eastAsia="zh-CN"/>
        </w:rPr>
        <w:t xml:space="preserve">   </w:t>
      </w:r>
      <w:r>
        <w:rPr>
          <w:rFonts w:hint="eastAsia" w:ascii="仿宋" w:hAnsi="仿宋" w:eastAsia="仿宋" w:cs="仿宋"/>
          <w:color w:val="auto"/>
          <w:sz w:val="32"/>
          <w:szCs w:val="32"/>
          <w:highlight w:val="none"/>
          <w:u w:val="single"/>
        </w:rPr>
        <w:t xml:space="preserve"> </w:t>
      </w:r>
      <w:r>
        <w:rPr>
          <w:rFonts w:hint="eastAsia" w:ascii="仿宋" w:hAnsi="仿宋" w:eastAsia="仿宋" w:cs="仿宋"/>
          <w:color w:val="auto"/>
          <w:sz w:val="32"/>
          <w:szCs w:val="32"/>
          <w:highlight w:val="none"/>
        </w:rPr>
        <w:t>月</w:t>
      </w:r>
      <w:r>
        <w:rPr>
          <w:rFonts w:hint="eastAsia" w:ascii="仿宋" w:hAnsi="仿宋" w:eastAsia="仿宋" w:cs="仿宋"/>
          <w:color w:val="auto"/>
          <w:sz w:val="32"/>
          <w:szCs w:val="32"/>
          <w:highlight w:val="none"/>
          <w:u w:val="single"/>
          <w:lang w:val="en-US" w:eastAsia="zh-CN"/>
        </w:rPr>
        <w:t xml:space="preserve">     </w:t>
      </w:r>
      <w:r>
        <w:rPr>
          <w:rFonts w:hint="eastAsia" w:ascii="仿宋" w:hAnsi="仿宋" w:eastAsia="仿宋" w:cs="仿宋"/>
          <w:color w:val="auto"/>
          <w:sz w:val="32"/>
          <w:szCs w:val="32"/>
          <w:highlight w:val="none"/>
        </w:rPr>
        <w:t>日止。</w:t>
      </w:r>
    </w:p>
    <w:p w14:paraId="631F4ECE">
      <w:pPr>
        <w:keepNext w:val="0"/>
        <w:keepLines w:val="0"/>
        <w:pageBreakBefore w:val="0"/>
        <w:numPr>
          <w:ilvl w:val="0"/>
          <w:numId w:val="3"/>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bCs/>
          <w:color w:val="auto"/>
          <w:sz w:val="32"/>
          <w:szCs w:val="32"/>
          <w:highlight w:val="none"/>
          <w:lang w:eastAsia="zh-CN"/>
        </w:rPr>
        <w:t>乙方</w:t>
      </w:r>
      <w:r>
        <w:rPr>
          <w:rFonts w:hint="eastAsia" w:ascii="仿宋" w:hAnsi="仿宋" w:eastAsia="仿宋" w:cs="仿宋"/>
          <w:bCs/>
          <w:color w:val="auto"/>
          <w:sz w:val="32"/>
          <w:szCs w:val="32"/>
          <w:highlight w:val="none"/>
        </w:rPr>
        <w:t>服务试用期为</w:t>
      </w:r>
      <w:r>
        <w:rPr>
          <w:rFonts w:hint="eastAsia" w:ascii="仿宋" w:hAnsi="仿宋" w:eastAsia="仿宋" w:cs="仿宋"/>
          <w:bCs/>
          <w:color w:val="auto"/>
          <w:sz w:val="32"/>
          <w:szCs w:val="32"/>
          <w:highlight w:val="none"/>
          <w:lang w:val="en-US" w:eastAsia="zh-CN"/>
        </w:rPr>
        <w:t>1</w:t>
      </w:r>
      <w:r>
        <w:rPr>
          <w:rFonts w:hint="eastAsia" w:ascii="仿宋" w:hAnsi="仿宋" w:eastAsia="仿宋" w:cs="仿宋"/>
          <w:bCs/>
          <w:color w:val="auto"/>
          <w:sz w:val="32"/>
          <w:szCs w:val="32"/>
          <w:highlight w:val="none"/>
        </w:rPr>
        <w:t>个月，自合同签订之日起算</w:t>
      </w:r>
      <w:r>
        <w:rPr>
          <w:rFonts w:hint="eastAsia" w:ascii="仿宋" w:hAnsi="仿宋" w:eastAsia="仿宋" w:cs="仿宋"/>
          <w:bCs/>
          <w:color w:val="auto"/>
          <w:sz w:val="32"/>
          <w:szCs w:val="32"/>
          <w:highlight w:val="none"/>
          <w:lang w:eastAsia="zh-CN"/>
        </w:rPr>
        <w:t>，</w:t>
      </w:r>
      <w:r>
        <w:rPr>
          <w:rFonts w:hint="eastAsia" w:ascii="仿宋" w:hAnsi="仿宋" w:eastAsia="仿宋" w:cs="仿宋"/>
          <w:bCs/>
          <w:color w:val="auto"/>
          <w:sz w:val="32"/>
          <w:szCs w:val="32"/>
          <w:highlight w:val="none"/>
          <w:lang w:val="en-US" w:eastAsia="zh-CN"/>
        </w:rPr>
        <w:t>1</w:t>
      </w:r>
      <w:r>
        <w:rPr>
          <w:rFonts w:hint="eastAsia" w:ascii="仿宋" w:hAnsi="仿宋" w:eastAsia="仿宋" w:cs="仿宋"/>
          <w:bCs/>
          <w:color w:val="auto"/>
          <w:sz w:val="32"/>
          <w:szCs w:val="32"/>
          <w:highlight w:val="none"/>
          <w:lang w:eastAsia="zh-CN"/>
        </w:rPr>
        <w:t>个月后对</w:t>
      </w:r>
      <w:r>
        <w:rPr>
          <w:rFonts w:hint="eastAsia" w:ascii="仿宋" w:hAnsi="仿宋" w:eastAsia="仿宋" w:cs="仿宋"/>
          <w:bCs/>
          <w:color w:val="auto"/>
          <w:sz w:val="32"/>
          <w:szCs w:val="32"/>
          <w:highlight w:val="none"/>
          <w:lang w:val="en-US" w:eastAsia="zh-CN"/>
        </w:rPr>
        <w:t>试用</w:t>
      </w:r>
      <w:r>
        <w:rPr>
          <w:rFonts w:hint="eastAsia" w:ascii="仿宋" w:hAnsi="仿宋" w:eastAsia="仿宋" w:cs="仿宋"/>
          <w:bCs/>
          <w:color w:val="auto"/>
          <w:sz w:val="32"/>
          <w:szCs w:val="32"/>
          <w:highlight w:val="none"/>
          <w:lang w:eastAsia="zh-CN"/>
        </w:rPr>
        <w:t>不合格</w:t>
      </w:r>
      <w:r>
        <w:rPr>
          <w:rFonts w:hint="eastAsia" w:ascii="仿宋" w:hAnsi="仿宋" w:eastAsia="仿宋" w:cs="仿宋"/>
          <w:bCs/>
          <w:color w:val="auto"/>
          <w:sz w:val="32"/>
          <w:szCs w:val="32"/>
          <w:highlight w:val="none"/>
          <w:lang w:val="en-US" w:eastAsia="zh-CN"/>
        </w:rPr>
        <w:t>承接机构</w:t>
      </w:r>
      <w:r>
        <w:rPr>
          <w:rFonts w:hint="eastAsia" w:ascii="仿宋" w:hAnsi="仿宋" w:eastAsia="仿宋" w:cs="仿宋"/>
          <w:bCs/>
          <w:color w:val="auto"/>
          <w:sz w:val="32"/>
          <w:szCs w:val="32"/>
          <w:highlight w:val="none"/>
          <w:lang w:eastAsia="zh-CN"/>
        </w:rPr>
        <w:t>应按照</w:t>
      </w:r>
      <w:r>
        <w:rPr>
          <w:rFonts w:hint="eastAsia" w:ascii="仿宋" w:hAnsi="仿宋" w:eastAsia="仿宋" w:cs="仿宋"/>
          <w:bCs/>
          <w:color w:val="auto"/>
          <w:sz w:val="32"/>
          <w:szCs w:val="32"/>
          <w:highlight w:val="none"/>
          <w:lang w:val="en-US" w:eastAsia="zh-CN"/>
        </w:rPr>
        <w:t>合同约束条件进行整改或解除合同</w:t>
      </w:r>
      <w:r>
        <w:rPr>
          <w:rFonts w:hint="eastAsia" w:ascii="仿宋" w:hAnsi="仿宋" w:eastAsia="仿宋" w:cs="仿宋"/>
          <w:bCs/>
          <w:color w:val="auto"/>
          <w:sz w:val="32"/>
          <w:szCs w:val="32"/>
          <w:highlight w:val="none"/>
        </w:rPr>
        <w:t>。</w:t>
      </w:r>
    </w:p>
    <w:p w14:paraId="4134E22B">
      <w:pPr>
        <w:keepNext w:val="0"/>
        <w:keepLines w:val="0"/>
        <w:pageBreakBefore w:val="0"/>
        <w:numPr>
          <w:ilvl w:val="0"/>
          <w:numId w:val="3"/>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验收标准：由第三方评估机构进行验收评估。</w:t>
      </w:r>
    </w:p>
    <w:p w14:paraId="33112492">
      <w:pPr>
        <w:keepNext w:val="0"/>
        <w:keepLines w:val="0"/>
        <w:pageBreakBefore w:val="0"/>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黑体" w:hAnsi="黑体" w:eastAsia="黑体" w:cs="黑体"/>
          <w:b w:val="0"/>
          <w:bCs w:val="0"/>
          <w:color w:val="auto"/>
          <w:sz w:val="32"/>
          <w:szCs w:val="32"/>
          <w:highlight w:val="none"/>
        </w:rPr>
      </w:pPr>
      <w:r>
        <w:rPr>
          <w:rFonts w:hint="eastAsia" w:ascii="黑体" w:hAnsi="黑体" w:eastAsia="黑体" w:cs="黑体"/>
          <w:b w:val="0"/>
          <w:bCs w:val="0"/>
          <w:color w:val="auto"/>
          <w:sz w:val="32"/>
          <w:szCs w:val="32"/>
          <w:highlight w:val="none"/>
        </w:rPr>
        <w:t>第七条：服务要求</w:t>
      </w:r>
    </w:p>
    <w:p w14:paraId="7C991694">
      <w:pPr>
        <w:keepNext w:val="0"/>
        <w:keepLines w:val="0"/>
        <w:pageBreakBefore w:val="0"/>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 xml:space="preserve">社工机构应在起始日起 </w:t>
      </w:r>
      <w:r>
        <w:rPr>
          <w:rFonts w:hint="eastAsia" w:ascii="仿宋" w:hAnsi="仿宋" w:eastAsia="仿宋" w:cs="仿宋"/>
          <w:color w:val="auto"/>
          <w:sz w:val="32"/>
          <w:szCs w:val="32"/>
          <w:highlight w:val="none"/>
          <w:u w:val="single"/>
          <w:lang w:val="en-US" w:eastAsia="zh-CN"/>
        </w:rPr>
        <w:t>1</w:t>
      </w:r>
      <w:r>
        <w:rPr>
          <w:rFonts w:hint="eastAsia" w:ascii="仿宋" w:hAnsi="仿宋" w:eastAsia="仿宋" w:cs="仿宋"/>
          <w:color w:val="auto"/>
          <w:sz w:val="32"/>
          <w:szCs w:val="32"/>
          <w:highlight w:val="none"/>
          <w:u w:val="single"/>
        </w:rPr>
        <w:t>个工作日</w:t>
      </w:r>
      <w:r>
        <w:rPr>
          <w:rFonts w:hint="eastAsia" w:ascii="仿宋" w:hAnsi="仿宋" w:eastAsia="仿宋" w:cs="仿宋"/>
          <w:color w:val="auto"/>
          <w:sz w:val="32"/>
          <w:szCs w:val="32"/>
          <w:highlight w:val="none"/>
        </w:rPr>
        <w:t xml:space="preserve"> 内安排社工上岗，若在合同有效期内缺岗</w:t>
      </w:r>
      <w:r>
        <w:rPr>
          <w:rFonts w:hint="eastAsia" w:ascii="仿宋" w:hAnsi="仿宋" w:eastAsia="仿宋" w:cs="仿宋"/>
          <w:color w:val="auto"/>
          <w:sz w:val="32"/>
          <w:szCs w:val="32"/>
          <w:highlight w:val="none"/>
          <w:lang w:val="en-US" w:eastAsia="zh-CN"/>
        </w:rPr>
        <w:t>一周</w:t>
      </w:r>
      <w:r>
        <w:rPr>
          <w:rFonts w:hint="eastAsia" w:ascii="仿宋" w:hAnsi="仿宋" w:eastAsia="仿宋" w:cs="仿宋"/>
          <w:color w:val="auto"/>
          <w:sz w:val="32"/>
          <w:szCs w:val="32"/>
          <w:highlight w:val="none"/>
        </w:rPr>
        <w:t>的，经核实按实际缺岗时间扣除甲方支付乙方的服务费用。</w:t>
      </w:r>
    </w:p>
    <w:p w14:paraId="4B51E686">
      <w:pPr>
        <w:keepNext w:val="0"/>
        <w:keepLines w:val="0"/>
        <w:pageBreakBefore w:val="0"/>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黑体" w:hAnsi="黑体" w:eastAsia="黑体" w:cs="黑体"/>
          <w:b w:val="0"/>
          <w:bCs w:val="0"/>
          <w:color w:val="auto"/>
          <w:sz w:val="32"/>
          <w:szCs w:val="32"/>
          <w:highlight w:val="none"/>
        </w:rPr>
      </w:pPr>
      <w:r>
        <w:rPr>
          <w:rFonts w:hint="eastAsia" w:ascii="黑体" w:hAnsi="黑体" w:eastAsia="黑体" w:cs="黑体"/>
          <w:b w:val="0"/>
          <w:bCs w:val="0"/>
          <w:color w:val="auto"/>
          <w:sz w:val="32"/>
          <w:szCs w:val="32"/>
          <w:highlight w:val="none"/>
        </w:rPr>
        <w:t>第八条：</w:t>
      </w:r>
      <w:r>
        <w:rPr>
          <w:rFonts w:hint="eastAsia" w:ascii="黑体" w:hAnsi="黑体" w:eastAsia="黑体" w:cs="黑体"/>
          <w:b w:val="0"/>
          <w:bCs w:val="0"/>
          <w:color w:val="auto"/>
          <w:sz w:val="32"/>
          <w:szCs w:val="32"/>
          <w:highlight w:val="none"/>
          <w:lang w:eastAsia="zh-CN"/>
        </w:rPr>
        <w:t>双方</w:t>
      </w:r>
      <w:r>
        <w:rPr>
          <w:rFonts w:hint="eastAsia" w:ascii="黑体" w:hAnsi="黑体" w:eastAsia="黑体" w:cs="黑体"/>
          <w:b w:val="0"/>
          <w:bCs w:val="0"/>
          <w:color w:val="auto"/>
          <w:sz w:val="32"/>
          <w:szCs w:val="32"/>
          <w:highlight w:val="none"/>
        </w:rPr>
        <w:t>权利和义务</w:t>
      </w:r>
    </w:p>
    <w:p w14:paraId="1C29E84D">
      <w:pPr>
        <w:keepNext w:val="0"/>
        <w:keepLines w:val="0"/>
        <w:pageBreakBefore w:val="0"/>
        <w:numPr>
          <w:ilvl w:val="0"/>
          <w:numId w:val="4"/>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甲方的权利和义务</w:t>
      </w:r>
    </w:p>
    <w:p w14:paraId="03A22778">
      <w:pPr>
        <w:keepNext w:val="0"/>
        <w:keepLines w:val="0"/>
        <w:pageBreakBefore w:val="0"/>
        <w:numPr>
          <w:ilvl w:val="0"/>
          <w:numId w:val="5"/>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在约定的时间进行拨款，若甲方在约定时间内未能按时拨款，造成重大影响的由甲方承担责任。</w:t>
      </w:r>
    </w:p>
    <w:p w14:paraId="676672B8">
      <w:pPr>
        <w:keepNext w:val="0"/>
        <w:keepLines w:val="0"/>
        <w:pageBreakBefore w:val="0"/>
        <w:numPr>
          <w:ilvl w:val="0"/>
          <w:numId w:val="5"/>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rPr>
      </w:pPr>
      <w:r>
        <w:rPr>
          <w:rFonts w:hint="eastAsia" w:ascii="仿宋" w:hAnsi="仿宋" w:eastAsia="仿宋" w:cs="仿宋"/>
          <w:color w:val="auto"/>
          <w:sz w:val="32"/>
          <w:szCs w:val="32"/>
          <w:highlight w:val="none"/>
        </w:rPr>
        <w:t>甲方有权对乙方进行指导、监督和审计工作，具体包括财务监督、服务指导、服务监督及综合评估工作，乙方需配合甲方的工作。</w:t>
      </w:r>
    </w:p>
    <w:p w14:paraId="434F7B5F">
      <w:pPr>
        <w:keepNext w:val="0"/>
        <w:keepLines w:val="0"/>
        <w:pageBreakBefore w:val="0"/>
        <w:numPr>
          <w:ilvl w:val="0"/>
          <w:numId w:val="5"/>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rPr>
      </w:pPr>
      <w:r>
        <w:rPr>
          <w:rFonts w:hint="eastAsia" w:ascii="仿宋" w:hAnsi="仿宋" w:eastAsia="仿宋" w:cs="仿宋"/>
          <w:color w:val="auto"/>
          <w:sz w:val="32"/>
          <w:szCs w:val="32"/>
          <w:highlight w:val="none"/>
        </w:rPr>
        <w:t>若乙方未按照协议将款项全部用于该服务开展，包括挪用、转借、另作他用等，则乙方须承担违约责任，甲方有权停止拨款，同时有权单方终止本协议，甲方终止本协议时，乙方应返还甲方已拨付的全部服务资助款项。</w:t>
      </w:r>
      <w:r>
        <w:rPr>
          <w:rFonts w:hint="eastAsia" w:ascii="仿宋" w:hAnsi="仿宋" w:eastAsia="仿宋" w:cs="仿宋"/>
          <w:color w:val="auto"/>
          <w:sz w:val="32"/>
          <w:szCs w:val="32"/>
          <w:highlight w:val="none"/>
          <w:lang w:eastAsia="zh-CN"/>
        </w:rPr>
        <w:t>经第三方核实，</w:t>
      </w:r>
      <w:r>
        <w:rPr>
          <w:rFonts w:hint="eastAsia" w:ascii="仿宋" w:hAnsi="仿宋" w:eastAsia="仿宋" w:cs="仿宋"/>
          <w:color w:val="auto"/>
          <w:sz w:val="32"/>
          <w:szCs w:val="32"/>
          <w:highlight w:val="none"/>
        </w:rPr>
        <w:t>有下列情形之一的，</w:t>
      </w:r>
      <w:r>
        <w:rPr>
          <w:rFonts w:hint="eastAsia" w:ascii="仿宋" w:hAnsi="仿宋" w:eastAsia="仿宋" w:cs="仿宋"/>
          <w:color w:val="auto"/>
          <w:sz w:val="32"/>
          <w:szCs w:val="32"/>
          <w:highlight w:val="none"/>
          <w:lang w:eastAsia="zh-CN"/>
        </w:rPr>
        <w:t>甲</w:t>
      </w:r>
      <w:r>
        <w:rPr>
          <w:rFonts w:hint="eastAsia" w:ascii="仿宋" w:hAnsi="仿宋" w:eastAsia="仿宋" w:cs="仿宋"/>
          <w:color w:val="auto"/>
          <w:sz w:val="32"/>
          <w:szCs w:val="32"/>
          <w:highlight w:val="none"/>
        </w:rPr>
        <w:t>方有权</w:t>
      </w:r>
      <w:r>
        <w:rPr>
          <w:rFonts w:hint="eastAsia" w:ascii="仿宋" w:hAnsi="仿宋" w:eastAsia="仿宋" w:cs="仿宋"/>
          <w:color w:val="auto"/>
          <w:sz w:val="32"/>
          <w:szCs w:val="32"/>
          <w:highlight w:val="none"/>
          <w:lang w:eastAsia="zh-CN"/>
        </w:rPr>
        <w:t>终止合同：</w:t>
      </w:r>
    </w:p>
    <w:p w14:paraId="00ABEC3F">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right="0" w:rightChars="0" w:firstLine="320" w:firstLineChars="100"/>
        <w:jc w:val="both"/>
        <w:textAlignment w:val="auto"/>
        <w:rPr>
          <w:rFonts w:hint="eastAsia" w:ascii="仿宋" w:hAnsi="仿宋" w:eastAsia="仿宋" w:cs="仿宋"/>
          <w:color w:val="auto"/>
          <w:sz w:val="32"/>
          <w:szCs w:val="32"/>
        </w:rPr>
      </w:pPr>
      <w:r>
        <w:rPr>
          <w:rFonts w:hint="eastAsia" w:ascii="仿宋" w:hAnsi="仿宋" w:eastAsia="仿宋" w:cs="仿宋"/>
          <w:color w:val="auto"/>
          <w:sz w:val="32"/>
          <w:szCs w:val="32"/>
          <w:highlight w:val="none"/>
        </w:rPr>
        <w:t>①</w:t>
      </w:r>
      <w:r>
        <w:rPr>
          <w:rFonts w:hint="eastAsia" w:ascii="仿宋" w:hAnsi="仿宋" w:eastAsia="仿宋" w:cs="仿宋"/>
          <w:color w:val="auto"/>
          <w:sz w:val="32"/>
          <w:szCs w:val="32"/>
          <w:highlight w:val="none"/>
          <w:lang w:eastAsia="zh-CN"/>
        </w:rPr>
        <w:t>乙方</w:t>
      </w:r>
      <w:r>
        <w:rPr>
          <w:rFonts w:hint="eastAsia" w:ascii="仿宋" w:hAnsi="仿宋" w:eastAsia="仿宋" w:cs="仿宋"/>
          <w:color w:val="auto"/>
          <w:sz w:val="32"/>
          <w:szCs w:val="32"/>
          <w:highlight w:val="none"/>
        </w:rPr>
        <w:t>如不按要求使用</w:t>
      </w:r>
      <w:r>
        <w:rPr>
          <w:rFonts w:hint="eastAsia" w:ascii="仿宋" w:hAnsi="仿宋" w:eastAsia="仿宋" w:cs="仿宋"/>
          <w:color w:val="auto"/>
          <w:sz w:val="32"/>
          <w:szCs w:val="32"/>
          <w:highlight w:val="none"/>
          <w:lang w:eastAsia="zh-CN"/>
        </w:rPr>
        <w:t>项目资金</w:t>
      </w:r>
      <w:r>
        <w:rPr>
          <w:rFonts w:hint="eastAsia" w:ascii="仿宋" w:hAnsi="仿宋" w:eastAsia="仿宋" w:cs="仿宋"/>
          <w:color w:val="auto"/>
          <w:sz w:val="32"/>
          <w:szCs w:val="32"/>
          <w:highlight w:val="none"/>
        </w:rPr>
        <w:t>的</w:t>
      </w:r>
      <w:r>
        <w:rPr>
          <w:rFonts w:hint="eastAsia" w:ascii="仿宋" w:hAnsi="仿宋" w:eastAsia="仿宋" w:cs="仿宋"/>
          <w:color w:val="auto"/>
          <w:sz w:val="32"/>
          <w:szCs w:val="32"/>
          <w:highlight w:val="none"/>
          <w:lang w:eastAsia="zh-CN"/>
        </w:rPr>
        <w:t>，且用于本项目之外，</w:t>
      </w:r>
      <w:r>
        <w:rPr>
          <w:rFonts w:hint="eastAsia" w:ascii="仿宋" w:hAnsi="仿宋" w:eastAsia="仿宋" w:cs="仿宋"/>
          <w:color w:val="auto"/>
          <w:sz w:val="32"/>
          <w:szCs w:val="32"/>
          <w:highlight w:val="none"/>
        </w:rPr>
        <w:t>乙方应返还甲方所拨的款项；</w:t>
      </w:r>
    </w:p>
    <w:p w14:paraId="7605B268">
      <w:pPr>
        <w:pStyle w:val="10"/>
        <w:keepNext w:val="0"/>
        <w:keepLines w:val="0"/>
        <w:pageBreakBefore w:val="0"/>
        <w:widowControl w:val="0"/>
        <w:kinsoku/>
        <w:wordWrap/>
        <w:overflowPunct/>
        <w:topLinePunct w:val="0"/>
        <w:bidi w:val="0"/>
        <w:adjustRightInd w:val="0"/>
        <w:spacing w:line="560" w:lineRule="exact"/>
        <w:ind w:right="0" w:rightChars="0" w:firstLine="0" w:firstLineChars="0"/>
        <w:jc w:val="both"/>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 xml:space="preserve">  </w:t>
      </w:r>
      <w:r>
        <w:rPr>
          <w:rFonts w:hint="eastAsia" w:ascii="仿宋" w:hAnsi="仿宋" w:eastAsia="仿宋" w:cs="仿宋"/>
          <w:color w:val="auto"/>
          <w:sz w:val="32"/>
          <w:szCs w:val="32"/>
          <w:highlight w:val="none"/>
        </w:rPr>
        <w:t>②</w:t>
      </w:r>
      <w:r>
        <w:rPr>
          <w:rFonts w:hint="eastAsia" w:ascii="仿宋" w:hAnsi="仿宋" w:eastAsia="仿宋" w:cs="仿宋"/>
          <w:color w:val="auto"/>
          <w:sz w:val="32"/>
          <w:szCs w:val="32"/>
          <w:highlight w:val="none"/>
          <w:lang w:eastAsia="zh-CN"/>
        </w:rPr>
        <w:t>乙方应按时发放社工薪酬，拖欠本项目社工工资一个月以上</w:t>
      </w:r>
      <w:r>
        <w:rPr>
          <w:rFonts w:hint="eastAsia" w:ascii="仿宋" w:hAnsi="仿宋" w:eastAsia="仿宋" w:cs="仿宋"/>
          <w:color w:val="auto"/>
          <w:sz w:val="32"/>
          <w:szCs w:val="32"/>
          <w:highlight w:val="none"/>
          <w:lang w:val="en-US" w:eastAsia="zh-CN"/>
        </w:rPr>
        <w:t>。</w:t>
      </w:r>
    </w:p>
    <w:p w14:paraId="13D82102">
      <w:pPr>
        <w:keepNext w:val="0"/>
        <w:keepLines w:val="0"/>
        <w:pageBreakBefore w:val="0"/>
        <w:numPr>
          <w:ilvl w:val="0"/>
          <w:numId w:val="5"/>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具体履约过程中如乙方和</w:t>
      </w:r>
      <w:r>
        <w:rPr>
          <w:rFonts w:hint="eastAsia" w:ascii="仿宋" w:hAnsi="仿宋" w:eastAsia="仿宋" w:cs="仿宋"/>
          <w:color w:val="auto"/>
          <w:sz w:val="32"/>
          <w:szCs w:val="32"/>
          <w:highlight w:val="none"/>
          <w:lang w:eastAsia="zh-CN"/>
        </w:rPr>
        <w:t>用人单位</w:t>
      </w:r>
      <w:r>
        <w:rPr>
          <w:rFonts w:hint="eastAsia" w:ascii="仿宋" w:hAnsi="仿宋" w:eastAsia="仿宋" w:cs="仿宋"/>
          <w:color w:val="auto"/>
          <w:sz w:val="32"/>
          <w:szCs w:val="32"/>
          <w:highlight w:val="none"/>
        </w:rPr>
        <w:t>发生争议，甲方应承担协调处理的职责。</w:t>
      </w:r>
    </w:p>
    <w:p w14:paraId="02C0AB4A">
      <w:pPr>
        <w:keepNext w:val="0"/>
        <w:keepLines w:val="0"/>
        <w:pageBreakBefore w:val="0"/>
        <w:numPr>
          <w:ilvl w:val="0"/>
          <w:numId w:val="5"/>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lang w:eastAsia="zh-CN"/>
        </w:rPr>
        <w:t>用人单位</w:t>
      </w:r>
      <w:r>
        <w:rPr>
          <w:rFonts w:hint="eastAsia" w:ascii="仿宋" w:hAnsi="仿宋" w:eastAsia="仿宋" w:cs="仿宋"/>
          <w:color w:val="auto"/>
          <w:sz w:val="32"/>
          <w:szCs w:val="32"/>
          <w:highlight w:val="none"/>
        </w:rPr>
        <w:t>若不当使用社工，或让社工所做工作超出社工专业服务范畴的，情节严重的，经核查属实，甲方和乙方有权终止本协议。</w:t>
      </w:r>
    </w:p>
    <w:p w14:paraId="2DFA579B">
      <w:pPr>
        <w:keepNext w:val="0"/>
        <w:keepLines w:val="0"/>
        <w:pageBreakBefore w:val="0"/>
        <w:numPr>
          <w:ilvl w:val="0"/>
          <w:numId w:val="6"/>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乙方的权利和义务</w:t>
      </w:r>
    </w:p>
    <w:p w14:paraId="7AADB1ED">
      <w:pPr>
        <w:keepNext w:val="0"/>
        <w:keepLines w:val="0"/>
        <w:pageBreakBefore w:val="0"/>
        <w:numPr>
          <w:ilvl w:val="0"/>
          <w:numId w:val="7"/>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rPr>
        <w:t>乙方在收取甲方拨付的款项时，需先提供给甲方正式票据；乙方应严格按照要求将代收代付的资助款项适用于社工工资薪酬、社工服务活动开展以及社工办公经费等</w:t>
      </w:r>
      <w:r>
        <w:rPr>
          <w:rFonts w:hint="eastAsia" w:ascii="仿宋" w:hAnsi="仿宋" w:eastAsia="仿宋" w:cs="仿宋"/>
          <w:color w:val="auto"/>
          <w:sz w:val="32"/>
          <w:szCs w:val="32"/>
          <w:highlight w:val="none"/>
          <w:lang w:eastAsia="zh-CN"/>
        </w:rPr>
        <w:t>。</w:t>
      </w:r>
    </w:p>
    <w:p w14:paraId="06ADEC53">
      <w:pPr>
        <w:keepNext w:val="0"/>
        <w:keepLines w:val="0"/>
        <w:pageBreakBefore w:val="0"/>
        <w:numPr>
          <w:ilvl w:val="0"/>
          <w:numId w:val="7"/>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rPr>
        <w:t>乙方项目派驻社工，</w:t>
      </w:r>
      <w:r>
        <w:rPr>
          <w:rFonts w:hint="eastAsia" w:ascii="仿宋" w:hAnsi="仿宋" w:eastAsia="仿宋" w:cs="仿宋"/>
          <w:color w:val="auto"/>
          <w:sz w:val="32"/>
          <w:szCs w:val="32"/>
          <w:highlight w:val="none"/>
          <w:lang w:eastAsia="zh-CN"/>
        </w:rPr>
        <w:t>合同前三个月不允许人员变动，经第三方评估统一考核后按照购买方要求更换不合格社工，</w:t>
      </w:r>
      <w:r>
        <w:rPr>
          <w:rFonts w:hint="eastAsia" w:ascii="仿宋" w:hAnsi="仿宋" w:eastAsia="仿宋" w:cs="仿宋"/>
          <w:color w:val="auto"/>
          <w:sz w:val="32"/>
          <w:szCs w:val="32"/>
          <w:highlight w:val="none"/>
          <w:lang w:val="en-US" w:eastAsia="zh-CN"/>
        </w:rPr>
        <w:t>服务需求方若建议更换项目负责人、派驻人员时，社工机构需及时与甲方沟通，协商后在进行调整。</w:t>
      </w:r>
      <w:r>
        <w:rPr>
          <w:rFonts w:hint="eastAsia" w:ascii="仿宋" w:hAnsi="仿宋" w:eastAsia="仿宋" w:cs="仿宋"/>
          <w:color w:val="auto"/>
          <w:sz w:val="32"/>
          <w:szCs w:val="32"/>
          <w:highlight w:val="none"/>
        </w:rPr>
        <w:t>项目全年人员变动</w:t>
      </w:r>
      <w:r>
        <w:rPr>
          <w:rFonts w:hint="eastAsia" w:ascii="仿宋" w:hAnsi="仿宋" w:eastAsia="仿宋" w:cs="仿宋"/>
          <w:color w:val="auto"/>
          <w:sz w:val="32"/>
          <w:szCs w:val="32"/>
          <w:highlight w:val="none"/>
          <w:lang w:val="en-US" w:eastAsia="zh-CN"/>
        </w:rPr>
        <w:t>原则上</w:t>
      </w:r>
      <w:r>
        <w:rPr>
          <w:rFonts w:hint="eastAsia" w:ascii="仿宋" w:hAnsi="仿宋" w:eastAsia="仿宋" w:cs="仿宋"/>
          <w:color w:val="auto"/>
          <w:sz w:val="32"/>
          <w:szCs w:val="32"/>
          <w:highlight w:val="none"/>
        </w:rPr>
        <w:t>不能超过</w:t>
      </w:r>
      <w:r>
        <w:rPr>
          <w:rFonts w:hint="eastAsia" w:ascii="仿宋" w:hAnsi="仿宋" w:eastAsia="仿宋" w:cs="仿宋"/>
          <w:color w:val="auto"/>
          <w:sz w:val="32"/>
          <w:szCs w:val="32"/>
          <w:highlight w:val="none"/>
          <w:lang w:val="en-US" w:eastAsia="zh-CN"/>
        </w:rPr>
        <w:t>50%。</w:t>
      </w:r>
    </w:p>
    <w:p w14:paraId="2739C7DA">
      <w:pPr>
        <w:keepNext w:val="0"/>
        <w:keepLines w:val="0"/>
        <w:pageBreakBefore w:val="0"/>
        <w:numPr>
          <w:ilvl w:val="0"/>
          <w:numId w:val="7"/>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乙方需将项目总款项的89%用于项目人员薪酬，否则，末期评估等级为“不合格”。</w:t>
      </w:r>
    </w:p>
    <w:p w14:paraId="1649914E">
      <w:pPr>
        <w:keepNext w:val="0"/>
        <w:keepLines w:val="0"/>
        <w:pageBreakBefore w:val="0"/>
        <w:numPr>
          <w:ilvl w:val="0"/>
          <w:numId w:val="7"/>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default"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乙方需完成甲方要求的其他工作。</w:t>
      </w:r>
    </w:p>
    <w:p w14:paraId="142790E4">
      <w:pPr>
        <w:keepNext w:val="0"/>
        <w:keepLines w:val="0"/>
        <w:pageBreakBefore w:val="0"/>
        <w:widowControl/>
        <w:kinsoku/>
        <w:wordWrap/>
        <w:overflowPunct/>
        <w:topLinePunct w:val="0"/>
        <w:autoSpaceDE/>
        <w:autoSpaceDN/>
        <w:bidi w:val="0"/>
        <w:adjustRightInd w:val="0"/>
        <w:snapToGrid w:val="0"/>
        <w:spacing w:line="560" w:lineRule="exact"/>
        <w:ind w:left="-199" w:leftChars="-95" w:right="-395" w:rightChars="-188" w:firstLine="640" w:firstLineChars="200"/>
        <w:jc w:val="left"/>
        <w:textAlignment w:val="auto"/>
        <w:rPr>
          <w:rFonts w:hint="eastAsia" w:ascii="黑体" w:hAnsi="黑体" w:eastAsia="黑体" w:cs="黑体"/>
          <w:b w:val="0"/>
          <w:bCs/>
          <w:color w:val="auto"/>
          <w:kern w:val="0"/>
          <w:sz w:val="32"/>
          <w:szCs w:val="32"/>
          <w:highlight w:val="none"/>
        </w:rPr>
      </w:pPr>
      <w:r>
        <w:rPr>
          <w:rFonts w:hint="eastAsia" w:ascii="黑体" w:hAnsi="黑体" w:eastAsia="黑体" w:cs="黑体"/>
          <w:b w:val="0"/>
          <w:bCs/>
          <w:color w:val="auto"/>
          <w:kern w:val="0"/>
          <w:sz w:val="32"/>
          <w:szCs w:val="32"/>
          <w:highlight w:val="none"/>
        </w:rPr>
        <w:t>第九条：劳动条件</w:t>
      </w:r>
    </w:p>
    <w:p w14:paraId="28B36AB3">
      <w:pPr>
        <w:keepNext w:val="0"/>
        <w:keepLines w:val="0"/>
        <w:pageBreakBefore w:val="0"/>
        <w:widowControl/>
        <w:kinsoku/>
        <w:wordWrap/>
        <w:overflowPunct/>
        <w:topLinePunct w:val="0"/>
        <w:autoSpaceDE/>
        <w:autoSpaceDN/>
        <w:bidi w:val="0"/>
        <w:adjustRightInd w:val="0"/>
        <w:snapToGrid w:val="0"/>
        <w:spacing w:line="560" w:lineRule="exact"/>
        <w:ind w:left="-199" w:leftChars="-95" w:right="-395" w:rightChars="-188" w:firstLine="640" w:firstLineChars="200"/>
        <w:jc w:val="left"/>
        <w:textAlignment w:val="auto"/>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乙方社工按照</w:t>
      </w:r>
      <w:r>
        <w:rPr>
          <w:rFonts w:hint="eastAsia" w:ascii="仿宋" w:hAnsi="仿宋" w:eastAsia="仿宋" w:cs="仿宋"/>
          <w:color w:val="auto"/>
          <w:kern w:val="0"/>
          <w:sz w:val="32"/>
          <w:szCs w:val="32"/>
          <w:highlight w:val="none"/>
          <w:lang w:eastAsia="zh-CN"/>
        </w:rPr>
        <w:t>用人单位</w:t>
      </w:r>
      <w:r>
        <w:rPr>
          <w:rFonts w:hint="eastAsia" w:ascii="仿宋" w:hAnsi="仿宋" w:eastAsia="仿宋" w:cs="仿宋"/>
          <w:color w:val="auto"/>
          <w:kern w:val="0"/>
          <w:sz w:val="32"/>
          <w:szCs w:val="32"/>
          <w:highlight w:val="none"/>
        </w:rPr>
        <w:t>正常工作时间提供社工服务，社工工作时间与用人单位工作总时间应保持一致，原则上不少于</w:t>
      </w:r>
      <w:r>
        <w:rPr>
          <w:rFonts w:hint="eastAsia" w:ascii="仿宋" w:hAnsi="仿宋" w:eastAsia="仿宋" w:cs="仿宋"/>
          <w:color w:val="auto"/>
          <w:kern w:val="0"/>
          <w:sz w:val="32"/>
          <w:szCs w:val="32"/>
          <w:highlight w:val="none"/>
          <w:lang w:val="en-US" w:eastAsia="zh-CN"/>
        </w:rPr>
        <w:t>40</w:t>
      </w:r>
      <w:r>
        <w:rPr>
          <w:rFonts w:hint="eastAsia" w:ascii="仿宋" w:hAnsi="仿宋" w:eastAsia="仿宋" w:cs="仿宋"/>
          <w:color w:val="auto"/>
          <w:kern w:val="0"/>
          <w:sz w:val="32"/>
          <w:szCs w:val="32"/>
          <w:highlight w:val="none"/>
        </w:rPr>
        <w:t>小时/周</w:t>
      </w:r>
      <w:r>
        <w:rPr>
          <w:rFonts w:hint="eastAsia" w:ascii="仿宋" w:hAnsi="仿宋" w:eastAsia="仿宋" w:cs="仿宋"/>
          <w:color w:val="auto"/>
          <w:kern w:val="0"/>
          <w:sz w:val="32"/>
          <w:szCs w:val="32"/>
          <w:highlight w:val="none"/>
          <w:lang w:eastAsia="zh-CN"/>
        </w:rPr>
        <w:t>，</w:t>
      </w:r>
      <w:r>
        <w:rPr>
          <w:rFonts w:hint="eastAsia" w:ascii="仿宋" w:hAnsi="仿宋" w:eastAsia="仿宋" w:cs="仿宋"/>
          <w:color w:val="auto"/>
          <w:kern w:val="0"/>
          <w:sz w:val="32"/>
          <w:szCs w:val="32"/>
          <w:highlight w:val="none"/>
        </w:rPr>
        <w:t>回乙方接受培训</w:t>
      </w:r>
      <w:r>
        <w:rPr>
          <w:rFonts w:hint="eastAsia" w:ascii="仿宋" w:hAnsi="仿宋" w:eastAsia="仿宋" w:cs="仿宋"/>
          <w:color w:val="auto"/>
          <w:kern w:val="0"/>
          <w:sz w:val="32"/>
          <w:szCs w:val="32"/>
          <w:highlight w:val="none"/>
          <w:lang w:eastAsia="zh-CN"/>
        </w:rPr>
        <w:t>、</w:t>
      </w:r>
      <w:r>
        <w:rPr>
          <w:rFonts w:hint="eastAsia" w:ascii="仿宋" w:hAnsi="仿宋" w:eastAsia="仿宋" w:cs="仿宋"/>
          <w:color w:val="auto"/>
          <w:kern w:val="0"/>
          <w:sz w:val="32"/>
          <w:szCs w:val="32"/>
          <w:highlight w:val="none"/>
          <w:lang w:val="en-US" w:eastAsia="zh-CN"/>
        </w:rPr>
        <w:t>督导等</w:t>
      </w:r>
      <w:r>
        <w:rPr>
          <w:rFonts w:hint="eastAsia" w:ascii="仿宋" w:hAnsi="仿宋" w:eastAsia="仿宋" w:cs="仿宋"/>
          <w:color w:val="auto"/>
          <w:kern w:val="0"/>
          <w:sz w:val="32"/>
          <w:szCs w:val="32"/>
          <w:highlight w:val="none"/>
        </w:rPr>
        <w:t>时间不得与</w:t>
      </w:r>
      <w:r>
        <w:rPr>
          <w:rFonts w:hint="eastAsia" w:ascii="仿宋" w:hAnsi="仿宋" w:eastAsia="仿宋" w:cs="仿宋"/>
          <w:color w:val="auto"/>
          <w:kern w:val="0"/>
          <w:sz w:val="32"/>
          <w:szCs w:val="32"/>
          <w:highlight w:val="none"/>
          <w:lang w:eastAsia="zh-CN"/>
        </w:rPr>
        <w:t>用人单位</w:t>
      </w:r>
      <w:r>
        <w:rPr>
          <w:rFonts w:hint="eastAsia" w:ascii="仿宋" w:hAnsi="仿宋" w:eastAsia="仿宋" w:cs="仿宋"/>
          <w:color w:val="auto"/>
          <w:kern w:val="0"/>
          <w:sz w:val="32"/>
          <w:szCs w:val="32"/>
          <w:highlight w:val="none"/>
        </w:rPr>
        <w:t>的正常工作时间冲突。</w:t>
      </w:r>
    </w:p>
    <w:p w14:paraId="630E3D46">
      <w:pPr>
        <w:keepNext w:val="0"/>
        <w:keepLines w:val="0"/>
        <w:pageBreakBefore w:val="0"/>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黑体" w:hAnsi="黑体" w:eastAsia="黑体" w:cs="黑体"/>
          <w:b w:val="0"/>
          <w:bCs w:val="0"/>
          <w:color w:val="auto"/>
          <w:sz w:val="32"/>
          <w:szCs w:val="32"/>
          <w:highlight w:val="none"/>
        </w:rPr>
      </w:pPr>
      <w:r>
        <w:rPr>
          <w:rFonts w:hint="eastAsia" w:ascii="黑体" w:hAnsi="黑体" w:eastAsia="黑体" w:cs="黑体"/>
          <w:b w:val="0"/>
          <w:bCs w:val="0"/>
          <w:color w:val="auto"/>
          <w:sz w:val="32"/>
          <w:szCs w:val="32"/>
          <w:highlight w:val="none"/>
        </w:rPr>
        <w:t>第十条：服务承诺</w:t>
      </w:r>
    </w:p>
    <w:p w14:paraId="1C3478DA">
      <w:pPr>
        <w:keepNext w:val="0"/>
        <w:keepLines w:val="0"/>
        <w:pageBreakBefore w:val="0"/>
        <w:numPr>
          <w:ilvl w:val="0"/>
          <w:numId w:val="8"/>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乙方应承诺根据服务单位要求修改、完善实施方案及提交的成果，满足需求。</w:t>
      </w:r>
    </w:p>
    <w:p w14:paraId="2B4C02C8">
      <w:pPr>
        <w:keepNext w:val="0"/>
        <w:keepLines w:val="0"/>
        <w:pageBreakBefore w:val="0"/>
        <w:numPr>
          <w:ilvl w:val="0"/>
          <w:numId w:val="8"/>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乙方须对服务方案的实施、验收、培训、应用等提供协助和技术支持。</w:t>
      </w:r>
    </w:p>
    <w:p w14:paraId="5443765C">
      <w:pPr>
        <w:keepNext w:val="0"/>
        <w:keepLines w:val="0"/>
        <w:pageBreakBefore w:val="0"/>
        <w:numPr>
          <w:ilvl w:val="0"/>
          <w:numId w:val="8"/>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乙方需要按照计划书所写内容开展服务，接受甲方代表到项目（岗位）点考察。</w:t>
      </w:r>
    </w:p>
    <w:p w14:paraId="04251CF0">
      <w:pPr>
        <w:keepNext w:val="0"/>
        <w:keepLines w:val="0"/>
        <w:pageBreakBefore w:val="0"/>
        <w:numPr>
          <w:ilvl w:val="0"/>
          <w:numId w:val="8"/>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乙方需向甲方提供项目（岗位）工作人员的学历、技术职称等基本信息。</w:t>
      </w:r>
    </w:p>
    <w:p w14:paraId="51ABDA35">
      <w:pPr>
        <w:keepNext w:val="0"/>
        <w:keepLines w:val="0"/>
        <w:pageBreakBefore w:val="0"/>
        <w:numPr>
          <w:ilvl w:val="0"/>
          <w:numId w:val="8"/>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乙方需接受甲方对项目（岗位）提供督导和评估，以便共同研究，</w:t>
      </w:r>
      <w:r>
        <w:rPr>
          <w:rFonts w:hint="eastAsia" w:ascii="仿宋" w:hAnsi="仿宋" w:eastAsia="仿宋" w:cs="仿宋"/>
          <w:color w:val="auto"/>
          <w:sz w:val="32"/>
          <w:szCs w:val="32"/>
          <w:highlight w:val="none"/>
          <w:lang w:eastAsia="zh-CN"/>
        </w:rPr>
        <w:t>双方</w:t>
      </w:r>
      <w:r>
        <w:rPr>
          <w:rFonts w:hint="eastAsia" w:ascii="仿宋" w:hAnsi="仿宋" w:eastAsia="仿宋" w:cs="仿宋"/>
          <w:color w:val="auto"/>
          <w:sz w:val="32"/>
          <w:szCs w:val="32"/>
          <w:highlight w:val="none"/>
        </w:rPr>
        <w:t>有权共同使用项目数据和资料。</w:t>
      </w:r>
    </w:p>
    <w:p w14:paraId="6CDD3799">
      <w:pPr>
        <w:keepNext w:val="0"/>
        <w:keepLines w:val="0"/>
        <w:pageBreakBefore w:val="0"/>
        <w:numPr>
          <w:ilvl w:val="0"/>
          <w:numId w:val="8"/>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乙方需要留有项目财务支出单据，以供复查，对欠缺有效单据的支出，甲方不予承认。</w:t>
      </w:r>
    </w:p>
    <w:p w14:paraId="351A93BF">
      <w:pPr>
        <w:keepNext w:val="0"/>
        <w:keepLines w:val="0"/>
        <w:pageBreakBefore w:val="0"/>
        <w:numPr>
          <w:ilvl w:val="0"/>
          <w:numId w:val="8"/>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乙方若有重大财务变动，需要提交书面申请，经批准后才可调配。</w:t>
      </w:r>
    </w:p>
    <w:p w14:paraId="41C5AC08">
      <w:pPr>
        <w:keepNext w:val="0"/>
        <w:keepLines w:val="0"/>
        <w:pageBreakBefore w:val="0"/>
        <w:numPr>
          <w:ilvl w:val="0"/>
          <w:numId w:val="8"/>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乙方在该项目（岗位）中所制作的宣传材料需放置“20</w:t>
      </w:r>
      <w:r>
        <w:rPr>
          <w:rFonts w:hint="eastAsia" w:ascii="仿宋" w:hAnsi="仿宋" w:eastAsia="仿宋" w:cs="仿宋"/>
          <w:color w:val="auto"/>
          <w:sz w:val="32"/>
          <w:szCs w:val="32"/>
          <w:highlight w:val="none"/>
          <w:lang w:val="en-US" w:eastAsia="zh-CN"/>
        </w:rPr>
        <w:t>24</w:t>
      </w:r>
      <w:r>
        <w:rPr>
          <w:rFonts w:hint="eastAsia" w:ascii="仿宋" w:hAnsi="仿宋" w:eastAsia="仿宋" w:cs="仿宋"/>
          <w:color w:val="auto"/>
          <w:sz w:val="32"/>
          <w:szCs w:val="32"/>
          <w:highlight w:val="none"/>
        </w:rPr>
        <w:t>年郑州市郑东新区政府购买社会工作服务”专用标志，除此之外使用标志需要经甲方书面授权。</w:t>
      </w:r>
    </w:p>
    <w:p w14:paraId="74D82586">
      <w:pPr>
        <w:keepNext w:val="0"/>
        <w:keepLines w:val="0"/>
        <w:pageBreakBefore w:val="0"/>
        <w:numPr>
          <w:ilvl w:val="0"/>
          <w:numId w:val="8"/>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乙方应于整个项目结束后的十五个工作日内，向甲方递交包含账目结算在内的完整自评报告。</w:t>
      </w:r>
    </w:p>
    <w:p w14:paraId="46650769">
      <w:pPr>
        <w:keepNext w:val="0"/>
        <w:keepLines w:val="0"/>
        <w:pageBreakBefore w:val="0"/>
        <w:numPr>
          <w:ilvl w:val="0"/>
          <w:numId w:val="8"/>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乙方应遵守以上各条款，否则甲方有权随时终止项目，并追回拨款，相关不良记录将影响乙方日后的政府购买社会工作服务申请。</w:t>
      </w:r>
    </w:p>
    <w:p w14:paraId="1DB3EFAB">
      <w:pPr>
        <w:keepNext w:val="0"/>
        <w:keepLines w:val="0"/>
        <w:pageBreakBefore w:val="0"/>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黑体" w:hAnsi="黑体" w:eastAsia="黑体" w:cs="黑体"/>
          <w:b w:val="0"/>
          <w:bCs w:val="0"/>
          <w:color w:val="auto"/>
          <w:sz w:val="32"/>
          <w:szCs w:val="32"/>
          <w:highlight w:val="none"/>
        </w:rPr>
      </w:pPr>
      <w:r>
        <w:rPr>
          <w:rFonts w:hint="eastAsia" w:ascii="黑体" w:hAnsi="黑体" w:eastAsia="黑体" w:cs="黑体"/>
          <w:b w:val="0"/>
          <w:bCs w:val="0"/>
          <w:color w:val="auto"/>
          <w:sz w:val="32"/>
          <w:szCs w:val="32"/>
          <w:highlight w:val="none"/>
        </w:rPr>
        <w:t>第十一条：拨款方式</w:t>
      </w:r>
    </w:p>
    <w:p w14:paraId="7D5912F2">
      <w:pPr>
        <w:keepNext w:val="0"/>
        <w:keepLines w:val="0"/>
        <w:pageBreakBefore w:val="0"/>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lang w:val="en-US" w:eastAsia="zh-CN"/>
        </w:rPr>
        <w:t>项目付款比例依据各阶段</w:t>
      </w:r>
      <w:r>
        <w:rPr>
          <w:rFonts w:hint="eastAsia" w:ascii="仿宋" w:hAnsi="仿宋" w:eastAsia="仿宋" w:cs="仿宋"/>
          <w:color w:val="auto"/>
          <w:sz w:val="32"/>
          <w:szCs w:val="32"/>
          <w:highlight w:val="none"/>
        </w:rPr>
        <w:t>第三方评估</w:t>
      </w:r>
      <w:r>
        <w:rPr>
          <w:rFonts w:hint="eastAsia" w:ascii="仿宋" w:hAnsi="仿宋" w:eastAsia="仿宋" w:cs="仿宋"/>
          <w:color w:val="auto"/>
          <w:sz w:val="32"/>
          <w:szCs w:val="32"/>
          <w:highlight w:val="none"/>
          <w:lang w:val="en-US" w:eastAsia="zh-CN"/>
        </w:rPr>
        <w:t>结果档次而定，</w:t>
      </w:r>
      <w:r>
        <w:rPr>
          <w:rFonts w:hint="eastAsia" w:ascii="仿宋" w:hAnsi="仿宋" w:eastAsia="仿宋" w:cs="仿宋"/>
          <w:color w:val="auto"/>
          <w:sz w:val="32"/>
          <w:szCs w:val="32"/>
          <w:highlight w:val="none"/>
        </w:rPr>
        <w:t>总分分为</w:t>
      </w:r>
      <w:r>
        <w:rPr>
          <w:rFonts w:hint="eastAsia" w:ascii="仿宋" w:hAnsi="仿宋" w:eastAsia="仿宋" w:cs="仿宋"/>
          <w:color w:val="auto"/>
          <w:sz w:val="32"/>
          <w:szCs w:val="32"/>
          <w:highlight w:val="none"/>
          <w:lang w:val="en-US" w:eastAsia="zh-CN"/>
        </w:rPr>
        <w:t>四</w:t>
      </w:r>
      <w:r>
        <w:rPr>
          <w:rFonts w:hint="eastAsia" w:ascii="仿宋" w:hAnsi="仿宋" w:eastAsia="仿宋" w:cs="仿宋"/>
          <w:color w:val="auto"/>
          <w:sz w:val="32"/>
          <w:szCs w:val="32"/>
          <w:highlight w:val="none"/>
        </w:rPr>
        <w:t>个档次，</w:t>
      </w:r>
      <w:r>
        <w:rPr>
          <w:rFonts w:hint="eastAsia" w:ascii="仿宋" w:hAnsi="仿宋" w:eastAsia="仿宋" w:cs="仿宋"/>
          <w:color w:val="auto"/>
          <w:sz w:val="32"/>
          <w:szCs w:val="32"/>
          <w:highlight w:val="none"/>
          <w:lang w:val="en-US" w:eastAsia="zh-CN"/>
        </w:rPr>
        <w:t>依据评估分数分为</w:t>
      </w: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rPr>
        <w:t>优秀</w:t>
      </w: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rPr>
        <w:t>良好</w:t>
      </w: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rPr>
        <w:t>合格</w:t>
      </w: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rPr>
        <w:t>不合格</w:t>
      </w: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rPr>
        <w:t>。</w:t>
      </w:r>
    </w:p>
    <w:p w14:paraId="0A4F52DF">
      <w:pPr>
        <w:keepNext w:val="0"/>
        <w:keepLines w:val="0"/>
        <w:pageBreakBefore w:val="0"/>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kern w:val="0"/>
          <w:sz w:val="32"/>
          <w:szCs w:val="32"/>
          <w:highlight w:val="none"/>
        </w:rPr>
        <w:t>本项目</w:t>
      </w:r>
      <w:r>
        <w:rPr>
          <w:rFonts w:hint="eastAsia" w:ascii="仿宋" w:hAnsi="仿宋" w:eastAsia="仿宋" w:cs="仿宋"/>
          <w:color w:val="auto"/>
          <w:kern w:val="0"/>
          <w:sz w:val="32"/>
          <w:szCs w:val="32"/>
          <w:highlight w:val="none"/>
          <w:lang w:val="en-US" w:eastAsia="zh-CN"/>
        </w:rPr>
        <w:t>款以</w:t>
      </w:r>
      <w:r>
        <w:rPr>
          <w:rFonts w:hint="eastAsia" w:ascii="仿宋" w:hAnsi="仿宋" w:eastAsia="仿宋" w:cs="仿宋"/>
          <w:color w:val="auto"/>
          <w:kern w:val="0"/>
          <w:sz w:val="32"/>
          <w:szCs w:val="32"/>
          <w:highlight w:val="none"/>
        </w:rPr>
        <w:t>转账形式</w:t>
      </w:r>
      <w:r>
        <w:rPr>
          <w:rFonts w:hint="eastAsia" w:ascii="仿宋" w:hAnsi="仿宋" w:eastAsia="仿宋" w:cs="仿宋"/>
          <w:color w:val="auto"/>
          <w:kern w:val="0"/>
          <w:sz w:val="32"/>
          <w:szCs w:val="32"/>
          <w:highlight w:val="none"/>
          <w:lang w:eastAsia="zh-CN"/>
        </w:rPr>
        <w:t>，</w:t>
      </w:r>
      <w:r>
        <w:rPr>
          <w:rFonts w:hint="eastAsia" w:ascii="仿宋" w:hAnsi="仿宋" w:eastAsia="仿宋" w:cs="仿宋"/>
          <w:color w:val="auto"/>
          <w:kern w:val="0"/>
          <w:sz w:val="32"/>
          <w:szCs w:val="32"/>
          <w:highlight w:val="none"/>
        </w:rPr>
        <w:t>分</w:t>
      </w:r>
      <w:r>
        <w:rPr>
          <w:rFonts w:hint="eastAsia" w:ascii="仿宋" w:hAnsi="仿宋" w:eastAsia="仿宋" w:cs="仿宋"/>
          <w:color w:val="auto"/>
          <w:kern w:val="0"/>
          <w:sz w:val="32"/>
          <w:szCs w:val="32"/>
          <w:highlight w:val="none"/>
          <w:lang w:val="en-US" w:eastAsia="zh-CN"/>
        </w:rPr>
        <w:t>三</w:t>
      </w:r>
      <w:r>
        <w:rPr>
          <w:rFonts w:hint="eastAsia" w:ascii="仿宋" w:hAnsi="仿宋" w:eastAsia="仿宋" w:cs="仿宋"/>
          <w:color w:val="auto"/>
          <w:kern w:val="0"/>
          <w:sz w:val="32"/>
          <w:szCs w:val="32"/>
          <w:highlight w:val="none"/>
        </w:rPr>
        <w:t>次拨付。</w:t>
      </w:r>
      <w:r>
        <w:rPr>
          <w:rFonts w:hint="eastAsia" w:ascii="仿宋" w:hAnsi="仿宋" w:eastAsia="仿宋" w:cs="仿宋"/>
          <w:color w:val="auto"/>
          <w:kern w:val="0"/>
          <w:sz w:val="32"/>
          <w:szCs w:val="32"/>
          <w:highlight w:val="none"/>
          <w:lang w:val="en-US" w:eastAsia="zh-CN"/>
        </w:rPr>
        <w:t>第一次，</w:t>
      </w:r>
      <w:r>
        <w:rPr>
          <w:rFonts w:hint="eastAsia" w:ascii="仿宋" w:hAnsi="仿宋" w:eastAsia="仿宋" w:cs="仿宋"/>
          <w:color w:val="auto"/>
          <w:kern w:val="0"/>
          <w:sz w:val="32"/>
          <w:szCs w:val="32"/>
          <w:highlight w:val="none"/>
        </w:rPr>
        <w:t>甲方于项目合同签订之日起30天内拨付服务总经费的</w:t>
      </w:r>
      <w:r>
        <w:rPr>
          <w:rFonts w:hint="eastAsia" w:ascii="仿宋" w:hAnsi="仿宋" w:eastAsia="仿宋" w:cs="仿宋"/>
          <w:color w:val="auto"/>
          <w:kern w:val="0"/>
          <w:sz w:val="32"/>
          <w:szCs w:val="32"/>
          <w:highlight w:val="none"/>
          <w:lang w:val="en-US" w:eastAsia="zh-CN"/>
        </w:rPr>
        <w:t>50</w:t>
      </w:r>
      <w:r>
        <w:rPr>
          <w:rFonts w:hint="eastAsia" w:ascii="仿宋" w:hAnsi="仿宋" w:eastAsia="仿宋" w:cs="仿宋"/>
          <w:color w:val="auto"/>
          <w:kern w:val="0"/>
          <w:sz w:val="32"/>
          <w:szCs w:val="32"/>
          <w:highlight w:val="none"/>
        </w:rPr>
        <w:t>%</w:t>
      </w:r>
      <w:r>
        <w:rPr>
          <w:rFonts w:hint="eastAsia" w:ascii="仿宋" w:hAnsi="仿宋" w:eastAsia="仿宋" w:cs="仿宋"/>
          <w:color w:val="auto"/>
          <w:kern w:val="0"/>
          <w:sz w:val="32"/>
          <w:szCs w:val="32"/>
          <w:highlight w:val="none"/>
          <w:lang w:eastAsia="zh-CN"/>
        </w:rPr>
        <w:t>。</w:t>
      </w:r>
      <w:r>
        <w:rPr>
          <w:rFonts w:hint="eastAsia" w:ascii="仿宋" w:hAnsi="仿宋" w:eastAsia="仿宋" w:cs="仿宋"/>
          <w:color w:val="auto"/>
          <w:kern w:val="0"/>
          <w:sz w:val="32"/>
          <w:szCs w:val="32"/>
          <w:highlight w:val="none"/>
          <w:lang w:val="en-US" w:eastAsia="zh-CN"/>
        </w:rPr>
        <w:t>第二次，</w:t>
      </w:r>
      <w:r>
        <w:rPr>
          <w:rFonts w:hint="eastAsia" w:ascii="仿宋" w:hAnsi="仿宋" w:eastAsia="仿宋" w:cs="仿宋"/>
          <w:color w:val="auto"/>
          <w:kern w:val="0"/>
          <w:sz w:val="32"/>
          <w:szCs w:val="32"/>
          <w:highlight w:val="none"/>
        </w:rPr>
        <w:t>项目通过中期评估</w:t>
      </w:r>
      <w:r>
        <w:rPr>
          <w:rFonts w:hint="eastAsia" w:ascii="仿宋" w:hAnsi="仿宋" w:eastAsia="仿宋" w:cs="仿宋"/>
          <w:color w:val="auto"/>
          <w:kern w:val="0"/>
          <w:sz w:val="32"/>
          <w:szCs w:val="32"/>
          <w:highlight w:val="none"/>
          <w:lang w:val="en-US" w:eastAsia="zh-CN"/>
        </w:rPr>
        <w:t>等级为</w:t>
      </w:r>
      <w:r>
        <w:rPr>
          <w:rFonts w:hint="eastAsia" w:ascii="仿宋" w:hAnsi="仿宋" w:eastAsia="仿宋" w:cs="仿宋"/>
          <w:color w:val="auto"/>
          <w:kern w:val="0"/>
          <w:sz w:val="32"/>
          <w:szCs w:val="32"/>
          <w:highlight w:val="none"/>
        </w:rPr>
        <w:t>“合格”及以上的拨付</w:t>
      </w:r>
      <w:r>
        <w:rPr>
          <w:rFonts w:hint="eastAsia" w:ascii="仿宋" w:hAnsi="仿宋" w:eastAsia="仿宋" w:cs="仿宋"/>
          <w:color w:val="auto"/>
          <w:kern w:val="0"/>
          <w:sz w:val="32"/>
          <w:szCs w:val="32"/>
          <w:highlight w:val="none"/>
          <w:lang w:val="en-US" w:eastAsia="zh-CN"/>
        </w:rPr>
        <w:t>30</w:t>
      </w:r>
      <w:r>
        <w:rPr>
          <w:rFonts w:hint="eastAsia" w:ascii="仿宋" w:hAnsi="仿宋" w:eastAsia="仿宋" w:cs="仿宋"/>
          <w:color w:val="auto"/>
          <w:kern w:val="0"/>
          <w:sz w:val="32"/>
          <w:szCs w:val="32"/>
          <w:highlight w:val="none"/>
        </w:rPr>
        <w:t>%，</w:t>
      </w:r>
      <w:r>
        <w:rPr>
          <w:rFonts w:hint="eastAsia" w:ascii="仿宋" w:hAnsi="仿宋" w:eastAsia="仿宋" w:cs="仿宋"/>
          <w:color w:val="auto"/>
          <w:kern w:val="0"/>
          <w:sz w:val="32"/>
          <w:szCs w:val="32"/>
          <w:highlight w:val="none"/>
          <w:lang w:eastAsia="zh-CN"/>
        </w:rPr>
        <w:t>“</w:t>
      </w:r>
      <w:r>
        <w:rPr>
          <w:rFonts w:hint="eastAsia" w:ascii="仿宋" w:hAnsi="仿宋" w:eastAsia="仿宋" w:cs="仿宋"/>
          <w:color w:val="auto"/>
          <w:kern w:val="0"/>
          <w:sz w:val="32"/>
          <w:szCs w:val="32"/>
          <w:highlight w:val="none"/>
        </w:rPr>
        <w:t>不合格</w:t>
      </w:r>
      <w:r>
        <w:rPr>
          <w:rFonts w:hint="eastAsia" w:ascii="仿宋" w:hAnsi="仿宋" w:eastAsia="仿宋" w:cs="仿宋"/>
          <w:color w:val="auto"/>
          <w:kern w:val="0"/>
          <w:sz w:val="32"/>
          <w:szCs w:val="32"/>
          <w:highlight w:val="none"/>
          <w:lang w:eastAsia="zh-CN"/>
        </w:rPr>
        <w:t>”</w:t>
      </w:r>
      <w:r>
        <w:rPr>
          <w:rFonts w:hint="eastAsia" w:ascii="仿宋" w:hAnsi="仿宋" w:eastAsia="仿宋" w:cs="仿宋"/>
          <w:color w:val="auto"/>
          <w:kern w:val="0"/>
          <w:sz w:val="32"/>
          <w:szCs w:val="32"/>
          <w:highlight w:val="none"/>
        </w:rPr>
        <w:t>不予拨付</w:t>
      </w:r>
      <w:r>
        <w:rPr>
          <w:rFonts w:hint="eastAsia" w:ascii="仿宋" w:hAnsi="仿宋" w:eastAsia="仿宋" w:cs="仿宋"/>
          <w:color w:val="auto"/>
          <w:kern w:val="0"/>
          <w:sz w:val="32"/>
          <w:szCs w:val="32"/>
          <w:highlight w:val="none"/>
          <w:lang w:eastAsia="zh-CN"/>
        </w:rPr>
        <w:t>。</w:t>
      </w:r>
      <w:r>
        <w:rPr>
          <w:rFonts w:hint="eastAsia" w:ascii="仿宋" w:hAnsi="仿宋" w:eastAsia="仿宋" w:cs="仿宋"/>
          <w:color w:val="auto"/>
          <w:kern w:val="0"/>
          <w:sz w:val="32"/>
          <w:szCs w:val="32"/>
          <w:highlight w:val="none"/>
          <w:lang w:val="en-US" w:eastAsia="zh-CN"/>
        </w:rPr>
        <w:t>第三次，</w:t>
      </w:r>
      <w:r>
        <w:rPr>
          <w:rFonts w:hint="eastAsia" w:ascii="仿宋" w:hAnsi="仿宋" w:eastAsia="仿宋" w:cs="仿宋"/>
          <w:color w:val="auto"/>
          <w:kern w:val="0"/>
          <w:sz w:val="32"/>
          <w:szCs w:val="32"/>
          <w:highlight w:val="none"/>
        </w:rPr>
        <w:t>项目末期评估为“合格”及以上的拨付</w:t>
      </w:r>
      <w:r>
        <w:rPr>
          <w:rFonts w:hint="eastAsia" w:ascii="仿宋" w:hAnsi="仿宋" w:eastAsia="仿宋" w:cs="仿宋"/>
          <w:color w:val="auto"/>
          <w:kern w:val="0"/>
          <w:sz w:val="32"/>
          <w:szCs w:val="32"/>
          <w:highlight w:val="none"/>
          <w:lang w:val="en-US" w:eastAsia="zh-CN"/>
        </w:rPr>
        <w:t>20%</w:t>
      </w:r>
      <w:r>
        <w:rPr>
          <w:rFonts w:hint="eastAsia" w:ascii="仿宋" w:hAnsi="仿宋" w:eastAsia="仿宋" w:cs="仿宋"/>
          <w:color w:val="auto"/>
          <w:kern w:val="0"/>
          <w:sz w:val="32"/>
          <w:szCs w:val="32"/>
          <w:highlight w:val="none"/>
        </w:rPr>
        <w:t>，为“不合格”的拨付5%。</w:t>
      </w:r>
    </w:p>
    <w:p w14:paraId="7BD61CDA">
      <w:pPr>
        <w:keepNext w:val="0"/>
        <w:keepLines w:val="0"/>
        <w:pageBreakBefore w:val="0"/>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黑体" w:hAnsi="黑体" w:eastAsia="黑体" w:cs="黑体"/>
          <w:b w:val="0"/>
          <w:bCs w:val="0"/>
          <w:color w:val="auto"/>
          <w:sz w:val="32"/>
          <w:szCs w:val="32"/>
          <w:highlight w:val="none"/>
        </w:rPr>
      </w:pPr>
      <w:r>
        <w:rPr>
          <w:rFonts w:hint="eastAsia" w:ascii="黑体" w:hAnsi="黑体" w:eastAsia="黑体" w:cs="黑体"/>
          <w:b w:val="0"/>
          <w:bCs w:val="0"/>
          <w:color w:val="auto"/>
          <w:sz w:val="32"/>
          <w:szCs w:val="32"/>
          <w:highlight w:val="none"/>
        </w:rPr>
        <w:t>第十二条：技术资料</w:t>
      </w:r>
    </w:p>
    <w:p w14:paraId="15DF3FD5">
      <w:pPr>
        <w:keepNext w:val="0"/>
        <w:keepLines w:val="0"/>
        <w:pageBreakBefore w:val="0"/>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1.乙方应按照招标文件规定的时间向甲方提供有关技术资料。</w:t>
      </w:r>
    </w:p>
    <w:p w14:paraId="60AE6D64">
      <w:pPr>
        <w:keepNext w:val="0"/>
        <w:keepLines w:val="0"/>
        <w:pageBreakBefore w:val="0"/>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2.没有其它两方书面同意，任何一方不得将有关合同或任何合同条文、规格、计划或者资料提供给与履行本合同无关的任何其他人。即使向履行本合同有关的人员提供，也应注意保密并限于履行合同的必需范围。</w:t>
      </w:r>
    </w:p>
    <w:p w14:paraId="04E7C6A4">
      <w:pPr>
        <w:keepNext w:val="0"/>
        <w:keepLines w:val="0"/>
        <w:pageBreakBefore w:val="0"/>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黑体" w:hAnsi="黑体" w:eastAsia="黑体" w:cs="黑体"/>
          <w:b w:val="0"/>
          <w:bCs w:val="0"/>
          <w:color w:val="auto"/>
          <w:sz w:val="32"/>
          <w:szCs w:val="32"/>
          <w:highlight w:val="none"/>
        </w:rPr>
      </w:pPr>
      <w:r>
        <w:rPr>
          <w:rFonts w:hint="eastAsia" w:ascii="黑体" w:hAnsi="黑体" w:eastAsia="黑体" w:cs="黑体"/>
          <w:b w:val="0"/>
          <w:bCs w:val="0"/>
          <w:color w:val="auto"/>
          <w:sz w:val="32"/>
          <w:szCs w:val="32"/>
          <w:highlight w:val="none"/>
        </w:rPr>
        <w:t>第十三条：涉及保密</w:t>
      </w:r>
    </w:p>
    <w:p w14:paraId="1A8C2CE1">
      <w:pPr>
        <w:keepNext w:val="0"/>
        <w:keepLines w:val="0"/>
        <w:pageBreakBefore w:val="0"/>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甲乙</w:t>
      </w:r>
      <w:r>
        <w:rPr>
          <w:rFonts w:hint="eastAsia" w:ascii="仿宋" w:hAnsi="仿宋" w:eastAsia="仿宋" w:cs="仿宋"/>
          <w:color w:val="auto"/>
          <w:sz w:val="32"/>
          <w:szCs w:val="32"/>
          <w:highlight w:val="none"/>
          <w:lang w:eastAsia="zh-CN"/>
        </w:rPr>
        <w:t>双</w:t>
      </w:r>
      <w:r>
        <w:rPr>
          <w:rFonts w:hint="eastAsia" w:ascii="仿宋" w:hAnsi="仿宋" w:eastAsia="仿宋" w:cs="仿宋"/>
          <w:color w:val="auto"/>
          <w:sz w:val="32"/>
          <w:szCs w:val="32"/>
          <w:highlight w:val="none"/>
        </w:rPr>
        <w:t>方应永久恪守因签署或履行本合同而获知的业务方面的秘密信息。任何一方如将获知的对方秘密信息泄露给第三方、应赔偿因泄密而给对方造成的一切损失并承担相应的法律责任。</w:t>
      </w:r>
    </w:p>
    <w:p w14:paraId="1C4A17B4">
      <w:pPr>
        <w:keepNext w:val="0"/>
        <w:keepLines w:val="0"/>
        <w:pageBreakBefore w:val="0"/>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黑体" w:hAnsi="黑体" w:eastAsia="黑体" w:cs="黑体"/>
          <w:b w:val="0"/>
          <w:bCs w:val="0"/>
          <w:color w:val="auto"/>
          <w:sz w:val="32"/>
          <w:szCs w:val="32"/>
          <w:highlight w:val="none"/>
        </w:rPr>
        <w:t>第十四条：</w:t>
      </w:r>
      <w:r>
        <w:rPr>
          <w:rFonts w:hint="eastAsia" w:ascii="仿宋" w:hAnsi="仿宋" w:eastAsia="仿宋" w:cs="仿宋"/>
          <w:color w:val="auto"/>
          <w:sz w:val="32"/>
          <w:szCs w:val="32"/>
          <w:highlight w:val="none"/>
        </w:rPr>
        <w:t>在合同期内，任何一方不得无故单方面终止合同，如任何一方无故终止合同，须提前一个月以书面形式通知对方，并且均须赔付对方损失相当于两个月的服务费金额，以下情况除外：</w:t>
      </w:r>
    </w:p>
    <w:p w14:paraId="7249B1D6">
      <w:pPr>
        <w:keepNext w:val="0"/>
        <w:keepLines w:val="0"/>
        <w:pageBreakBefore w:val="0"/>
        <w:numPr>
          <w:ilvl w:val="0"/>
          <w:numId w:val="9"/>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乙方服务质量严重下降，导致服务单位环境不能达到合同要求标准，并经甲方多次警告及罚款均无效果，且已危害服务单位公众形象及生活环境，但因不可抗力造成的，即自然灾害、人为恶意破坏等因素引起的不在此列。</w:t>
      </w:r>
    </w:p>
    <w:p w14:paraId="79B57DC9">
      <w:pPr>
        <w:keepNext w:val="0"/>
        <w:keepLines w:val="0"/>
        <w:pageBreakBefore w:val="0"/>
        <w:numPr>
          <w:ilvl w:val="0"/>
          <w:numId w:val="9"/>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甲方未能如期付款而影响乙方服务工作，受资金不到位而导致服务难以开展。</w:t>
      </w:r>
    </w:p>
    <w:p w14:paraId="1200493F">
      <w:pPr>
        <w:keepNext w:val="0"/>
        <w:keepLines w:val="0"/>
        <w:pageBreakBefore w:val="0"/>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黑体" w:hAnsi="黑体" w:eastAsia="黑体" w:cs="黑体"/>
          <w:b w:val="0"/>
          <w:bCs w:val="0"/>
          <w:color w:val="auto"/>
          <w:sz w:val="32"/>
          <w:szCs w:val="32"/>
          <w:highlight w:val="none"/>
        </w:rPr>
      </w:pPr>
      <w:r>
        <w:rPr>
          <w:rFonts w:hint="eastAsia" w:ascii="黑体" w:hAnsi="黑体" w:eastAsia="黑体" w:cs="黑体"/>
          <w:b w:val="0"/>
          <w:bCs w:val="0"/>
          <w:color w:val="auto"/>
          <w:sz w:val="32"/>
          <w:szCs w:val="32"/>
          <w:highlight w:val="none"/>
        </w:rPr>
        <w:t>第十五条：违约与赔偿责任</w:t>
      </w:r>
    </w:p>
    <w:p w14:paraId="191BA145">
      <w:pPr>
        <w:keepNext w:val="0"/>
        <w:keepLines w:val="0"/>
        <w:pageBreakBefore w:val="0"/>
        <w:numPr>
          <w:ilvl w:val="0"/>
          <w:numId w:val="10"/>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交付违约</w:t>
      </w:r>
    </w:p>
    <w:p w14:paraId="69BD9919">
      <w:pPr>
        <w:keepNext w:val="0"/>
        <w:keepLines w:val="0"/>
        <w:pageBreakBefore w:val="0"/>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乙方应在合同所规定的时间内完成和交付本合同规定的全部项目，如完成工作延时，甲方有权要求乙方作出补偿和采取补救措施，并继续履行本合同所规定的义务。如因甲方原因而造成的延期乙方不负延期责任。</w:t>
      </w:r>
    </w:p>
    <w:p w14:paraId="13A7B3B5">
      <w:pPr>
        <w:keepNext w:val="0"/>
        <w:keepLines w:val="0"/>
        <w:pageBreakBefore w:val="0"/>
        <w:numPr>
          <w:ilvl w:val="0"/>
          <w:numId w:val="11"/>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付款违约</w:t>
      </w:r>
    </w:p>
    <w:p w14:paraId="737BDFAB">
      <w:pPr>
        <w:keepNext w:val="0"/>
        <w:keepLines w:val="0"/>
        <w:pageBreakBefore w:val="0"/>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 xml:space="preserve">如甲方付款延误，应当向乙方说明原因,做好解释工作。 </w:t>
      </w:r>
    </w:p>
    <w:p w14:paraId="1E88A472">
      <w:pPr>
        <w:keepNext w:val="0"/>
        <w:keepLines w:val="0"/>
        <w:pageBreakBefore w:val="0"/>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3.保密违约</w:t>
      </w:r>
    </w:p>
    <w:p w14:paraId="42112A4A">
      <w:pPr>
        <w:keepNext w:val="0"/>
        <w:keepLines w:val="0"/>
        <w:pageBreakBefore w:val="0"/>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任何一方违反本合同所规定的保密义务，承担由此引起的责任，违约方应按本合同总价的5%支付违约金。</w:t>
      </w:r>
    </w:p>
    <w:p w14:paraId="7405D742">
      <w:pPr>
        <w:keepNext w:val="0"/>
        <w:keepLines w:val="0"/>
        <w:pageBreakBefore w:val="0"/>
        <w:numPr>
          <w:ilvl w:val="0"/>
          <w:numId w:val="12"/>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发生违约事件，守约方要求违约方支付违约金时，应以书面方式通知违约方，内容包括违约事件、违约金、支付事件和方式等，违约方在收到上述通知后，应于15天内答复对方，并支付违约金。如</w:t>
      </w:r>
      <w:r>
        <w:rPr>
          <w:rFonts w:hint="eastAsia" w:ascii="仿宋" w:hAnsi="仿宋" w:eastAsia="仿宋" w:cs="仿宋"/>
          <w:color w:val="auto"/>
          <w:sz w:val="32"/>
          <w:szCs w:val="32"/>
          <w:highlight w:val="none"/>
          <w:lang w:eastAsia="zh-CN"/>
        </w:rPr>
        <w:t>双</w:t>
      </w:r>
      <w:r>
        <w:rPr>
          <w:rFonts w:hint="eastAsia" w:ascii="仿宋" w:hAnsi="仿宋" w:eastAsia="仿宋" w:cs="仿宋"/>
          <w:color w:val="auto"/>
          <w:sz w:val="32"/>
          <w:szCs w:val="32"/>
          <w:highlight w:val="none"/>
        </w:rPr>
        <w:t>方不能就此达成一致意见，将按照本合同所规定的争端解决条款解决</w:t>
      </w:r>
      <w:r>
        <w:rPr>
          <w:rFonts w:hint="eastAsia" w:ascii="仿宋" w:hAnsi="仿宋" w:eastAsia="仿宋" w:cs="仿宋"/>
          <w:color w:val="auto"/>
          <w:sz w:val="32"/>
          <w:szCs w:val="32"/>
          <w:highlight w:val="none"/>
          <w:lang w:eastAsia="zh-CN"/>
        </w:rPr>
        <w:t>双</w:t>
      </w:r>
      <w:r>
        <w:rPr>
          <w:rFonts w:hint="eastAsia" w:ascii="仿宋" w:hAnsi="仿宋" w:eastAsia="仿宋" w:cs="仿宋"/>
          <w:color w:val="auto"/>
          <w:sz w:val="32"/>
          <w:szCs w:val="32"/>
          <w:highlight w:val="none"/>
        </w:rPr>
        <w:t>方的纠纷。</w:t>
      </w:r>
    </w:p>
    <w:p w14:paraId="279FAE41">
      <w:pPr>
        <w:keepNext w:val="0"/>
        <w:keepLines w:val="0"/>
        <w:pageBreakBefore w:val="0"/>
        <w:numPr>
          <w:ilvl w:val="0"/>
          <w:numId w:val="12"/>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不可抗力</w:t>
      </w:r>
    </w:p>
    <w:p w14:paraId="69086255">
      <w:pPr>
        <w:keepNext w:val="0"/>
        <w:keepLines w:val="0"/>
        <w:pageBreakBefore w:val="0"/>
        <w:numPr>
          <w:ilvl w:val="0"/>
          <w:numId w:val="13"/>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由于不可抗力（含政府相关政策重大调整及征收、拆迁等），直接影响本合同的履行或者不能按照合同的约定履行时，遇有上述不可抗力的一方可以免除相关合同责任，但遇有上述不可抗力的一方应立即书面通知对方，并在15天之内提供不可抗力的详细情况及合同不能履行，或者部分不能履行，或者需要延期履行的理由和有效的证明文件。按不可抗力对履行合同影响的程度，由</w:t>
      </w:r>
      <w:r>
        <w:rPr>
          <w:rFonts w:hint="eastAsia" w:ascii="仿宋" w:hAnsi="仿宋" w:eastAsia="仿宋" w:cs="仿宋"/>
          <w:color w:val="auto"/>
          <w:sz w:val="32"/>
          <w:szCs w:val="32"/>
          <w:highlight w:val="none"/>
          <w:lang w:eastAsia="zh-CN"/>
        </w:rPr>
        <w:t>双</w:t>
      </w:r>
      <w:r>
        <w:rPr>
          <w:rFonts w:hint="eastAsia" w:ascii="仿宋" w:hAnsi="仿宋" w:eastAsia="仿宋" w:cs="仿宋"/>
          <w:color w:val="auto"/>
          <w:sz w:val="32"/>
          <w:szCs w:val="32"/>
          <w:highlight w:val="none"/>
        </w:rPr>
        <w:t>方协商决定是否解除合同，或者部分免除履行合同的义务，或者延期履行合同，乙方延迟</w:t>
      </w:r>
      <w:r>
        <w:rPr>
          <w:rFonts w:hint="eastAsia" w:ascii="仿宋" w:hAnsi="仿宋" w:eastAsia="仿宋" w:cs="仿宋"/>
          <w:color w:val="auto"/>
          <w:sz w:val="32"/>
          <w:szCs w:val="32"/>
          <w:highlight w:val="none"/>
          <w:lang w:val="en-US" w:eastAsia="zh-CN"/>
        </w:rPr>
        <w:t>履</w:t>
      </w:r>
      <w:r>
        <w:rPr>
          <w:rFonts w:hint="eastAsia" w:ascii="仿宋" w:hAnsi="仿宋" w:eastAsia="仿宋" w:cs="仿宋"/>
          <w:color w:val="auto"/>
          <w:sz w:val="32"/>
          <w:szCs w:val="32"/>
          <w:highlight w:val="none"/>
        </w:rPr>
        <w:t>行本合同时发生不可抗力的，迟延方的合同义务不能免除。</w:t>
      </w:r>
    </w:p>
    <w:p w14:paraId="3901B85F">
      <w:pPr>
        <w:keepNext w:val="0"/>
        <w:keepLines w:val="0"/>
        <w:pageBreakBefore w:val="0"/>
        <w:numPr>
          <w:ilvl w:val="0"/>
          <w:numId w:val="13"/>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受到不可抗力影响的一方，应尽可能地采取合理的行为和适当的措施减轻不可抗力对合同的履行所造成的影响。没有采取适当措施致使损失扩大的，该方不得就扩大损失的部分要求免责或赔偿。</w:t>
      </w:r>
    </w:p>
    <w:p w14:paraId="141D5A65">
      <w:pPr>
        <w:keepNext w:val="0"/>
        <w:keepLines w:val="0"/>
        <w:pageBreakBefore w:val="0"/>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黑体" w:hAnsi="黑体" w:eastAsia="黑体" w:cs="黑体"/>
          <w:b w:val="0"/>
          <w:bCs w:val="0"/>
          <w:color w:val="auto"/>
          <w:sz w:val="32"/>
          <w:szCs w:val="32"/>
          <w:highlight w:val="none"/>
        </w:rPr>
      </w:pPr>
      <w:r>
        <w:rPr>
          <w:rFonts w:hint="eastAsia" w:ascii="黑体" w:hAnsi="黑体" w:eastAsia="黑体" w:cs="黑体"/>
          <w:b w:val="0"/>
          <w:bCs w:val="0"/>
          <w:color w:val="auto"/>
          <w:sz w:val="32"/>
          <w:szCs w:val="32"/>
          <w:highlight w:val="none"/>
        </w:rPr>
        <w:t>第十六条：争端解决</w:t>
      </w:r>
    </w:p>
    <w:p w14:paraId="2B17A91D">
      <w:pPr>
        <w:keepNext w:val="0"/>
        <w:keepLines w:val="0"/>
        <w:pageBreakBefore w:val="0"/>
        <w:numPr>
          <w:ilvl w:val="0"/>
          <w:numId w:val="14"/>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凡与合同有关而引起的一切争议，甲乙</w:t>
      </w:r>
      <w:r>
        <w:rPr>
          <w:rFonts w:hint="eastAsia" w:ascii="仿宋" w:hAnsi="仿宋" w:eastAsia="仿宋" w:cs="仿宋"/>
          <w:color w:val="auto"/>
          <w:sz w:val="32"/>
          <w:szCs w:val="32"/>
          <w:highlight w:val="none"/>
          <w:lang w:eastAsia="zh-CN"/>
        </w:rPr>
        <w:t>双</w:t>
      </w:r>
      <w:r>
        <w:rPr>
          <w:rFonts w:hint="eastAsia" w:ascii="仿宋" w:hAnsi="仿宋" w:eastAsia="仿宋" w:cs="仿宋"/>
          <w:color w:val="auto"/>
          <w:sz w:val="32"/>
          <w:szCs w:val="32"/>
          <w:highlight w:val="none"/>
        </w:rPr>
        <w:t>方应首先友好协商，如经协商后仍不能达成协议时，任何一方可以向甲方所在地法院提出诉讼。本合同的诉讼管辖地为甲方所在地的法院。</w:t>
      </w:r>
    </w:p>
    <w:p w14:paraId="1880AA34">
      <w:pPr>
        <w:keepNext w:val="0"/>
        <w:keepLines w:val="0"/>
        <w:pageBreakBefore w:val="0"/>
        <w:numPr>
          <w:ilvl w:val="0"/>
          <w:numId w:val="14"/>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在进行法院审理期间，除提交法院审理的事项外，合同其他部分仍应继续履行。</w:t>
      </w:r>
    </w:p>
    <w:p w14:paraId="4A3E445A">
      <w:pPr>
        <w:keepNext w:val="0"/>
        <w:keepLines w:val="0"/>
        <w:pageBreakBefore w:val="0"/>
        <w:numPr>
          <w:ilvl w:val="0"/>
          <w:numId w:val="14"/>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本合同解释权归甲方。</w:t>
      </w:r>
    </w:p>
    <w:p w14:paraId="2A6D098E">
      <w:pPr>
        <w:keepNext w:val="0"/>
        <w:keepLines w:val="0"/>
        <w:pageBreakBefore w:val="0"/>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黑体" w:hAnsi="黑体" w:eastAsia="黑体" w:cs="黑体"/>
          <w:b w:val="0"/>
          <w:bCs w:val="0"/>
          <w:color w:val="auto"/>
          <w:sz w:val="32"/>
          <w:szCs w:val="32"/>
          <w:highlight w:val="none"/>
        </w:rPr>
        <w:t>第十七条：</w:t>
      </w:r>
      <w:r>
        <w:rPr>
          <w:rFonts w:hint="eastAsia" w:ascii="仿宋" w:hAnsi="仿宋" w:eastAsia="仿宋" w:cs="仿宋"/>
          <w:color w:val="auto"/>
          <w:sz w:val="32"/>
          <w:szCs w:val="32"/>
          <w:highlight w:val="none"/>
        </w:rPr>
        <w:t>本合同及其附件和补充协议中为规定的事宜，均遵照中华人民共和国有关法律、法规和规章执行。</w:t>
      </w:r>
    </w:p>
    <w:p w14:paraId="2CF26630">
      <w:pPr>
        <w:keepNext w:val="0"/>
        <w:keepLines w:val="0"/>
        <w:pageBreakBefore w:val="0"/>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黑体" w:hAnsi="黑体" w:eastAsia="黑体" w:cs="黑体"/>
          <w:b w:val="0"/>
          <w:bCs w:val="0"/>
          <w:color w:val="auto"/>
          <w:sz w:val="32"/>
          <w:szCs w:val="32"/>
          <w:highlight w:val="none"/>
        </w:rPr>
        <w:t>第十八条：</w:t>
      </w:r>
      <w:r>
        <w:rPr>
          <w:rFonts w:hint="eastAsia" w:ascii="仿宋" w:hAnsi="仿宋" w:eastAsia="仿宋" w:cs="仿宋"/>
          <w:color w:val="auto"/>
          <w:sz w:val="32"/>
          <w:szCs w:val="32"/>
          <w:highlight w:val="none"/>
        </w:rPr>
        <w:t>本合同正本共</w:t>
      </w:r>
      <w:r>
        <w:rPr>
          <w:rFonts w:hint="eastAsia" w:ascii="仿宋" w:hAnsi="仿宋" w:eastAsia="仿宋" w:cs="仿宋"/>
          <w:color w:val="auto"/>
          <w:sz w:val="32"/>
          <w:szCs w:val="32"/>
          <w:highlight w:val="none"/>
          <w:u w:val="single"/>
        </w:rPr>
        <w:t xml:space="preserve"> </w:t>
      </w:r>
      <w:r>
        <w:rPr>
          <w:rFonts w:hint="eastAsia" w:ascii="仿宋" w:hAnsi="仿宋" w:eastAsia="仿宋" w:cs="仿宋"/>
          <w:color w:val="auto"/>
          <w:sz w:val="32"/>
          <w:szCs w:val="32"/>
          <w:highlight w:val="none"/>
          <w:u w:val="single"/>
          <w:lang w:val="en-US" w:eastAsia="zh-CN"/>
        </w:rPr>
        <w:t xml:space="preserve">  </w:t>
      </w:r>
      <w:r>
        <w:rPr>
          <w:rFonts w:hint="eastAsia" w:ascii="仿宋" w:hAnsi="仿宋" w:eastAsia="仿宋" w:cs="仿宋"/>
          <w:color w:val="auto"/>
          <w:sz w:val="32"/>
          <w:szCs w:val="32"/>
          <w:highlight w:val="none"/>
          <w:u w:val="single"/>
        </w:rPr>
        <w:t xml:space="preserve"> </w:t>
      </w:r>
      <w:r>
        <w:rPr>
          <w:rFonts w:hint="eastAsia" w:ascii="仿宋" w:hAnsi="仿宋" w:eastAsia="仿宋" w:cs="仿宋"/>
          <w:color w:val="auto"/>
          <w:sz w:val="32"/>
          <w:szCs w:val="32"/>
          <w:highlight w:val="none"/>
        </w:rPr>
        <w:t>页，本合同正本一式</w:t>
      </w:r>
      <w:r>
        <w:rPr>
          <w:rFonts w:hint="eastAsia" w:ascii="仿宋" w:hAnsi="仿宋" w:eastAsia="仿宋" w:cs="仿宋"/>
          <w:color w:val="auto"/>
          <w:sz w:val="32"/>
          <w:szCs w:val="32"/>
          <w:highlight w:val="none"/>
          <w:lang w:val="en-US" w:eastAsia="zh-CN"/>
        </w:rPr>
        <w:t>三</w:t>
      </w:r>
      <w:r>
        <w:rPr>
          <w:rFonts w:hint="eastAsia" w:ascii="仿宋" w:hAnsi="仿宋" w:eastAsia="仿宋" w:cs="仿宋"/>
          <w:color w:val="auto"/>
          <w:sz w:val="32"/>
          <w:szCs w:val="32"/>
          <w:highlight w:val="none"/>
        </w:rPr>
        <w:t>份，甲</w:t>
      </w:r>
      <w:r>
        <w:rPr>
          <w:rFonts w:hint="eastAsia" w:ascii="仿宋" w:hAnsi="仿宋" w:eastAsia="仿宋" w:cs="仿宋"/>
          <w:color w:val="auto"/>
          <w:sz w:val="32"/>
          <w:szCs w:val="32"/>
          <w:highlight w:val="none"/>
          <w:lang w:val="en-US" w:eastAsia="zh-CN"/>
        </w:rPr>
        <w:t>方两份</w:t>
      </w: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rPr>
        <w:t>乙方一份，具有同等法律效力。</w:t>
      </w:r>
    </w:p>
    <w:p w14:paraId="40A4002D">
      <w:pPr>
        <w:keepNext w:val="0"/>
        <w:keepLines w:val="0"/>
        <w:pageBreakBefore w:val="0"/>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黑体" w:hAnsi="黑体" w:eastAsia="黑体" w:cs="黑体"/>
          <w:b w:val="0"/>
          <w:bCs w:val="0"/>
          <w:color w:val="auto"/>
          <w:sz w:val="32"/>
          <w:szCs w:val="32"/>
          <w:highlight w:val="none"/>
        </w:rPr>
      </w:pPr>
      <w:r>
        <w:rPr>
          <w:rFonts w:hint="eastAsia" w:ascii="黑体" w:hAnsi="黑体" w:eastAsia="黑体" w:cs="黑体"/>
          <w:b w:val="0"/>
          <w:bCs w:val="0"/>
          <w:color w:val="auto"/>
          <w:sz w:val="32"/>
          <w:szCs w:val="32"/>
          <w:highlight w:val="none"/>
        </w:rPr>
        <w:t>第十九条：合同的生效、变更与终止</w:t>
      </w:r>
    </w:p>
    <w:p w14:paraId="154C3D95">
      <w:pPr>
        <w:keepNext w:val="0"/>
        <w:keepLines w:val="0"/>
        <w:pageBreakBefore w:val="0"/>
        <w:numPr>
          <w:ilvl w:val="0"/>
          <w:numId w:val="15"/>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合同经甲乙</w:t>
      </w:r>
      <w:r>
        <w:rPr>
          <w:rFonts w:hint="eastAsia" w:ascii="仿宋" w:hAnsi="仿宋" w:eastAsia="仿宋" w:cs="仿宋"/>
          <w:color w:val="auto"/>
          <w:sz w:val="32"/>
          <w:szCs w:val="32"/>
          <w:highlight w:val="none"/>
          <w:lang w:eastAsia="zh-CN"/>
        </w:rPr>
        <w:t>双</w:t>
      </w:r>
      <w:r>
        <w:rPr>
          <w:rFonts w:hint="eastAsia" w:ascii="仿宋" w:hAnsi="仿宋" w:eastAsia="仿宋" w:cs="仿宋"/>
          <w:color w:val="auto"/>
          <w:sz w:val="32"/>
          <w:szCs w:val="32"/>
          <w:highlight w:val="none"/>
        </w:rPr>
        <w:t>方代表签字盖章后生效。</w:t>
      </w:r>
    </w:p>
    <w:p w14:paraId="638878C9">
      <w:pPr>
        <w:keepNext w:val="0"/>
        <w:keepLines w:val="0"/>
        <w:pageBreakBefore w:val="0"/>
        <w:numPr>
          <w:ilvl w:val="0"/>
          <w:numId w:val="15"/>
        </w:numPr>
        <w:kinsoku/>
        <w:wordWrap/>
        <w:overflowPunct/>
        <w:topLinePunct w:val="0"/>
        <w:autoSpaceDE/>
        <w:autoSpaceDN/>
        <w:bidi w:val="0"/>
        <w:adjustRightInd w:val="0"/>
        <w:snapToGrid w:val="0"/>
        <w:spacing w:line="560" w:lineRule="exact"/>
        <w:ind w:left="-199" w:leftChars="-95" w:right="-395" w:rightChars="-188" w:firstLine="640" w:firstLineChars="200"/>
        <w:jc w:val="left"/>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如果乙方严重违约合同，并在收到违约通知书后在30日内仍未能改正的，</w:t>
      </w:r>
      <w:r>
        <w:rPr>
          <w:rFonts w:hint="eastAsia" w:ascii="仿宋" w:hAnsi="仿宋" w:eastAsia="仿宋" w:cs="仿宋"/>
          <w:color w:val="auto"/>
          <w:sz w:val="32"/>
          <w:szCs w:val="32"/>
          <w:highlight w:val="none"/>
          <w:lang w:eastAsia="zh-CN"/>
        </w:rPr>
        <w:t>甲</w:t>
      </w:r>
      <w:r>
        <w:rPr>
          <w:rFonts w:hint="eastAsia" w:ascii="仿宋" w:hAnsi="仿宋" w:eastAsia="仿宋" w:cs="仿宋"/>
          <w:color w:val="auto"/>
          <w:sz w:val="32"/>
          <w:szCs w:val="32"/>
          <w:highlight w:val="none"/>
        </w:rPr>
        <w:t>方可立即终止本合同。</w:t>
      </w:r>
    </w:p>
    <w:p w14:paraId="44ECCD4F">
      <w:pPr>
        <w:keepNext w:val="0"/>
        <w:keepLines w:val="0"/>
        <w:pageBreakBefore w:val="0"/>
        <w:numPr>
          <w:ilvl w:val="0"/>
          <w:numId w:val="15"/>
        </w:numPr>
        <w:kinsoku/>
        <w:wordWrap/>
        <w:overflowPunct/>
        <w:topLinePunct w:val="0"/>
        <w:autoSpaceDE/>
        <w:autoSpaceDN/>
        <w:bidi w:val="0"/>
        <w:adjustRightInd w:val="0"/>
        <w:snapToGrid w:val="0"/>
        <w:spacing w:line="560" w:lineRule="exact"/>
        <w:ind w:left="-199" w:leftChars="-95" w:right="-395" w:rightChars="-188" w:firstLine="640" w:firstLineChars="200"/>
        <w:jc w:val="left"/>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本合同在履行中如发生争议，</w:t>
      </w:r>
      <w:r>
        <w:rPr>
          <w:rFonts w:hint="eastAsia" w:ascii="仿宋" w:hAnsi="仿宋" w:eastAsia="仿宋" w:cs="仿宋"/>
          <w:color w:val="auto"/>
          <w:sz w:val="32"/>
          <w:szCs w:val="32"/>
          <w:highlight w:val="none"/>
          <w:lang w:eastAsia="zh-CN"/>
        </w:rPr>
        <w:t>双</w:t>
      </w:r>
      <w:r>
        <w:rPr>
          <w:rFonts w:hint="eastAsia" w:ascii="仿宋" w:hAnsi="仿宋" w:eastAsia="仿宋" w:cs="仿宋"/>
          <w:color w:val="auto"/>
          <w:sz w:val="32"/>
          <w:szCs w:val="32"/>
          <w:highlight w:val="none"/>
        </w:rPr>
        <w:t>方应协商解决；</w:t>
      </w:r>
      <w:r>
        <w:rPr>
          <w:rFonts w:hint="eastAsia" w:ascii="仿宋" w:hAnsi="仿宋" w:eastAsia="仿宋" w:cs="仿宋"/>
          <w:color w:val="auto"/>
          <w:kern w:val="0"/>
          <w:sz w:val="32"/>
          <w:szCs w:val="32"/>
          <w:highlight w:val="none"/>
        </w:rPr>
        <w:t>协商解决不成的，</w:t>
      </w:r>
      <w:r>
        <w:rPr>
          <w:rFonts w:hint="eastAsia" w:ascii="仿宋" w:hAnsi="仿宋" w:eastAsia="仿宋" w:cs="仿宋"/>
          <w:color w:val="auto"/>
          <w:sz w:val="32"/>
          <w:szCs w:val="32"/>
          <w:highlight w:val="none"/>
        </w:rPr>
        <w:t>通过法律途径解决。</w:t>
      </w:r>
    </w:p>
    <w:p w14:paraId="2F5B3CF2">
      <w:pPr>
        <w:keepNext w:val="0"/>
        <w:keepLines w:val="0"/>
        <w:pageBreakBefore w:val="0"/>
        <w:numPr>
          <w:ilvl w:val="0"/>
          <w:numId w:val="15"/>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合同期满本合同自然终止。</w:t>
      </w:r>
    </w:p>
    <w:p w14:paraId="05BD4940">
      <w:pPr>
        <w:keepNext w:val="0"/>
        <w:keepLines w:val="0"/>
        <w:pageBreakBefore w:val="0"/>
        <w:numPr>
          <w:ilvl w:val="0"/>
          <w:numId w:val="0"/>
        </w:numPr>
        <w:kinsoku/>
        <w:wordWrap/>
        <w:overflowPunct/>
        <w:topLinePunct w:val="0"/>
        <w:autoSpaceDE/>
        <w:autoSpaceDN/>
        <w:bidi w:val="0"/>
        <w:adjustRightInd w:val="0"/>
        <w:snapToGrid w:val="0"/>
        <w:spacing w:line="560" w:lineRule="exact"/>
        <w:ind w:leftChars="105" w:right="-395" w:rightChars="-188"/>
        <w:textAlignment w:val="auto"/>
        <w:rPr>
          <w:rFonts w:hint="eastAsia" w:ascii="仿宋" w:hAnsi="仿宋" w:eastAsia="仿宋" w:cs="仿宋"/>
          <w:color w:val="auto"/>
          <w:sz w:val="32"/>
          <w:szCs w:val="32"/>
          <w:highlight w:val="none"/>
        </w:rPr>
      </w:pPr>
    </w:p>
    <w:p w14:paraId="76A93801">
      <w:pPr>
        <w:keepNext w:val="0"/>
        <w:keepLines w:val="0"/>
        <w:pageBreakBefore w:val="0"/>
        <w:numPr>
          <w:ilvl w:val="0"/>
          <w:numId w:val="0"/>
        </w:numPr>
        <w:kinsoku/>
        <w:wordWrap/>
        <w:overflowPunct/>
        <w:topLinePunct w:val="0"/>
        <w:autoSpaceDE/>
        <w:autoSpaceDN/>
        <w:bidi w:val="0"/>
        <w:adjustRightInd w:val="0"/>
        <w:snapToGrid w:val="0"/>
        <w:spacing w:line="560" w:lineRule="exact"/>
        <w:ind w:right="-395" w:rightChars="-188"/>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br w:type="page"/>
      </w:r>
      <w:r>
        <w:rPr>
          <w:rFonts w:hint="eastAsia" w:ascii="仿宋" w:hAnsi="仿宋" w:eastAsia="仿宋" w:cs="仿宋"/>
          <w:color w:val="auto"/>
          <w:sz w:val="32"/>
          <w:szCs w:val="32"/>
          <w:highlight w:val="none"/>
        </w:rPr>
        <w:t>甲    方（盖章）：</w:t>
      </w:r>
    </w:p>
    <w:p w14:paraId="1EB906D7">
      <w:pPr>
        <w:keepNext w:val="0"/>
        <w:keepLines w:val="0"/>
        <w:pageBreakBefore w:val="0"/>
        <w:kinsoku/>
        <w:wordWrap/>
        <w:overflowPunct/>
        <w:topLinePunct w:val="0"/>
        <w:autoSpaceDE/>
        <w:autoSpaceDN/>
        <w:bidi w:val="0"/>
        <w:adjustRightInd w:val="0"/>
        <w:snapToGrid w:val="0"/>
        <w:spacing w:line="560" w:lineRule="exact"/>
        <w:ind w:right="-395" w:rightChars="-188"/>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 xml:space="preserve">日    期： </w:t>
      </w:r>
      <w:r>
        <w:rPr>
          <w:rFonts w:hint="eastAsia" w:ascii="仿宋" w:hAnsi="仿宋" w:eastAsia="仿宋" w:cs="仿宋"/>
          <w:color w:val="auto"/>
          <w:sz w:val="32"/>
          <w:szCs w:val="32"/>
          <w:highlight w:val="none"/>
          <w:lang w:val="en-US" w:eastAsia="zh-CN"/>
        </w:rPr>
        <w:t xml:space="preserve">   </w:t>
      </w:r>
      <w:r>
        <w:rPr>
          <w:rFonts w:hint="eastAsia" w:ascii="仿宋" w:hAnsi="仿宋" w:eastAsia="仿宋" w:cs="仿宋"/>
          <w:color w:val="auto"/>
          <w:sz w:val="32"/>
          <w:szCs w:val="32"/>
          <w:highlight w:val="none"/>
        </w:rPr>
        <w:t>年</w:t>
      </w:r>
      <w:r>
        <w:rPr>
          <w:rFonts w:hint="eastAsia" w:ascii="仿宋" w:hAnsi="仿宋" w:eastAsia="仿宋" w:cs="仿宋"/>
          <w:color w:val="auto"/>
          <w:sz w:val="32"/>
          <w:szCs w:val="32"/>
          <w:highlight w:val="none"/>
          <w:lang w:val="en-US" w:eastAsia="zh-CN"/>
        </w:rPr>
        <w:t xml:space="preserve">   </w:t>
      </w:r>
      <w:r>
        <w:rPr>
          <w:rFonts w:hint="eastAsia" w:ascii="仿宋" w:hAnsi="仿宋" w:eastAsia="仿宋" w:cs="仿宋"/>
          <w:color w:val="auto"/>
          <w:sz w:val="32"/>
          <w:szCs w:val="32"/>
          <w:highlight w:val="none"/>
        </w:rPr>
        <w:t>月</w:t>
      </w:r>
      <w:r>
        <w:rPr>
          <w:rFonts w:hint="eastAsia" w:ascii="仿宋" w:hAnsi="仿宋" w:eastAsia="仿宋" w:cs="仿宋"/>
          <w:color w:val="auto"/>
          <w:sz w:val="32"/>
          <w:szCs w:val="32"/>
          <w:highlight w:val="none"/>
          <w:lang w:val="en-US" w:eastAsia="zh-CN"/>
        </w:rPr>
        <w:t xml:space="preserve">   </w:t>
      </w:r>
      <w:r>
        <w:rPr>
          <w:rFonts w:hint="eastAsia" w:ascii="仿宋" w:hAnsi="仿宋" w:eastAsia="仿宋" w:cs="仿宋"/>
          <w:color w:val="auto"/>
          <w:sz w:val="32"/>
          <w:szCs w:val="32"/>
          <w:highlight w:val="none"/>
        </w:rPr>
        <w:t>日</w:t>
      </w:r>
    </w:p>
    <w:p w14:paraId="4EDBAC7A">
      <w:pPr>
        <w:keepNext w:val="0"/>
        <w:keepLines w:val="0"/>
        <w:pageBreakBefore w:val="0"/>
        <w:kinsoku/>
        <w:wordWrap/>
        <w:overflowPunct/>
        <w:topLinePunct w:val="0"/>
        <w:autoSpaceDE/>
        <w:autoSpaceDN/>
        <w:bidi w:val="0"/>
        <w:adjustRightInd w:val="0"/>
        <w:snapToGrid w:val="0"/>
        <w:spacing w:line="560" w:lineRule="exact"/>
        <w:ind w:right="-395" w:rightChars="-188"/>
        <w:textAlignment w:val="auto"/>
        <w:rPr>
          <w:rFonts w:hint="eastAsia" w:ascii="仿宋" w:hAnsi="仿宋" w:eastAsia="仿宋" w:cs="仿宋"/>
          <w:color w:val="auto"/>
          <w:spacing w:val="-20"/>
          <w:sz w:val="32"/>
          <w:szCs w:val="32"/>
          <w:highlight w:val="none"/>
          <w:lang w:val="en-US" w:eastAsia="zh-CN"/>
        </w:rPr>
      </w:pPr>
      <w:r>
        <w:rPr>
          <w:rFonts w:hint="eastAsia" w:ascii="仿宋" w:hAnsi="仿宋" w:eastAsia="仿宋" w:cs="仿宋"/>
          <w:color w:val="auto"/>
          <w:sz w:val="32"/>
          <w:szCs w:val="32"/>
          <w:highlight w:val="none"/>
        </w:rPr>
        <w:t>地    址：河南省郑州市</w:t>
      </w:r>
      <w:r>
        <w:rPr>
          <w:rFonts w:hint="eastAsia" w:ascii="仿宋" w:hAnsi="仿宋" w:eastAsia="仿宋" w:cs="仿宋"/>
          <w:color w:val="auto"/>
          <w:sz w:val="32"/>
          <w:szCs w:val="32"/>
          <w:highlight w:val="none"/>
          <w:lang w:val="en-US" w:eastAsia="zh-CN"/>
        </w:rPr>
        <w:t>龙湖中环南路金融智谷2号楼</w:t>
      </w:r>
    </w:p>
    <w:p w14:paraId="3EC3BE31">
      <w:pPr>
        <w:keepNext w:val="0"/>
        <w:keepLines w:val="0"/>
        <w:pageBreakBefore w:val="0"/>
        <w:kinsoku/>
        <w:wordWrap/>
        <w:overflowPunct/>
        <w:topLinePunct w:val="0"/>
        <w:autoSpaceDE/>
        <w:autoSpaceDN/>
        <w:bidi w:val="0"/>
        <w:adjustRightInd w:val="0"/>
        <w:snapToGrid w:val="0"/>
        <w:spacing w:line="560" w:lineRule="exact"/>
        <w:ind w:right="-395" w:rightChars="-188"/>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邮政编号：450003</w:t>
      </w:r>
    </w:p>
    <w:p w14:paraId="4B7727BC">
      <w:pPr>
        <w:keepNext w:val="0"/>
        <w:keepLines w:val="0"/>
        <w:pageBreakBefore w:val="0"/>
        <w:kinsoku/>
        <w:wordWrap/>
        <w:overflowPunct/>
        <w:topLinePunct w:val="0"/>
        <w:autoSpaceDE/>
        <w:autoSpaceDN/>
        <w:bidi w:val="0"/>
        <w:adjustRightInd w:val="0"/>
        <w:snapToGrid w:val="0"/>
        <w:spacing w:line="560" w:lineRule="exact"/>
        <w:ind w:right="-395" w:rightChars="-188"/>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rPr>
        <w:t>电    话：0371—67179934</w:t>
      </w:r>
      <w:r>
        <w:rPr>
          <w:rFonts w:hint="eastAsia" w:ascii="仿宋" w:hAnsi="仿宋" w:eastAsia="仿宋" w:cs="仿宋"/>
          <w:color w:val="auto"/>
          <w:sz w:val="32"/>
          <w:szCs w:val="32"/>
          <w:highlight w:val="none"/>
          <w:lang w:val="en-US" w:eastAsia="zh-CN"/>
        </w:rPr>
        <w:t>/67179242</w:t>
      </w:r>
    </w:p>
    <w:p w14:paraId="23475768">
      <w:pPr>
        <w:keepNext w:val="0"/>
        <w:keepLines w:val="0"/>
        <w:pageBreakBefore w:val="0"/>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p>
    <w:p w14:paraId="5D03F926">
      <w:pPr>
        <w:pStyle w:val="10"/>
        <w:rPr>
          <w:rFonts w:hint="eastAsia" w:ascii="仿宋" w:hAnsi="仿宋" w:eastAsia="仿宋" w:cs="仿宋"/>
          <w:color w:val="auto"/>
          <w:sz w:val="32"/>
          <w:szCs w:val="32"/>
        </w:rPr>
      </w:pPr>
    </w:p>
    <w:p w14:paraId="6155B326">
      <w:pPr>
        <w:keepNext w:val="0"/>
        <w:keepLines w:val="0"/>
        <w:pageBreakBefore w:val="0"/>
        <w:kinsoku/>
        <w:wordWrap/>
        <w:overflowPunct/>
        <w:topLinePunct w:val="0"/>
        <w:autoSpaceDE/>
        <w:autoSpaceDN/>
        <w:bidi w:val="0"/>
        <w:adjustRightInd w:val="0"/>
        <w:snapToGrid w:val="0"/>
        <w:spacing w:line="560" w:lineRule="exact"/>
        <w:ind w:right="-395" w:rightChars="-188"/>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乙    方（盖章）：             负责人（签字）：</w:t>
      </w:r>
    </w:p>
    <w:p w14:paraId="4A7CB514">
      <w:pPr>
        <w:keepNext w:val="0"/>
        <w:keepLines w:val="0"/>
        <w:pageBreakBefore w:val="0"/>
        <w:kinsoku/>
        <w:wordWrap/>
        <w:overflowPunct/>
        <w:topLinePunct w:val="0"/>
        <w:autoSpaceDE/>
        <w:autoSpaceDN/>
        <w:bidi w:val="0"/>
        <w:adjustRightInd w:val="0"/>
        <w:snapToGrid w:val="0"/>
        <w:spacing w:line="560" w:lineRule="exact"/>
        <w:ind w:right="-395" w:rightChars="-188"/>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日    期：   年    月    日</w:t>
      </w:r>
    </w:p>
    <w:p w14:paraId="0AB46288">
      <w:pPr>
        <w:spacing w:line="360" w:lineRule="auto"/>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rPr>
        <w:t xml:space="preserve">地  </w:t>
      </w:r>
      <w:r>
        <w:rPr>
          <w:rFonts w:hint="eastAsia" w:ascii="仿宋" w:hAnsi="仿宋" w:eastAsia="仿宋" w:cs="仿宋"/>
          <w:color w:val="auto"/>
          <w:sz w:val="32"/>
          <w:szCs w:val="32"/>
          <w:lang w:val="en-US" w:eastAsia="zh-CN"/>
        </w:rPr>
        <w:t xml:space="preserve"> </w:t>
      </w:r>
      <w:r>
        <w:rPr>
          <w:rFonts w:hint="eastAsia" w:ascii="仿宋" w:hAnsi="仿宋" w:eastAsia="仿宋" w:cs="仿宋"/>
          <w:color w:val="auto"/>
          <w:sz w:val="32"/>
          <w:szCs w:val="32"/>
        </w:rPr>
        <w:t xml:space="preserve"> 址：</w:t>
      </w:r>
      <w:r>
        <w:rPr>
          <w:rFonts w:hint="eastAsia" w:ascii="仿宋" w:hAnsi="仿宋" w:eastAsia="仿宋" w:cs="仿宋"/>
          <w:color w:val="auto"/>
          <w:sz w:val="32"/>
          <w:szCs w:val="32"/>
          <w:lang w:val="en-US" w:eastAsia="zh-CN"/>
        </w:rPr>
        <w:t xml:space="preserve">                          </w:t>
      </w:r>
    </w:p>
    <w:p w14:paraId="4195E4A9">
      <w:pPr>
        <w:spacing w:line="360" w:lineRule="auto"/>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rPr>
        <w:t xml:space="preserve">电   </w:t>
      </w:r>
      <w:r>
        <w:rPr>
          <w:rFonts w:hint="eastAsia" w:ascii="仿宋" w:hAnsi="仿宋" w:eastAsia="仿宋" w:cs="仿宋"/>
          <w:color w:val="auto"/>
          <w:sz w:val="32"/>
          <w:szCs w:val="32"/>
          <w:lang w:val="en-US" w:eastAsia="zh-CN"/>
        </w:rPr>
        <w:t xml:space="preserve"> </w:t>
      </w:r>
      <w:r>
        <w:rPr>
          <w:rFonts w:hint="eastAsia" w:ascii="仿宋" w:hAnsi="仿宋" w:eastAsia="仿宋" w:cs="仿宋"/>
          <w:color w:val="auto"/>
          <w:sz w:val="32"/>
          <w:szCs w:val="32"/>
        </w:rPr>
        <w:t>话：</w:t>
      </w:r>
      <w:r>
        <w:rPr>
          <w:rFonts w:hint="eastAsia" w:ascii="仿宋" w:hAnsi="仿宋" w:eastAsia="仿宋" w:cs="仿宋"/>
          <w:color w:val="auto"/>
          <w:sz w:val="32"/>
          <w:szCs w:val="32"/>
          <w:lang w:val="en-US" w:eastAsia="zh-CN"/>
        </w:rPr>
        <w:t xml:space="preserve"> </w:t>
      </w:r>
    </w:p>
    <w:p w14:paraId="0CD68F98">
      <w:pPr>
        <w:spacing w:line="360" w:lineRule="auto"/>
        <w:rPr>
          <w:rFonts w:hint="eastAsia" w:ascii="仿宋" w:hAnsi="仿宋" w:eastAsia="仿宋" w:cs="仿宋"/>
          <w:color w:val="auto"/>
          <w:sz w:val="32"/>
          <w:szCs w:val="32"/>
        </w:rPr>
      </w:pPr>
      <w:r>
        <w:rPr>
          <w:rFonts w:hint="eastAsia" w:ascii="仿宋" w:hAnsi="仿宋" w:eastAsia="仿宋" w:cs="仿宋"/>
          <w:color w:val="auto"/>
          <w:sz w:val="32"/>
          <w:szCs w:val="32"/>
        </w:rPr>
        <w:t>开户银行：</w:t>
      </w:r>
    </w:p>
    <w:p w14:paraId="03BCA7A8">
      <w:pPr>
        <w:spacing w:line="360" w:lineRule="auto"/>
        <w:rPr>
          <w:rFonts w:hint="eastAsia" w:ascii="仿宋" w:hAnsi="仿宋" w:eastAsia="仿宋" w:cs="仿宋"/>
          <w:color w:val="auto"/>
          <w:sz w:val="32"/>
          <w:szCs w:val="32"/>
        </w:rPr>
      </w:pPr>
      <w:r>
        <w:rPr>
          <w:rFonts w:hint="eastAsia" w:ascii="仿宋" w:hAnsi="仿宋" w:eastAsia="仿宋" w:cs="仿宋"/>
          <w:color w:val="auto"/>
          <w:sz w:val="32"/>
          <w:szCs w:val="32"/>
        </w:rPr>
        <w:t>开户账号：</w:t>
      </w:r>
    </w:p>
    <w:p w14:paraId="66F4FB66">
      <w:pPr>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br w:type="page"/>
      </w:r>
    </w:p>
    <w:p w14:paraId="436911C8">
      <w:pPr>
        <w:widowControl/>
        <w:jc w:val="center"/>
        <w:rPr>
          <w:rFonts w:ascii="宋体" w:hAnsi="宋体" w:cs="宋体"/>
          <w:b/>
          <w:bCs/>
          <w:color w:val="000000"/>
          <w:kern w:val="0"/>
          <w:sz w:val="24"/>
          <w:lang w:bidi="ar"/>
        </w:rPr>
      </w:pPr>
      <w:r>
        <w:rPr>
          <w:rFonts w:hint="eastAsia" w:ascii="宋体" w:hAnsi="宋体" w:cs="宋体"/>
          <w:b/>
          <w:bCs/>
          <w:color w:val="000000"/>
          <w:kern w:val="0"/>
          <w:sz w:val="24"/>
          <w:lang w:bidi="ar"/>
        </w:rPr>
        <w:t>政府采购廉政合同</w:t>
      </w:r>
    </w:p>
    <w:p w14:paraId="46729C08">
      <w:pPr>
        <w:pStyle w:val="45"/>
        <w:spacing w:line="360" w:lineRule="auto"/>
        <w:jc w:val="center"/>
      </w:pPr>
    </w:p>
    <w:p w14:paraId="2638B3A0">
      <w:pPr>
        <w:pStyle w:val="10"/>
        <w:spacing w:line="360" w:lineRule="auto"/>
        <w:ind w:firstLine="480"/>
        <w:rPr>
          <w:rFonts w:hAnsi="宋体"/>
          <w:color w:val="auto"/>
          <w:sz w:val="21"/>
          <w:szCs w:val="21"/>
        </w:rPr>
      </w:pPr>
      <w:r>
        <w:rPr>
          <w:rFonts w:hint="eastAsia" w:hAnsi="宋体"/>
          <w:color w:val="auto"/>
          <w:sz w:val="21"/>
          <w:szCs w:val="21"/>
        </w:rPr>
        <w:t xml:space="preserve">甲方（购货方）： </w:t>
      </w:r>
    </w:p>
    <w:p w14:paraId="63C64839">
      <w:pPr>
        <w:pStyle w:val="10"/>
        <w:spacing w:line="360" w:lineRule="auto"/>
        <w:ind w:firstLine="480"/>
        <w:rPr>
          <w:rFonts w:hAnsi="宋体"/>
          <w:color w:val="auto"/>
          <w:sz w:val="21"/>
          <w:szCs w:val="21"/>
        </w:rPr>
      </w:pPr>
      <w:r>
        <w:rPr>
          <w:rFonts w:hint="eastAsia" w:hAnsi="宋体"/>
          <w:color w:val="auto"/>
          <w:sz w:val="21"/>
          <w:szCs w:val="21"/>
        </w:rPr>
        <w:t>乙方（供货方）：</w:t>
      </w:r>
    </w:p>
    <w:p w14:paraId="418A9E89">
      <w:pPr>
        <w:pStyle w:val="10"/>
        <w:spacing w:line="360" w:lineRule="auto"/>
        <w:ind w:firstLine="480"/>
        <w:rPr>
          <w:rFonts w:hAnsi="宋体"/>
          <w:color w:val="auto"/>
          <w:sz w:val="21"/>
          <w:szCs w:val="21"/>
        </w:rPr>
      </w:pPr>
      <w:r>
        <w:rPr>
          <w:rFonts w:hint="eastAsia" w:hAnsi="宋体"/>
          <w:color w:val="auto"/>
          <w:sz w:val="21"/>
          <w:szCs w:val="21"/>
        </w:rPr>
        <w:t>为促进甲乙双方廉洁高效合作，促使甲乙双方工作人员廉洁从业，不断推动党风廉政建设工作，按照《合同法》和国家其他有关法律法规、廉政规定，经甲乙双方协商一致，自愿签订以下廉政合同。</w:t>
      </w:r>
    </w:p>
    <w:p w14:paraId="20D9C10A">
      <w:pPr>
        <w:pStyle w:val="10"/>
        <w:spacing w:line="360" w:lineRule="auto"/>
        <w:ind w:firstLine="480"/>
        <w:rPr>
          <w:rFonts w:hAnsi="宋体"/>
          <w:color w:val="auto"/>
          <w:sz w:val="21"/>
          <w:szCs w:val="21"/>
        </w:rPr>
      </w:pPr>
      <w:r>
        <w:rPr>
          <w:rFonts w:hint="eastAsia" w:hAnsi="宋体"/>
          <w:color w:val="auto"/>
          <w:sz w:val="21"/>
          <w:szCs w:val="21"/>
        </w:rPr>
        <w:t xml:space="preserve">第一条：甲乙双方的权利和义务 </w:t>
      </w:r>
    </w:p>
    <w:p w14:paraId="69362A17">
      <w:pPr>
        <w:pStyle w:val="10"/>
        <w:spacing w:line="360" w:lineRule="auto"/>
        <w:ind w:firstLine="480"/>
        <w:rPr>
          <w:rFonts w:hAnsi="宋体"/>
          <w:color w:val="auto"/>
          <w:sz w:val="21"/>
          <w:szCs w:val="21"/>
        </w:rPr>
      </w:pPr>
      <w:r>
        <w:rPr>
          <w:rFonts w:hint="eastAsia" w:hAnsi="宋体"/>
          <w:color w:val="auto"/>
          <w:sz w:val="21"/>
          <w:szCs w:val="21"/>
        </w:rPr>
        <w:t xml:space="preserve">（一）严格遵守党和国家有关法律法规及党风廉政建设各项规定。 </w:t>
      </w:r>
    </w:p>
    <w:p w14:paraId="46EEEF9C">
      <w:pPr>
        <w:pStyle w:val="10"/>
        <w:spacing w:line="360" w:lineRule="auto"/>
        <w:ind w:firstLine="480"/>
        <w:rPr>
          <w:rFonts w:hAnsi="宋体"/>
          <w:color w:val="auto"/>
          <w:sz w:val="21"/>
          <w:szCs w:val="21"/>
        </w:rPr>
      </w:pPr>
      <w:r>
        <w:rPr>
          <w:rFonts w:hint="eastAsia" w:hAnsi="宋体"/>
          <w:color w:val="auto"/>
          <w:sz w:val="21"/>
          <w:szCs w:val="21"/>
        </w:rPr>
        <w:t xml:space="preserve">（二）严格履行《中华人民共和国反不正当竞争法》、《关于禁止商业贿赂行为的暂行规定》各项约定，杜绝违约行为的发生。 </w:t>
      </w:r>
    </w:p>
    <w:p w14:paraId="211978D6">
      <w:pPr>
        <w:pStyle w:val="10"/>
        <w:spacing w:line="360" w:lineRule="auto"/>
        <w:ind w:firstLine="480"/>
        <w:rPr>
          <w:rFonts w:hAnsi="宋体"/>
          <w:color w:val="auto"/>
          <w:sz w:val="21"/>
          <w:szCs w:val="21"/>
        </w:rPr>
      </w:pPr>
      <w:r>
        <w:rPr>
          <w:rFonts w:hint="eastAsia" w:hAnsi="宋体"/>
          <w:color w:val="auto"/>
          <w:sz w:val="21"/>
          <w:szCs w:val="21"/>
        </w:rPr>
        <w:t xml:space="preserve">（三）双方的业务活动坚持公开、公平、公正、诚信的原则（除法律认定的商业秘密和合同文件另有规定之外），严禁损害国家和集体利益，违反法律法规及规章制度。 </w:t>
      </w:r>
    </w:p>
    <w:p w14:paraId="63B9CCA0">
      <w:pPr>
        <w:pStyle w:val="10"/>
        <w:spacing w:line="360" w:lineRule="auto"/>
        <w:ind w:firstLine="480"/>
        <w:rPr>
          <w:rFonts w:hAnsi="宋体"/>
          <w:color w:val="auto"/>
          <w:sz w:val="21"/>
          <w:szCs w:val="21"/>
        </w:rPr>
      </w:pPr>
      <w:r>
        <w:rPr>
          <w:rFonts w:hint="eastAsia" w:hAnsi="宋体"/>
          <w:color w:val="auto"/>
          <w:sz w:val="21"/>
          <w:szCs w:val="21"/>
        </w:rPr>
        <w:t xml:space="preserve">（四）建立健全党风廉政建设各项制度，开展党风廉政建设宣传教育，加强对本方工作人员的监督检查。 </w:t>
      </w:r>
    </w:p>
    <w:p w14:paraId="71F36433">
      <w:pPr>
        <w:pStyle w:val="10"/>
        <w:spacing w:line="360" w:lineRule="auto"/>
        <w:ind w:firstLine="480"/>
        <w:rPr>
          <w:rFonts w:hAnsi="宋体"/>
          <w:color w:val="auto"/>
          <w:sz w:val="21"/>
          <w:szCs w:val="21"/>
        </w:rPr>
      </w:pPr>
      <w:r>
        <w:rPr>
          <w:rFonts w:hint="eastAsia" w:hAnsi="宋体"/>
          <w:color w:val="auto"/>
          <w:sz w:val="21"/>
          <w:szCs w:val="21"/>
        </w:rPr>
        <w:t xml:space="preserve">（五）发现对方在业务活动中有违反廉政规定和本合同约定的行为时，有及时提醒和督促对方纠正的权利和义务。 </w:t>
      </w:r>
    </w:p>
    <w:p w14:paraId="05550608">
      <w:pPr>
        <w:pStyle w:val="10"/>
        <w:spacing w:line="360" w:lineRule="auto"/>
        <w:ind w:firstLine="480"/>
        <w:rPr>
          <w:rFonts w:hAnsi="宋体"/>
          <w:color w:val="auto"/>
          <w:sz w:val="21"/>
          <w:szCs w:val="21"/>
        </w:rPr>
      </w:pPr>
      <w:r>
        <w:rPr>
          <w:rFonts w:hint="eastAsia" w:hAnsi="宋体"/>
          <w:color w:val="auto"/>
          <w:sz w:val="21"/>
          <w:szCs w:val="21"/>
        </w:rPr>
        <w:t xml:space="preserve">（六）发现对方在业务活动中有违反廉政规定和本合同约定的行为时，有权向对方主管部门或有关机构检举、揭发。 </w:t>
      </w:r>
    </w:p>
    <w:p w14:paraId="0457ACCB">
      <w:pPr>
        <w:pStyle w:val="10"/>
        <w:spacing w:line="360" w:lineRule="auto"/>
        <w:ind w:firstLine="480"/>
        <w:rPr>
          <w:rFonts w:hAnsi="宋体"/>
          <w:color w:val="auto"/>
          <w:sz w:val="21"/>
          <w:szCs w:val="21"/>
        </w:rPr>
      </w:pPr>
      <w:r>
        <w:rPr>
          <w:rFonts w:hint="eastAsia" w:hAnsi="宋体"/>
          <w:color w:val="auto"/>
          <w:sz w:val="21"/>
          <w:szCs w:val="21"/>
        </w:rPr>
        <w:t xml:space="preserve">（七）经济合同变更时廉政合同内容也应做相应调整，并履行有关手续。 </w:t>
      </w:r>
    </w:p>
    <w:p w14:paraId="1538AAFA">
      <w:pPr>
        <w:pStyle w:val="10"/>
        <w:spacing w:line="360" w:lineRule="auto"/>
        <w:ind w:firstLine="480"/>
        <w:rPr>
          <w:rFonts w:hAnsi="宋体"/>
          <w:color w:val="auto"/>
          <w:sz w:val="21"/>
          <w:szCs w:val="21"/>
        </w:rPr>
      </w:pPr>
      <w:r>
        <w:rPr>
          <w:rFonts w:hint="eastAsia" w:hAnsi="宋体"/>
          <w:color w:val="auto"/>
          <w:sz w:val="21"/>
          <w:szCs w:val="21"/>
        </w:rPr>
        <w:t xml:space="preserve">第二条：甲方在廉政建设方面义务 </w:t>
      </w:r>
    </w:p>
    <w:p w14:paraId="5FD81FE6">
      <w:pPr>
        <w:pStyle w:val="10"/>
        <w:spacing w:line="360" w:lineRule="auto"/>
        <w:ind w:firstLine="480"/>
        <w:rPr>
          <w:rFonts w:hAnsi="宋体"/>
          <w:color w:val="auto"/>
          <w:sz w:val="21"/>
          <w:szCs w:val="21"/>
        </w:rPr>
      </w:pPr>
      <w:r>
        <w:rPr>
          <w:rFonts w:hint="eastAsia" w:hAnsi="宋体"/>
          <w:color w:val="auto"/>
          <w:sz w:val="21"/>
          <w:szCs w:val="21"/>
        </w:rPr>
        <w:t xml:space="preserve">（一）甲方不准以任何形式向乙方及其工作人员馈赠礼金、礼品、有价证券、支付凭证、贵重物品等财物； </w:t>
      </w:r>
    </w:p>
    <w:p w14:paraId="0707C3D4">
      <w:pPr>
        <w:pStyle w:val="10"/>
        <w:spacing w:line="360" w:lineRule="auto"/>
        <w:ind w:firstLine="480"/>
        <w:rPr>
          <w:rFonts w:hAnsi="宋体"/>
          <w:color w:val="auto"/>
          <w:sz w:val="21"/>
          <w:szCs w:val="21"/>
        </w:rPr>
      </w:pPr>
      <w:r>
        <w:rPr>
          <w:rFonts w:hint="eastAsia" w:hAnsi="宋体"/>
          <w:color w:val="auto"/>
          <w:sz w:val="21"/>
          <w:szCs w:val="21"/>
        </w:rPr>
        <w:t xml:space="preserve">（二）甲方不准以任何名义为乙方及其工作人员报销应由乙方或个人支付的任何费用。 </w:t>
      </w:r>
    </w:p>
    <w:p w14:paraId="60D96713">
      <w:pPr>
        <w:pStyle w:val="10"/>
        <w:spacing w:line="360" w:lineRule="auto"/>
        <w:ind w:firstLine="480"/>
        <w:rPr>
          <w:rFonts w:hAnsi="宋体"/>
          <w:color w:val="auto"/>
          <w:sz w:val="21"/>
          <w:szCs w:val="21"/>
        </w:rPr>
      </w:pPr>
      <w:r>
        <w:rPr>
          <w:rFonts w:hint="eastAsia" w:hAnsi="宋体"/>
          <w:color w:val="auto"/>
          <w:sz w:val="21"/>
          <w:szCs w:val="21"/>
        </w:rPr>
        <w:t xml:space="preserve">（三）甲方不准以任何理由邀请乙方工作人员参加有影响合作业务的宴请及娱乐活动；不准为其提供通讯工具、交通工具、高档办公用品等。 </w:t>
      </w:r>
    </w:p>
    <w:p w14:paraId="30A6D6F2">
      <w:pPr>
        <w:pStyle w:val="10"/>
        <w:spacing w:line="360" w:lineRule="auto"/>
        <w:ind w:firstLine="480"/>
        <w:rPr>
          <w:rFonts w:hAnsi="宋体"/>
          <w:color w:val="auto"/>
          <w:sz w:val="21"/>
          <w:szCs w:val="21"/>
        </w:rPr>
      </w:pPr>
      <w:r>
        <w:rPr>
          <w:rFonts w:hint="eastAsia" w:hAnsi="宋体"/>
          <w:color w:val="auto"/>
          <w:sz w:val="21"/>
          <w:szCs w:val="21"/>
        </w:rPr>
        <w:t xml:space="preserve">（四）甲方不准为乙方工作人员在住房装修、婚丧嫁娶、配偶、子女、亲友出国（境）旅游提供方便；不准为乙方工作人员的配偶、子女及有利害关系的人员安排工作或劳务。 </w:t>
      </w:r>
    </w:p>
    <w:p w14:paraId="6CECA235">
      <w:pPr>
        <w:pStyle w:val="10"/>
        <w:spacing w:line="360" w:lineRule="auto"/>
        <w:ind w:firstLine="480"/>
        <w:rPr>
          <w:rFonts w:hAnsi="宋体"/>
          <w:color w:val="auto"/>
          <w:sz w:val="21"/>
          <w:szCs w:val="21"/>
        </w:rPr>
      </w:pPr>
      <w:r>
        <w:rPr>
          <w:rFonts w:hint="eastAsia" w:hAnsi="宋体"/>
          <w:color w:val="auto"/>
          <w:sz w:val="21"/>
          <w:szCs w:val="21"/>
        </w:rPr>
        <w:t xml:space="preserve">（五）甲方及其工作人员不准与监管单位串通，违反有关规定和程序，损害乙方利益。 </w:t>
      </w:r>
    </w:p>
    <w:p w14:paraId="3D7BDABA">
      <w:pPr>
        <w:pStyle w:val="10"/>
        <w:spacing w:line="360" w:lineRule="auto"/>
        <w:ind w:firstLine="480"/>
        <w:rPr>
          <w:rFonts w:hAnsi="宋体"/>
          <w:color w:val="auto"/>
          <w:sz w:val="21"/>
          <w:szCs w:val="21"/>
        </w:rPr>
      </w:pPr>
      <w:r>
        <w:rPr>
          <w:rFonts w:hint="eastAsia" w:hAnsi="宋体"/>
          <w:color w:val="auto"/>
          <w:sz w:val="21"/>
          <w:szCs w:val="21"/>
        </w:rPr>
        <w:t xml:space="preserve">（六）不得有其他违反法律法规、党纪政纪行为。 </w:t>
      </w:r>
    </w:p>
    <w:p w14:paraId="39F74D60">
      <w:pPr>
        <w:pStyle w:val="10"/>
        <w:spacing w:line="360" w:lineRule="auto"/>
        <w:ind w:firstLine="480"/>
        <w:rPr>
          <w:rFonts w:hAnsi="宋体"/>
          <w:color w:val="auto"/>
          <w:sz w:val="21"/>
          <w:szCs w:val="21"/>
        </w:rPr>
      </w:pPr>
      <w:r>
        <w:rPr>
          <w:rFonts w:hint="eastAsia" w:hAnsi="宋体"/>
          <w:color w:val="auto"/>
          <w:sz w:val="21"/>
          <w:szCs w:val="21"/>
        </w:rPr>
        <w:t xml:space="preserve">第三条：乙方在廉政建设方面的义务 </w:t>
      </w:r>
    </w:p>
    <w:p w14:paraId="52C6ECDD">
      <w:pPr>
        <w:pStyle w:val="10"/>
        <w:spacing w:line="360" w:lineRule="auto"/>
        <w:ind w:firstLine="480"/>
        <w:rPr>
          <w:rFonts w:hAnsi="宋体"/>
          <w:color w:val="auto"/>
          <w:sz w:val="21"/>
          <w:szCs w:val="21"/>
        </w:rPr>
      </w:pPr>
      <w:r>
        <w:rPr>
          <w:rFonts w:hint="eastAsia" w:hAnsi="宋体"/>
          <w:color w:val="auto"/>
          <w:sz w:val="21"/>
          <w:szCs w:val="21"/>
        </w:rPr>
        <w:t xml:space="preserve">（一）乙方及其工作人员不得干扰协作企业正常的生产经营活动，不得以任何理由要挟甲方从事不属于甲方义务的工作。 </w:t>
      </w:r>
    </w:p>
    <w:p w14:paraId="29AC9B62">
      <w:pPr>
        <w:pStyle w:val="10"/>
        <w:spacing w:line="360" w:lineRule="auto"/>
        <w:ind w:firstLine="480"/>
        <w:rPr>
          <w:rFonts w:hAnsi="宋体"/>
          <w:color w:val="auto"/>
          <w:sz w:val="21"/>
          <w:szCs w:val="21"/>
        </w:rPr>
      </w:pPr>
      <w:r>
        <w:rPr>
          <w:rFonts w:hint="eastAsia" w:hAnsi="宋体"/>
          <w:color w:val="auto"/>
          <w:sz w:val="21"/>
          <w:szCs w:val="21"/>
        </w:rPr>
        <w:t xml:space="preserve">（二）乙方及其工作人员不得索要或接受甲方的礼金，有价证券、支付凭证、贵重物品等财物。 </w:t>
      </w:r>
    </w:p>
    <w:p w14:paraId="6F05F46E">
      <w:pPr>
        <w:pStyle w:val="10"/>
        <w:spacing w:line="360" w:lineRule="auto"/>
        <w:ind w:firstLine="480"/>
        <w:rPr>
          <w:rFonts w:hAnsi="宋体"/>
          <w:color w:val="auto"/>
          <w:sz w:val="21"/>
          <w:szCs w:val="21"/>
        </w:rPr>
      </w:pPr>
      <w:r>
        <w:rPr>
          <w:rFonts w:hint="eastAsia" w:hAnsi="宋体"/>
          <w:color w:val="auto"/>
          <w:sz w:val="21"/>
          <w:szCs w:val="21"/>
        </w:rPr>
        <w:t xml:space="preserve">（三）乙方及其工作人员不得在甲方报销应由乙方或个人支付的任何费用。 </w:t>
      </w:r>
    </w:p>
    <w:p w14:paraId="3B69E79A">
      <w:pPr>
        <w:pStyle w:val="10"/>
        <w:spacing w:line="360" w:lineRule="auto"/>
        <w:ind w:firstLine="480"/>
        <w:rPr>
          <w:rFonts w:hAnsi="宋体"/>
          <w:color w:val="auto"/>
          <w:sz w:val="21"/>
          <w:szCs w:val="21"/>
        </w:rPr>
      </w:pPr>
      <w:r>
        <w:rPr>
          <w:rFonts w:hint="eastAsia" w:hAnsi="宋体"/>
          <w:color w:val="auto"/>
          <w:sz w:val="21"/>
          <w:szCs w:val="21"/>
        </w:rPr>
        <w:t xml:space="preserve">（四）乙方工作人员不得参加甲方提供的宴请、娱乐活动、高档消费；不得要求甲方提供交通工具、通讯工具、高档办公用品等。 </w:t>
      </w:r>
    </w:p>
    <w:p w14:paraId="3180C88D">
      <w:pPr>
        <w:pStyle w:val="10"/>
        <w:spacing w:line="360" w:lineRule="auto"/>
        <w:ind w:firstLine="480"/>
        <w:rPr>
          <w:rFonts w:hAnsi="宋体"/>
          <w:color w:val="auto"/>
          <w:sz w:val="21"/>
          <w:szCs w:val="21"/>
        </w:rPr>
      </w:pPr>
      <w:r>
        <w:rPr>
          <w:rFonts w:hint="eastAsia" w:hAnsi="宋体"/>
          <w:color w:val="auto"/>
          <w:sz w:val="21"/>
          <w:szCs w:val="21"/>
        </w:rPr>
        <w:t xml:space="preserve">（五）乙方及其工作人员不得要求或者接受甲方为其住房装修、婚丧嫁娶、配偶、子女、亲友出国（境）旅游等违反规定的相关活动提供方便。 </w:t>
      </w:r>
    </w:p>
    <w:p w14:paraId="71911623">
      <w:pPr>
        <w:pStyle w:val="10"/>
        <w:spacing w:line="360" w:lineRule="auto"/>
        <w:ind w:firstLine="480"/>
        <w:rPr>
          <w:rFonts w:hAnsi="宋体"/>
          <w:color w:val="auto"/>
          <w:sz w:val="21"/>
          <w:szCs w:val="21"/>
        </w:rPr>
      </w:pPr>
      <w:r>
        <w:rPr>
          <w:rFonts w:hint="eastAsia" w:hAnsi="宋体"/>
          <w:color w:val="auto"/>
          <w:sz w:val="21"/>
          <w:szCs w:val="21"/>
        </w:rPr>
        <w:t xml:space="preserve">（六）乙方及其工作人员不得要求甲方为其配偶、子女及有利害关系的人员安排工作或劳务；不得违反规定从事与甲方施工项目有关的材料设备供应、工程分包等经济活动。 </w:t>
      </w:r>
    </w:p>
    <w:p w14:paraId="055AA612">
      <w:pPr>
        <w:pStyle w:val="10"/>
        <w:spacing w:line="360" w:lineRule="auto"/>
        <w:ind w:firstLine="480"/>
        <w:rPr>
          <w:rFonts w:hAnsi="宋体"/>
          <w:color w:val="auto"/>
          <w:sz w:val="21"/>
          <w:szCs w:val="21"/>
        </w:rPr>
      </w:pPr>
      <w:r>
        <w:rPr>
          <w:rFonts w:hint="eastAsia" w:hAnsi="宋体"/>
          <w:color w:val="auto"/>
          <w:sz w:val="21"/>
          <w:szCs w:val="21"/>
        </w:rPr>
        <w:t xml:space="preserve">（七）乙方应根据经济合同约定进度付款，不得以不正当理由拖欠款项，不得超进度拨付款。 </w:t>
      </w:r>
    </w:p>
    <w:p w14:paraId="589A882C">
      <w:pPr>
        <w:pStyle w:val="10"/>
        <w:spacing w:line="360" w:lineRule="auto"/>
        <w:ind w:firstLine="480"/>
        <w:rPr>
          <w:rFonts w:hAnsi="宋体"/>
          <w:color w:val="auto"/>
          <w:sz w:val="21"/>
          <w:szCs w:val="21"/>
        </w:rPr>
      </w:pPr>
      <w:r>
        <w:rPr>
          <w:rFonts w:hint="eastAsia" w:hAnsi="宋体"/>
          <w:color w:val="auto"/>
          <w:sz w:val="21"/>
          <w:szCs w:val="21"/>
        </w:rPr>
        <w:t xml:space="preserve">第四条：违约责任 </w:t>
      </w:r>
    </w:p>
    <w:p w14:paraId="5BFA410F">
      <w:pPr>
        <w:pStyle w:val="10"/>
        <w:spacing w:line="360" w:lineRule="auto"/>
        <w:ind w:firstLine="480"/>
        <w:rPr>
          <w:rFonts w:hAnsi="宋体"/>
          <w:color w:val="auto"/>
          <w:sz w:val="21"/>
          <w:szCs w:val="21"/>
        </w:rPr>
      </w:pPr>
      <w:r>
        <w:rPr>
          <w:rFonts w:hint="eastAsia" w:hAnsi="宋体"/>
          <w:color w:val="auto"/>
          <w:sz w:val="21"/>
          <w:szCs w:val="21"/>
        </w:rPr>
        <w:t xml:space="preserve">（一）甲方违反本《廉政合同》规定义务的，须向乙方承担经济合同总额 3%的经济违约责任。 </w:t>
      </w:r>
    </w:p>
    <w:p w14:paraId="3D33C535">
      <w:pPr>
        <w:pStyle w:val="10"/>
        <w:spacing w:line="360" w:lineRule="auto"/>
        <w:ind w:firstLine="480"/>
        <w:rPr>
          <w:rFonts w:hAnsi="宋体"/>
          <w:color w:val="auto"/>
          <w:sz w:val="21"/>
          <w:szCs w:val="21"/>
        </w:rPr>
      </w:pPr>
      <w:r>
        <w:rPr>
          <w:rFonts w:hint="eastAsia" w:hAnsi="宋体"/>
          <w:color w:val="auto"/>
          <w:sz w:val="21"/>
          <w:szCs w:val="21"/>
        </w:rPr>
        <w:t xml:space="preserve">（二）甲方发生多次违反廉政合同约定内容，乙方有权将甲方列入黑名单，禁止 3-5 年内进入乙方作业市场；给乙方造成经济损失、社会影响较大的，乙方有权终止履行合同。 </w:t>
      </w:r>
    </w:p>
    <w:p w14:paraId="36303682">
      <w:pPr>
        <w:pStyle w:val="10"/>
        <w:spacing w:line="360" w:lineRule="auto"/>
        <w:ind w:firstLine="480"/>
        <w:rPr>
          <w:rFonts w:hAnsi="宋体"/>
          <w:color w:val="auto"/>
          <w:sz w:val="21"/>
          <w:szCs w:val="21"/>
        </w:rPr>
      </w:pPr>
      <w:r>
        <w:rPr>
          <w:rFonts w:hint="eastAsia" w:hAnsi="宋体"/>
          <w:color w:val="auto"/>
          <w:sz w:val="21"/>
          <w:szCs w:val="21"/>
        </w:rPr>
        <w:t xml:space="preserve">（三）乙方若违反本《廉政合同》有关规定的，对违法违纪人员，由乙方主管部门依据有关规定查处，给甲方造成的损失，按有关规定予以赔偿。 </w:t>
      </w:r>
    </w:p>
    <w:p w14:paraId="2908F776">
      <w:pPr>
        <w:pStyle w:val="10"/>
        <w:spacing w:line="360" w:lineRule="auto"/>
        <w:ind w:firstLine="480"/>
        <w:rPr>
          <w:rFonts w:hAnsi="宋体"/>
          <w:color w:val="auto"/>
          <w:sz w:val="21"/>
          <w:szCs w:val="21"/>
        </w:rPr>
      </w:pPr>
      <w:r>
        <w:rPr>
          <w:rFonts w:hint="eastAsia" w:hAnsi="宋体"/>
          <w:color w:val="auto"/>
          <w:sz w:val="21"/>
          <w:szCs w:val="21"/>
        </w:rPr>
        <w:t xml:space="preserve">第五条：检查方式 </w:t>
      </w:r>
    </w:p>
    <w:p w14:paraId="184C7A6D">
      <w:pPr>
        <w:pStyle w:val="10"/>
        <w:spacing w:line="360" w:lineRule="auto"/>
        <w:ind w:firstLine="480"/>
        <w:rPr>
          <w:rFonts w:hAnsi="宋体"/>
          <w:color w:val="auto"/>
          <w:sz w:val="21"/>
          <w:szCs w:val="21"/>
        </w:rPr>
      </w:pPr>
      <w:r>
        <w:rPr>
          <w:rFonts w:hint="eastAsia" w:hAnsi="宋体"/>
          <w:color w:val="auto"/>
          <w:sz w:val="21"/>
          <w:szCs w:val="21"/>
        </w:rPr>
        <w:t xml:space="preserve">本合同的履约情况由甲乙双方共同派员监督，检查方式为座谈、问卷调查、查看资料或由双方约定的其他方式等。检查时间、次数、方式、检查结论等由双方协商确定。 </w:t>
      </w:r>
    </w:p>
    <w:p w14:paraId="4B3E325B">
      <w:pPr>
        <w:pStyle w:val="10"/>
        <w:spacing w:line="360" w:lineRule="auto"/>
        <w:ind w:firstLine="480"/>
        <w:rPr>
          <w:rFonts w:hAnsi="宋体"/>
          <w:color w:val="auto"/>
          <w:sz w:val="21"/>
          <w:szCs w:val="21"/>
        </w:rPr>
      </w:pPr>
      <w:r>
        <w:rPr>
          <w:rFonts w:hint="eastAsia" w:hAnsi="宋体"/>
          <w:color w:val="auto"/>
          <w:sz w:val="21"/>
          <w:szCs w:val="21"/>
        </w:rPr>
        <w:t xml:space="preserve">第六条：本合同有效期同经济合同期限。 </w:t>
      </w:r>
    </w:p>
    <w:p w14:paraId="259E8732">
      <w:pPr>
        <w:pStyle w:val="10"/>
        <w:spacing w:line="360" w:lineRule="auto"/>
        <w:ind w:firstLine="480"/>
        <w:rPr>
          <w:rFonts w:hAnsi="宋体"/>
          <w:color w:val="auto"/>
          <w:sz w:val="21"/>
          <w:szCs w:val="21"/>
        </w:rPr>
      </w:pPr>
      <w:r>
        <w:rPr>
          <w:rFonts w:hint="eastAsia" w:hAnsi="宋体"/>
          <w:color w:val="auto"/>
          <w:sz w:val="21"/>
          <w:szCs w:val="21"/>
        </w:rPr>
        <w:t xml:space="preserve">第七条：本合同为经济合同附件，与主合同具有同等法律效力，甲乙双方签署后生效。 </w:t>
      </w:r>
    </w:p>
    <w:p w14:paraId="72907C55">
      <w:pPr>
        <w:pStyle w:val="10"/>
        <w:spacing w:line="360" w:lineRule="auto"/>
        <w:ind w:firstLine="480"/>
        <w:rPr>
          <w:rFonts w:hAnsi="宋体"/>
          <w:color w:val="auto"/>
          <w:sz w:val="21"/>
          <w:szCs w:val="21"/>
        </w:rPr>
      </w:pPr>
      <w:r>
        <w:rPr>
          <w:rFonts w:hint="eastAsia" w:hAnsi="宋体"/>
          <w:color w:val="auto"/>
          <w:sz w:val="21"/>
          <w:szCs w:val="21"/>
        </w:rPr>
        <w:t>第八条：本合同一式三份，甲、乙双方、采购办各一份。</w:t>
      </w:r>
    </w:p>
    <w:p w14:paraId="57D00C15">
      <w:pPr>
        <w:pStyle w:val="10"/>
        <w:spacing w:line="360" w:lineRule="auto"/>
        <w:ind w:firstLine="480"/>
        <w:rPr>
          <w:rFonts w:hAnsi="宋体"/>
          <w:color w:val="auto"/>
          <w:sz w:val="21"/>
          <w:szCs w:val="21"/>
        </w:rPr>
      </w:pPr>
      <w:r>
        <w:rPr>
          <w:rFonts w:hint="eastAsia" w:hAnsi="宋体"/>
          <w:color w:val="auto"/>
          <w:sz w:val="21"/>
          <w:szCs w:val="21"/>
        </w:rPr>
        <w:t xml:space="preserve">甲方单位： （盖章）              乙方单位：（盖章） </w:t>
      </w:r>
    </w:p>
    <w:p w14:paraId="1E1065C8">
      <w:pPr>
        <w:pStyle w:val="10"/>
        <w:spacing w:line="360" w:lineRule="auto"/>
        <w:ind w:firstLine="480"/>
        <w:rPr>
          <w:rFonts w:hAnsi="宋体"/>
          <w:color w:val="auto"/>
          <w:sz w:val="21"/>
          <w:szCs w:val="21"/>
        </w:rPr>
      </w:pPr>
      <w:r>
        <w:rPr>
          <w:rFonts w:hint="eastAsia" w:hAnsi="宋体"/>
          <w:color w:val="auto"/>
          <w:sz w:val="21"/>
          <w:szCs w:val="21"/>
        </w:rPr>
        <w:t xml:space="preserve">法 定 代 表 人 ：                法 定 代 表 人： </w:t>
      </w:r>
    </w:p>
    <w:p w14:paraId="7C0E41C9">
      <w:pPr>
        <w:pStyle w:val="10"/>
        <w:spacing w:line="360" w:lineRule="auto"/>
        <w:ind w:firstLine="480"/>
        <w:rPr>
          <w:rFonts w:hAnsi="宋体"/>
          <w:color w:val="auto"/>
          <w:sz w:val="21"/>
          <w:szCs w:val="21"/>
        </w:rPr>
      </w:pPr>
      <w:r>
        <w:rPr>
          <w:rFonts w:hint="eastAsia" w:hAnsi="宋体"/>
          <w:color w:val="auto"/>
          <w:sz w:val="21"/>
          <w:szCs w:val="21"/>
        </w:rPr>
        <w:t xml:space="preserve">（或授权代理人）签字：           （或授权代理人）签字： </w:t>
      </w:r>
    </w:p>
    <w:p w14:paraId="29F35800">
      <w:pPr>
        <w:pStyle w:val="10"/>
        <w:spacing w:line="360" w:lineRule="auto"/>
        <w:ind w:firstLine="480"/>
        <w:rPr>
          <w:rFonts w:hAnsi="宋体"/>
          <w:color w:val="auto"/>
          <w:sz w:val="21"/>
          <w:szCs w:val="21"/>
        </w:rPr>
      </w:pPr>
      <w:r>
        <w:rPr>
          <w:rFonts w:hint="eastAsia" w:hAnsi="宋体"/>
          <w:color w:val="auto"/>
          <w:sz w:val="21"/>
          <w:szCs w:val="21"/>
        </w:rPr>
        <w:t xml:space="preserve">单位地址：                       单位地址： </w:t>
      </w:r>
    </w:p>
    <w:p w14:paraId="1BF10D83">
      <w:pPr>
        <w:pStyle w:val="10"/>
        <w:spacing w:line="360" w:lineRule="auto"/>
        <w:ind w:firstLine="480"/>
        <w:rPr>
          <w:rFonts w:hAnsi="宋体"/>
          <w:sz w:val="144"/>
          <w:szCs w:val="144"/>
        </w:rPr>
      </w:pPr>
      <w:r>
        <w:rPr>
          <w:rFonts w:hint="eastAsia" w:hAnsi="宋体"/>
          <w:color w:val="auto"/>
          <w:sz w:val="21"/>
          <w:szCs w:val="21"/>
        </w:rPr>
        <w:t>联系电话：                       联系电话：</w:t>
      </w:r>
    </w:p>
    <w:p w14:paraId="1723788F">
      <w:r>
        <w:rPr>
          <w:rFonts w:hint="eastAsia" w:ascii="宋体" w:hAnsi="宋体" w:cs="宋体"/>
          <w:szCs w:val="32"/>
        </w:rPr>
        <w:br w:type="page"/>
      </w:r>
    </w:p>
    <w:p w14:paraId="4E18ED8E">
      <w:pPr>
        <w:pStyle w:val="3"/>
        <w:spacing w:line="600" w:lineRule="auto"/>
        <w:ind w:right="420" w:rightChars="200"/>
        <w:jc w:val="center"/>
        <w:rPr>
          <w:rFonts w:hint="eastAsia" w:ascii="宋体" w:hAnsi="宋体" w:cs="宋体"/>
          <w:szCs w:val="32"/>
          <w:lang w:val="en-US" w:eastAsia="zh-CN"/>
        </w:rPr>
      </w:pPr>
      <w:bookmarkStart w:id="274" w:name="_Toc27095"/>
      <w:r>
        <w:rPr>
          <w:rFonts w:hint="eastAsia" w:ascii="宋体" w:hAnsi="宋体" w:cs="宋体"/>
          <w:szCs w:val="32"/>
        </w:rPr>
        <w:t>第</w:t>
      </w:r>
      <w:r>
        <w:rPr>
          <w:rFonts w:hint="eastAsia" w:ascii="宋体" w:hAnsi="宋体" w:cs="宋体"/>
          <w:szCs w:val="32"/>
          <w:lang w:eastAsia="zh-CN"/>
        </w:rPr>
        <w:t>五章</w:t>
      </w:r>
      <w:r>
        <w:rPr>
          <w:rFonts w:hint="eastAsia" w:ascii="宋体" w:hAnsi="宋体" w:cs="宋体"/>
          <w:szCs w:val="32"/>
          <w:lang w:val="en-US" w:eastAsia="zh-CN"/>
        </w:rPr>
        <w:t xml:space="preserve"> </w:t>
      </w:r>
      <w:bookmarkEnd w:id="265"/>
      <w:bookmarkEnd w:id="266"/>
      <w:bookmarkEnd w:id="267"/>
      <w:bookmarkEnd w:id="268"/>
      <w:bookmarkEnd w:id="274"/>
      <w:r>
        <w:rPr>
          <w:rFonts w:hint="eastAsia" w:ascii="宋体" w:hAnsi="宋体" w:cs="宋体"/>
          <w:szCs w:val="32"/>
          <w:lang w:eastAsia="zh-CN"/>
        </w:rPr>
        <w:t>服务要求</w:t>
      </w:r>
    </w:p>
    <w:p w14:paraId="49392D35">
      <w:pPr>
        <w:spacing w:line="560" w:lineRule="exact"/>
        <w:jc w:val="center"/>
        <w:rPr>
          <w:rFonts w:hint="eastAsia" w:ascii="宋体" w:hAnsi="宋体" w:eastAsia="宋体" w:cs="宋体"/>
          <w:b/>
          <w:w w:val="90"/>
          <w:sz w:val="32"/>
          <w:szCs w:val="32"/>
        </w:rPr>
      </w:pPr>
      <w:r>
        <w:rPr>
          <w:rFonts w:hint="eastAsia" w:ascii="宋体" w:hAnsi="宋体" w:eastAsia="宋体" w:cs="宋体"/>
          <w:b/>
          <w:w w:val="90"/>
          <w:sz w:val="32"/>
          <w:szCs w:val="32"/>
        </w:rPr>
        <w:t>郑东新区政府购买社会工作服务说明及相关要求</w:t>
      </w:r>
    </w:p>
    <w:p w14:paraId="0037085D">
      <w:pPr>
        <w:pStyle w:val="79"/>
        <w:numPr>
          <w:ilvl w:val="0"/>
          <w:numId w:val="0"/>
        </w:numPr>
        <w:rPr>
          <w:rFonts w:hint="eastAsia" w:ascii="宋体" w:hAnsi="宋体" w:eastAsia="宋体" w:cs="宋体"/>
        </w:rPr>
      </w:pPr>
    </w:p>
    <w:p w14:paraId="32694385">
      <w:pPr>
        <w:spacing w:line="360" w:lineRule="auto"/>
        <w:ind w:firstLine="420" w:firstLineChars="200"/>
        <w:rPr>
          <w:rFonts w:hint="eastAsia" w:ascii="宋体" w:hAnsi="宋体" w:eastAsia="宋体" w:cs="宋体"/>
          <w:bCs/>
          <w:szCs w:val="21"/>
        </w:rPr>
      </w:pPr>
      <w:r>
        <w:rPr>
          <w:rFonts w:hint="eastAsia" w:ascii="宋体" w:hAnsi="宋体" w:eastAsia="宋体" w:cs="宋体"/>
          <w:bCs/>
          <w:szCs w:val="21"/>
        </w:rPr>
        <w:t>根据《郑东新区政府购买社会工作服务实施办法》（郑东</w:t>
      </w:r>
      <w:r>
        <w:rPr>
          <w:rFonts w:hint="eastAsia" w:ascii="宋体" w:hAnsi="宋体" w:eastAsia="宋体" w:cs="宋体"/>
          <w:bCs/>
          <w:szCs w:val="21"/>
          <w:lang w:val="en-US" w:eastAsia="zh-CN"/>
        </w:rPr>
        <w:t>办</w:t>
      </w:r>
      <w:r>
        <w:rPr>
          <w:rFonts w:hint="eastAsia" w:ascii="宋体" w:hAnsi="宋体" w:eastAsia="宋体" w:cs="宋体"/>
          <w:bCs/>
          <w:szCs w:val="21"/>
        </w:rPr>
        <w:t>〔2020〕32号）、郑州市民政局关于印发《郑州市乡镇（街道）社会工作服务站项目实施方案》（试行）（郑民文〔2021〕8号）和《郑州市政府购买社会工作服务资金管理暂行办法》（郑民文〔2019〕1号）文件，为进一步深化社工服务内涵，实现专业社工与服务对象的有效对接，并结合我区实际工作需要，我区拟面向社会工作相关领域购买一批社工服务项目，并以公开招标的形式实施政府采购。现将项目概况和有关要求说明如下：</w:t>
      </w:r>
    </w:p>
    <w:p w14:paraId="2436ED23">
      <w:pPr>
        <w:spacing w:line="360" w:lineRule="auto"/>
        <w:ind w:firstLine="422" w:firstLineChars="200"/>
        <w:rPr>
          <w:rFonts w:hint="eastAsia" w:ascii="宋体" w:hAnsi="宋体" w:eastAsia="宋体" w:cs="宋体"/>
          <w:b/>
          <w:bCs w:val="0"/>
          <w:szCs w:val="21"/>
        </w:rPr>
      </w:pPr>
      <w:r>
        <w:rPr>
          <w:rFonts w:hint="eastAsia" w:ascii="宋体" w:hAnsi="宋体" w:eastAsia="宋体" w:cs="宋体"/>
          <w:b/>
          <w:bCs w:val="0"/>
          <w:szCs w:val="21"/>
        </w:rPr>
        <w:t>一、项目概况</w:t>
      </w:r>
    </w:p>
    <w:p w14:paraId="37C62938">
      <w:pPr>
        <w:spacing w:line="360" w:lineRule="auto"/>
        <w:ind w:firstLine="420" w:firstLineChars="200"/>
        <w:rPr>
          <w:rFonts w:hint="eastAsia" w:ascii="宋体" w:hAnsi="宋体" w:eastAsia="宋体" w:cs="宋体"/>
          <w:bCs/>
          <w:szCs w:val="21"/>
        </w:rPr>
      </w:pPr>
      <w:r>
        <w:rPr>
          <w:rFonts w:hint="eastAsia" w:ascii="宋体" w:hAnsi="宋体" w:eastAsia="宋体" w:cs="宋体"/>
          <w:bCs/>
          <w:szCs w:val="21"/>
        </w:rPr>
        <w:t>政府购买社会工作服务是指政府部门根据经济社会发展情况和社会工作服务发展需要，以合同管理的方式，将社会工作服务交由具备相应条件的公益服务类社会组织（机构）来完成，并根据其提供服务的数量和质量，按照一定的标准进行考核评估并支付服务费用的过程和做法。政府购买社会工作服务的形式主要包括购买社工服务岗位和购买社工服务项目。购买社工服务岗位是指根据服务对象或用人单位（部门）的实际需求，确定社工岗位数量，按照社工薪酬指导标准，由政府向专业社工服务机构购买社工岗位服务。购买社工服务项目是根据服务对象的情况和服务内容、需求、目标等进行综合预算，实行项目打包，由政府向专业社工服务机构购买社会工作服务。</w:t>
      </w:r>
    </w:p>
    <w:p w14:paraId="771435D9">
      <w:pPr>
        <w:spacing w:line="360" w:lineRule="auto"/>
        <w:ind w:firstLine="420" w:firstLineChars="200"/>
        <w:rPr>
          <w:rFonts w:hint="eastAsia" w:ascii="宋体" w:hAnsi="宋体" w:eastAsia="宋体" w:cs="宋体"/>
          <w:kern w:val="0"/>
          <w:szCs w:val="21"/>
        </w:rPr>
      </w:pPr>
      <w:r>
        <w:rPr>
          <w:rFonts w:hint="eastAsia" w:ascii="宋体" w:hAnsi="宋体" w:eastAsia="宋体" w:cs="宋体"/>
          <w:kern w:val="0"/>
          <w:szCs w:val="21"/>
        </w:rPr>
        <w:t>本次招标项目为“郑州市郑东新区</w:t>
      </w:r>
      <w:r>
        <w:rPr>
          <w:rFonts w:hint="eastAsia" w:ascii="宋体" w:hAnsi="宋体" w:eastAsia="宋体" w:cs="宋体"/>
          <w:kern w:val="0"/>
          <w:szCs w:val="21"/>
          <w:lang w:val="en-US" w:eastAsia="zh-CN"/>
        </w:rPr>
        <w:t>社会事业局2024</w:t>
      </w:r>
      <w:r>
        <w:rPr>
          <w:rFonts w:hint="eastAsia" w:ascii="宋体" w:hAnsi="宋体" w:eastAsia="宋体" w:cs="宋体"/>
          <w:kern w:val="0"/>
          <w:szCs w:val="21"/>
        </w:rPr>
        <w:t>年政府购买社会工作服务项目”，拟向社会购买包括</w:t>
      </w:r>
      <w:r>
        <w:rPr>
          <w:rFonts w:hint="eastAsia" w:ascii="宋体" w:hAnsi="宋体" w:eastAsia="宋体" w:cs="宋体"/>
          <w:kern w:val="0"/>
          <w:szCs w:val="21"/>
          <w:lang w:eastAsia="zh-CN"/>
        </w:rPr>
        <w:t>社会工作服务站</w:t>
      </w:r>
      <w:r>
        <w:rPr>
          <w:rFonts w:hint="eastAsia" w:ascii="宋体" w:hAnsi="宋体" w:eastAsia="宋体" w:cs="宋体"/>
          <w:kern w:val="0"/>
          <w:szCs w:val="21"/>
        </w:rPr>
        <w:t>类、社会工作发展监管类共</w:t>
      </w:r>
      <w:r>
        <w:rPr>
          <w:rFonts w:hint="eastAsia" w:ascii="宋体" w:hAnsi="宋体" w:eastAsia="宋体" w:cs="宋体"/>
          <w:kern w:val="0"/>
          <w:szCs w:val="21"/>
          <w:lang w:val="en-US" w:eastAsia="zh-CN"/>
        </w:rPr>
        <w:t>两</w:t>
      </w:r>
      <w:r>
        <w:rPr>
          <w:rFonts w:hint="eastAsia" w:ascii="宋体" w:hAnsi="宋体" w:eastAsia="宋体" w:cs="宋体"/>
          <w:kern w:val="0"/>
          <w:szCs w:val="21"/>
        </w:rPr>
        <w:t>大类社工服务，涵盖</w:t>
      </w:r>
      <w:r>
        <w:rPr>
          <w:rFonts w:hint="eastAsia" w:ascii="宋体" w:hAnsi="宋体" w:eastAsia="宋体" w:cs="宋体"/>
          <w:kern w:val="0"/>
          <w:szCs w:val="21"/>
          <w:lang w:eastAsia="zh-CN"/>
        </w:rPr>
        <w:t>民政服务</w:t>
      </w:r>
      <w:r>
        <w:rPr>
          <w:rFonts w:hint="eastAsia" w:ascii="宋体" w:hAnsi="宋体" w:eastAsia="宋体" w:cs="宋体"/>
          <w:kern w:val="0"/>
          <w:szCs w:val="21"/>
        </w:rPr>
        <w:t>、</w:t>
      </w:r>
      <w:r>
        <w:rPr>
          <w:rFonts w:hint="eastAsia" w:ascii="宋体" w:hAnsi="宋体" w:eastAsia="宋体" w:cs="宋体"/>
          <w:kern w:val="0"/>
          <w:szCs w:val="21"/>
          <w:lang w:eastAsia="zh-CN"/>
        </w:rPr>
        <w:t>社区综合服务、</w:t>
      </w:r>
      <w:r>
        <w:rPr>
          <w:rFonts w:hint="eastAsia" w:ascii="宋体" w:hAnsi="宋体" w:eastAsia="宋体" w:cs="宋体"/>
          <w:kern w:val="0"/>
          <w:szCs w:val="21"/>
        </w:rPr>
        <w:t>婚姻家庭服务、老龄服务、社会组织培育和发展</w:t>
      </w:r>
      <w:r>
        <w:rPr>
          <w:rFonts w:hint="eastAsia" w:ascii="宋体" w:hAnsi="宋体" w:eastAsia="宋体" w:cs="宋体"/>
          <w:kern w:val="0"/>
          <w:szCs w:val="21"/>
          <w:highlight w:val="none"/>
        </w:rPr>
        <w:t>等领域，共</w:t>
      </w:r>
      <w:r>
        <w:rPr>
          <w:rFonts w:hint="eastAsia" w:ascii="宋体" w:hAnsi="宋体" w:eastAsia="宋体" w:cs="宋体"/>
          <w:kern w:val="0"/>
          <w:szCs w:val="21"/>
          <w:highlight w:val="none"/>
          <w:lang w:val="en-US" w:eastAsia="zh-CN"/>
        </w:rPr>
        <w:t>26</w:t>
      </w:r>
      <w:r>
        <w:rPr>
          <w:rFonts w:hint="eastAsia" w:ascii="宋体" w:hAnsi="宋体" w:eastAsia="宋体" w:cs="宋体"/>
          <w:kern w:val="0"/>
          <w:szCs w:val="21"/>
          <w:highlight w:val="none"/>
        </w:rPr>
        <w:t>个子项目。</w:t>
      </w:r>
    </w:p>
    <w:p w14:paraId="15FDA016">
      <w:pPr>
        <w:spacing w:line="360" w:lineRule="auto"/>
        <w:ind w:firstLine="422" w:firstLineChars="200"/>
        <w:rPr>
          <w:rFonts w:hint="eastAsia" w:ascii="宋体" w:hAnsi="宋体" w:eastAsia="宋体" w:cs="宋体"/>
          <w:b/>
          <w:bCs w:val="0"/>
          <w:szCs w:val="21"/>
        </w:rPr>
      </w:pPr>
      <w:r>
        <w:rPr>
          <w:rFonts w:hint="eastAsia" w:ascii="宋体" w:hAnsi="宋体" w:eastAsia="宋体" w:cs="宋体"/>
          <w:b/>
          <w:bCs w:val="0"/>
          <w:szCs w:val="21"/>
        </w:rPr>
        <w:t>二、有关要求</w:t>
      </w:r>
    </w:p>
    <w:p w14:paraId="61AA082E">
      <w:pPr>
        <w:spacing w:line="360" w:lineRule="auto"/>
        <w:ind w:firstLine="422" w:firstLineChars="200"/>
        <w:rPr>
          <w:rFonts w:hint="eastAsia" w:ascii="宋体" w:hAnsi="宋体" w:eastAsia="宋体" w:cs="宋体"/>
          <w:bCs/>
          <w:szCs w:val="21"/>
          <w:lang w:val="en-US"/>
        </w:rPr>
      </w:pPr>
      <w:r>
        <w:rPr>
          <w:rFonts w:hint="eastAsia" w:ascii="宋体" w:hAnsi="宋体" w:eastAsia="宋体" w:cs="宋体"/>
          <w:b/>
          <w:bCs/>
          <w:szCs w:val="21"/>
        </w:rPr>
        <w:t>（一）本次招标：</w:t>
      </w:r>
      <w:r>
        <w:rPr>
          <w:rFonts w:hint="eastAsia" w:ascii="宋体" w:hAnsi="宋体" w:eastAsia="宋体" w:cs="宋体"/>
          <w:bCs/>
          <w:szCs w:val="21"/>
        </w:rPr>
        <w:t>根据项目分包情况，</w:t>
      </w:r>
      <w:r>
        <w:rPr>
          <w:rFonts w:hint="eastAsia" w:ascii="宋体" w:hAnsi="宋体" w:eastAsia="宋体" w:cs="宋体"/>
          <w:bCs/>
          <w:szCs w:val="21"/>
          <w:lang w:eastAsia="zh-CN"/>
        </w:rPr>
        <w:t>所有包段</w:t>
      </w:r>
      <w:r>
        <w:rPr>
          <w:rFonts w:hint="eastAsia" w:ascii="宋体" w:hAnsi="宋体" w:eastAsia="宋体" w:cs="宋体"/>
          <w:bCs/>
          <w:szCs w:val="21"/>
        </w:rPr>
        <w:t>分别拟确定1家机构为中标单位，1家机构为候选单位，</w:t>
      </w:r>
      <w:r>
        <w:rPr>
          <w:rFonts w:hint="eastAsia" w:ascii="宋体" w:hAnsi="宋体" w:eastAsia="宋体" w:cs="宋体"/>
          <w:bCs/>
          <w:szCs w:val="21"/>
          <w:lang w:val="en-US" w:eastAsia="zh-CN"/>
        </w:rPr>
        <w:t>所有包段不可重复中标。</w:t>
      </w:r>
    </w:p>
    <w:p w14:paraId="258A1431">
      <w:pPr>
        <w:spacing w:line="360" w:lineRule="auto"/>
        <w:ind w:firstLine="422" w:firstLineChars="200"/>
        <w:rPr>
          <w:rFonts w:hint="eastAsia" w:ascii="宋体" w:hAnsi="宋体" w:eastAsia="宋体" w:cs="宋体"/>
          <w:b/>
          <w:bCs/>
          <w:szCs w:val="21"/>
        </w:rPr>
      </w:pPr>
      <w:r>
        <w:rPr>
          <w:rFonts w:hint="eastAsia" w:ascii="宋体" w:hAnsi="宋体" w:eastAsia="宋体" w:cs="宋体"/>
          <w:b/>
          <w:bCs/>
          <w:szCs w:val="21"/>
        </w:rPr>
        <w:t>（二）对投标人的资格要求：</w:t>
      </w:r>
    </w:p>
    <w:p w14:paraId="3C702FB0">
      <w:pPr>
        <w:keepNext w:val="0"/>
        <w:keepLines w:val="0"/>
        <w:pageBreakBefore w:val="0"/>
        <w:widowControl w:val="0"/>
        <w:kinsoku/>
        <w:wordWrap/>
        <w:overflowPunct/>
        <w:topLinePunct w:val="0"/>
        <w:autoSpaceDE/>
        <w:autoSpaceDN/>
        <w:bidi w:val="0"/>
        <w:adjustRightInd w:val="0"/>
        <w:snapToGrid/>
        <w:spacing w:line="360" w:lineRule="auto"/>
        <w:ind w:firstLine="420" w:firstLineChars="200"/>
        <w:textAlignment w:val="auto"/>
        <w:rPr>
          <w:rFonts w:hint="eastAsia" w:ascii="宋体" w:hAnsi="宋体" w:eastAsia="宋体" w:cs="宋体"/>
          <w:color w:val="000000"/>
          <w:sz w:val="21"/>
          <w:szCs w:val="21"/>
          <w:highlight w:val="none"/>
          <w:lang w:val="en-US" w:eastAsia="zh-CN"/>
        </w:rPr>
      </w:pPr>
      <w:r>
        <w:rPr>
          <w:rFonts w:hint="eastAsia" w:ascii="宋体" w:hAnsi="宋体" w:eastAsia="宋体" w:cs="宋体"/>
          <w:color w:val="000000"/>
          <w:sz w:val="21"/>
          <w:szCs w:val="21"/>
          <w:highlight w:val="none"/>
          <w:lang w:val="en-US" w:eastAsia="zh-CN"/>
        </w:rPr>
        <w:t>1.满足《中华人民共和国政府采购法》第二十二条规定。</w:t>
      </w:r>
    </w:p>
    <w:p w14:paraId="0AD9CFD2">
      <w:pPr>
        <w:keepNext w:val="0"/>
        <w:keepLines w:val="0"/>
        <w:pageBreakBefore w:val="0"/>
        <w:widowControl w:val="0"/>
        <w:kinsoku/>
        <w:wordWrap/>
        <w:overflowPunct/>
        <w:topLinePunct w:val="0"/>
        <w:autoSpaceDE/>
        <w:autoSpaceDN/>
        <w:bidi w:val="0"/>
        <w:adjustRightInd w:val="0"/>
        <w:snapToGrid/>
        <w:spacing w:line="360" w:lineRule="auto"/>
        <w:ind w:firstLine="420" w:firstLineChars="200"/>
        <w:textAlignment w:val="auto"/>
        <w:rPr>
          <w:rFonts w:hint="eastAsia" w:ascii="宋体" w:hAnsi="宋体" w:eastAsia="宋体" w:cs="宋体"/>
          <w:color w:val="000000"/>
          <w:sz w:val="21"/>
          <w:szCs w:val="21"/>
          <w:highlight w:val="none"/>
          <w:lang w:val="en-US" w:eastAsia="zh-CN"/>
        </w:rPr>
      </w:pPr>
      <w:r>
        <w:rPr>
          <w:rFonts w:hint="eastAsia" w:ascii="宋体" w:hAnsi="宋体" w:eastAsia="宋体" w:cs="宋体"/>
          <w:color w:val="000000"/>
          <w:sz w:val="21"/>
          <w:szCs w:val="21"/>
          <w:highlight w:val="none"/>
          <w:lang w:val="en-US" w:eastAsia="zh-CN"/>
        </w:rPr>
        <w:t>2.落实政府采购政策满足的资格要求：本项目执行促进中小型企业发展政策（监狱企业、残疾人福利性企业视同小微企业）、强制采购节能产品、优先采购节能环保产品等政府采购政策。</w:t>
      </w:r>
    </w:p>
    <w:p w14:paraId="46C1A7DE">
      <w:pPr>
        <w:keepNext w:val="0"/>
        <w:keepLines w:val="0"/>
        <w:pageBreakBefore w:val="0"/>
        <w:widowControl w:val="0"/>
        <w:kinsoku/>
        <w:wordWrap/>
        <w:overflowPunct/>
        <w:topLinePunct w:val="0"/>
        <w:autoSpaceDE/>
        <w:autoSpaceDN/>
        <w:bidi w:val="0"/>
        <w:adjustRightInd w:val="0"/>
        <w:snapToGrid/>
        <w:spacing w:line="360" w:lineRule="auto"/>
        <w:ind w:firstLine="420" w:firstLineChars="200"/>
        <w:textAlignment w:val="auto"/>
        <w:rPr>
          <w:rFonts w:hint="eastAsia" w:ascii="宋体" w:hAnsi="宋体" w:eastAsia="宋体" w:cs="宋体"/>
          <w:color w:val="000000"/>
          <w:sz w:val="21"/>
          <w:szCs w:val="21"/>
          <w:highlight w:val="none"/>
          <w:lang w:val="en-US" w:eastAsia="zh-CN"/>
        </w:rPr>
      </w:pPr>
      <w:r>
        <w:rPr>
          <w:rFonts w:hint="eastAsia" w:ascii="宋体" w:hAnsi="宋体" w:eastAsia="宋体" w:cs="宋体"/>
          <w:color w:val="000000"/>
          <w:sz w:val="21"/>
          <w:szCs w:val="21"/>
          <w:highlight w:val="none"/>
          <w:lang w:val="en-US" w:eastAsia="zh-CN"/>
        </w:rPr>
        <w:t>3.本项目的特定资格要求</w:t>
      </w:r>
    </w:p>
    <w:p w14:paraId="62E43867">
      <w:pPr>
        <w:keepNext w:val="0"/>
        <w:keepLines w:val="0"/>
        <w:pageBreakBefore w:val="0"/>
        <w:widowControl w:val="0"/>
        <w:kinsoku/>
        <w:wordWrap/>
        <w:overflowPunct/>
        <w:topLinePunct w:val="0"/>
        <w:autoSpaceDE/>
        <w:autoSpaceDN/>
        <w:bidi w:val="0"/>
        <w:adjustRightInd w:val="0"/>
        <w:snapToGrid/>
        <w:spacing w:line="360" w:lineRule="auto"/>
        <w:ind w:firstLine="420" w:firstLineChars="200"/>
        <w:textAlignment w:val="auto"/>
        <w:rPr>
          <w:rFonts w:hint="eastAsia" w:ascii="宋体" w:hAnsi="宋体" w:eastAsia="宋体" w:cs="宋体"/>
          <w:color w:val="000000"/>
          <w:sz w:val="21"/>
          <w:szCs w:val="21"/>
          <w:highlight w:val="none"/>
          <w:lang w:val="en-US" w:eastAsia="zh-CN"/>
        </w:rPr>
      </w:pPr>
      <w:r>
        <w:rPr>
          <w:rFonts w:hint="eastAsia" w:ascii="宋体" w:hAnsi="宋体" w:eastAsia="宋体" w:cs="宋体"/>
          <w:color w:val="000000"/>
          <w:sz w:val="21"/>
          <w:szCs w:val="21"/>
          <w:highlight w:val="none"/>
          <w:lang w:val="en-US" w:eastAsia="zh-CN"/>
        </w:rPr>
        <w:t>3.1信誉要求</w:t>
      </w:r>
    </w:p>
    <w:p w14:paraId="0EA0F5C2">
      <w:pPr>
        <w:keepNext w:val="0"/>
        <w:keepLines w:val="0"/>
        <w:pageBreakBefore w:val="0"/>
        <w:widowControl w:val="0"/>
        <w:kinsoku/>
        <w:wordWrap/>
        <w:overflowPunct/>
        <w:topLinePunct w:val="0"/>
        <w:autoSpaceDE/>
        <w:autoSpaceDN/>
        <w:bidi w:val="0"/>
        <w:adjustRightInd w:val="0"/>
        <w:snapToGrid/>
        <w:spacing w:line="360" w:lineRule="auto"/>
        <w:ind w:firstLine="420" w:firstLineChars="200"/>
        <w:textAlignment w:val="auto"/>
        <w:rPr>
          <w:rFonts w:hint="eastAsia" w:ascii="宋体" w:hAnsi="宋体" w:eastAsia="宋体" w:cs="宋体"/>
          <w:color w:val="000000"/>
          <w:sz w:val="21"/>
          <w:szCs w:val="21"/>
          <w:highlight w:val="none"/>
          <w:lang w:val="en-US" w:eastAsia="zh-CN"/>
        </w:rPr>
      </w:pPr>
      <w:r>
        <w:rPr>
          <w:rFonts w:hint="eastAsia" w:ascii="宋体" w:hAnsi="宋体" w:eastAsia="宋体" w:cs="宋体"/>
          <w:color w:val="000000"/>
          <w:sz w:val="21"/>
          <w:szCs w:val="21"/>
          <w:highlight w:val="none"/>
          <w:lang w:val="en-US" w:eastAsia="zh-CN"/>
        </w:rPr>
        <w:t>根据《关于在政府采购活动中查询及使用信用记录有关问题的通知》(财库[2016]125号)和豫财购[2016]15 号的规定，对列入失信被执行人、重大税收违法失信主体、政府采购严重违法失信行为记录名单的企业，拒绝参与本项目政府采购活动；</w:t>
      </w:r>
    </w:p>
    <w:p w14:paraId="74DD3CF6">
      <w:pPr>
        <w:keepNext w:val="0"/>
        <w:keepLines w:val="0"/>
        <w:pageBreakBefore w:val="0"/>
        <w:widowControl w:val="0"/>
        <w:kinsoku/>
        <w:wordWrap/>
        <w:overflowPunct/>
        <w:topLinePunct w:val="0"/>
        <w:autoSpaceDE/>
        <w:autoSpaceDN/>
        <w:bidi w:val="0"/>
        <w:adjustRightInd w:val="0"/>
        <w:snapToGrid/>
        <w:spacing w:line="360" w:lineRule="auto"/>
        <w:ind w:firstLine="420" w:firstLineChars="200"/>
        <w:textAlignment w:val="auto"/>
        <w:rPr>
          <w:rFonts w:hint="eastAsia" w:ascii="宋体" w:hAnsi="宋体" w:eastAsia="宋体" w:cs="宋体"/>
          <w:color w:val="000000"/>
          <w:sz w:val="21"/>
          <w:szCs w:val="21"/>
          <w:highlight w:val="none"/>
          <w:lang w:val="en-US" w:eastAsia="zh-CN"/>
        </w:rPr>
      </w:pPr>
      <w:r>
        <w:rPr>
          <w:rFonts w:hint="eastAsia" w:ascii="宋体" w:hAnsi="宋体" w:eastAsia="宋体" w:cs="宋体"/>
          <w:color w:val="000000"/>
          <w:sz w:val="21"/>
          <w:szCs w:val="21"/>
          <w:highlight w:val="none"/>
          <w:lang w:val="en-US" w:eastAsia="zh-CN"/>
        </w:rPr>
        <w:t>3.2单位负责人为同一人或者存在直接控股、管理关系的不同供应商，不得参加同一合同项下的政府采购活动，提供“国家企业信用信息公示系统”中查询打印的相关信息（须显示基础信息中的“营业执照信息”和“股东信息”，非企业性质的供应商无法在该公示系统查询的，则针对此项做出书面承诺，格式自拟并加盖公章）；</w:t>
      </w:r>
    </w:p>
    <w:p w14:paraId="24C564C6">
      <w:pPr>
        <w:keepNext w:val="0"/>
        <w:keepLines w:val="0"/>
        <w:pageBreakBefore w:val="0"/>
        <w:widowControl w:val="0"/>
        <w:kinsoku/>
        <w:wordWrap/>
        <w:overflowPunct/>
        <w:topLinePunct w:val="0"/>
        <w:autoSpaceDE/>
        <w:autoSpaceDN/>
        <w:bidi w:val="0"/>
        <w:adjustRightInd w:val="0"/>
        <w:snapToGrid/>
        <w:spacing w:line="360" w:lineRule="auto"/>
        <w:ind w:firstLine="420" w:firstLineChars="200"/>
        <w:textAlignment w:val="auto"/>
        <w:rPr>
          <w:rFonts w:hint="eastAsia" w:ascii="宋体" w:hAnsi="宋体" w:eastAsia="宋体" w:cs="宋体"/>
          <w:color w:val="000000"/>
          <w:sz w:val="21"/>
          <w:szCs w:val="21"/>
          <w:highlight w:val="none"/>
          <w:lang w:val="en-US" w:eastAsia="zh-CN"/>
        </w:rPr>
      </w:pPr>
      <w:r>
        <w:rPr>
          <w:rFonts w:hint="eastAsia" w:ascii="宋体" w:hAnsi="宋体" w:eastAsia="宋体" w:cs="宋体"/>
          <w:color w:val="000000"/>
          <w:sz w:val="21"/>
          <w:szCs w:val="21"/>
          <w:highlight w:val="none"/>
          <w:lang w:val="en-US" w:eastAsia="zh-CN"/>
        </w:rPr>
        <w:t>3.3本项目专门面向中型、小型、微型企业采购，以申请人提供的中小企业声明函为准。残疾人福利性单位视同小型、微型企业（财库〔2017〕141 号）；监狱企业视同小型、微型企业(财库〔2014〕68 号)，除提供声明函外还应当提供由省级以上监狱管理局、戒毒管理局（含新疆生产建设兵团）出具的属于监狱企业的证明文件。</w:t>
      </w:r>
    </w:p>
    <w:p w14:paraId="407595E1">
      <w:pPr>
        <w:keepNext w:val="0"/>
        <w:keepLines w:val="0"/>
        <w:pageBreakBefore w:val="0"/>
        <w:widowControl w:val="0"/>
        <w:kinsoku/>
        <w:wordWrap/>
        <w:overflowPunct/>
        <w:topLinePunct w:val="0"/>
        <w:autoSpaceDE/>
        <w:autoSpaceDN/>
        <w:bidi w:val="0"/>
        <w:adjustRightInd w:val="0"/>
        <w:snapToGrid/>
        <w:spacing w:line="360" w:lineRule="auto"/>
        <w:ind w:firstLine="420" w:firstLineChars="200"/>
        <w:textAlignment w:val="auto"/>
        <w:rPr>
          <w:rFonts w:hint="eastAsia" w:ascii="宋体" w:hAnsi="宋体" w:eastAsia="宋体" w:cs="宋体"/>
          <w:color w:val="000000"/>
          <w:sz w:val="21"/>
          <w:szCs w:val="21"/>
          <w:highlight w:val="none"/>
          <w:lang w:val="en-US" w:eastAsia="zh-CN"/>
        </w:rPr>
      </w:pPr>
      <w:r>
        <w:rPr>
          <w:rFonts w:hint="eastAsia" w:ascii="宋体" w:hAnsi="宋体" w:eastAsia="宋体" w:cs="宋体"/>
          <w:color w:val="000000"/>
          <w:sz w:val="21"/>
          <w:szCs w:val="21"/>
          <w:highlight w:val="none"/>
          <w:lang w:val="en-US" w:eastAsia="zh-CN"/>
        </w:rPr>
        <w:t>3.4本次招标不接受联合体投标。</w:t>
      </w:r>
    </w:p>
    <w:p w14:paraId="7C2C9E2A">
      <w:pPr>
        <w:pStyle w:val="10"/>
        <w:keepNext w:val="0"/>
        <w:keepLines w:val="0"/>
        <w:pageBreakBefore w:val="0"/>
        <w:widowControl w:val="0"/>
        <w:kinsoku/>
        <w:wordWrap/>
        <w:overflowPunct/>
        <w:topLinePunct w:val="0"/>
        <w:autoSpaceDE w:val="0"/>
        <w:autoSpaceDN w:val="0"/>
        <w:bidi w:val="0"/>
        <w:adjustRightInd w:val="0"/>
        <w:snapToGrid/>
        <w:spacing w:line="360" w:lineRule="auto"/>
        <w:ind w:firstLine="422" w:firstLineChars="200"/>
        <w:textAlignment w:val="auto"/>
        <w:rPr>
          <w:rFonts w:hint="eastAsia" w:ascii="宋体" w:hAnsi="宋体" w:eastAsia="宋体" w:cs="宋体"/>
          <w:lang w:val="en-US" w:eastAsia="zh-CN"/>
        </w:rPr>
      </w:pPr>
      <w:r>
        <w:rPr>
          <w:rFonts w:hint="eastAsia" w:ascii="宋体" w:hAnsi="宋体" w:eastAsia="宋体" w:cs="宋体"/>
          <w:b/>
          <w:bCs w:val="0"/>
          <w:color w:val="auto"/>
          <w:kern w:val="2"/>
          <w:sz w:val="21"/>
          <w:szCs w:val="21"/>
          <w:lang w:val="en-US" w:eastAsia="zh-CN" w:bidi="ar-SA"/>
        </w:rPr>
        <w:t>（三）投标要求：</w:t>
      </w:r>
      <w:r>
        <w:rPr>
          <w:rFonts w:hint="eastAsia" w:ascii="宋体" w:hAnsi="宋体" w:eastAsia="宋体" w:cs="宋体"/>
          <w:bCs/>
          <w:color w:val="auto"/>
          <w:kern w:val="2"/>
          <w:sz w:val="21"/>
          <w:szCs w:val="21"/>
          <w:lang w:val="en-US" w:eastAsia="zh-CN" w:bidi="ar-SA"/>
        </w:rPr>
        <w:t>所有包段的实施方案均应按照包段中的项目实际情况进行准备，如：包F中的项目涉及多个社工站，投标文件中实施方案部分应分别进行阐述，并应结合项目实际情况。</w:t>
      </w:r>
    </w:p>
    <w:p w14:paraId="276B6147">
      <w:pPr>
        <w:spacing w:line="360" w:lineRule="auto"/>
        <w:ind w:firstLine="422" w:firstLineChars="200"/>
        <w:rPr>
          <w:rFonts w:hint="eastAsia" w:ascii="宋体" w:hAnsi="宋体" w:eastAsia="宋体" w:cs="宋体"/>
          <w:bCs/>
          <w:szCs w:val="21"/>
        </w:rPr>
      </w:pPr>
      <w:r>
        <w:rPr>
          <w:rFonts w:hint="eastAsia" w:ascii="宋体" w:hAnsi="宋体" w:eastAsia="宋体" w:cs="宋体"/>
          <w:b/>
          <w:bCs/>
          <w:szCs w:val="21"/>
        </w:rPr>
        <w:t>（</w:t>
      </w:r>
      <w:r>
        <w:rPr>
          <w:rFonts w:hint="eastAsia" w:ascii="宋体" w:hAnsi="宋体" w:eastAsia="宋体" w:cs="宋体"/>
          <w:b/>
          <w:bCs/>
          <w:szCs w:val="21"/>
          <w:lang w:eastAsia="zh-CN"/>
        </w:rPr>
        <w:t>四</w:t>
      </w:r>
      <w:r>
        <w:rPr>
          <w:rFonts w:hint="eastAsia" w:ascii="宋体" w:hAnsi="宋体" w:eastAsia="宋体" w:cs="宋体"/>
          <w:b/>
          <w:bCs/>
          <w:szCs w:val="21"/>
        </w:rPr>
        <w:t>）项目资金管理要求：</w:t>
      </w:r>
      <w:r>
        <w:rPr>
          <w:rFonts w:hint="eastAsia" w:ascii="宋体" w:hAnsi="宋体" w:eastAsia="宋体" w:cs="宋体"/>
          <w:bCs/>
          <w:szCs w:val="21"/>
        </w:rPr>
        <w:t>综合型民政和社区服务类项目经费预算主要包括薪酬待遇、督导培训经费、服务活动经费、项目管理经费等，其中薪酬待遇，即用且仅用于支付项目执行工作人员的薪酬和社保金、公积金等五险一金不低于项目经费的</w:t>
      </w:r>
      <w:r>
        <w:rPr>
          <w:rFonts w:hint="eastAsia" w:ascii="宋体" w:hAnsi="宋体" w:eastAsia="宋体" w:cs="宋体"/>
          <w:bCs/>
          <w:szCs w:val="21"/>
          <w:lang w:val="en-US" w:eastAsia="zh-CN"/>
        </w:rPr>
        <w:t>89</w:t>
      </w:r>
      <w:r>
        <w:rPr>
          <w:rFonts w:hint="eastAsia" w:ascii="宋体" w:hAnsi="宋体" w:eastAsia="宋体" w:cs="宋体"/>
          <w:bCs/>
          <w:szCs w:val="21"/>
        </w:rPr>
        <w:t>%，其他部分经费管理参照</w:t>
      </w:r>
      <w:r>
        <w:rPr>
          <w:rFonts w:hint="eastAsia" w:ascii="宋体" w:hAnsi="宋体" w:eastAsia="宋体" w:cs="宋体"/>
          <w:szCs w:val="21"/>
        </w:rPr>
        <w:t>《郑州市政府购买社会工作服务资金管理暂行办法》（郑民文〔2019〕1号）文件相关要求进行执行落实。社会工作发展监管类项目根据实际合同约定执行落实。</w:t>
      </w:r>
    </w:p>
    <w:p w14:paraId="03DA2E8C">
      <w:pPr>
        <w:spacing w:line="360" w:lineRule="auto"/>
        <w:ind w:firstLine="422" w:firstLineChars="200"/>
        <w:rPr>
          <w:rFonts w:hint="eastAsia" w:ascii="宋体" w:hAnsi="宋体" w:eastAsia="宋体" w:cs="宋体"/>
          <w:bCs/>
          <w:szCs w:val="21"/>
        </w:rPr>
      </w:pPr>
      <w:r>
        <w:rPr>
          <w:rFonts w:hint="eastAsia" w:ascii="宋体" w:hAnsi="宋体" w:eastAsia="宋体" w:cs="宋体"/>
          <w:b/>
          <w:bCs/>
          <w:szCs w:val="21"/>
        </w:rPr>
        <w:t>（</w:t>
      </w:r>
      <w:r>
        <w:rPr>
          <w:rFonts w:hint="eastAsia" w:ascii="宋体" w:hAnsi="宋体" w:eastAsia="宋体" w:cs="宋体"/>
          <w:b/>
          <w:bCs/>
          <w:szCs w:val="21"/>
          <w:lang w:eastAsia="zh-CN"/>
        </w:rPr>
        <w:t>五</w:t>
      </w:r>
      <w:r>
        <w:rPr>
          <w:rFonts w:hint="eastAsia" w:ascii="宋体" w:hAnsi="宋体" w:eastAsia="宋体" w:cs="宋体"/>
          <w:b/>
          <w:bCs/>
          <w:szCs w:val="21"/>
        </w:rPr>
        <w:t>）进驻项目工期要求：</w:t>
      </w:r>
      <w:r>
        <w:rPr>
          <w:rFonts w:hint="eastAsia" w:ascii="宋体" w:hAnsi="宋体" w:eastAsia="宋体" w:cs="宋体"/>
          <w:bCs/>
          <w:szCs w:val="21"/>
        </w:rPr>
        <w:t>合同签订后</w:t>
      </w:r>
      <w:r>
        <w:rPr>
          <w:rFonts w:hint="eastAsia" w:ascii="宋体" w:hAnsi="宋体" w:eastAsia="宋体" w:cs="宋体"/>
          <w:bCs/>
          <w:szCs w:val="21"/>
          <w:lang w:val="en-US" w:eastAsia="zh-CN"/>
        </w:rPr>
        <w:t>1</w:t>
      </w:r>
      <w:r>
        <w:rPr>
          <w:rFonts w:hint="eastAsia" w:ascii="宋体" w:hAnsi="宋体" w:eastAsia="宋体" w:cs="宋体"/>
          <w:bCs/>
          <w:szCs w:val="21"/>
        </w:rPr>
        <w:t>天内进驻项目。</w:t>
      </w:r>
    </w:p>
    <w:p w14:paraId="4DD1F0E3">
      <w:pPr>
        <w:spacing w:line="360" w:lineRule="auto"/>
        <w:ind w:firstLine="422" w:firstLineChars="200"/>
        <w:rPr>
          <w:rFonts w:hint="eastAsia" w:ascii="宋体" w:hAnsi="宋体" w:eastAsia="宋体" w:cs="宋体"/>
          <w:szCs w:val="21"/>
        </w:rPr>
      </w:pPr>
      <w:r>
        <w:rPr>
          <w:rFonts w:hint="eastAsia" w:ascii="宋体" w:hAnsi="宋体" w:eastAsia="宋体" w:cs="宋体"/>
          <w:b/>
          <w:bCs/>
          <w:szCs w:val="21"/>
        </w:rPr>
        <w:t>（</w:t>
      </w:r>
      <w:r>
        <w:rPr>
          <w:rFonts w:hint="eastAsia" w:ascii="宋体" w:hAnsi="宋体" w:eastAsia="宋体" w:cs="宋体"/>
          <w:b/>
          <w:bCs/>
          <w:szCs w:val="21"/>
          <w:lang w:eastAsia="zh-CN"/>
        </w:rPr>
        <w:t>六</w:t>
      </w:r>
      <w:r>
        <w:rPr>
          <w:rFonts w:hint="eastAsia" w:ascii="宋体" w:hAnsi="宋体" w:eastAsia="宋体" w:cs="宋体"/>
          <w:b/>
          <w:bCs/>
          <w:szCs w:val="21"/>
        </w:rPr>
        <w:t>）试用期：</w:t>
      </w:r>
      <w:r>
        <w:rPr>
          <w:rFonts w:hint="eastAsia" w:ascii="宋体" w:hAnsi="宋体" w:eastAsia="宋体" w:cs="宋体"/>
          <w:szCs w:val="21"/>
        </w:rPr>
        <w:t>对承接机构实行</w:t>
      </w:r>
      <w:r>
        <w:rPr>
          <w:rFonts w:hint="eastAsia" w:ascii="宋体" w:hAnsi="宋体" w:eastAsia="宋体" w:cs="宋体"/>
          <w:szCs w:val="21"/>
          <w:lang w:val="en-US" w:eastAsia="zh-CN"/>
        </w:rPr>
        <w:t>1</w:t>
      </w:r>
      <w:r>
        <w:rPr>
          <w:rFonts w:hint="eastAsia" w:ascii="宋体" w:hAnsi="宋体" w:eastAsia="宋体" w:cs="宋体"/>
          <w:szCs w:val="21"/>
        </w:rPr>
        <w:t>个月试用期。</w:t>
      </w:r>
    </w:p>
    <w:p w14:paraId="2B9B6D5E">
      <w:pPr>
        <w:spacing w:line="360" w:lineRule="auto"/>
        <w:ind w:firstLine="422" w:firstLineChars="200"/>
        <w:rPr>
          <w:rFonts w:hint="eastAsia" w:ascii="宋体" w:hAnsi="宋体" w:eastAsia="宋体" w:cs="宋体"/>
          <w:color w:val="auto"/>
          <w:szCs w:val="21"/>
        </w:rPr>
      </w:pPr>
      <w:r>
        <w:rPr>
          <w:rFonts w:hint="eastAsia" w:ascii="宋体" w:hAnsi="宋体" w:eastAsia="宋体" w:cs="宋体"/>
          <w:b/>
          <w:bCs/>
          <w:szCs w:val="21"/>
        </w:rPr>
        <w:t>（</w:t>
      </w:r>
      <w:r>
        <w:rPr>
          <w:rFonts w:hint="eastAsia" w:ascii="宋体" w:hAnsi="宋体" w:eastAsia="宋体" w:cs="宋体"/>
          <w:b/>
          <w:bCs/>
          <w:szCs w:val="21"/>
          <w:lang w:eastAsia="zh-CN"/>
        </w:rPr>
        <w:t>七</w:t>
      </w:r>
      <w:r>
        <w:rPr>
          <w:rFonts w:hint="eastAsia" w:ascii="宋体" w:hAnsi="宋体" w:eastAsia="宋体" w:cs="宋体"/>
          <w:b/>
          <w:bCs/>
          <w:szCs w:val="21"/>
        </w:rPr>
        <w:t>）服务周期：</w:t>
      </w:r>
      <w:r>
        <w:rPr>
          <w:rFonts w:hint="eastAsia" w:ascii="宋体" w:hAnsi="宋体" w:eastAsia="宋体" w:cs="宋体"/>
          <w:szCs w:val="21"/>
        </w:rPr>
        <w:t>服务周期</w:t>
      </w:r>
      <w:r>
        <w:rPr>
          <w:rFonts w:hint="eastAsia" w:ascii="宋体" w:hAnsi="宋体" w:eastAsia="宋体" w:cs="宋体"/>
          <w:color w:val="auto"/>
          <w:szCs w:val="21"/>
        </w:rPr>
        <w:t>为自合同签订之日起1年。</w:t>
      </w:r>
    </w:p>
    <w:p w14:paraId="672094EC">
      <w:pPr>
        <w:spacing w:line="360" w:lineRule="auto"/>
        <w:ind w:left="-199" w:leftChars="-95" w:right="-395" w:rightChars="-188" w:firstLine="632" w:firstLineChars="300"/>
        <w:rPr>
          <w:rFonts w:hint="eastAsia" w:ascii="宋体" w:hAnsi="宋体" w:eastAsia="宋体" w:cs="宋体"/>
          <w:color w:val="auto"/>
          <w:szCs w:val="21"/>
        </w:rPr>
      </w:pPr>
      <w:r>
        <w:rPr>
          <w:rFonts w:hint="eastAsia" w:ascii="宋体" w:hAnsi="宋体" w:eastAsia="宋体" w:cs="宋体"/>
          <w:b/>
          <w:bCs/>
          <w:color w:val="auto"/>
          <w:szCs w:val="21"/>
        </w:rPr>
        <w:t>（</w:t>
      </w:r>
      <w:r>
        <w:rPr>
          <w:rFonts w:hint="eastAsia" w:ascii="宋体" w:hAnsi="宋体" w:eastAsia="宋体" w:cs="宋体"/>
          <w:b/>
          <w:bCs/>
          <w:color w:val="auto"/>
          <w:szCs w:val="21"/>
          <w:lang w:eastAsia="zh-CN"/>
        </w:rPr>
        <w:t>八</w:t>
      </w:r>
      <w:r>
        <w:rPr>
          <w:rFonts w:hint="eastAsia" w:ascii="宋体" w:hAnsi="宋体" w:eastAsia="宋体" w:cs="宋体"/>
          <w:b/>
          <w:bCs/>
          <w:color w:val="auto"/>
          <w:szCs w:val="21"/>
        </w:rPr>
        <w:t>）付款方式：</w:t>
      </w:r>
      <w:r>
        <w:rPr>
          <w:rFonts w:hint="eastAsia" w:ascii="宋体" w:hAnsi="宋体" w:eastAsia="宋体" w:cs="宋体"/>
          <w:color w:val="auto"/>
          <w:szCs w:val="21"/>
        </w:rPr>
        <w:t>项目付款比例依据各阶段第三方评估结果档次而定，总分分为四个档次</w:t>
      </w:r>
      <w:r>
        <w:rPr>
          <w:rFonts w:hint="eastAsia" w:ascii="宋体" w:hAnsi="宋体" w:eastAsia="宋体" w:cs="宋体"/>
          <w:color w:val="auto"/>
          <w:szCs w:val="21"/>
          <w:lang w:eastAsia="zh-CN"/>
        </w:rPr>
        <w:t>，</w:t>
      </w:r>
      <w:r>
        <w:rPr>
          <w:rFonts w:hint="eastAsia" w:ascii="宋体" w:hAnsi="宋体" w:eastAsia="宋体" w:cs="宋体"/>
          <w:color w:val="auto"/>
          <w:szCs w:val="21"/>
        </w:rPr>
        <w:t>依据评估分数分为“优秀、良好、合格、不合格”。</w:t>
      </w:r>
    </w:p>
    <w:p w14:paraId="5B8F0D1C">
      <w:pPr>
        <w:spacing w:line="360" w:lineRule="auto"/>
        <w:ind w:firstLine="420" w:firstLineChars="200"/>
        <w:rPr>
          <w:rFonts w:hint="eastAsia" w:ascii="宋体" w:hAnsi="宋体" w:eastAsia="宋体" w:cs="宋体"/>
          <w:color w:val="auto"/>
          <w:szCs w:val="21"/>
          <w:lang w:val="en-US" w:eastAsia="zh-CN"/>
        </w:rPr>
      </w:pPr>
      <w:r>
        <w:rPr>
          <w:rFonts w:hint="eastAsia" w:ascii="宋体" w:hAnsi="宋体" w:eastAsia="宋体" w:cs="宋体"/>
          <w:color w:val="auto"/>
          <w:szCs w:val="21"/>
          <w:lang w:eastAsia="zh-CN"/>
        </w:rPr>
        <w:t>所有</w:t>
      </w:r>
      <w:r>
        <w:rPr>
          <w:rFonts w:hint="eastAsia" w:ascii="宋体" w:hAnsi="宋体" w:eastAsia="宋体" w:cs="宋体"/>
          <w:color w:val="auto"/>
          <w:szCs w:val="21"/>
        </w:rPr>
        <w:t>项目通过转账形式付款，</w:t>
      </w:r>
      <w:r>
        <w:rPr>
          <w:rFonts w:hint="eastAsia" w:ascii="宋体" w:hAnsi="宋体" w:eastAsia="宋体" w:cs="宋体"/>
          <w:color w:val="auto"/>
          <w:szCs w:val="21"/>
          <w:lang w:eastAsia="zh-CN"/>
        </w:rPr>
        <w:t>分三次拨付。第一次，甲方于项目合同签订之日起30天内拨付服务总经费的50%。第二次，项目通过中期评估等级为“合格”及以上的拨付30%，“不合格”不予拨付。第三次，项目末期评估为“合格”及以上的拨付20%，为“不合格”的拨付5%。</w:t>
      </w:r>
    </w:p>
    <w:p w14:paraId="63984495">
      <w:pPr>
        <w:spacing w:line="360" w:lineRule="auto"/>
        <w:ind w:firstLine="422" w:firstLineChars="200"/>
        <w:rPr>
          <w:rFonts w:hint="eastAsia" w:ascii="宋体" w:hAnsi="宋体" w:eastAsia="宋体" w:cs="宋体"/>
          <w:bCs/>
          <w:color w:val="auto"/>
          <w:szCs w:val="21"/>
        </w:rPr>
      </w:pPr>
      <w:r>
        <w:rPr>
          <w:rFonts w:hint="eastAsia" w:ascii="宋体" w:hAnsi="宋体" w:eastAsia="宋体" w:cs="宋体"/>
          <w:b/>
          <w:bCs/>
          <w:color w:val="auto"/>
          <w:szCs w:val="21"/>
        </w:rPr>
        <w:t>（九）服务内容、指标及要求：</w:t>
      </w:r>
      <w:r>
        <w:rPr>
          <w:rFonts w:hint="eastAsia" w:ascii="宋体" w:hAnsi="宋体" w:eastAsia="宋体" w:cs="宋体"/>
          <w:bCs/>
          <w:color w:val="auto"/>
          <w:szCs w:val="21"/>
        </w:rPr>
        <w:t>见附件1、附件2。</w:t>
      </w:r>
    </w:p>
    <w:p w14:paraId="5BA034DF">
      <w:pPr>
        <w:spacing w:line="360" w:lineRule="auto"/>
        <w:ind w:firstLine="422" w:firstLineChars="200"/>
        <w:rPr>
          <w:rFonts w:hint="eastAsia" w:ascii="宋体" w:hAnsi="宋体" w:eastAsia="宋体" w:cs="宋体"/>
          <w:bCs/>
          <w:szCs w:val="21"/>
        </w:rPr>
      </w:pPr>
      <w:r>
        <w:rPr>
          <w:rFonts w:hint="eastAsia" w:ascii="宋体" w:hAnsi="宋体" w:eastAsia="宋体" w:cs="宋体"/>
          <w:b/>
          <w:bCs/>
          <w:szCs w:val="21"/>
        </w:rPr>
        <w:t>（十）项目分包情况：</w:t>
      </w:r>
      <w:r>
        <w:rPr>
          <w:rFonts w:hint="eastAsia" w:ascii="宋体" w:hAnsi="宋体" w:eastAsia="宋体" w:cs="宋体"/>
          <w:bCs/>
          <w:szCs w:val="21"/>
        </w:rPr>
        <w:t>见附件3。</w:t>
      </w:r>
    </w:p>
    <w:p w14:paraId="3076089D">
      <w:pPr>
        <w:spacing w:line="360" w:lineRule="auto"/>
        <w:ind w:firstLine="420" w:firstLineChars="200"/>
        <w:rPr>
          <w:rFonts w:hint="eastAsia" w:ascii="宋体" w:hAnsi="宋体" w:eastAsia="宋体" w:cs="宋体"/>
          <w:bCs/>
          <w:szCs w:val="21"/>
        </w:rPr>
      </w:pPr>
      <w:r>
        <w:rPr>
          <w:rFonts w:hint="eastAsia" w:ascii="宋体" w:hAnsi="宋体" w:eastAsia="宋体" w:cs="宋体"/>
          <w:bCs/>
          <w:szCs w:val="21"/>
        </w:rPr>
        <w:t>附件：</w:t>
      </w:r>
    </w:p>
    <w:p w14:paraId="06888FDD">
      <w:pPr>
        <w:spacing w:line="360" w:lineRule="auto"/>
        <w:ind w:right="-143" w:rightChars="-68" w:firstLine="420" w:firstLineChars="200"/>
        <w:rPr>
          <w:rFonts w:hint="eastAsia" w:ascii="宋体" w:hAnsi="宋体" w:eastAsia="宋体" w:cs="宋体"/>
          <w:bCs/>
          <w:w w:val="98"/>
          <w:szCs w:val="21"/>
        </w:rPr>
      </w:pPr>
      <w:r>
        <w:rPr>
          <w:rFonts w:hint="eastAsia" w:ascii="宋体" w:hAnsi="宋体" w:eastAsia="宋体" w:cs="宋体"/>
          <w:bCs/>
          <w:szCs w:val="21"/>
        </w:rPr>
        <w:t>1、郑东新区政府购买专业社会工作服务内容及有关要求</w:t>
      </w:r>
    </w:p>
    <w:p w14:paraId="3911E65A">
      <w:pPr>
        <w:spacing w:line="360" w:lineRule="auto"/>
        <w:ind w:firstLine="420" w:firstLineChars="200"/>
        <w:rPr>
          <w:rFonts w:hint="eastAsia" w:ascii="宋体" w:hAnsi="宋体" w:eastAsia="宋体" w:cs="宋体"/>
          <w:bCs/>
          <w:szCs w:val="21"/>
        </w:rPr>
      </w:pPr>
      <w:r>
        <w:rPr>
          <w:rFonts w:hint="eastAsia" w:ascii="宋体" w:hAnsi="宋体" w:eastAsia="宋体" w:cs="宋体"/>
          <w:bCs/>
          <w:szCs w:val="21"/>
        </w:rPr>
        <w:t>2、郑东新区政府购买专业社会工作服务指标</w:t>
      </w:r>
    </w:p>
    <w:p w14:paraId="119DF067">
      <w:pPr>
        <w:spacing w:line="360" w:lineRule="auto"/>
        <w:ind w:firstLine="420" w:firstLineChars="200"/>
        <w:rPr>
          <w:rFonts w:hint="eastAsia" w:ascii="宋体" w:hAnsi="宋体" w:eastAsia="宋体" w:cs="宋体"/>
          <w:bCs/>
          <w:szCs w:val="21"/>
        </w:rPr>
      </w:pPr>
      <w:r>
        <w:rPr>
          <w:rFonts w:hint="eastAsia" w:ascii="宋体" w:hAnsi="宋体" w:eastAsia="宋体" w:cs="宋体"/>
          <w:bCs/>
          <w:szCs w:val="21"/>
        </w:rPr>
        <w:t>3、郑东新区政府购买社会工作服务项目分包情况</w:t>
      </w:r>
    </w:p>
    <w:p w14:paraId="3D9EB165">
      <w:pPr>
        <w:tabs>
          <w:tab w:val="left" w:pos="420"/>
        </w:tabs>
        <w:spacing w:line="360" w:lineRule="auto"/>
        <w:ind w:firstLine="0" w:firstLineChars="0"/>
        <w:jc w:val="center"/>
        <w:rPr>
          <w:rFonts w:hint="eastAsia" w:ascii="宋体" w:hAnsi="宋体" w:eastAsia="宋体" w:cs="宋体"/>
          <w:color w:val="000000"/>
          <w:kern w:val="2"/>
          <w:sz w:val="24"/>
          <w:szCs w:val="24"/>
          <w:lang w:val="en-US" w:eastAsia="zh-CN" w:bidi="ar-SA"/>
        </w:rPr>
      </w:pPr>
    </w:p>
    <w:p w14:paraId="60A76EE5">
      <w:pPr>
        <w:tabs>
          <w:tab w:val="left" w:pos="420"/>
        </w:tabs>
        <w:wordWrap w:val="0"/>
        <w:spacing w:line="360" w:lineRule="auto"/>
        <w:ind w:firstLine="0" w:firstLineChars="0"/>
        <w:jc w:val="right"/>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kern w:val="2"/>
          <w:sz w:val="24"/>
          <w:szCs w:val="24"/>
          <w:lang w:val="en-US" w:eastAsia="zh-CN" w:bidi="ar-SA"/>
        </w:rPr>
        <w:br w:type="page"/>
      </w:r>
    </w:p>
    <w:p w14:paraId="3A764136">
      <w:pPr>
        <w:spacing w:line="360" w:lineRule="auto"/>
        <w:jc w:val="left"/>
        <w:rPr>
          <w:rFonts w:hint="eastAsia" w:ascii="宋体" w:hAnsi="宋体" w:eastAsia="宋体" w:cs="宋体"/>
          <w:b/>
          <w:bCs/>
          <w:color w:val="auto"/>
          <w:sz w:val="28"/>
          <w:szCs w:val="28"/>
          <w:lang w:val="en-US" w:eastAsia="zh-CN"/>
        </w:rPr>
      </w:pPr>
      <w:r>
        <w:rPr>
          <w:rFonts w:hint="eastAsia" w:ascii="宋体" w:hAnsi="宋体" w:eastAsia="宋体" w:cs="宋体"/>
          <w:b/>
          <w:bCs/>
          <w:color w:val="auto"/>
          <w:sz w:val="28"/>
          <w:szCs w:val="28"/>
          <w:lang w:val="en-US" w:eastAsia="zh-CN"/>
        </w:rPr>
        <w:t>附件1：</w:t>
      </w:r>
    </w:p>
    <w:p w14:paraId="1858662B">
      <w:pPr>
        <w:spacing w:line="360" w:lineRule="auto"/>
        <w:jc w:val="center"/>
        <w:rPr>
          <w:rFonts w:hint="eastAsia" w:ascii="宋体" w:hAnsi="宋体" w:eastAsia="宋体" w:cs="宋体"/>
          <w:b/>
          <w:bCs/>
          <w:color w:val="auto"/>
          <w:sz w:val="32"/>
          <w:szCs w:val="32"/>
        </w:rPr>
      </w:pPr>
      <w:r>
        <w:rPr>
          <w:rFonts w:hint="eastAsia" w:ascii="宋体" w:hAnsi="宋体" w:eastAsia="宋体" w:cs="宋体"/>
          <w:b/>
          <w:bCs/>
          <w:color w:val="auto"/>
          <w:sz w:val="32"/>
          <w:szCs w:val="32"/>
        </w:rPr>
        <w:t>郑东新区政府购买专业社会工作服务</w:t>
      </w:r>
    </w:p>
    <w:p w14:paraId="5BE2CD12">
      <w:pPr>
        <w:spacing w:line="360" w:lineRule="auto"/>
        <w:jc w:val="center"/>
        <w:rPr>
          <w:rFonts w:hint="eastAsia" w:ascii="宋体" w:hAnsi="宋体" w:eastAsia="宋体" w:cs="宋体"/>
          <w:bCs/>
          <w:color w:val="auto"/>
          <w:w w:val="98"/>
          <w:sz w:val="22"/>
          <w:szCs w:val="22"/>
        </w:rPr>
      </w:pPr>
      <w:r>
        <w:rPr>
          <w:rFonts w:hint="eastAsia" w:ascii="宋体" w:hAnsi="宋体" w:eastAsia="宋体" w:cs="宋体"/>
          <w:b/>
          <w:bCs/>
          <w:color w:val="auto"/>
          <w:sz w:val="32"/>
          <w:szCs w:val="32"/>
        </w:rPr>
        <w:t>内容及有关要求</w:t>
      </w:r>
    </w:p>
    <w:p w14:paraId="7AA9D832">
      <w:pPr>
        <w:spacing w:line="360" w:lineRule="auto"/>
        <w:ind w:firstLine="645"/>
        <w:rPr>
          <w:rFonts w:hint="eastAsia" w:ascii="宋体" w:hAnsi="宋体" w:eastAsia="宋体" w:cs="宋体"/>
          <w:b/>
          <w:bCs/>
          <w:color w:val="auto"/>
          <w:sz w:val="21"/>
          <w:szCs w:val="21"/>
        </w:rPr>
      </w:pPr>
      <w:r>
        <w:rPr>
          <w:rFonts w:hint="eastAsia" w:ascii="宋体" w:hAnsi="宋体" w:eastAsia="宋体" w:cs="宋体"/>
          <w:b/>
          <w:bCs/>
          <w:color w:val="auto"/>
          <w:sz w:val="21"/>
          <w:szCs w:val="21"/>
        </w:rPr>
        <w:t>一、项目名称</w:t>
      </w:r>
    </w:p>
    <w:p w14:paraId="19183264">
      <w:pPr>
        <w:spacing w:line="360" w:lineRule="auto"/>
        <w:ind w:firstLine="645"/>
        <w:rPr>
          <w:rFonts w:hint="eastAsia" w:ascii="宋体" w:hAnsi="宋体" w:eastAsia="宋体" w:cs="宋体"/>
          <w:b/>
          <w:color w:val="auto"/>
          <w:spacing w:val="-2"/>
          <w:sz w:val="21"/>
          <w:szCs w:val="21"/>
        </w:rPr>
      </w:pPr>
      <w:r>
        <w:rPr>
          <w:rFonts w:hint="eastAsia" w:ascii="宋体" w:hAnsi="宋体" w:eastAsia="宋体" w:cs="宋体"/>
          <w:b/>
          <w:color w:val="auto"/>
          <w:spacing w:val="-2"/>
          <w:sz w:val="21"/>
          <w:szCs w:val="21"/>
        </w:rPr>
        <w:t>（一）综合</w:t>
      </w:r>
      <w:r>
        <w:rPr>
          <w:rFonts w:hint="eastAsia" w:ascii="宋体" w:hAnsi="宋体" w:eastAsia="宋体" w:cs="宋体"/>
          <w:b/>
          <w:color w:val="auto"/>
          <w:spacing w:val="-2"/>
          <w:sz w:val="21"/>
          <w:szCs w:val="21"/>
          <w:lang w:val="en-US" w:eastAsia="zh-CN"/>
        </w:rPr>
        <w:t>民政和</w:t>
      </w:r>
      <w:r>
        <w:rPr>
          <w:rFonts w:hint="eastAsia" w:ascii="宋体" w:hAnsi="宋体" w:eastAsia="宋体" w:cs="宋体"/>
          <w:b/>
          <w:color w:val="auto"/>
          <w:spacing w:val="-2"/>
          <w:sz w:val="21"/>
          <w:szCs w:val="21"/>
        </w:rPr>
        <w:t>社区服务类：</w:t>
      </w:r>
    </w:p>
    <w:p w14:paraId="6289F82D">
      <w:pPr>
        <w:spacing w:line="360" w:lineRule="auto"/>
        <w:ind w:firstLine="645"/>
        <w:rPr>
          <w:rFonts w:hint="eastAsia" w:ascii="宋体" w:hAnsi="宋体" w:eastAsia="宋体" w:cs="宋体"/>
          <w:color w:val="auto"/>
          <w:spacing w:val="-2"/>
          <w:sz w:val="21"/>
          <w:szCs w:val="21"/>
        </w:rPr>
      </w:pPr>
      <w:r>
        <w:rPr>
          <w:rFonts w:hint="eastAsia" w:ascii="宋体" w:hAnsi="宋体" w:eastAsia="宋体" w:cs="宋体"/>
          <w:color w:val="auto"/>
          <w:spacing w:val="-2"/>
          <w:sz w:val="21"/>
          <w:szCs w:val="21"/>
        </w:rPr>
        <w:t>1、郑州市郑东新区社会事业局2024年政府购买社会工作服务项目</w:t>
      </w:r>
    </w:p>
    <w:p w14:paraId="43E39EC5">
      <w:pPr>
        <w:spacing w:line="360" w:lineRule="auto"/>
        <w:ind w:firstLine="645"/>
        <w:rPr>
          <w:rFonts w:hint="eastAsia" w:ascii="宋体" w:hAnsi="宋体" w:eastAsia="宋体" w:cs="宋体"/>
          <w:b/>
          <w:color w:val="auto"/>
          <w:spacing w:val="-2"/>
          <w:sz w:val="21"/>
          <w:szCs w:val="21"/>
        </w:rPr>
      </w:pPr>
      <w:r>
        <w:rPr>
          <w:rFonts w:hint="eastAsia" w:ascii="宋体" w:hAnsi="宋体" w:eastAsia="宋体" w:cs="宋体"/>
          <w:b/>
          <w:color w:val="auto"/>
          <w:spacing w:val="-2"/>
          <w:sz w:val="21"/>
          <w:szCs w:val="21"/>
        </w:rPr>
        <w:t>（二）社会工作发展监管类：</w:t>
      </w:r>
    </w:p>
    <w:p w14:paraId="4BE954B2">
      <w:pPr>
        <w:spacing w:line="360" w:lineRule="auto"/>
        <w:ind w:firstLine="645"/>
        <w:rPr>
          <w:rFonts w:hint="eastAsia" w:ascii="宋体" w:hAnsi="宋体" w:eastAsia="宋体" w:cs="宋体"/>
          <w:sz w:val="21"/>
          <w:szCs w:val="21"/>
          <w:highlight w:val="none"/>
          <w:lang w:eastAsia="zh-CN"/>
        </w:rPr>
      </w:pPr>
      <w:r>
        <w:rPr>
          <w:rFonts w:hint="eastAsia" w:ascii="宋体" w:hAnsi="宋体" w:eastAsia="宋体" w:cs="宋体"/>
          <w:color w:val="000000"/>
          <w:spacing w:val="-2"/>
          <w:sz w:val="21"/>
          <w:szCs w:val="21"/>
          <w:highlight w:val="none"/>
          <w:lang w:val="en-US" w:eastAsia="zh-CN"/>
        </w:rPr>
        <w:t>1</w:t>
      </w:r>
      <w:r>
        <w:rPr>
          <w:rFonts w:hint="eastAsia" w:ascii="宋体" w:hAnsi="宋体" w:eastAsia="宋体" w:cs="宋体"/>
          <w:color w:val="000000"/>
          <w:spacing w:val="-2"/>
          <w:sz w:val="21"/>
          <w:szCs w:val="21"/>
          <w:highlight w:val="none"/>
        </w:rPr>
        <w:t>、</w:t>
      </w:r>
      <w:r>
        <w:rPr>
          <w:rFonts w:hint="eastAsia" w:ascii="宋体" w:hAnsi="宋体" w:eastAsia="宋体" w:cs="宋体"/>
          <w:sz w:val="21"/>
          <w:szCs w:val="21"/>
          <w:highlight w:val="none"/>
        </w:rPr>
        <w:t>“第三方评估”服务项目</w:t>
      </w:r>
      <w:r>
        <w:rPr>
          <w:rFonts w:hint="eastAsia" w:ascii="宋体" w:hAnsi="宋体" w:eastAsia="宋体" w:cs="宋体"/>
          <w:sz w:val="21"/>
          <w:szCs w:val="21"/>
          <w:highlight w:val="none"/>
          <w:lang w:eastAsia="zh-CN"/>
        </w:rPr>
        <w:t>；</w:t>
      </w:r>
    </w:p>
    <w:p w14:paraId="2119727B">
      <w:pPr>
        <w:spacing w:line="360" w:lineRule="auto"/>
        <w:ind w:firstLine="645"/>
        <w:rPr>
          <w:rFonts w:hint="eastAsia" w:ascii="宋体" w:hAnsi="宋体" w:eastAsia="宋体" w:cs="宋体"/>
          <w:b/>
          <w:bCs/>
          <w:color w:val="auto"/>
          <w:spacing w:val="-2"/>
          <w:sz w:val="21"/>
          <w:szCs w:val="21"/>
        </w:rPr>
      </w:pPr>
      <w:r>
        <w:rPr>
          <w:rFonts w:hint="eastAsia" w:ascii="宋体" w:hAnsi="宋体" w:eastAsia="宋体" w:cs="宋体"/>
          <w:b/>
          <w:bCs/>
          <w:color w:val="auto"/>
          <w:sz w:val="21"/>
          <w:szCs w:val="21"/>
        </w:rPr>
        <w:t>二、具体内容</w:t>
      </w:r>
    </w:p>
    <w:p w14:paraId="0331AD33">
      <w:pPr>
        <w:spacing w:line="360" w:lineRule="auto"/>
        <w:ind w:firstLine="645"/>
        <w:rPr>
          <w:rFonts w:hint="eastAsia" w:ascii="宋体" w:hAnsi="宋体" w:eastAsia="宋体" w:cs="宋体"/>
          <w:b/>
          <w:color w:val="auto"/>
          <w:spacing w:val="-2"/>
          <w:sz w:val="21"/>
          <w:szCs w:val="21"/>
        </w:rPr>
      </w:pPr>
      <w:r>
        <w:rPr>
          <w:rFonts w:hint="eastAsia" w:ascii="宋体" w:hAnsi="宋体" w:eastAsia="宋体" w:cs="宋体"/>
          <w:b/>
          <w:color w:val="auto"/>
          <w:spacing w:val="-2"/>
          <w:sz w:val="21"/>
          <w:szCs w:val="21"/>
        </w:rPr>
        <w:t>（一）综合</w:t>
      </w:r>
      <w:r>
        <w:rPr>
          <w:rFonts w:hint="eastAsia" w:ascii="宋体" w:hAnsi="宋体" w:eastAsia="宋体" w:cs="宋体"/>
          <w:b/>
          <w:color w:val="auto"/>
          <w:spacing w:val="-2"/>
          <w:sz w:val="21"/>
          <w:szCs w:val="21"/>
          <w:lang w:val="en-US" w:eastAsia="zh-CN"/>
        </w:rPr>
        <w:t>民政和</w:t>
      </w:r>
      <w:r>
        <w:rPr>
          <w:rFonts w:hint="eastAsia" w:ascii="宋体" w:hAnsi="宋体" w:eastAsia="宋体" w:cs="宋体"/>
          <w:b/>
          <w:color w:val="auto"/>
          <w:spacing w:val="-2"/>
          <w:sz w:val="21"/>
          <w:szCs w:val="21"/>
        </w:rPr>
        <w:t>社区服务类：</w:t>
      </w:r>
    </w:p>
    <w:p w14:paraId="585DF596">
      <w:pPr>
        <w:spacing w:line="360" w:lineRule="auto"/>
        <w:ind w:firstLine="645"/>
        <w:rPr>
          <w:rFonts w:hint="eastAsia" w:ascii="宋体" w:hAnsi="宋体" w:eastAsia="宋体" w:cs="宋体"/>
          <w:b/>
          <w:bCs/>
          <w:color w:val="auto"/>
          <w:spacing w:val="-2"/>
          <w:sz w:val="21"/>
          <w:szCs w:val="21"/>
          <w:highlight w:val="none"/>
        </w:rPr>
      </w:pPr>
      <w:r>
        <w:rPr>
          <w:rFonts w:hint="eastAsia" w:ascii="宋体" w:hAnsi="宋体" w:eastAsia="宋体" w:cs="宋体"/>
          <w:b/>
          <w:bCs/>
          <w:color w:val="auto"/>
          <w:spacing w:val="-2"/>
          <w:sz w:val="21"/>
          <w:szCs w:val="21"/>
          <w:highlight w:val="none"/>
        </w:rPr>
        <w:t>1、郑州市郑东新区社会事业局2024年政府购买社会工作服务项目（</w:t>
      </w:r>
      <w:r>
        <w:rPr>
          <w:rFonts w:hint="eastAsia" w:ascii="宋体" w:hAnsi="宋体" w:eastAsia="宋体" w:cs="宋体"/>
          <w:b/>
          <w:bCs/>
          <w:color w:val="auto"/>
          <w:spacing w:val="-2"/>
          <w:sz w:val="21"/>
          <w:szCs w:val="21"/>
          <w:highlight w:val="none"/>
          <w:lang w:val="en-US" w:eastAsia="zh-CN"/>
        </w:rPr>
        <w:t>共计25</w:t>
      </w:r>
      <w:r>
        <w:rPr>
          <w:rFonts w:hint="eastAsia" w:ascii="宋体" w:hAnsi="宋体" w:eastAsia="宋体" w:cs="宋体"/>
          <w:b/>
          <w:bCs/>
          <w:color w:val="000000"/>
          <w:spacing w:val="-2"/>
          <w:sz w:val="21"/>
          <w:szCs w:val="21"/>
          <w:highlight w:val="none"/>
        </w:rPr>
        <w:t>个社会工作服务站</w:t>
      </w:r>
      <w:r>
        <w:rPr>
          <w:rFonts w:hint="eastAsia" w:ascii="宋体" w:hAnsi="宋体" w:eastAsia="宋体" w:cs="宋体"/>
          <w:b/>
          <w:bCs/>
          <w:color w:val="auto"/>
          <w:spacing w:val="-2"/>
          <w:sz w:val="21"/>
          <w:szCs w:val="21"/>
          <w:highlight w:val="none"/>
        </w:rPr>
        <w:t>）</w:t>
      </w:r>
    </w:p>
    <w:p w14:paraId="57D2166A">
      <w:pPr>
        <w:spacing w:line="360" w:lineRule="auto"/>
        <w:ind w:firstLine="414" w:firstLineChars="200"/>
        <w:rPr>
          <w:rFonts w:hint="eastAsia" w:ascii="宋体" w:hAnsi="宋体" w:eastAsia="宋体" w:cs="宋体"/>
          <w:color w:val="000000"/>
          <w:kern w:val="0"/>
          <w:sz w:val="21"/>
          <w:szCs w:val="21"/>
          <w:lang w:val="en-US" w:eastAsia="zh-CN" w:bidi="ar"/>
        </w:rPr>
      </w:pPr>
      <w:r>
        <w:rPr>
          <w:rFonts w:hint="eastAsia" w:ascii="宋体" w:hAnsi="宋体" w:eastAsia="宋体" w:cs="宋体"/>
          <w:b/>
          <w:color w:val="auto"/>
          <w:spacing w:val="-2"/>
          <w:sz w:val="21"/>
          <w:szCs w:val="21"/>
        </w:rPr>
        <w:t>（1）服务对象：</w:t>
      </w:r>
      <w:r>
        <w:rPr>
          <w:rFonts w:hint="eastAsia" w:ascii="宋体" w:hAnsi="宋体" w:eastAsia="宋体" w:cs="宋体"/>
          <w:color w:val="000000"/>
          <w:kern w:val="0"/>
          <w:sz w:val="21"/>
          <w:szCs w:val="21"/>
          <w:lang w:val="en-US" w:eastAsia="zh-CN" w:bidi="ar"/>
        </w:rPr>
        <w:t>社工站服务聚焦民政领域服务对象，主要是纳入困难群众救助补助资金保障范围的人员，包括最低生活保障对象、特困人员、临时救助对象、生活无着的流浪乞讨人员、孤儿、事实无人抚养儿童等。</w:t>
      </w:r>
    </w:p>
    <w:p w14:paraId="7841F808">
      <w:pPr>
        <w:spacing w:line="360" w:lineRule="auto"/>
        <w:ind w:firstLine="414" w:firstLineChars="200"/>
        <w:rPr>
          <w:rFonts w:hint="eastAsia" w:ascii="宋体" w:hAnsi="宋体" w:eastAsia="宋体" w:cs="宋体"/>
          <w:bCs/>
          <w:color w:val="auto"/>
          <w:sz w:val="21"/>
          <w:szCs w:val="21"/>
          <w:lang w:val="en-US" w:eastAsia="zh-CN"/>
        </w:rPr>
      </w:pPr>
      <w:r>
        <w:rPr>
          <w:rFonts w:hint="eastAsia" w:ascii="宋体" w:hAnsi="宋体" w:eastAsia="宋体" w:cs="宋体"/>
          <w:b/>
          <w:color w:val="auto"/>
          <w:spacing w:val="-2"/>
          <w:sz w:val="21"/>
          <w:szCs w:val="21"/>
        </w:rPr>
        <w:t>（2）服务内容：</w:t>
      </w:r>
      <w:r>
        <w:rPr>
          <w:rFonts w:hint="eastAsia" w:ascii="宋体" w:hAnsi="宋体" w:eastAsia="宋体" w:cs="宋体"/>
          <w:bCs/>
          <w:color w:val="auto"/>
          <w:sz w:val="21"/>
          <w:szCs w:val="21"/>
        </w:rPr>
        <w:t>在祭城路街道办事处</w:t>
      </w:r>
      <w:r>
        <w:rPr>
          <w:rFonts w:hint="eastAsia" w:ascii="宋体" w:hAnsi="宋体" w:eastAsia="宋体" w:cs="宋体"/>
          <w:bCs/>
          <w:color w:val="auto"/>
          <w:sz w:val="21"/>
          <w:szCs w:val="21"/>
          <w:lang w:val="en-US" w:eastAsia="zh-CN"/>
        </w:rPr>
        <w:t>等</w:t>
      </w:r>
      <w:r>
        <w:rPr>
          <w:rFonts w:hint="eastAsia" w:ascii="宋体" w:hAnsi="宋体" w:eastAsia="宋体" w:cs="宋体"/>
          <w:bCs/>
          <w:color w:val="auto"/>
          <w:sz w:val="21"/>
          <w:szCs w:val="21"/>
        </w:rPr>
        <w:t>相关社区实施</w:t>
      </w:r>
      <w:r>
        <w:rPr>
          <w:rFonts w:hint="eastAsia" w:ascii="宋体" w:hAnsi="宋体" w:eastAsia="宋体" w:cs="宋体"/>
          <w:bCs/>
          <w:color w:val="auto"/>
          <w:sz w:val="21"/>
          <w:szCs w:val="21"/>
          <w:lang w:val="en-US" w:eastAsia="zh-CN"/>
        </w:rPr>
        <w:t>的</w:t>
      </w:r>
      <w:r>
        <w:rPr>
          <w:rFonts w:hint="eastAsia" w:ascii="宋体" w:hAnsi="宋体" w:eastAsia="宋体" w:cs="宋体"/>
          <w:bCs/>
          <w:color w:val="auto"/>
          <w:sz w:val="21"/>
          <w:szCs w:val="21"/>
        </w:rPr>
        <w:t>社会工作服务站是以习近平新时代中国特色社会主义思想为指导，坚持以人民为中心的发展思想，以提升办事处民政服务能力为重点，以专业社会工作服务为支撑，采用政府购买方式，实施社工站服务项目，搭建的基层公共服务平台。</w:t>
      </w:r>
      <w:r>
        <w:rPr>
          <w:rFonts w:hint="eastAsia" w:ascii="宋体" w:hAnsi="宋体" w:eastAsia="宋体" w:cs="宋体"/>
          <w:bCs/>
          <w:color w:val="auto"/>
          <w:sz w:val="21"/>
          <w:szCs w:val="21"/>
          <w:lang w:val="en-US" w:eastAsia="zh-CN"/>
        </w:rPr>
        <w:t>主要服务内容如下：</w:t>
      </w:r>
    </w:p>
    <w:p w14:paraId="575DF4FA">
      <w:pPr>
        <w:keepNext w:val="0"/>
        <w:keepLines w:val="0"/>
        <w:pageBreakBefore w:val="0"/>
        <w:widowControl w:val="0"/>
        <w:numPr>
          <w:ilvl w:val="0"/>
          <w:numId w:val="16"/>
        </w:numPr>
        <w:suppressLineNumbers w:val="0"/>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社会救助领域。协助社会救助部门开展对象排查、受理评估、满意度调查、家庭经济状况调查评估、建档访视、需求分析、政策宣传、绩效评价等事务，并为社会救助对象提供心理疏导、照料护理、康复训练、资源链接、能力提升、社会融入等服务。</w:t>
      </w:r>
    </w:p>
    <w:p w14:paraId="7958FB20">
      <w:pPr>
        <w:keepNext w:val="0"/>
        <w:keepLines w:val="0"/>
        <w:pageBreakBefore w:val="0"/>
        <w:widowControl w:val="0"/>
        <w:numPr>
          <w:ilvl w:val="0"/>
          <w:numId w:val="16"/>
        </w:numPr>
        <w:suppressLineNumbers w:val="0"/>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养老服务领域。对特困供养老年人（含机构供养和分散供养）、留守老人、建档立卡贫困老人等老年群体开展健康服务、精神慰藉、危机干预、社会支持网络建设、社区参与、权益保障等服务。统筹链接社区养老服务设施、医疗卫生服务机构、涉老社会组织和服务性企业等资源，开展为老助老服务。</w:t>
      </w:r>
    </w:p>
    <w:p w14:paraId="442352DE">
      <w:pPr>
        <w:keepNext w:val="0"/>
        <w:keepLines w:val="0"/>
        <w:pageBreakBefore w:val="0"/>
        <w:widowControl w:val="0"/>
        <w:numPr>
          <w:ilvl w:val="0"/>
          <w:numId w:val="16"/>
        </w:numPr>
        <w:suppressLineNumbers w:val="0"/>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儿童福利领域。配合进行农村留守儿童、孤儿、事实无人抚养儿童等困境儿童走访核查、家庭探访督导检查，对农村留守儿童和困境儿童家庭开展政策宣传、法制宣传、监护评估、安全和心理健康教育、隔代教育能力建设等，重点解决服务对象在监护管理、心理慰藉、权益维护等方面的问题,做好留守妇女关爱工作。</w:t>
      </w:r>
    </w:p>
    <w:p w14:paraId="45179F36">
      <w:pPr>
        <w:keepNext w:val="0"/>
        <w:keepLines w:val="0"/>
        <w:pageBreakBefore w:val="0"/>
        <w:widowControl w:val="0"/>
        <w:suppressLineNumbers w:val="0"/>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4.社区治理领域。为社区居民提供就业政策咨询、福利、精神卫生等服务。推进“三社联动”，孵化培育社区社会组织，培育发展志愿服务队伍，根据居民需求统筹设计、承接和实施服务项目，促进社会组织、社会资源和各类社区主体有序参与。在社区照顾、社区参与、社区融合、社区发展、社区矫正、社区戒毒等方面发挥作用，对有需求的辖区群众提供情绪引导、心理辅导、资源链接、困难纾解、社会支持网络修复等服务，扶助和支持困难人员生活。</w:t>
      </w:r>
    </w:p>
    <w:p w14:paraId="4FB50AFE">
      <w:pPr>
        <w:keepNext w:val="0"/>
        <w:keepLines w:val="0"/>
        <w:pageBreakBefore w:val="0"/>
        <w:widowControl w:val="0"/>
        <w:suppressLineNumbers w:val="0"/>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5.社会事务领域。宣传婚姻政策法规、婚俗改革、新时代婚姻家庭文化建设，开展婚前辅导、婚姻家庭咨询和辅导等服务。宣传殡葬政策法规，引导文明节俭办丧事，提供丧葬需求咨询服务。对残疾人开展家庭排查、需求评估、心理辅导、能力提升、资源链接等服务，提供精神障碍社区康复服务。为生活无着的流浪乞讨人员特别是返乡和易走失人员提供心理疏导、教育矫治等服务。</w:t>
      </w:r>
    </w:p>
    <w:p w14:paraId="4276BEEA">
      <w:pPr>
        <w:spacing w:line="360" w:lineRule="auto"/>
        <w:ind w:firstLine="422" w:firstLineChars="200"/>
        <w:rPr>
          <w:rFonts w:hint="eastAsia" w:ascii="宋体" w:hAnsi="宋体" w:eastAsia="宋体" w:cs="宋体"/>
          <w:b/>
          <w:bCs/>
          <w:color w:val="auto"/>
          <w:sz w:val="21"/>
          <w:szCs w:val="21"/>
        </w:rPr>
      </w:pPr>
      <w:r>
        <w:rPr>
          <w:rFonts w:hint="eastAsia" w:ascii="宋体" w:hAnsi="宋体" w:eastAsia="宋体" w:cs="宋体"/>
          <w:b/>
          <w:bCs/>
          <w:color w:val="auto"/>
          <w:sz w:val="21"/>
          <w:szCs w:val="21"/>
        </w:rPr>
        <w:t>（3）人力资源配置：</w:t>
      </w:r>
    </w:p>
    <w:p w14:paraId="2740683C">
      <w:pPr>
        <w:keepNext w:val="0"/>
        <w:keepLines w:val="0"/>
        <w:pageBreakBefore w:val="0"/>
        <w:widowControl w:val="0"/>
        <w:suppressLineNumbers w:val="0"/>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①驻站社工要求年龄 45 岁以下，全日制本科及以上学历，取得国家认可的社工师（含助理社工师）资质的专业社会工作者，未持证的上岗后需考取助理社工师。社会工作者应当拥护党的领导、践行党的宗旨、执行党的决定，坚决维护党中央权威和集中统一领导。</w:t>
      </w:r>
    </w:p>
    <w:p w14:paraId="32267557">
      <w:pPr>
        <w:keepNext w:val="0"/>
        <w:keepLines w:val="0"/>
        <w:pageBreakBefore w:val="0"/>
        <w:widowControl w:val="0"/>
        <w:suppressLineNumbers w:val="0"/>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宋体"/>
          <w:color w:val="auto"/>
          <w:sz w:val="21"/>
          <w:szCs w:val="21"/>
        </w:rPr>
      </w:pPr>
      <w:r>
        <w:rPr>
          <w:rFonts w:hint="eastAsia" w:ascii="宋体" w:hAnsi="宋体" w:eastAsia="宋体" w:cs="宋体"/>
          <w:color w:val="000000"/>
          <w:kern w:val="0"/>
          <w:sz w:val="21"/>
          <w:szCs w:val="21"/>
          <w:lang w:val="en-US" w:eastAsia="zh-CN" w:bidi="ar"/>
        </w:rPr>
        <w:t>②承接机构应为项目团队配备内部专业督导，帮助项目团队尽快融入新环境，协调项目相关</w:t>
      </w:r>
      <w:r>
        <w:rPr>
          <w:rFonts w:hint="eastAsia" w:ascii="宋体" w:hAnsi="宋体" w:eastAsia="宋体" w:cs="宋体"/>
          <w:color w:val="auto"/>
          <w:sz w:val="21"/>
          <w:szCs w:val="21"/>
        </w:rPr>
        <w:t>方关系，与项目外部督导建立联系共同提升项目团队各方面能力，有效推</w:t>
      </w:r>
    </w:p>
    <w:p w14:paraId="52655F66">
      <w:pPr>
        <w:keepNext w:val="0"/>
        <w:keepLines w:val="0"/>
        <w:pageBreakBefore w:val="0"/>
        <w:widowControl w:val="0"/>
        <w:suppressLineNumbers w:val="0"/>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宋体"/>
          <w:color w:val="auto"/>
          <w:sz w:val="21"/>
          <w:szCs w:val="21"/>
        </w:rPr>
      </w:pPr>
    </w:p>
    <w:p w14:paraId="075FAB6D">
      <w:pPr>
        <w:keepNext w:val="0"/>
        <w:keepLines w:val="0"/>
        <w:pageBreakBefore w:val="0"/>
        <w:widowControl w:val="0"/>
        <w:suppressLineNumbers w:val="0"/>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进各项服务开展。</w:t>
      </w:r>
    </w:p>
    <w:p w14:paraId="4EBA8C94">
      <w:pPr>
        <w:spacing w:line="360" w:lineRule="auto"/>
        <w:ind w:firstLine="420" w:firstLineChars="200"/>
        <w:rPr>
          <w:rFonts w:hint="eastAsia" w:ascii="宋体" w:hAnsi="宋体" w:eastAsia="宋体" w:cs="宋体"/>
          <w:color w:val="auto"/>
          <w:sz w:val="21"/>
          <w:szCs w:val="21"/>
          <w:highlight w:val="yellow"/>
        </w:rPr>
      </w:pPr>
      <w:r>
        <w:rPr>
          <w:rFonts w:hint="eastAsia" w:ascii="宋体" w:hAnsi="宋体" w:eastAsia="宋体" w:cs="宋体"/>
          <w:color w:val="auto"/>
          <w:sz w:val="21"/>
          <w:szCs w:val="21"/>
        </w:rPr>
        <w:t>③</w:t>
      </w:r>
      <w:r>
        <w:rPr>
          <w:rFonts w:hint="eastAsia" w:ascii="宋体" w:hAnsi="宋体" w:eastAsia="宋体" w:cs="宋体"/>
          <w:bCs/>
          <w:color w:val="auto"/>
          <w:sz w:val="21"/>
          <w:szCs w:val="21"/>
        </w:rPr>
        <w:t>应发展壮大社区志愿者队伍，逐步形成“社工引领</w:t>
      </w:r>
      <w:r>
        <w:rPr>
          <w:rFonts w:hint="eastAsia" w:ascii="宋体" w:hAnsi="宋体" w:eastAsia="宋体" w:cs="宋体"/>
          <w:bCs/>
          <w:color w:val="auto"/>
          <w:sz w:val="21"/>
          <w:szCs w:val="21"/>
          <w:lang w:val="en-US" w:eastAsia="zh-CN"/>
        </w:rPr>
        <w:t>志愿者</w:t>
      </w:r>
      <w:r>
        <w:rPr>
          <w:rFonts w:hint="eastAsia" w:ascii="宋体" w:hAnsi="宋体" w:eastAsia="宋体" w:cs="宋体"/>
          <w:bCs/>
          <w:color w:val="auto"/>
          <w:sz w:val="21"/>
          <w:szCs w:val="21"/>
        </w:rPr>
        <w:t>、</w:t>
      </w:r>
      <w:r>
        <w:rPr>
          <w:rFonts w:hint="eastAsia" w:ascii="宋体" w:hAnsi="宋体" w:eastAsia="宋体" w:cs="宋体"/>
          <w:bCs/>
          <w:color w:val="auto"/>
          <w:sz w:val="21"/>
          <w:szCs w:val="21"/>
          <w:lang w:val="en-US" w:eastAsia="zh-CN"/>
        </w:rPr>
        <w:t>志愿者</w:t>
      </w:r>
      <w:r>
        <w:rPr>
          <w:rFonts w:hint="eastAsia" w:ascii="宋体" w:hAnsi="宋体" w:eastAsia="宋体" w:cs="宋体"/>
          <w:bCs/>
          <w:color w:val="auto"/>
          <w:sz w:val="21"/>
          <w:szCs w:val="21"/>
        </w:rPr>
        <w:t>协助社工”的服务模式，深度挖掘社区资源，通过资源整合，培育一批社区社会组织，努力促进社区、社会工作者、社会组织“</w:t>
      </w:r>
      <w:r>
        <w:rPr>
          <w:rFonts w:hint="eastAsia" w:ascii="宋体" w:hAnsi="宋体" w:eastAsia="宋体" w:cs="宋体"/>
          <w:bCs/>
          <w:color w:val="auto"/>
          <w:sz w:val="21"/>
          <w:szCs w:val="21"/>
          <w:lang w:val="en-US" w:eastAsia="zh-CN"/>
        </w:rPr>
        <w:t>五社联动</w:t>
      </w:r>
      <w:r>
        <w:rPr>
          <w:rFonts w:hint="eastAsia" w:ascii="宋体" w:hAnsi="宋体" w:eastAsia="宋体" w:cs="宋体"/>
          <w:bCs/>
          <w:color w:val="auto"/>
          <w:sz w:val="21"/>
          <w:szCs w:val="21"/>
        </w:rPr>
        <w:t>”，使其有机结合、优势互补。</w:t>
      </w:r>
    </w:p>
    <w:p w14:paraId="448D77DE">
      <w:pPr>
        <w:spacing w:line="360" w:lineRule="auto"/>
        <w:ind w:firstLine="422" w:firstLineChars="200"/>
        <w:rPr>
          <w:rFonts w:hint="eastAsia" w:ascii="宋体" w:hAnsi="宋体" w:eastAsia="宋体" w:cs="宋体"/>
          <w:color w:val="auto"/>
          <w:sz w:val="21"/>
          <w:szCs w:val="21"/>
        </w:rPr>
      </w:pPr>
      <w:r>
        <w:rPr>
          <w:rFonts w:hint="eastAsia" w:ascii="宋体" w:hAnsi="宋体" w:eastAsia="宋体" w:cs="宋体"/>
          <w:b/>
          <w:bCs/>
          <w:color w:val="auto"/>
          <w:sz w:val="21"/>
          <w:szCs w:val="21"/>
        </w:rPr>
        <w:t>（4）管理制度建设：</w:t>
      </w:r>
      <w:r>
        <w:rPr>
          <w:rFonts w:hint="eastAsia" w:ascii="宋体" w:hAnsi="宋体" w:eastAsia="宋体" w:cs="宋体"/>
          <w:bCs/>
          <w:color w:val="auto"/>
          <w:sz w:val="21"/>
          <w:szCs w:val="21"/>
          <w:lang w:val="en-US" w:eastAsia="zh-CN"/>
        </w:rPr>
        <w:t>社工站</w:t>
      </w:r>
      <w:r>
        <w:rPr>
          <w:rFonts w:hint="eastAsia" w:ascii="宋体" w:hAnsi="宋体" w:eastAsia="宋体" w:cs="宋体"/>
          <w:bCs/>
          <w:color w:val="auto"/>
          <w:sz w:val="21"/>
          <w:szCs w:val="21"/>
        </w:rPr>
        <w:t>应当建立《运营管理制度》、《财务管理制度》、《人力资源管理制度》、《社区公众参与的监督评议制度》、《志愿者（义工）管理制度》、《服务管理制度》、《固定资产管理制度》、《服务项目管理制度》、《安全卫生与危机管理制度》、《社区信息管理制度》、《项目信息上报制度》、《文件及档案管理制度》等相关制度。</w:t>
      </w:r>
    </w:p>
    <w:p w14:paraId="386AB990">
      <w:pPr>
        <w:spacing w:line="360" w:lineRule="auto"/>
        <w:ind w:firstLine="422" w:firstLineChars="200"/>
        <w:rPr>
          <w:rFonts w:hint="eastAsia" w:ascii="宋体" w:hAnsi="宋体" w:eastAsia="宋体" w:cs="宋体"/>
          <w:color w:val="auto"/>
          <w:sz w:val="21"/>
          <w:szCs w:val="21"/>
        </w:rPr>
      </w:pPr>
      <w:r>
        <w:rPr>
          <w:rFonts w:hint="eastAsia" w:ascii="宋体" w:hAnsi="宋体" w:eastAsia="宋体" w:cs="宋体"/>
          <w:b/>
          <w:bCs/>
          <w:color w:val="auto"/>
          <w:sz w:val="21"/>
          <w:szCs w:val="21"/>
        </w:rPr>
        <w:t>（5）项目费用及支付方式：</w:t>
      </w:r>
    </w:p>
    <w:p w14:paraId="425EB1E3">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①项目费用：</w:t>
      </w:r>
      <w:r>
        <w:rPr>
          <w:rFonts w:hint="eastAsia" w:ascii="宋体" w:hAnsi="宋体" w:eastAsia="宋体" w:cs="宋体"/>
          <w:bCs/>
          <w:color w:val="auto"/>
          <w:sz w:val="21"/>
          <w:szCs w:val="21"/>
          <w:highlight w:val="none"/>
        </w:rPr>
        <w:t>本类</w:t>
      </w:r>
      <w:r>
        <w:rPr>
          <w:rFonts w:hint="eastAsia" w:ascii="宋体" w:hAnsi="宋体" w:eastAsia="宋体" w:cs="宋体"/>
          <w:bCs/>
          <w:color w:val="auto"/>
          <w:sz w:val="21"/>
          <w:szCs w:val="21"/>
          <w:highlight w:val="none"/>
          <w:lang w:val="en-US" w:eastAsia="zh-CN"/>
        </w:rPr>
        <w:t>25</w:t>
      </w:r>
      <w:r>
        <w:rPr>
          <w:rFonts w:hint="eastAsia" w:ascii="宋体" w:hAnsi="宋体" w:eastAsia="宋体" w:cs="宋体"/>
          <w:bCs/>
          <w:color w:val="auto"/>
          <w:sz w:val="21"/>
          <w:szCs w:val="21"/>
          <w:highlight w:val="none"/>
        </w:rPr>
        <w:t>个子项目资金总额为</w:t>
      </w:r>
      <w:r>
        <w:rPr>
          <w:rFonts w:hint="eastAsia" w:ascii="宋体" w:hAnsi="宋体" w:eastAsia="宋体" w:cs="宋体"/>
          <w:bCs/>
          <w:color w:val="auto"/>
          <w:sz w:val="21"/>
          <w:szCs w:val="21"/>
          <w:highlight w:val="none"/>
          <w:lang w:val="en-US" w:eastAsia="zh-CN"/>
        </w:rPr>
        <w:t>506.25</w:t>
      </w:r>
      <w:r>
        <w:rPr>
          <w:rFonts w:hint="eastAsia" w:ascii="宋体" w:hAnsi="宋体" w:eastAsia="宋体" w:cs="宋体"/>
          <w:bCs/>
          <w:color w:val="auto"/>
          <w:sz w:val="21"/>
          <w:szCs w:val="21"/>
          <w:highlight w:val="none"/>
        </w:rPr>
        <w:t>万元，按照每个</w:t>
      </w:r>
      <w:r>
        <w:rPr>
          <w:rFonts w:hint="eastAsia" w:ascii="宋体" w:hAnsi="宋体" w:eastAsia="宋体" w:cs="宋体"/>
          <w:bCs/>
          <w:color w:val="auto"/>
          <w:sz w:val="21"/>
          <w:szCs w:val="21"/>
          <w:highlight w:val="none"/>
          <w:lang w:val="en-US" w:eastAsia="zh-CN"/>
        </w:rPr>
        <w:t>社工站所在辖区大小和居民实际居住量，确定社工站配备人员数，</w:t>
      </w:r>
      <w:r>
        <w:rPr>
          <w:rFonts w:hint="eastAsia" w:ascii="宋体" w:hAnsi="宋体" w:eastAsia="宋体" w:cs="宋体"/>
          <w:bCs/>
          <w:color w:val="auto"/>
          <w:sz w:val="21"/>
          <w:szCs w:val="21"/>
          <w:highlight w:val="none"/>
        </w:rPr>
        <w:t>一年</w:t>
      </w:r>
      <w:r>
        <w:rPr>
          <w:rFonts w:hint="eastAsia" w:ascii="宋体" w:hAnsi="宋体" w:eastAsia="宋体" w:cs="宋体"/>
          <w:bCs/>
          <w:color w:val="auto"/>
          <w:sz w:val="21"/>
          <w:szCs w:val="21"/>
          <w:highlight w:val="none"/>
          <w:lang w:eastAsia="zh-CN"/>
        </w:rPr>
        <w:t>每人</w:t>
      </w:r>
      <w:r>
        <w:rPr>
          <w:rFonts w:hint="eastAsia" w:ascii="宋体" w:hAnsi="宋体" w:eastAsia="宋体" w:cs="宋体"/>
          <w:bCs/>
          <w:color w:val="auto"/>
          <w:sz w:val="21"/>
          <w:szCs w:val="21"/>
          <w:highlight w:val="none"/>
          <w:lang w:val="en-US" w:eastAsia="zh-CN"/>
        </w:rPr>
        <w:t>6.75万</w:t>
      </w:r>
      <w:r>
        <w:rPr>
          <w:rFonts w:hint="eastAsia" w:ascii="宋体" w:hAnsi="宋体" w:eastAsia="宋体" w:cs="宋体"/>
          <w:bCs/>
          <w:color w:val="auto"/>
          <w:sz w:val="21"/>
          <w:szCs w:val="21"/>
          <w:highlight w:val="none"/>
        </w:rPr>
        <w:t>元运营经费的标准，由区财政全额负担。</w:t>
      </w:r>
      <w:r>
        <w:rPr>
          <w:rFonts w:hint="eastAsia" w:ascii="宋体" w:hAnsi="宋体" w:eastAsia="宋体" w:cs="宋体"/>
          <w:color w:val="auto"/>
          <w:sz w:val="21"/>
          <w:szCs w:val="21"/>
          <w:highlight w:val="none"/>
        </w:rPr>
        <w:t>该费用主要用于办公经费、人员薪酬、督导培训、服务活动、项目管理等项目运营支出，需专款专用，不得挪作他用。</w:t>
      </w:r>
    </w:p>
    <w:p w14:paraId="6EEDA6B7">
      <w:pPr>
        <w:spacing w:line="360" w:lineRule="auto"/>
        <w:ind w:firstLine="420" w:firstLineChars="200"/>
        <w:rPr>
          <w:rFonts w:hint="eastAsia" w:ascii="宋体" w:hAnsi="宋体" w:eastAsia="宋体" w:cs="宋体"/>
          <w:color w:val="auto"/>
          <w:spacing w:val="-2"/>
          <w:sz w:val="21"/>
          <w:szCs w:val="21"/>
        </w:rPr>
      </w:pPr>
      <w:r>
        <w:rPr>
          <w:rFonts w:hint="eastAsia" w:ascii="宋体" w:hAnsi="宋体" w:eastAsia="宋体" w:cs="宋体"/>
          <w:color w:val="auto"/>
          <w:sz w:val="21"/>
          <w:szCs w:val="21"/>
        </w:rPr>
        <w:t>②支付方式：</w:t>
      </w:r>
      <w:r>
        <w:rPr>
          <w:rFonts w:hint="eastAsia" w:ascii="宋体" w:hAnsi="宋体" w:eastAsia="宋体" w:cs="宋体"/>
          <w:bCs/>
          <w:color w:val="auto"/>
          <w:sz w:val="21"/>
          <w:szCs w:val="21"/>
        </w:rPr>
        <w:t>按协商签订的项目合同约定进行拨付。</w:t>
      </w:r>
    </w:p>
    <w:p w14:paraId="5A81D021">
      <w:pPr>
        <w:spacing w:line="360" w:lineRule="auto"/>
        <w:ind w:firstLine="645"/>
        <w:rPr>
          <w:rFonts w:hint="eastAsia" w:ascii="宋体" w:hAnsi="宋体" w:eastAsia="宋体" w:cs="宋体"/>
          <w:b/>
          <w:color w:val="auto"/>
          <w:spacing w:val="-2"/>
          <w:sz w:val="21"/>
          <w:szCs w:val="21"/>
        </w:rPr>
      </w:pPr>
      <w:r>
        <w:rPr>
          <w:rFonts w:hint="eastAsia" w:ascii="宋体" w:hAnsi="宋体" w:eastAsia="宋体" w:cs="宋体"/>
          <w:b/>
          <w:color w:val="auto"/>
          <w:spacing w:val="-2"/>
          <w:sz w:val="21"/>
          <w:szCs w:val="21"/>
        </w:rPr>
        <w:t>（二）社会工作发展监管类：</w:t>
      </w:r>
    </w:p>
    <w:p w14:paraId="5F30A1B6">
      <w:pPr>
        <w:spacing w:line="360" w:lineRule="auto"/>
        <w:ind w:firstLine="645"/>
        <w:rPr>
          <w:rFonts w:hint="eastAsia" w:ascii="宋体" w:hAnsi="宋体" w:eastAsia="宋体" w:cs="宋体"/>
          <w:b/>
          <w:color w:val="auto"/>
          <w:spacing w:val="-2"/>
          <w:sz w:val="21"/>
          <w:szCs w:val="21"/>
          <w:lang w:val="en-US" w:eastAsia="zh-CN"/>
        </w:rPr>
      </w:pPr>
      <w:r>
        <w:rPr>
          <w:rFonts w:hint="eastAsia" w:ascii="宋体" w:hAnsi="宋体" w:eastAsia="宋体" w:cs="宋体"/>
          <w:b/>
          <w:color w:val="auto"/>
          <w:spacing w:val="-2"/>
          <w:sz w:val="21"/>
          <w:szCs w:val="21"/>
          <w:lang w:val="en-US" w:eastAsia="zh-CN"/>
        </w:rPr>
        <w:t>1、“第三方评估”服务项目</w:t>
      </w:r>
    </w:p>
    <w:p w14:paraId="6A2351C1">
      <w:pPr>
        <w:tabs>
          <w:tab w:val="center" w:pos="4153"/>
        </w:tabs>
        <w:spacing w:line="360" w:lineRule="auto"/>
        <w:ind w:firstLine="414" w:firstLineChars="200"/>
        <w:rPr>
          <w:rFonts w:hint="eastAsia" w:ascii="宋体" w:hAnsi="宋体" w:eastAsia="宋体" w:cs="宋体"/>
          <w:color w:val="auto"/>
          <w:sz w:val="21"/>
          <w:szCs w:val="21"/>
        </w:rPr>
      </w:pPr>
      <w:r>
        <w:rPr>
          <w:rFonts w:hint="eastAsia" w:ascii="宋体" w:hAnsi="宋体" w:eastAsia="宋体" w:cs="宋体"/>
          <w:b/>
          <w:color w:val="auto"/>
          <w:spacing w:val="-2"/>
          <w:sz w:val="21"/>
          <w:szCs w:val="21"/>
        </w:rPr>
        <w:t>（1）服务对象：</w:t>
      </w:r>
      <w:r>
        <w:rPr>
          <w:rFonts w:hint="eastAsia" w:ascii="宋体" w:hAnsi="宋体" w:eastAsia="宋体" w:cs="宋体"/>
          <w:color w:val="auto"/>
          <w:sz w:val="21"/>
          <w:szCs w:val="21"/>
          <w:highlight w:val="none"/>
        </w:rPr>
        <w:t>郑东</w:t>
      </w:r>
      <w:r>
        <w:rPr>
          <w:rFonts w:hint="eastAsia" w:ascii="宋体" w:hAnsi="宋体" w:eastAsia="宋体" w:cs="宋体"/>
          <w:color w:val="auto"/>
          <w:sz w:val="21"/>
          <w:szCs w:val="21"/>
        </w:rPr>
        <w:t>新区政府购买的</w:t>
      </w:r>
      <w:r>
        <w:rPr>
          <w:rFonts w:hint="eastAsia" w:ascii="宋体" w:hAnsi="宋体" w:eastAsia="宋体" w:cs="宋体"/>
          <w:color w:val="auto"/>
          <w:sz w:val="21"/>
          <w:szCs w:val="21"/>
          <w:lang w:eastAsia="zh-CN"/>
        </w:rPr>
        <w:t>社会工作服务项目社工</w:t>
      </w:r>
      <w:r>
        <w:rPr>
          <w:rFonts w:hint="eastAsia" w:ascii="宋体" w:hAnsi="宋体" w:eastAsia="宋体" w:cs="宋体"/>
          <w:color w:val="auto"/>
          <w:sz w:val="21"/>
          <w:szCs w:val="21"/>
        </w:rPr>
        <w:t>，郑东新区政府购买社工服务的中标社工机构，郑东新区注册的社工机构。</w:t>
      </w:r>
    </w:p>
    <w:p w14:paraId="21F38FDA">
      <w:pPr>
        <w:tabs>
          <w:tab w:val="center" w:pos="4153"/>
        </w:tabs>
        <w:spacing w:line="360" w:lineRule="auto"/>
        <w:ind w:firstLine="414" w:firstLineChars="200"/>
        <w:rPr>
          <w:rFonts w:hint="eastAsia" w:ascii="宋体" w:hAnsi="宋体" w:eastAsia="宋体" w:cs="宋体"/>
          <w:b/>
          <w:color w:val="auto"/>
          <w:spacing w:val="-2"/>
          <w:sz w:val="21"/>
          <w:szCs w:val="21"/>
        </w:rPr>
      </w:pPr>
      <w:r>
        <w:rPr>
          <w:rFonts w:hint="eastAsia" w:ascii="宋体" w:hAnsi="宋体" w:eastAsia="宋体" w:cs="宋体"/>
          <w:b/>
          <w:color w:val="auto"/>
          <w:spacing w:val="-2"/>
          <w:sz w:val="21"/>
          <w:szCs w:val="21"/>
        </w:rPr>
        <w:t>（2）服务内容：</w:t>
      </w:r>
    </w:p>
    <w:p w14:paraId="4AA13F07">
      <w:pPr>
        <w:tabs>
          <w:tab w:val="center" w:pos="4153"/>
        </w:tabs>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①中标机构必须按合同规定开展年中的过程评估、年度的绩效评估工作，分别出具评估报告并提出相关合理性建议，探索、归纳、总结东区评估服务体系，提供科学合理的政府购买社工服务评估制度。</w:t>
      </w:r>
    </w:p>
    <w:p w14:paraId="113D551E">
      <w:pPr>
        <w:tabs>
          <w:tab w:val="center" w:pos="4153"/>
        </w:tabs>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②财务评估的主要服务内容为财务指导、监管和评审服务，中标机构必须核定社工机构财务人员资质，检查社工机构财务制度是否合规合法，对社工机构财务人员进行专业培训和指导，对社工机构的财务进行监管，对郑东新区所有中标社工机构进行年中、年度财务评估审计。</w:t>
      </w:r>
    </w:p>
    <w:p w14:paraId="24DDC1E7">
      <w:pPr>
        <w:tabs>
          <w:tab w:val="center" w:pos="4153"/>
        </w:tabs>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③在项目试用期间对各项目进行走访调研，完成试用期各相关方满意度和社会评价，并出具相关报告，项目中期和末期通过专业评估分别出具相关报告。</w:t>
      </w:r>
    </w:p>
    <w:p w14:paraId="3B125775">
      <w:pPr>
        <w:numPr>
          <w:ilvl w:val="0"/>
          <w:numId w:val="17"/>
        </w:numPr>
        <w:spacing w:line="360" w:lineRule="auto"/>
        <w:ind w:left="634"/>
        <w:rPr>
          <w:rFonts w:hint="eastAsia" w:ascii="宋体" w:hAnsi="宋体" w:eastAsia="宋体" w:cs="宋体"/>
          <w:b/>
          <w:color w:val="auto"/>
          <w:spacing w:val="-2"/>
          <w:sz w:val="21"/>
          <w:szCs w:val="21"/>
        </w:rPr>
      </w:pPr>
      <w:r>
        <w:rPr>
          <w:rFonts w:hint="eastAsia" w:ascii="宋体" w:hAnsi="宋体" w:eastAsia="宋体" w:cs="宋体"/>
          <w:b/>
          <w:color w:val="auto"/>
          <w:spacing w:val="-2"/>
          <w:sz w:val="21"/>
          <w:szCs w:val="21"/>
        </w:rPr>
        <w:t>人力资源配置：</w:t>
      </w:r>
    </w:p>
    <w:p w14:paraId="13D0F690">
      <w:pPr>
        <w:numPr>
          <w:ilvl w:val="0"/>
          <w:numId w:val="0"/>
        </w:numPr>
        <w:spacing w:line="360" w:lineRule="auto"/>
        <w:ind w:firstLine="420" w:firstLineChars="200"/>
        <w:rPr>
          <w:rFonts w:hint="eastAsia" w:ascii="宋体" w:hAnsi="宋体" w:eastAsia="宋体" w:cs="宋体"/>
          <w:b/>
          <w:color w:val="auto"/>
          <w:spacing w:val="-2"/>
          <w:sz w:val="21"/>
          <w:szCs w:val="21"/>
        </w:rPr>
      </w:pPr>
      <w:r>
        <w:rPr>
          <w:rFonts w:hint="eastAsia" w:ascii="宋体" w:hAnsi="宋体" w:eastAsia="宋体" w:cs="宋体"/>
          <w:bCs/>
          <w:color w:val="auto"/>
          <w:kern w:val="0"/>
          <w:sz w:val="21"/>
          <w:szCs w:val="21"/>
        </w:rPr>
        <w:t>社工服务评估组应配置专业的社会工作评估团队，要求团队成员具备行业认可的资质；财务评估组应配置专业的财务评估和审计团队，要求项目负责人和工作人员具备注册会计师或项目经理的资质。</w:t>
      </w:r>
    </w:p>
    <w:p w14:paraId="503FCD07">
      <w:pPr>
        <w:spacing w:line="360" w:lineRule="auto"/>
        <w:ind w:left="634"/>
        <w:rPr>
          <w:rFonts w:hint="eastAsia" w:ascii="宋体" w:hAnsi="宋体" w:eastAsia="宋体" w:cs="宋体"/>
          <w:b/>
          <w:color w:val="auto"/>
          <w:spacing w:val="-2"/>
          <w:sz w:val="21"/>
          <w:szCs w:val="21"/>
        </w:rPr>
      </w:pPr>
      <w:r>
        <w:rPr>
          <w:rFonts w:hint="eastAsia" w:ascii="宋体" w:hAnsi="宋体" w:eastAsia="宋体" w:cs="宋体"/>
          <w:b/>
          <w:color w:val="auto"/>
          <w:spacing w:val="-2"/>
          <w:sz w:val="21"/>
          <w:szCs w:val="21"/>
        </w:rPr>
        <w:t>（4）管理制度建设：</w:t>
      </w:r>
    </w:p>
    <w:p w14:paraId="5F39B151">
      <w:p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bCs/>
          <w:color w:val="auto"/>
          <w:kern w:val="0"/>
          <w:sz w:val="21"/>
          <w:szCs w:val="21"/>
        </w:rPr>
        <w:t>本项目应当建立《财务管理制度》、《服务项目管理制度》、《项目信息上报制度》、《文件及档案管理制度》等相关制度。</w:t>
      </w:r>
    </w:p>
    <w:p w14:paraId="03291260">
      <w:pPr>
        <w:spacing w:line="360" w:lineRule="auto"/>
        <w:ind w:firstLine="645"/>
        <w:rPr>
          <w:rFonts w:hint="eastAsia" w:ascii="宋体" w:hAnsi="宋体" w:eastAsia="宋体" w:cs="宋体"/>
          <w:b/>
          <w:color w:val="auto"/>
          <w:spacing w:val="-2"/>
          <w:sz w:val="21"/>
          <w:szCs w:val="21"/>
        </w:rPr>
      </w:pPr>
      <w:r>
        <w:rPr>
          <w:rFonts w:hint="eastAsia" w:ascii="宋体" w:hAnsi="宋体" w:eastAsia="宋体" w:cs="宋体"/>
          <w:b/>
          <w:color w:val="auto"/>
          <w:spacing w:val="-2"/>
          <w:sz w:val="21"/>
          <w:szCs w:val="21"/>
        </w:rPr>
        <w:t>（5）项目费用及支付方式：</w:t>
      </w:r>
    </w:p>
    <w:p w14:paraId="3B2FD641">
      <w:pPr>
        <w:numPr>
          <w:ilvl w:val="0"/>
          <w:numId w:val="0"/>
        </w:numPr>
        <w:spacing w:line="360" w:lineRule="auto"/>
        <w:ind w:firstLine="420" w:firstLineChars="200"/>
        <w:rPr>
          <w:rFonts w:hint="eastAsia" w:ascii="宋体" w:hAnsi="宋体" w:eastAsia="宋体" w:cs="宋体"/>
          <w:bCs/>
          <w:color w:val="auto"/>
          <w:kern w:val="0"/>
          <w:sz w:val="21"/>
          <w:szCs w:val="21"/>
        </w:rPr>
      </w:pPr>
      <w:r>
        <w:rPr>
          <w:rFonts w:hint="eastAsia" w:ascii="宋体" w:hAnsi="宋体" w:eastAsia="宋体" w:cs="宋体"/>
          <w:bCs/>
          <w:color w:val="auto"/>
          <w:kern w:val="0"/>
          <w:sz w:val="21"/>
          <w:szCs w:val="21"/>
        </w:rPr>
        <w:t>①项目费</w:t>
      </w:r>
      <w:r>
        <w:rPr>
          <w:rFonts w:hint="eastAsia" w:ascii="宋体" w:hAnsi="宋体" w:eastAsia="宋体" w:cs="宋体"/>
          <w:bCs/>
          <w:color w:val="auto"/>
          <w:kern w:val="0"/>
          <w:sz w:val="21"/>
          <w:szCs w:val="21"/>
          <w:highlight w:val="none"/>
        </w:rPr>
        <w:t>用：按照</w:t>
      </w:r>
      <w:r>
        <w:rPr>
          <w:rFonts w:hint="eastAsia" w:ascii="宋体" w:hAnsi="宋体" w:eastAsia="宋体" w:cs="宋体"/>
          <w:bCs/>
          <w:color w:val="auto"/>
          <w:kern w:val="0"/>
          <w:sz w:val="21"/>
          <w:szCs w:val="21"/>
          <w:highlight w:val="none"/>
          <w:lang w:val="en-US" w:eastAsia="zh-CN"/>
        </w:rPr>
        <w:t>12</w:t>
      </w:r>
      <w:r>
        <w:rPr>
          <w:rFonts w:hint="eastAsia" w:ascii="宋体" w:hAnsi="宋体" w:eastAsia="宋体" w:cs="宋体"/>
          <w:bCs/>
          <w:color w:val="auto"/>
          <w:kern w:val="0"/>
          <w:sz w:val="21"/>
          <w:szCs w:val="21"/>
          <w:highlight w:val="none"/>
        </w:rPr>
        <w:t>万元的运营</w:t>
      </w:r>
      <w:r>
        <w:rPr>
          <w:rFonts w:hint="eastAsia" w:ascii="宋体" w:hAnsi="宋体" w:eastAsia="宋体" w:cs="宋体"/>
          <w:bCs/>
          <w:color w:val="auto"/>
          <w:kern w:val="0"/>
          <w:sz w:val="21"/>
          <w:szCs w:val="21"/>
        </w:rPr>
        <w:t>经费标准，由区财政全额负担。该费用主要用于办公经费、人员薪酬、服务活动、项目管理等项目运营支出，需专款专用，不得挪作他用。</w:t>
      </w:r>
    </w:p>
    <w:p w14:paraId="05EB69B6">
      <w:pPr>
        <w:numPr>
          <w:ilvl w:val="0"/>
          <w:numId w:val="0"/>
        </w:numPr>
        <w:spacing w:line="360" w:lineRule="auto"/>
        <w:ind w:firstLine="420" w:firstLineChars="200"/>
        <w:rPr>
          <w:rFonts w:hint="eastAsia" w:ascii="宋体" w:hAnsi="宋体" w:eastAsia="宋体" w:cs="宋体"/>
          <w:bCs/>
          <w:color w:val="auto"/>
          <w:kern w:val="0"/>
          <w:sz w:val="21"/>
          <w:szCs w:val="21"/>
          <w:lang w:val="en-US" w:eastAsia="zh-CN"/>
        </w:rPr>
      </w:pPr>
      <w:r>
        <w:rPr>
          <w:rFonts w:hint="eastAsia" w:ascii="宋体" w:hAnsi="宋体" w:eastAsia="宋体" w:cs="宋体"/>
          <w:bCs/>
          <w:color w:val="auto"/>
          <w:kern w:val="0"/>
          <w:sz w:val="21"/>
          <w:szCs w:val="21"/>
        </w:rPr>
        <w:t>②支付方式：按协商签订的项目合同约定进行拨付。</w:t>
      </w:r>
    </w:p>
    <w:p w14:paraId="364C0B26">
      <w:pPr>
        <w:keepNext w:val="0"/>
        <w:keepLines w:val="0"/>
        <w:pageBreakBefore w:val="0"/>
        <w:kinsoku/>
        <w:wordWrap/>
        <w:overflowPunct/>
        <w:topLinePunct w:val="0"/>
        <w:autoSpaceDE/>
        <w:autoSpaceDN/>
        <w:bidi w:val="0"/>
        <w:adjustRightInd/>
        <w:snapToGrid/>
        <w:spacing w:line="360" w:lineRule="auto"/>
        <w:ind w:firstLine="422" w:firstLineChars="20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三、项目服务期限及试用期</w:t>
      </w:r>
    </w:p>
    <w:p w14:paraId="61B19592">
      <w:pPr>
        <w:keepNext w:val="0"/>
        <w:keepLines w:val="0"/>
        <w:pageBreakBefore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（一）</w:t>
      </w:r>
      <w:r>
        <w:rPr>
          <w:rFonts w:hint="eastAsia" w:ascii="宋体" w:hAnsi="宋体" w:eastAsia="宋体" w:cs="宋体"/>
          <w:color w:val="auto"/>
          <w:sz w:val="21"/>
          <w:szCs w:val="21"/>
          <w:highlight w:val="none"/>
        </w:rPr>
        <w:t>服务周期为自合同签订之日起1年。</w:t>
      </w:r>
    </w:p>
    <w:p w14:paraId="0AAA5ED7">
      <w:pPr>
        <w:keepNext w:val="0"/>
        <w:keepLines w:val="0"/>
        <w:pageBreakBefore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（二）中标机构社工服务试用期为</w:t>
      </w:r>
      <w:r>
        <w:rPr>
          <w:rFonts w:hint="eastAsia" w:ascii="宋体" w:hAnsi="宋体" w:eastAsia="宋体" w:cs="宋体"/>
          <w:bCs/>
          <w:color w:val="auto"/>
          <w:sz w:val="21"/>
          <w:szCs w:val="21"/>
          <w:highlight w:val="none"/>
          <w:lang w:val="en-US" w:eastAsia="zh-CN"/>
        </w:rPr>
        <w:t>1</w:t>
      </w:r>
      <w:r>
        <w:rPr>
          <w:rFonts w:hint="eastAsia" w:ascii="宋体" w:hAnsi="宋体" w:eastAsia="宋体" w:cs="宋体"/>
          <w:bCs/>
          <w:color w:val="auto"/>
          <w:sz w:val="21"/>
          <w:szCs w:val="21"/>
          <w:highlight w:val="none"/>
        </w:rPr>
        <w:t>个月，自合同签订之日起算。</w:t>
      </w:r>
    </w:p>
    <w:p w14:paraId="78CA3E99">
      <w:pPr>
        <w:keepNext w:val="0"/>
        <w:keepLines w:val="0"/>
        <w:pageBreakBefore w:val="0"/>
        <w:kinsoku/>
        <w:wordWrap/>
        <w:overflowPunct/>
        <w:topLinePunct w:val="0"/>
        <w:autoSpaceDE/>
        <w:autoSpaceDN/>
        <w:bidi w:val="0"/>
        <w:adjustRightInd/>
        <w:snapToGrid/>
        <w:spacing w:line="360" w:lineRule="auto"/>
        <w:ind w:firstLine="422" w:firstLineChars="20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四、项目评估</w:t>
      </w:r>
    </w:p>
    <w:p w14:paraId="5FF88D86">
      <w:pPr>
        <w:keepNext w:val="0"/>
        <w:keepLines w:val="0"/>
        <w:pageBreakBefore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Cs/>
          <w:color w:val="auto"/>
          <w:sz w:val="21"/>
          <w:szCs w:val="21"/>
          <w:highlight w:val="none"/>
        </w:rPr>
      </w:pPr>
      <w:r>
        <w:rPr>
          <w:rFonts w:hint="eastAsia" w:ascii="宋体" w:hAnsi="宋体" w:eastAsia="宋体" w:cs="宋体"/>
          <w:color w:val="auto"/>
          <w:sz w:val="21"/>
          <w:szCs w:val="21"/>
          <w:highlight w:val="none"/>
        </w:rPr>
        <w:t>本次政府购买专业社工服务项目需进行试用期满意度调研，中期评估和末期评估，确保项目顺利推进和服务成效。</w:t>
      </w:r>
    </w:p>
    <w:p w14:paraId="56B742BF">
      <w:pPr>
        <w:keepNext w:val="0"/>
        <w:keepLines w:val="0"/>
        <w:pageBreakBefore w:val="0"/>
        <w:kinsoku/>
        <w:wordWrap/>
        <w:overflowPunct/>
        <w:topLinePunct w:val="0"/>
        <w:autoSpaceDE/>
        <w:autoSpaceDN/>
        <w:bidi w:val="0"/>
        <w:adjustRightInd/>
        <w:snapToGrid/>
        <w:spacing w:line="360" w:lineRule="auto"/>
        <w:ind w:firstLine="422" w:firstLineChars="20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五、其它有关要求</w:t>
      </w:r>
    </w:p>
    <w:p w14:paraId="73A8378F">
      <w:pPr>
        <w:keepNext w:val="0"/>
        <w:keepLines w:val="0"/>
        <w:pageBreakBefore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（一）社工服务提供方应本着服务至上、诚信为本的宗旨，委派身体健康并符合合同要求的社工为辖区居民提供优质的服务，同时需对社工进行日常的监督、管理和指导</w:t>
      </w:r>
      <w:r>
        <w:rPr>
          <w:rFonts w:hint="eastAsia" w:ascii="宋体" w:hAnsi="宋体" w:eastAsia="宋体" w:cs="宋体"/>
          <w:color w:val="auto"/>
          <w:spacing w:val="-2"/>
          <w:kern w:val="0"/>
          <w:sz w:val="21"/>
          <w:szCs w:val="21"/>
          <w:highlight w:val="none"/>
        </w:rPr>
        <w:t>。</w:t>
      </w:r>
      <w:r>
        <w:rPr>
          <w:rFonts w:hint="eastAsia" w:ascii="宋体" w:hAnsi="宋体" w:eastAsia="宋体" w:cs="宋体"/>
          <w:color w:val="auto"/>
          <w:sz w:val="21"/>
          <w:szCs w:val="21"/>
          <w:highlight w:val="none"/>
        </w:rPr>
        <w:t xml:space="preserve">           </w:t>
      </w:r>
    </w:p>
    <w:p w14:paraId="2D23BB95">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（二）社工服务提供方应对委派的社工及相关工作人员进行项目培训，确保所有人员能胜任项目工作。</w:t>
      </w:r>
      <w:r>
        <w:rPr>
          <w:rFonts w:hint="eastAsia" w:ascii="宋体" w:hAnsi="宋体" w:eastAsia="宋体" w:cs="宋体"/>
          <w:color w:val="auto"/>
          <w:kern w:val="0"/>
          <w:sz w:val="21"/>
          <w:szCs w:val="21"/>
          <w:highlight w:val="none"/>
          <w:lang w:eastAsia="zh-CN"/>
        </w:rPr>
        <w:t>郑东新区社会事业局</w:t>
      </w:r>
      <w:r>
        <w:rPr>
          <w:rFonts w:hint="eastAsia" w:ascii="宋体" w:hAnsi="宋体" w:eastAsia="宋体" w:cs="宋体"/>
          <w:color w:val="auto"/>
          <w:kern w:val="0"/>
          <w:sz w:val="21"/>
          <w:szCs w:val="21"/>
          <w:highlight w:val="none"/>
        </w:rPr>
        <w:t>将定期对项目人员进行考核，对考核不合格的，有权要求</w:t>
      </w:r>
      <w:r>
        <w:rPr>
          <w:rFonts w:hint="eastAsia" w:ascii="宋体" w:hAnsi="宋体" w:eastAsia="宋体" w:cs="宋体"/>
          <w:bCs/>
          <w:color w:val="auto"/>
          <w:sz w:val="21"/>
          <w:szCs w:val="21"/>
          <w:highlight w:val="none"/>
        </w:rPr>
        <w:t>社工服务提供方予以调换。</w:t>
      </w:r>
    </w:p>
    <w:p w14:paraId="460C1485">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（三）社工服务提供方应定期向</w:t>
      </w:r>
      <w:r>
        <w:rPr>
          <w:rFonts w:hint="eastAsia" w:ascii="宋体" w:hAnsi="宋体" w:eastAsia="宋体" w:cs="宋体"/>
          <w:color w:val="auto"/>
          <w:kern w:val="0"/>
          <w:sz w:val="21"/>
          <w:szCs w:val="21"/>
          <w:highlight w:val="none"/>
          <w:lang w:eastAsia="zh-CN"/>
        </w:rPr>
        <w:t>郑东新区社会事业局</w:t>
      </w:r>
      <w:r>
        <w:rPr>
          <w:rFonts w:hint="eastAsia" w:ascii="宋体" w:hAnsi="宋体" w:eastAsia="宋体" w:cs="宋体"/>
          <w:color w:val="auto"/>
          <w:kern w:val="0"/>
          <w:sz w:val="21"/>
          <w:szCs w:val="21"/>
          <w:highlight w:val="none"/>
        </w:rPr>
        <w:t>如实反映项目的执行进度及成效。在项目实施中期及末期及时对项目进行自评并提供详实的自评报告给</w:t>
      </w:r>
      <w:r>
        <w:rPr>
          <w:rFonts w:hint="eastAsia" w:ascii="宋体" w:hAnsi="宋体" w:eastAsia="宋体" w:cs="宋体"/>
          <w:color w:val="auto"/>
          <w:kern w:val="0"/>
          <w:sz w:val="21"/>
          <w:szCs w:val="21"/>
          <w:highlight w:val="none"/>
          <w:lang w:eastAsia="zh-CN"/>
        </w:rPr>
        <w:t>郑东新区社会事业局</w:t>
      </w:r>
      <w:r>
        <w:rPr>
          <w:rFonts w:hint="eastAsia" w:ascii="宋体" w:hAnsi="宋体" w:eastAsia="宋体" w:cs="宋体"/>
          <w:color w:val="auto"/>
          <w:kern w:val="0"/>
          <w:sz w:val="21"/>
          <w:szCs w:val="21"/>
          <w:highlight w:val="none"/>
        </w:rPr>
        <w:t>。</w:t>
      </w:r>
    </w:p>
    <w:p w14:paraId="4786B7BC">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（四）社工服务提供方应配合</w:t>
      </w:r>
      <w:r>
        <w:rPr>
          <w:rFonts w:hint="eastAsia" w:ascii="宋体" w:hAnsi="宋体" w:eastAsia="宋体" w:cs="宋体"/>
          <w:color w:val="auto"/>
          <w:kern w:val="0"/>
          <w:sz w:val="21"/>
          <w:szCs w:val="21"/>
          <w:highlight w:val="none"/>
          <w:lang w:eastAsia="zh-CN"/>
        </w:rPr>
        <w:t>郑东新区社会事业局</w:t>
      </w:r>
      <w:r>
        <w:rPr>
          <w:rFonts w:hint="eastAsia" w:ascii="宋体" w:hAnsi="宋体" w:eastAsia="宋体" w:cs="宋体"/>
          <w:color w:val="auto"/>
          <w:kern w:val="0"/>
          <w:sz w:val="21"/>
          <w:szCs w:val="21"/>
          <w:highlight w:val="none"/>
        </w:rPr>
        <w:t>做好项目的抽查及评估工作。</w:t>
      </w:r>
    </w:p>
    <w:p w14:paraId="30989F97">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1"/>
          <w:szCs w:val="21"/>
          <w:highlight w:val="none"/>
        </w:rPr>
        <w:t>（五）社工服务提供方应按照区有关规定使用项目资助资金，做到专款专用，并接受</w:t>
      </w:r>
      <w:r>
        <w:rPr>
          <w:rFonts w:hint="eastAsia" w:ascii="宋体" w:hAnsi="宋体" w:eastAsia="宋体" w:cs="宋体"/>
          <w:color w:val="auto"/>
          <w:kern w:val="0"/>
          <w:sz w:val="21"/>
          <w:szCs w:val="21"/>
          <w:highlight w:val="none"/>
          <w:lang w:eastAsia="zh-CN"/>
        </w:rPr>
        <w:t>郑东新区社会事业局</w:t>
      </w:r>
      <w:r>
        <w:rPr>
          <w:rFonts w:hint="eastAsia" w:ascii="宋体" w:hAnsi="宋体" w:eastAsia="宋体" w:cs="宋体"/>
          <w:color w:val="auto"/>
          <w:kern w:val="0"/>
          <w:sz w:val="21"/>
          <w:szCs w:val="21"/>
          <w:highlight w:val="none"/>
        </w:rPr>
        <w:t>及其它相关部门的监督。</w:t>
      </w:r>
    </w:p>
    <w:p w14:paraId="1C7F8522">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kern w:val="0"/>
          <w:sz w:val="24"/>
          <w:szCs w:val="24"/>
          <w:highlight w:val="none"/>
          <w:lang w:val="en-US" w:eastAsia="zh-CN"/>
        </w:rPr>
      </w:pPr>
    </w:p>
    <w:p w14:paraId="3BAF02C4">
      <w:pPr>
        <w:tabs>
          <w:tab w:val="left" w:pos="420"/>
        </w:tabs>
        <w:wordWrap/>
        <w:spacing w:line="360" w:lineRule="auto"/>
        <w:ind w:firstLine="0" w:firstLineChars="0"/>
        <w:jc w:val="right"/>
        <w:rPr>
          <w:rFonts w:hint="eastAsia" w:ascii="宋体" w:hAnsi="宋体" w:eastAsia="宋体" w:cs="宋体"/>
          <w:color w:val="000000"/>
          <w:kern w:val="2"/>
          <w:sz w:val="24"/>
          <w:szCs w:val="24"/>
          <w:lang w:val="en-US" w:eastAsia="zh-CN" w:bidi="ar-SA"/>
        </w:rPr>
      </w:pPr>
    </w:p>
    <w:p w14:paraId="0DA42E84">
      <w:pPr>
        <w:spacing w:line="360" w:lineRule="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kern w:val="2"/>
          <w:sz w:val="24"/>
          <w:szCs w:val="24"/>
          <w:lang w:val="en-US" w:eastAsia="zh-CN" w:bidi="ar-SA"/>
        </w:rPr>
        <w:br w:type="page"/>
      </w:r>
    </w:p>
    <w:p w14:paraId="02FDDF8E">
      <w:pPr>
        <w:spacing w:line="360" w:lineRule="auto"/>
        <w:rPr>
          <w:rFonts w:hint="eastAsia" w:ascii="宋体" w:hAnsi="宋体" w:eastAsia="宋体" w:cs="宋体"/>
          <w:color w:val="000000"/>
          <w:kern w:val="2"/>
          <w:sz w:val="24"/>
          <w:szCs w:val="24"/>
          <w:lang w:val="en-US" w:eastAsia="zh-CN" w:bidi="ar-SA"/>
        </w:rPr>
        <w:sectPr>
          <w:headerReference r:id="rId8" w:type="default"/>
          <w:footerReference r:id="rId9" w:type="default"/>
          <w:pgSz w:w="11906" w:h="16838"/>
          <w:pgMar w:top="1417" w:right="1701" w:bottom="1417" w:left="1701" w:header="851" w:footer="992" w:gutter="0"/>
          <w:pgNumType w:fmt="numberInDash"/>
          <w:cols w:space="720" w:num="1"/>
          <w:docGrid w:type="lines" w:linePitch="312" w:charSpace="0"/>
        </w:sectPr>
      </w:pPr>
    </w:p>
    <w:p w14:paraId="172E9255">
      <w:pPr>
        <w:spacing w:line="360" w:lineRule="auto"/>
        <w:rPr>
          <w:rFonts w:hint="eastAsia" w:ascii="宋体" w:hAnsi="宋体" w:eastAsia="宋体" w:cs="宋体"/>
          <w:b/>
          <w:w w:val="90"/>
          <w:sz w:val="32"/>
          <w:szCs w:val="32"/>
        </w:rPr>
      </w:pPr>
      <w:r>
        <w:rPr>
          <w:rFonts w:hint="eastAsia" w:ascii="宋体" w:hAnsi="宋体" w:eastAsia="宋体" w:cs="宋体"/>
          <w:b/>
          <w:w w:val="90"/>
          <w:sz w:val="32"/>
          <w:szCs w:val="32"/>
        </w:rPr>
        <w:t>附件2：</w:t>
      </w:r>
    </w:p>
    <w:p w14:paraId="5D9F91ED">
      <w:pPr>
        <w:keepNext w:val="0"/>
        <w:keepLines w:val="0"/>
        <w:pageBreakBefore w:val="0"/>
        <w:widowControl w:val="0"/>
        <w:kinsoku/>
        <w:wordWrap/>
        <w:overflowPunct/>
        <w:topLinePunct w:val="0"/>
        <w:autoSpaceDE/>
        <w:autoSpaceDN/>
        <w:bidi w:val="0"/>
        <w:adjustRightInd/>
        <w:snapToGrid/>
        <w:spacing w:after="157" w:afterLines="50" w:line="360" w:lineRule="auto"/>
        <w:jc w:val="center"/>
        <w:textAlignment w:val="auto"/>
        <w:rPr>
          <w:rFonts w:hint="eastAsia" w:ascii="宋体" w:hAnsi="宋体" w:eastAsia="宋体" w:cs="宋体"/>
          <w:b/>
          <w:w w:val="90"/>
          <w:sz w:val="32"/>
          <w:szCs w:val="32"/>
        </w:rPr>
      </w:pPr>
      <w:r>
        <w:rPr>
          <w:rFonts w:hint="eastAsia" w:ascii="宋体" w:hAnsi="宋体" w:eastAsia="宋体" w:cs="宋体"/>
          <w:b/>
          <w:w w:val="90"/>
          <w:sz w:val="32"/>
          <w:szCs w:val="32"/>
        </w:rPr>
        <w:t>郑东新区政府购买专业社会工作服务目标任务与指标</w:t>
      </w:r>
    </w:p>
    <w:p w14:paraId="16268D99">
      <w:pPr>
        <w:spacing w:line="360" w:lineRule="auto"/>
        <w:ind w:right="640"/>
        <w:rPr>
          <w:rFonts w:hint="eastAsia" w:ascii="宋体" w:hAnsi="宋体" w:eastAsia="宋体" w:cs="宋体"/>
          <w:b/>
          <w:bCs/>
          <w:kern w:val="0"/>
          <w:sz w:val="21"/>
          <w:szCs w:val="21"/>
        </w:rPr>
      </w:pPr>
      <w:r>
        <w:rPr>
          <w:rFonts w:hint="eastAsia" w:ascii="宋体" w:hAnsi="宋体" w:eastAsia="宋体" w:cs="宋体"/>
          <w:b/>
          <w:bCs/>
          <w:kern w:val="0"/>
          <w:sz w:val="21"/>
          <w:szCs w:val="21"/>
        </w:rPr>
        <w:t>一、</w:t>
      </w:r>
      <w:r>
        <w:rPr>
          <w:rFonts w:hint="eastAsia" w:ascii="宋体" w:hAnsi="宋体" w:eastAsia="宋体" w:cs="宋体"/>
          <w:b/>
          <w:bCs/>
          <w:color w:val="000000"/>
          <w:spacing w:val="-2"/>
          <w:sz w:val="21"/>
          <w:szCs w:val="21"/>
        </w:rPr>
        <w:t>郑东新区办事处（社区）社会工作服务站项目</w:t>
      </w:r>
    </w:p>
    <w:p w14:paraId="500097AF">
      <w:pPr>
        <w:pStyle w:val="21"/>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360" w:lineRule="auto"/>
        <w:ind w:firstLine="420" w:firstLineChars="200"/>
        <w:jc w:val="both"/>
        <w:textAlignment w:val="auto"/>
        <w:rPr>
          <w:rFonts w:hint="eastAsia" w:ascii="宋体" w:hAnsi="宋体" w:eastAsia="宋体" w:cs="宋体"/>
          <w:kern w:val="2"/>
          <w:sz w:val="21"/>
          <w:szCs w:val="21"/>
          <w:shd w:val="clear" w:color="auto" w:fill="FFFFFF"/>
        </w:rPr>
      </w:pPr>
      <w:r>
        <w:rPr>
          <w:rFonts w:hint="eastAsia" w:ascii="宋体" w:hAnsi="宋体" w:eastAsia="宋体" w:cs="宋体"/>
          <w:bCs/>
          <w:sz w:val="21"/>
          <w:szCs w:val="21"/>
          <w:shd w:val="clear" w:color="auto" w:fill="FFFFFF"/>
        </w:rPr>
        <w:t>（一）目标任务：</w:t>
      </w:r>
    </w:p>
    <w:p w14:paraId="5E864641">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shd w:val="clear" w:color="auto" w:fill="FFFFFF"/>
        </w:rPr>
      </w:pPr>
      <w:bookmarkStart w:id="275" w:name="OLE_LINK33"/>
      <w:r>
        <w:rPr>
          <w:rFonts w:hint="eastAsia" w:ascii="宋体" w:hAnsi="宋体" w:eastAsia="宋体" w:cs="宋体"/>
          <w:sz w:val="21"/>
          <w:szCs w:val="21"/>
          <w:shd w:val="clear" w:color="auto" w:fill="FFFFFF"/>
        </w:rPr>
        <w:t>1.运用社工专业工作方法协助社区居民委员会整合社区治理资源，服务辖区民政服务对象及居民，认真践行“民政为民、民政爱民”理念，提升基层民政经办能力，优化便民利民服务，打通服务群众的“最后一公里”。</w:t>
      </w:r>
    </w:p>
    <w:p w14:paraId="0127FA4C">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shd w:val="clear" w:color="auto" w:fill="FFFFFF"/>
        </w:rPr>
      </w:pPr>
      <w:r>
        <w:rPr>
          <w:rFonts w:hint="eastAsia" w:ascii="宋体" w:hAnsi="宋体" w:eastAsia="宋体" w:cs="宋体"/>
          <w:sz w:val="21"/>
          <w:szCs w:val="21"/>
          <w:shd w:val="clear" w:color="auto" w:fill="FFFFFF"/>
        </w:rPr>
        <w:t>2.组织策划社区志愿服务项目，引导社区居民参与社区志愿服务，协助社区党组织和社区居民自治组织开展社区志愿者动员、招募、培训、使用、登记注册、服务记录与证明等工作。</w:t>
      </w:r>
    </w:p>
    <w:p w14:paraId="44D02A9F">
      <w:pPr>
        <w:keepNext w:val="0"/>
        <w:keepLines w:val="0"/>
        <w:pageBreakBefore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Cs/>
          <w:sz w:val="21"/>
          <w:szCs w:val="21"/>
        </w:rPr>
        <w:sectPr>
          <w:footerReference r:id="rId10" w:type="default"/>
          <w:pgSz w:w="11906" w:h="16838"/>
          <w:pgMar w:top="1985" w:right="1531" w:bottom="1985" w:left="1531" w:header="851" w:footer="992" w:gutter="0"/>
          <w:pgNumType w:fmt="numberInDash"/>
          <w:cols w:space="720" w:num="1"/>
          <w:docGrid w:type="lines" w:linePitch="312" w:charSpace="0"/>
        </w:sectPr>
      </w:pPr>
      <w:r>
        <w:rPr>
          <w:rFonts w:hint="eastAsia" w:ascii="宋体" w:hAnsi="宋体" w:eastAsia="宋体" w:cs="宋体"/>
          <w:sz w:val="21"/>
          <w:szCs w:val="21"/>
          <w:shd w:val="clear" w:color="auto" w:fill="FFFFFF"/>
        </w:rPr>
        <w:t>3.为社区内有需求的老人、儿童、妇女、农民工等人群提供生活照料、情感关怀、安全教育、能力提升、社会融入等服务，开展社区文化、教育、娱乐活动，丰富社区居民的精神文化生活。</w:t>
      </w:r>
      <w:bookmarkEnd w:id="275"/>
    </w:p>
    <w:p w14:paraId="787F5022">
      <w:pPr>
        <w:spacing w:line="360" w:lineRule="auto"/>
        <w:rPr>
          <w:rFonts w:hint="eastAsia" w:ascii="宋体" w:hAnsi="宋体" w:eastAsia="宋体" w:cs="宋体"/>
          <w:bCs/>
          <w:szCs w:val="21"/>
        </w:rPr>
      </w:pPr>
      <w:r>
        <w:rPr>
          <w:rFonts w:hint="eastAsia" w:ascii="宋体" w:hAnsi="宋体" w:eastAsia="宋体" w:cs="宋体"/>
          <w:bCs/>
          <w:szCs w:val="21"/>
        </w:rPr>
        <w:t>（二）服务内容：</w:t>
      </w:r>
    </w:p>
    <w:tbl>
      <w:tblPr>
        <w:tblStyle w:val="26"/>
        <w:tblW w:w="9649" w:type="dxa"/>
        <w:jc w:val="center"/>
        <w:tblLayout w:type="fixed"/>
        <w:tblCellMar>
          <w:top w:w="0" w:type="dxa"/>
          <w:left w:w="108" w:type="dxa"/>
          <w:bottom w:w="0" w:type="dxa"/>
          <w:right w:w="108" w:type="dxa"/>
        </w:tblCellMar>
      </w:tblPr>
      <w:tblGrid>
        <w:gridCol w:w="1495"/>
        <w:gridCol w:w="1650"/>
        <w:gridCol w:w="6504"/>
      </w:tblGrid>
      <w:tr w14:paraId="4494004E">
        <w:tblPrEx>
          <w:tblCellMar>
            <w:top w:w="0" w:type="dxa"/>
            <w:left w:w="108" w:type="dxa"/>
            <w:bottom w:w="0" w:type="dxa"/>
            <w:right w:w="108" w:type="dxa"/>
          </w:tblCellMar>
        </w:tblPrEx>
        <w:trPr>
          <w:trHeight w:val="516" w:hRule="atLeast"/>
          <w:jc w:val="center"/>
        </w:trPr>
        <w:tc>
          <w:tcPr>
            <w:tcW w:w="9649" w:type="dxa"/>
            <w:gridSpan w:val="3"/>
            <w:tcBorders>
              <w:top w:val="single" w:color="000000" w:sz="4" w:space="0"/>
              <w:left w:val="single" w:color="000000" w:sz="4" w:space="0"/>
              <w:bottom w:val="single" w:color="000000" w:sz="4" w:space="0"/>
              <w:right w:val="single" w:color="000000" w:sz="4" w:space="0"/>
            </w:tcBorders>
            <w:noWrap w:val="0"/>
            <w:vAlign w:val="center"/>
          </w:tcPr>
          <w:p w14:paraId="792489C5">
            <w:pPr>
              <w:widowControl/>
              <w:spacing w:line="360" w:lineRule="auto"/>
              <w:jc w:val="center"/>
              <w:textAlignment w:val="center"/>
              <w:rPr>
                <w:rFonts w:hint="eastAsia" w:ascii="宋体" w:hAnsi="宋体" w:eastAsia="宋体" w:cs="宋体"/>
                <w:b/>
                <w:bCs/>
                <w:color w:val="000000"/>
                <w:szCs w:val="21"/>
              </w:rPr>
            </w:pPr>
            <w:r>
              <w:rPr>
                <w:rFonts w:hint="eastAsia" w:ascii="宋体" w:hAnsi="宋体" w:eastAsia="宋体" w:cs="宋体"/>
                <w:b/>
                <w:bCs/>
                <w:color w:val="000000"/>
                <w:kern w:val="0"/>
                <w:szCs w:val="21"/>
                <w:lang w:bidi="ar"/>
              </w:rPr>
              <w:t>社会工作服务站服务领域及内容</w:t>
            </w:r>
          </w:p>
        </w:tc>
      </w:tr>
      <w:tr w14:paraId="40CB3354">
        <w:tblPrEx>
          <w:tblCellMar>
            <w:top w:w="0" w:type="dxa"/>
            <w:left w:w="108" w:type="dxa"/>
            <w:bottom w:w="0" w:type="dxa"/>
            <w:right w:w="108" w:type="dxa"/>
          </w:tblCellMar>
        </w:tblPrEx>
        <w:trPr>
          <w:trHeight w:val="312" w:hRule="atLeast"/>
          <w:jc w:val="center"/>
        </w:trPr>
        <w:tc>
          <w:tcPr>
            <w:tcW w:w="1495" w:type="dxa"/>
            <w:tcBorders>
              <w:top w:val="single" w:color="000000" w:sz="4" w:space="0"/>
              <w:left w:val="single" w:color="000000" w:sz="4" w:space="0"/>
              <w:bottom w:val="single" w:color="000000" w:sz="4" w:space="0"/>
              <w:right w:val="single" w:color="000000" w:sz="4" w:space="0"/>
            </w:tcBorders>
            <w:noWrap w:val="0"/>
            <w:vAlign w:val="center"/>
          </w:tcPr>
          <w:p w14:paraId="6C0BC224">
            <w:pPr>
              <w:widowControl/>
              <w:spacing w:line="360" w:lineRule="auto"/>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服务领域</w:t>
            </w:r>
          </w:p>
        </w:tc>
        <w:tc>
          <w:tcPr>
            <w:tcW w:w="1650" w:type="dxa"/>
            <w:tcBorders>
              <w:top w:val="single" w:color="000000" w:sz="4" w:space="0"/>
              <w:left w:val="single" w:color="000000" w:sz="4" w:space="0"/>
              <w:bottom w:val="single" w:color="000000" w:sz="4" w:space="0"/>
              <w:right w:val="single" w:color="000000" w:sz="4" w:space="0"/>
            </w:tcBorders>
            <w:noWrap w:val="0"/>
            <w:vAlign w:val="center"/>
          </w:tcPr>
          <w:p w14:paraId="6DF0C778">
            <w:pPr>
              <w:widowControl/>
              <w:spacing w:line="360" w:lineRule="auto"/>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服务内容</w:t>
            </w:r>
          </w:p>
        </w:tc>
        <w:tc>
          <w:tcPr>
            <w:tcW w:w="6504" w:type="dxa"/>
            <w:tcBorders>
              <w:top w:val="single" w:color="000000" w:sz="4" w:space="0"/>
              <w:left w:val="single" w:color="000000" w:sz="4" w:space="0"/>
              <w:bottom w:val="single" w:color="000000" w:sz="4" w:space="0"/>
              <w:right w:val="single" w:color="000000" w:sz="4" w:space="0"/>
            </w:tcBorders>
            <w:noWrap w:val="0"/>
            <w:vAlign w:val="center"/>
          </w:tcPr>
          <w:p w14:paraId="5B8A16FD">
            <w:pPr>
              <w:widowControl/>
              <w:spacing w:line="360" w:lineRule="auto"/>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具体服务内容</w:t>
            </w:r>
          </w:p>
        </w:tc>
      </w:tr>
      <w:tr w14:paraId="02389F1B">
        <w:tblPrEx>
          <w:tblCellMar>
            <w:top w:w="0" w:type="dxa"/>
            <w:left w:w="108" w:type="dxa"/>
            <w:bottom w:w="0" w:type="dxa"/>
            <w:right w:w="108" w:type="dxa"/>
          </w:tblCellMar>
        </w:tblPrEx>
        <w:trPr>
          <w:trHeight w:val="700" w:hRule="atLeast"/>
          <w:jc w:val="center"/>
        </w:trPr>
        <w:tc>
          <w:tcPr>
            <w:tcW w:w="1495" w:type="dxa"/>
            <w:vMerge w:val="restart"/>
            <w:tcBorders>
              <w:top w:val="single" w:color="000000" w:sz="4" w:space="0"/>
              <w:left w:val="single" w:color="000000" w:sz="4" w:space="0"/>
              <w:bottom w:val="single" w:color="000000" w:sz="4" w:space="0"/>
              <w:right w:val="single" w:color="000000" w:sz="4" w:space="0"/>
            </w:tcBorders>
            <w:noWrap w:val="0"/>
            <w:vAlign w:val="center"/>
          </w:tcPr>
          <w:p w14:paraId="5B6BE414">
            <w:pPr>
              <w:widowControl/>
              <w:spacing w:line="360" w:lineRule="auto"/>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（一）社会救助</w:t>
            </w:r>
          </w:p>
        </w:tc>
        <w:tc>
          <w:tcPr>
            <w:tcW w:w="1650" w:type="dxa"/>
            <w:tcBorders>
              <w:top w:val="single" w:color="000000" w:sz="4" w:space="0"/>
              <w:left w:val="single" w:color="000000" w:sz="4" w:space="0"/>
              <w:bottom w:val="single" w:color="000000" w:sz="4" w:space="0"/>
              <w:right w:val="single" w:color="000000" w:sz="4" w:space="0"/>
            </w:tcBorders>
            <w:noWrap w:val="0"/>
            <w:vAlign w:val="center"/>
          </w:tcPr>
          <w:p w14:paraId="560E0F68">
            <w:pPr>
              <w:widowControl/>
              <w:spacing w:line="360" w:lineRule="auto"/>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政策宣传</w:t>
            </w:r>
          </w:p>
        </w:tc>
        <w:tc>
          <w:tcPr>
            <w:tcW w:w="6504" w:type="dxa"/>
            <w:tcBorders>
              <w:top w:val="single" w:color="000000" w:sz="4" w:space="0"/>
              <w:left w:val="single" w:color="000000" w:sz="4" w:space="0"/>
              <w:bottom w:val="single" w:color="000000" w:sz="4" w:space="0"/>
              <w:right w:val="single" w:color="000000" w:sz="4" w:space="0"/>
            </w:tcBorders>
            <w:noWrap w:val="0"/>
            <w:vAlign w:val="center"/>
          </w:tcPr>
          <w:p w14:paraId="378A63C3">
            <w:pPr>
              <w:widowControl/>
              <w:spacing w:line="360" w:lineRule="auto"/>
              <w:jc w:val="left"/>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宣传社会救助申请的资格条件、申报程序及审批流程、社会救助的主要类型和内容、救助标准和动态管理等政策制度。</w:t>
            </w:r>
          </w:p>
        </w:tc>
      </w:tr>
      <w:tr w14:paraId="22702140">
        <w:tblPrEx>
          <w:tblCellMar>
            <w:top w:w="0" w:type="dxa"/>
            <w:left w:w="108" w:type="dxa"/>
            <w:bottom w:w="0" w:type="dxa"/>
            <w:right w:w="108" w:type="dxa"/>
          </w:tblCellMar>
        </w:tblPrEx>
        <w:trPr>
          <w:trHeight w:val="936" w:hRule="atLeast"/>
          <w:jc w:val="center"/>
        </w:trPr>
        <w:tc>
          <w:tcPr>
            <w:tcW w:w="1495" w:type="dxa"/>
            <w:vMerge w:val="continue"/>
            <w:tcBorders>
              <w:top w:val="single" w:color="000000" w:sz="4" w:space="0"/>
              <w:left w:val="single" w:color="000000" w:sz="4" w:space="0"/>
              <w:bottom w:val="single" w:color="000000" w:sz="4" w:space="0"/>
              <w:right w:val="single" w:color="000000" w:sz="4" w:space="0"/>
            </w:tcBorders>
            <w:noWrap w:val="0"/>
            <w:vAlign w:val="center"/>
          </w:tcPr>
          <w:p w14:paraId="06C23F4C">
            <w:pPr>
              <w:spacing w:line="360" w:lineRule="auto"/>
              <w:jc w:val="center"/>
              <w:rPr>
                <w:rFonts w:hint="eastAsia" w:ascii="宋体" w:hAnsi="宋体" w:eastAsia="宋体" w:cs="宋体"/>
                <w:color w:val="000000"/>
                <w:szCs w:val="21"/>
              </w:rPr>
            </w:pPr>
          </w:p>
        </w:tc>
        <w:tc>
          <w:tcPr>
            <w:tcW w:w="1650" w:type="dxa"/>
            <w:tcBorders>
              <w:top w:val="single" w:color="000000" w:sz="4" w:space="0"/>
              <w:left w:val="single" w:color="000000" w:sz="4" w:space="0"/>
              <w:bottom w:val="single" w:color="000000" w:sz="4" w:space="0"/>
              <w:right w:val="single" w:color="000000" w:sz="4" w:space="0"/>
            </w:tcBorders>
            <w:noWrap w:val="0"/>
            <w:vAlign w:val="center"/>
          </w:tcPr>
          <w:p w14:paraId="2E7B8DD2">
            <w:pPr>
              <w:widowControl/>
              <w:spacing w:line="360" w:lineRule="auto"/>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识别对象</w:t>
            </w:r>
          </w:p>
        </w:tc>
        <w:tc>
          <w:tcPr>
            <w:tcW w:w="6504" w:type="dxa"/>
            <w:tcBorders>
              <w:top w:val="single" w:color="000000" w:sz="4" w:space="0"/>
              <w:left w:val="single" w:color="000000" w:sz="4" w:space="0"/>
              <w:bottom w:val="single" w:color="000000" w:sz="4" w:space="0"/>
              <w:right w:val="single" w:color="000000" w:sz="4" w:space="0"/>
            </w:tcBorders>
            <w:noWrap w:val="0"/>
            <w:vAlign w:val="center"/>
          </w:tcPr>
          <w:p w14:paraId="53E680AA">
            <w:pPr>
              <w:widowControl/>
              <w:spacing w:line="360" w:lineRule="auto"/>
              <w:jc w:val="left"/>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通过融入村居、入户调查、邻里访问，协助评估社会救助申请对象的身体状况、财产状况、居住条件和其他实际生活状况，精准识别救助服务对象。</w:t>
            </w:r>
          </w:p>
        </w:tc>
      </w:tr>
      <w:tr w14:paraId="3D57B3C6">
        <w:tblPrEx>
          <w:tblCellMar>
            <w:top w:w="0" w:type="dxa"/>
            <w:left w:w="108" w:type="dxa"/>
            <w:bottom w:w="0" w:type="dxa"/>
            <w:right w:w="108" w:type="dxa"/>
          </w:tblCellMar>
        </w:tblPrEx>
        <w:trPr>
          <w:trHeight w:val="936" w:hRule="atLeast"/>
          <w:jc w:val="center"/>
        </w:trPr>
        <w:tc>
          <w:tcPr>
            <w:tcW w:w="1495" w:type="dxa"/>
            <w:vMerge w:val="continue"/>
            <w:tcBorders>
              <w:top w:val="single" w:color="000000" w:sz="4" w:space="0"/>
              <w:left w:val="single" w:color="000000" w:sz="4" w:space="0"/>
              <w:bottom w:val="single" w:color="000000" w:sz="4" w:space="0"/>
              <w:right w:val="single" w:color="000000" w:sz="4" w:space="0"/>
            </w:tcBorders>
            <w:noWrap w:val="0"/>
            <w:vAlign w:val="center"/>
          </w:tcPr>
          <w:p w14:paraId="13DF1D40">
            <w:pPr>
              <w:spacing w:line="360" w:lineRule="auto"/>
              <w:jc w:val="center"/>
              <w:rPr>
                <w:rFonts w:hint="eastAsia" w:ascii="宋体" w:hAnsi="宋体" w:eastAsia="宋体" w:cs="宋体"/>
                <w:color w:val="000000"/>
                <w:szCs w:val="21"/>
              </w:rPr>
            </w:pPr>
          </w:p>
        </w:tc>
        <w:tc>
          <w:tcPr>
            <w:tcW w:w="1650" w:type="dxa"/>
            <w:tcBorders>
              <w:top w:val="single" w:color="000000" w:sz="4" w:space="0"/>
              <w:left w:val="single" w:color="000000" w:sz="4" w:space="0"/>
              <w:bottom w:val="single" w:color="000000" w:sz="4" w:space="0"/>
              <w:right w:val="single" w:color="000000" w:sz="4" w:space="0"/>
            </w:tcBorders>
            <w:noWrap w:val="0"/>
            <w:vAlign w:val="center"/>
          </w:tcPr>
          <w:p w14:paraId="6525E212">
            <w:pPr>
              <w:widowControl/>
              <w:spacing w:line="360" w:lineRule="auto"/>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服务建档</w:t>
            </w:r>
          </w:p>
        </w:tc>
        <w:tc>
          <w:tcPr>
            <w:tcW w:w="6504" w:type="dxa"/>
            <w:tcBorders>
              <w:top w:val="single" w:color="000000" w:sz="4" w:space="0"/>
              <w:left w:val="single" w:color="000000" w:sz="4" w:space="0"/>
              <w:bottom w:val="single" w:color="000000" w:sz="4" w:space="0"/>
              <w:right w:val="single" w:color="000000" w:sz="4" w:space="0"/>
            </w:tcBorders>
            <w:noWrap w:val="0"/>
            <w:vAlign w:val="center"/>
          </w:tcPr>
          <w:p w14:paraId="2FBA6835">
            <w:pPr>
              <w:widowControl/>
              <w:spacing w:line="360" w:lineRule="auto"/>
              <w:jc w:val="left"/>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协助开展低保对象、特困人员、医疗救助、教育救助、住房救助、就业救助、临时救助、法律援助对象等社会救助对象建档工作。</w:t>
            </w:r>
          </w:p>
        </w:tc>
      </w:tr>
      <w:tr w14:paraId="640F2DDC">
        <w:tblPrEx>
          <w:tblCellMar>
            <w:top w:w="0" w:type="dxa"/>
            <w:left w:w="108" w:type="dxa"/>
            <w:bottom w:w="0" w:type="dxa"/>
            <w:right w:w="108" w:type="dxa"/>
          </w:tblCellMar>
        </w:tblPrEx>
        <w:trPr>
          <w:trHeight w:val="1460" w:hRule="atLeast"/>
          <w:jc w:val="center"/>
        </w:trPr>
        <w:tc>
          <w:tcPr>
            <w:tcW w:w="1495" w:type="dxa"/>
            <w:vMerge w:val="continue"/>
            <w:tcBorders>
              <w:top w:val="single" w:color="000000" w:sz="4" w:space="0"/>
              <w:left w:val="single" w:color="000000" w:sz="4" w:space="0"/>
              <w:bottom w:val="single" w:color="000000" w:sz="4" w:space="0"/>
              <w:right w:val="single" w:color="000000" w:sz="4" w:space="0"/>
            </w:tcBorders>
            <w:noWrap w:val="0"/>
            <w:vAlign w:val="center"/>
          </w:tcPr>
          <w:p w14:paraId="0DD7545F">
            <w:pPr>
              <w:spacing w:line="360" w:lineRule="auto"/>
              <w:jc w:val="center"/>
              <w:rPr>
                <w:rFonts w:hint="eastAsia" w:ascii="宋体" w:hAnsi="宋体" w:eastAsia="宋体" w:cs="宋体"/>
                <w:color w:val="000000"/>
                <w:szCs w:val="21"/>
              </w:rPr>
            </w:pPr>
          </w:p>
        </w:tc>
        <w:tc>
          <w:tcPr>
            <w:tcW w:w="1650" w:type="dxa"/>
            <w:tcBorders>
              <w:top w:val="single" w:color="000000" w:sz="4" w:space="0"/>
              <w:left w:val="single" w:color="000000" w:sz="4" w:space="0"/>
              <w:bottom w:val="single" w:color="000000" w:sz="4" w:space="0"/>
              <w:right w:val="single" w:color="000000" w:sz="4" w:space="0"/>
            </w:tcBorders>
            <w:noWrap w:val="0"/>
            <w:vAlign w:val="center"/>
          </w:tcPr>
          <w:p w14:paraId="596572B3">
            <w:pPr>
              <w:widowControl/>
              <w:spacing w:line="360" w:lineRule="auto"/>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资源链接</w:t>
            </w:r>
          </w:p>
        </w:tc>
        <w:tc>
          <w:tcPr>
            <w:tcW w:w="6504" w:type="dxa"/>
            <w:tcBorders>
              <w:top w:val="single" w:color="000000" w:sz="4" w:space="0"/>
              <w:left w:val="single" w:color="000000" w:sz="4" w:space="0"/>
              <w:bottom w:val="single" w:color="000000" w:sz="4" w:space="0"/>
              <w:right w:val="single" w:color="000000" w:sz="4" w:space="0"/>
            </w:tcBorders>
            <w:noWrap w:val="0"/>
            <w:vAlign w:val="center"/>
          </w:tcPr>
          <w:p w14:paraId="50CDE392">
            <w:pPr>
              <w:widowControl/>
              <w:spacing w:line="360" w:lineRule="auto"/>
              <w:jc w:val="left"/>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协助符合条件的服务对象申请有关社会救助政策（低保金、特困人员供养、残疾人补贴、城乡医疗救助基金、教育救助、公共租赁住房、危房改造、就业救助、临时救助、法律援助）；链接企业、基金会、社会团体、社会服务机构等社会资源等。</w:t>
            </w:r>
          </w:p>
        </w:tc>
      </w:tr>
      <w:tr w14:paraId="4A20FB56">
        <w:tblPrEx>
          <w:tblCellMar>
            <w:top w:w="0" w:type="dxa"/>
            <w:left w:w="108" w:type="dxa"/>
            <w:bottom w:w="0" w:type="dxa"/>
            <w:right w:w="108" w:type="dxa"/>
          </w:tblCellMar>
        </w:tblPrEx>
        <w:trPr>
          <w:trHeight w:val="624" w:hRule="atLeast"/>
          <w:jc w:val="center"/>
        </w:trPr>
        <w:tc>
          <w:tcPr>
            <w:tcW w:w="1495" w:type="dxa"/>
            <w:vMerge w:val="continue"/>
            <w:tcBorders>
              <w:top w:val="single" w:color="000000" w:sz="4" w:space="0"/>
              <w:left w:val="single" w:color="000000" w:sz="4" w:space="0"/>
              <w:bottom w:val="single" w:color="000000" w:sz="4" w:space="0"/>
              <w:right w:val="single" w:color="000000" w:sz="4" w:space="0"/>
            </w:tcBorders>
            <w:noWrap w:val="0"/>
            <w:vAlign w:val="center"/>
          </w:tcPr>
          <w:p w14:paraId="47DE75D1">
            <w:pPr>
              <w:spacing w:line="360" w:lineRule="auto"/>
              <w:jc w:val="center"/>
              <w:rPr>
                <w:rFonts w:hint="eastAsia" w:ascii="宋体" w:hAnsi="宋体" w:eastAsia="宋体" w:cs="宋体"/>
                <w:color w:val="000000"/>
                <w:szCs w:val="21"/>
              </w:rPr>
            </w:pPr>
          </w:p>
        </w:tc>
        <w:tc>
          <w:tcPr>
            <w:tcW w:w="1650" w:type="dxa"/>
            <w:tcBorders>
              <w:top w:val="single" w:color="000000" w:sz="4" w:space="0"/>
              <w:left w:val="single" w:color="000000" w:sz="4" w:space="0"/>
              <w:bottom w:val="single" w:color="000000" w:sz="4" w:space="0"/>
              <w:right w:val="single" w:color="000000" w:sz="4" w:space="0"/>
            </w:tcBorders>
            <w:noWrap w:val="0"/>
            <w:vAlign w:val="center"/>
          </w:tcPr>
          <w:p w14:paraId="09ADAB50">
            <w:pPr>
              <w:widowControl/>
              <w:spacing w:line="360" w:lineRule="auto"/>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心理疏导</w:t>
            </w:r>
          </w:p>
        </w:tc>
        <w:tc>
          <w:tcPr>
            <w:tcW w:w="6504" w:type="dxa"/>
            <w:tcBorders>
              <w:top w:val="single" w:color="000000" w:sz="4" w:space="0"/>
              <w:left w:val="single" w:color="000000" w:sz="4" w:space="0"/>
              <w:bottom w:val="single" w:color="000000" w:sz="4" w:space="0"/>
              <w:right w:val="single" w:color="000000" w:sz="4" w:space="0"/>
            </w:tcBorders>
            <w:noWrap w:val="0"/>
            <w:vAlign w:val="center"/>
          </w:tcPr>
          <w:p w14:paraId="29AC523C">
            <w:pPr>
              <w:widowControl/>
              <w:spacing w:line="360" w:lineRule="auto"/>
              <w:jc w:val="left"/>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评估和诊断社会救助对象的问题和需求，提供心理支持，缓解个人及其家庭成员的心理焦虑和精神压力等。</w:t>
            </w:r>
          </w:p>
        </w:tc>
      </w:tr>
      <w:tr w14:paraId="65B04EB6">
        <w:tblPrEx>
          <w:tblCellMar>
            <w:top w:w="0" w:type="dxa"/>
            <w:left w:w="108" w:type="dxa"/>
            <w:bottom w:w="0" w:type="dxa"/>
            <w:right w:w="108" w:type="dxa"/>
          </w:tblCellMar>
        </w:tblPrEx>
        <w:trPr>
          <w:trHeight w:val="624" w:hRule="atLeast"/>
          <w:jc w:val="center"/>
        </w:trPr>
        <w:tc>
          <w:tcPr>
            <w:tcW w:w="1495" w:type="dxa"/>
            <w:vMerge w:val="continue"/>
            <w:tcBorders>
              <w:top w:val="single" w:color="000000" w:sz="4" w:space="0"/>
              <w:left w:val="single" w:color="000000" w:sz="4" w:space="0"/>
              <w:bottom w:val="single" w:color="000000" w:sz="4" w:space="0"/>
              <w:right w:val="single" w:color="000000" w:sz="4" w:space="0"/>
            </w:tcBorders>
            <w:noWrap w:val="0"/>
            <w:vAlign w:val="center"/>
          </w:tcPr>
          <w:p w14:paraId="6A2417D9">
            <w:pPr>
              <w:spacing w:line="360" w:lineRule="auto"/>
              <w:jc w:val="center"/>
              <w:rPr>
                <w:rFonts w:hint="eastAsia" w:ascii="宋体" w:hAnsi="宋体" w:eastAsia="宋体" w:cs="宋体"/>
                <w:color w:val="000000"/>
                <w:szCs w:val="21"/>
              </w:rPr>
            </w:pPr>
          </w:p>
        </w:tc>
        <w:tc>
          <w:tcPr>
            <w:tcW w:w="1650" w:type="dxa"/>
            <w:tcBorders>
              <w:top w:val="single" w:color="000000" w:sz="4" w:space="0"/>
              <w:left w:val="single" w:color="000000" w:sz="4" w:space="0"/>
              <w:bottom w:val="single" w:color="000000" w:sz="4" w:space="0"/>
              <w:right w:val="single" w:color="000000" w:sz="4" w:space="0"/>
            </w:tcBorders>
            <w:noWrap w:val="0"/>
            <w:vAlign w:val="center"/>
          </w:tcPr>
          <w:p w14:paraId="6264590A">
            <w:pPr>
              <w:widowControl/>
              <w:spacing w:line="360" w:lineRule="auto"/>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能力提升</w:t>
            </w:r>
          </w:p>
        </w:tc>
        <w:tc>
          <w:tcPr>
            <w:tcW w:w="6504" w:type="dxa"/>
            <w:tcBorders>
              <w:top w:val="single" w:color="000000" w:sz="4" w:space="0"/>
              <w:left w:val="single" w:color="000000" w:sz="4" w:space="0"/>
              <w:bottom w:val="single" w:color="000000" w:sz="4" w:space="0"/>
              <w:right w:val="single" w:color="000000" w:sz="4" w:space="0"/>
            </w:tcBorders>
            <w:noWrap w:val="0"/>
            <w:vAlign w:val="center"/>
          </w:tcPr>
          <w:p w14:paraId="4324CE9F">
            <w:pPr>
              <w:widowControl/>
              <w:spacing w:line="360" w:lineRule="auto"/>
              <w:jc w:val="left"/>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转变观念，挖掘服务对象的优势和资源；风险防控，培养服务对象应对风险能力；技能培训，协助服务对象实现就业创业。</w:t>
            </w:r>
          </w:p>
        </w:tc>
      </w:tr>
      <w:tr w14:paraId="5F34C712">
        <w:tblPrEx>
          <w:tblCellMar>
            <w:top w:w="0" w:type="dxa"/>
            <w:left w:w="108" w:type="dxa"/>
            <w:bottom w:w="0" w:type="dxa"/>
            <w:right w:w="108" w:type="dxa"/>
          </w:tblCellMar>
        </w:tblPrEx>
        <w:trPr>
          <w:trHeight w:val="624" w:hRule="atLeast"/>
          <w:jc w:val="center"/>
        </w:trPr>
        <w:tc>
          <w:tcPr>
            <w:tcW w:w="1495" w:type="dxa"/>
            <w:vMerge w:val="continue"/>
            <w:tcBorders>
              <w:top w:val="single" w:color="000000" w:sz="4" w:space="0"/>
              <w:left w:val="single" w:color="000000" w:sz="4" w:space="0"/>
              <w:bottom w:val="single" w:color="000000" w:sz="4" w:space="0"/>
              <w:right w:val="single" w:color="000000" w:sz="4" w:space="0"/>
            </w:tcBorders>
            <w:noWrap w:val="0"/>
            <w:vAlign w:val="center"/>
          </w:tcPr>
          <w:p w14:paraId="468D7E1C">
            <w:pPr>
              <w:spacing w:line="360" w:lineRule="auto"/>
              <w:jc w:val="center"/>
              <w:rPr>
                <w:rFonts w:hint="eastAsia" w:ascii="宋体" w:hAnsi="宋体" w:eastAsia="宋体" w:cs="宋体"/>
                <w:color w:val="000000"/>
                <w:szCs w:val="21"/>
              </w:rPr>
            </w:pPr>
          </w:p>
        </w:tc>
        <w:tc>
          <w:tcPr>
            <w:tcW w:w="1650" w:type="dxa"/>
            <w:tcBorders>
              <w:top w:val="single" w:color="000000" w:sz="4" w:space="0"/>
              <w:left w:val="single" w:color="000000" w:sz="4" w:space="0"/>
              <w:bottom w:val="single" w:color="000000" w:sz="4" w:space="0"/>
              <w:right w:val="single" w:color="000000" w:sz="4" w:space="0"/>
            </w:tcBorders>
            <w:noWrap w:val="0"/>
            <w:vAlign w:val="center"/>
          </w:tcPr>
          <w:p w14:paraId="2C6D8DD8">
            <w:pPr>
              <w:widowControl/>
              <w:spacing w:line="360" w:lineRule="auto"/>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社会融入</w:t>
            </w:r>
          </w:p>
        </w:tc>
        <w:tc>
          <w:tcPr>
            <w:tcW w:w="6504" w:type="dxa"/>
            <w:tcBorders>
              <w:top w:val="single" w:color="000000" w:sz="4" w:space="0"/>
              <w:left w:val="single" w:color="000000" w:sz="4" w:space="0"/>
              <w:bottom w:val="single" w:color="000000" w:sz="4" w:space="0"/>
              <w:right w:val="single" w:color="000000" w:sz="4" w:space="0"/>
            </w:tcBorders>
            <w:noWrap w:val="0"/>
            <w:vAlign w:val="center"/>
          </w:tcPr>
          <w:p w14:paraId="43652F33">
            <w:pPr>
              <w:widowControl/>
              <w:spacing w:line="360" w:lineRule="auto"/>
              <w:jc w:val="left"/>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引导服务对象参与社区活动/社区公共事务，建立邻里互助小组/社区支持网络。</w:t>
            </w:r>
          </w:p>
        </w:tc>
      </w:tr>
      <w:tr w14:paraId="6B464F64">
        <w:tblPrEx>
          <w:tblCellMar>
            <w:top w:w="0" w:type="dxa"/>
            <w:left w:w="108" w:type="dxa"/>
            <w:bottom w:w="0" w:type="dxa"/>
            <w:right w:w="108" w:type="dxa"/>
          </w:tblCellMar>
        </w:tblPrEx>
        <w:trPr>
          <w:trHeight w:val="2120" w:hRule="atLeast"/>
          <w:jc w:val="center"/>
        </w:trPr>
        <w:tc>
          <w:tcPr>
            <w:tcW w:w="1495" w:type="dxa"/>
            <w:vMerge w:val="continue"/>
            <w:tcBorders>
              <w:top w:val="single" w:color="000000" w:sz="4" w:space="0"/>
              <w:left w:val="single" w:color="000000" w:sz="4" w:space="0"/>
              <w:bottom w:val="single" w:color="000000" w:sz="4" w:space="0"/>
              <w:right w:val="single" w:color="000000" w:sz="4" w:space="0"/>
            </w:tcBorders>
            <w:noWrap w:val="0"/>
            <w:vAlign w:val="center"/>
          </w:tcPr>
          <w:p w14:paraId="2F2F0208">
            <w:pPr>
              <w:spacing w:line="360" w:lineRule="auto"/>
              <w:jc w:val="center"/>
              <w:rPr>
                <w:rFonts w:hint="eastAsia" w:ascii="宋体" w:hAnsi="宋体" w:eastAsia="宋体" w:cs="宋体"/>
                <w:color w:val="000000"/>
                <w:szCs w:val="21"/>
              </w:rPr>
            </w:pPr>
          </w:p>
        </w:tc>
        <w:tc>
          <w:tcPr>
            <w:tcW w:w="1650" w:type="dxa"/>
            <w:tcBorders>
              <w:top w:val="single" w:color="000000" w:sz="4" w:space="0"/>
              <w:left w:val="single" w:color="000000" w:sz="4" w:space="0"/>
              <w:bottom w:val="single" w:color="000000" w:sz="4" w:space="0"/>
              <w:right w:val="single" w:color="000000" w:sz="4" w:space="0"/>
            </w:tcBorders>
            <w:noWrap w:val="0"/>
            <w:vAlign w:val="center"/>
          </w:tcPr>
          <w:p w14:paraId="368C9C7E">
            <w:pPr>
              <w:widowControl/>
              <w:spacing w:line="360" w:lineRule="auto"/>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生活无着流浪乞讨人员救助服务（救助管理机构）</w:t>
            </w:r>
          </w:p>
        </w:tc>
        <w:tc>
          <w:tcPr>
            <w:tcW w:w="6504" w:type="dxa"/>
            <w:tcBorders>
              <w:top w:val="single" w:color="000000" w:sz="4" w:space="0"/>
              <w:left w:val="single" w:color="000000" w:sz="4" w:space="0"/>
              <w:bottom w:val="single" w:color="000000" w:sz="4" w:space="0"/>
              <w:right w:val="single" w:color="000000" w:sz="4" w:space="0"/>
            </w:tcBorders>
            <w:noWrap w:val="0"/>
            <w:vAlign w:val="center"/>
          </w:tcPr>
          <w:p w14:paraId="5AFA9FC3">
            <w:pPr>
              <w:widowControl/>
              <w:spacing w:line="360" w:lineRule="auto"/>
              <w:jc w:val="left"/>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为进入救助管理机构的流浪乞讨人员和庇护对象提供咨询接待、引导、转介及心理辅导、行为矫治、文化娱乐等服务。为受助人员及其他滞留在机构人员建立服务档案，帮助寻找失散亲人重归家庭。协助救助管理机构开展街面巡查，及时发现、劝导、护送流浪乞讨人员，使其得到及时救助。协助救助管理机构开展数据动态管理和政策宣传，链接社会资源开展有关服务。</w:t>
            </w:r>
          </w:p>
        </w:tc>
      </w:tr>
      <w:tr w14:paraId="5B103A9C">
        <w:tblPrEx>
          <w:tblCellMar>
            <w:top w:w="0" w:type="dxa"/>
            <w:left w:w="108" w:type="dxa"/>
            <w:bottom w:w="0" w:type="dxa"/>
            <w:right w:w="108" w:type="dxa"/>
          </w:tblCellMar>
        </w:tblPrEx>
        <w:trPr>
          <w:trHeight w:val="1248" w:hRule="atLeast"/>
          <w:jc w:val="center"/>
        </w:trPr>
        <w:tc>
          <w:tcPr>
            <w:tcW w:w="1495" w:type="dxa"/>
            <w:vMerge w:val="restart"/>
            <w:tcBorders>
              <w:top w:val="single" w:color="000000" w:sz="4" w:space="0"/>
              <w:left w:val="single" w:color="000000" w:sz="4" w:space="0"/>
              <w:bottom w:val="single" w:color="000000" w:sz="4" w:space="0"/>
              <w:right w:val="single" w:color="000000" w:sz="4" w:space="0"/>
            </w:tcBorders>
            <w:noWrap w:val="0"/>
            <w:vAlign w:val="center"/>
          </w:tcPr>
          <w:p w14:paraId="588AF471">
            <w:pPr>
              <w:widowControl/>
              <w:spacing w:line="360" w:lineRule="auto"/>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（二）养老服务</w:t>
            </w:r>
          </w:p>
        </w:tc>
        <w:tc>
          <w:tcPr>
            <w:tcW w:w="1650" w:type="dxa"/>
            <w:tcBorders>
              <w:top w:val="single" w:color="000000" w:sz="4" w:space="0"/>
              <w:left w:val="single" w:color="000000" w:sz="4" w:space="0"/>
              <w:bottom w:val="single" w:color="000000" w:sz="4" w:space="0"/>
              <w:right w:val="single" w:color="000000" w:sz="4" w:space="0"/>
            </w:tcBorders>
            <w:noWrap w:val="0"/>
            <w:vAlign w:val="center"/>
          </w:tcPr>
          <w:p w14:paraId="1671852B">
            <w:pPr>
              <w:widowControl/>
              <w:spacing w:line="360" w:lineRule="auto"/>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健康服务</w:t>
            </w:r>
          </w:p>
        </w:tc>
        <w:tc>
          <w:tcPr>
            <w:tcW w:w="6504" w:type="dxa"/>
            <w:tcBorders>
              <w:top w:val="single" w:color="000000" w:sz="4" w:space="0"/>
              <w:left w:val="single" w:color="000000" w:sz="4" w:space="0"/>
              <w:bottom w:val="single" w:color="000000" w:sz="4" w:space="0"/>
              <w:right w:val="single" w:color="000000" w:sz="4" w:space="0"/>
            </w:tcBorders>
            <w:noWrap w:val="0"/>
            <w:vAlign w:val="center"/>
          </w:tcPr>
          <w:p w14:paraId="62197DAF">
            <w:pPr>
              <w:widowControl/>
              <w:spacing w:line="360" w:lineRule="auto"/>
              <w:jc w:val="left"/>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提供与老人身心健康直接相关的预防、康复、治疗等方面的服务，包括健康风险评估、老年健康知识宣传推广、老年健康咨询等；为老人开展健康照顾的有关服务，包括出行协助、生活照料、信息服务等。</w:t>
            </w:r>
          </w:p>
        </w:tc>
      </w:tr>
      <w:tr w14:paraId="7E5C41D8">
        <w:tblPrEx>
          <w:tblCellMar>
            <w:top w:w="0" w:type="dxa"/>
            <w:left w:w="108" w:type="dxa"/>
            <w:bottom w:w="0" w:type="dxa"/>
            <w:right w:w="108" w:type="dxa"/>
          </w:tblCellMar>
        </w:tblPrEx>
        <w:trPr>
          <w:trHeight w:val="1260" w:hRule="atLeast"/>
          <w:jc w:val="center"/>
        </w:trPr>
        <w:tc>
          <w:tcPr>
            <w:tcW w:w="1495" w:type="dxa"/>
            <w:vMerge w:val="continue"/>
            <w:tcBorders>
              <w:top w:val="single" w:color="000000" w:sz="4" w:space="0"/>
              <w:left w:val="single" w:color="000000" w:sz="4" w:space="0"/>
              <w:bottom w:val="single" w:color="000000" w:sz="4" w:space="0"/>
              <w:right w:val="single" w:color="000000" w:sz="4" w:space="0"/>
            </w:tcBorders>
            <w:noWrap w:val="0"/>
            <w:vAlign w:val="center"/>
          </w:tcPr>
          <w:p w14:paraId="6ECC84DA">
            <w:pPr>
              <w:spacing w:line="360" w:lineRule="auto"/>
              <w:jc w:val="center"/>
              <w:rPr>
                <w:rFonts w:hint="eastAsia" w:ascii="宋体" w:hAnsi="宋体" w:eastAsia="宋体" w:cs="宋体"/>
                <w:color w:val="000000"/>
                <w:szCs w:val="21"/>
              </w:rPr>
            </w:pPr>
          </w:p>
        </w:tc>
        <w:tc>
          <w:tcPr>
            <w:tcW w:w="1650" w:type="dxa"/>
            <w:tcBorders>
              <w:top w:val="single" w:color="000000" w:sz="4" w:space="0"/>
              <w:left w:val="single" w:color="000000" w:sz="4" w:space="0"/>
              <w:bottom w:val="single" w:color="000000" w:sz="4" w:space="0"/>
              <w:right w:val="single" w:color="000000" w:sz="4" w:space="0"/>
            </w:tcBorders>
            <w:noWrap w:val="0"/>
            <w:vAlign w:val="center"/>
          </w:tcPr>
          <w:p w14:paraId="683199E2">
            <w:pPr>
              <w:widowControl/>
              <w:spacing w:line="360" w:lineRule="auto"/>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救助服务</w:t>
            </w:r>
          </w:p>
        </w:tc>
        <w:tc>
          <w:tcPr>
            <w:tcW w:w="6504" w:type="dxa"/>
            <w:tcBorders>
              <w:top w:val="single" w:color="000000" w:sz="4" w:space="0"/>
              <w:left w:val="single" w:color="000000" w:sz="4" w:space="0"/>
              <w:bottom w:val="single" w:color="000000" w:sz="4" w:space="0"/>
              <w:right w:val="single" w:color="000000" w:sz="4" w:space="0"/>
            </w:tcBorders>
            <w:noWrap w:val="0"/>
            <w:vAlign w:val="center"/>
          </w:tcPr>
          <w:p w14:paraId="46601FF0">
            <w:pPr>
              <w:widowControl/>
              <w:spacing w:line="360" w:lineRule="auto"/>
              <w:jc w:val="left"/>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协助评估老人身体状况、居住环境、经济状况等，摸底排查特殊困难老人生活状况，确立风险等级。协助符合条件的老人申请最低生活保障、特困人员供养、医疗救助、住房救助等社会救助政策。链接爱心慈善资金、志愿服务等社会资源为特殊困难老人提供援助。</w:t>
            </w:r>
          </w:p>
        </w:tc>
      </w:tr>
      <w:tr w14:paraId="64D8704E">
        <w:tblPrEx>
          <w:tblCellMar>
            <w:top w:w="0" w:type="dxa"/>
            <w:left w:w="108" w:type="dxa"/>
            <w:bottom w:w="0" w:type="dxa"/>
            <w:right w:w="108" w:type="dxa"/>
          </w:tblCellMar>
        </w:tblPrEx>
        <w:trPr>
          <w:trHeight w:val="1248" w:hRule="atLeast"/>
          <w:jc w:val="center"/>
        </w:trPr>
        <w:tc>
          <w:tcPr>
            <w:tcW w:w="1495" w:type="dxa"/>
            <w:vMerge w:val="continue"/>
            <w:tcBorders>
              <w:top w:val="single" w:color="000000" w:sz="4" w:space="0"/>
              <w:left w:val="single" w:color="000000" w:sz="4" w:space="0"/>
              <w:bottom w:val="single" w:color="000000" w:sz="4" w:space="0"/>
              <w:right w:val="single" w:color="000000" w:sz="4" w:space="0"/>
            </w:tcBorders>
            <w:noWrap w:val="0"/>
            <w:vAlign w:val="center"/>
          </w:tcPr>
          <w:p w14:paraId="3667018D">
            <w:pPr>
              <w:spacing w:line="360" w:lineRule="auto"/>
              <w:jc w:val="center"/>
              <w:rPr>
                <w:rFonts w:hint="eastAsia" w:ascii="宋体" w:hAnsi="宋体" w:eastAsia="宋体" w:cs="宋体"/>
                <w:color w:val="000000"/>
                <w:szCs w:val="21"/>
              </w:rPr>
            </w:pPr>
          </w:p>
        </w:tc>
        <w:tc>
          <w:tcPr>
            <w:tcW w:w="1650" w:type="dxa"/>
            <w:tcBorders>
              <w:top w:val="single" w:color="000000" w:sz="4" w:space="0"/>
              <w:left w:val="single" w:color="000000" w:sz="4" w:space="0"/>
              <w:bottom w:val="single" w:color="000000" w:sz="4" w:space="0"/>
              <w:right w:val="single" w:color="000000" w:sz="4" w:space="0"/>
            </w:tcBorders>
            <w:noWrap w:val="0"/>
            <w:vAlign w:val="center"/>
          </w:tcPr>
          <w:p w14:paraId="3669C127">
            <w:pPr>
              <w:widowControl/>
              <w:spacing w:line="360" w:lineRule="auto"/>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精神慰藉</w:t>
            </w:r>
          </w:p>
        </w:tc>
        <w:tc>
          <w:tcPr>
            <w:tcW w:w="6504" w:type="dxa"/>
            <w:tcBorders>
              <w:top w:val="single" w:color="000000" w:sz="4" w:space="0"/>
              <w:left w:val="single" w:color="000000" w:sz="4" w:space="0"/>
              <w:bottom w:val="single" w:color="000000" w:sz="4" w:space="0"/>
              <w:right w:val="single" w:color="000000" w:sz="4" w:space="0"/>
            </w:tcBorders>
            <w:noWrap w:val="0"/>
            <w:vAlign w:val="center"/>
          </w:tcPr>
          <w:p w14:paraId="5E77EFF6">
            <w:pPr>
              <w:widowControl/>
              <w:spacing w:line="360" w:lineRule="auto"/>
              <w:jc w:val="left"/>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协助专业人士对老人做认知和情绪问题评估，识别和诊断老人认知与情绪方面的问题。协助专业人士对患有抑郁症、痴呆症、谵妄和焦虑症等认知和情绪问题提供心理辅导。在精神上关怀老年人，帮助老年人适应角色转变，重新界定生命价值和人生意义。</w:t>
            </w:r>
          </w:p>
        </w:tc>
      </w:tr>
      <w:tr w14:paraId="015E3CB0">
        <w:tblPrEx>
          <w:tblCellMar>
            <w:top w:w="0" w:type="dxa"/>
            <w:left w:w="108" w:type="dxa"/>
            <w:bottom w:w="0" w:type="dxa"/>
            <w:right w:w="108" w:type="dxa"/>
          </w:tblCellMar>
        </w:tblPrEx>
        <w:trPr>
          <w:trHeight w:val="1248" w:hRule="atLeast"/>
          <w:jc w:val="center"/>
        </w:trPr>
        <w:tc>
          <w:tcPr>
            <w:tcW w:w="1495" w:type="dxa"/>
            <w:vMerge w:val="continue"/>
            <w:tcBorders>
              <w:top w:val="single" w:color="000000" w:sz="4" w:space="0"/>
              <w:left w:val="single" w:color="000000" w:sz="4" w:space="0"/>
              <w:bottom w:val="single" w:color="000000" w:sz="4" w:space="0"/>
              <w:right w:val="single" w:color="000000" w:sz="4" w:space="0"/>
            </w:tcBorders>
            <w:noWrap w:val="0"/>
            <w:vAlign w:val="center"/>
          </w:tcPr>
          <w:p w14:paraId="706EF4B4">
            <w:pPr>
              <w:spacing w:line="360" w:lineRule="auto"/>
              <w:jc w:val="center"/>
              <w:rPr>
                <w:rFonts w:hint="eastAsia" w:ascii="宋体" w:hAnsi="宋体" w:eastAsia="宋体" w:cs="宋体"/>
                <w:color w:val="000000"/>
                <w:szCs w:val="21"/>
              </w:rPr>
            </w:pPr>
          </w:p>
        </w:tc>
        <w:tc>
          <w:tcPr>
            <w:tcW w:w="1650" w:type="dxa"/>
            <w:tcBorders>
              <w:top w:val="single" w:color="000000" w:sz="4" w:space="0"/>
              <w:left w:val="single" w:color="000000" w:sz="4" w:space="0"/>
              <w:bottom w:val="single" w:color="000000" w:sz="4" w:space="0"/>
              <w:right w:val="single" w:color="000000" w:sz="4" w:space="0"/>
            </w:tcBorders>
            <w:noWrap w:val="0"/>
            <w:vAlign w:val="center"/>
          </w:tcPr>
          <w:p w14:paraId="2874A43E">
            <w:pPr>
              <w:widowControl/>
              <w:spacing w:line="360" w:lineRule="auto"/>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社会支持网络建立</w:t>
            </w:r>
          </w:p>
        </w:tc>
        <w:tc>
          <w:tcPr>
            <w:tcW w:w="6504" w:type="dxa"/>
            <w:tcBorders>
              <w:top w:val="single" w:color="000000" w:sz="4" w:space="0"/>
              <w:left w:val="single" w:color="000000" w:sz="4" w:space="0"/>
              <w:bottom w:val="single" w:color="000000" w:sz="4" w:space="0"/>
              <w:right w:val="single" w:color="000000" w:sz="4" w:space="0"/>
            </w:tcBorders>
            <w:noWrap w:val="0"/>
            <w:vAlign w:val="center"/>
          </w:tcPr>
          <w:p w14:paraId="020D50F2">
            <w:pPr>
              <w:widowControl/>
              <w:spacing w:line="360" w:lineRule="auto"/>
              <w:jc w:val="left"/>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举办各类康娱小组/交流活动，丰富老年人精神文化生活。推动建立老年人互助小组/学习小组/ 建立组员支持网络。建立照顾者支持体系，为老人照顾者提供喘息服务。开展爱老社区倡导，传承中华民族尊老敬老的美德。</w:t>
            </w:r>
          </w:p>
        </w:tc>
      </w:tr>
      <w:tr w14:paraId="4A40CF7C">
        <w:tblPrEx>
          <w:tblCellMar>
            <w:top w:w="0" w:type="dxa"/>
            <w:left w:w="108" w:type="dxa"/>
            <w:bottom w:w="0" w:type="dxa"/>
            <w:right w:w="108" w:type="dxa"/>
          </w:tblCellMar>
        </w:tblPrEx>
        <w:trPr>
          <w:trHeight w:val="2340" w:hRule="atLeast"/>
          <w:jc w:val="center"/>
        </w:trPr>
        <w:tc>
          <w:tcPr>
            <w:tcW w:w="1495" w:type="dxa"/>
            <w:vMerge w:val="continue"/>
            <w:tcBorders>
              <w:top w:val="single" w:color="000000" w:sz="4" w:space="0"/>
              <w:left w:val="single" w:color="000000" w:sz="4" w:space="0"/>
              <w:bottom w:val="single" w:color="000000" w:sz="4" w:space="0"/>
              <w:right w:val="single" w:color="000000" w:sz="4" w:space="0"/>
            </w:tcBorders>
            <w:noWrap w:val="0"/>
            <w:vAlign w:val="center"/>
          </w:tcPr>
          <w:p w14:paraId="107D70C7">
            <w:pPr>
              <w:spacing w:line="360" w:lineRule="auto"/>
              <w:jc w:val="center"/>
              <w:rPr>
                <w:rFonts w:hint="eastAsia" w:ascii="宋体" w:hAnsi="宋体" w:eastAsia="宋体" w:cs="宋体"/>
                <w:color w:val="000000"/>
                <w:szCs w:val="21"/>
              </w:rPr>
            </w:pPr>
          </w:p>
        </w:tc>
        <w:tc>
          <w:tcPr>
            <w:tcW w:w="1650" w:type="dxa"/>
            <w:tcBorders>
              <w:top w:val="single" w:color="000000" w:sz="4" w:space="0"/>
              <w:left w:val="single" w:color="000000" w:sz="4" w:space="0"/>
              <w:bottom w:val="single" w:color="000000" w:sz="4" w:space="0"/>
              <w:right w:val="single" w:color="000000" w:sz="4" w:space="0"/>
            </w:tcBorders>
            <w:noWrap w:val="0"/>
            <w:vAlign w:val="center"/>
          </w:tcPr>
          <w:p w14:paraId="6D3674AD">
            <w:pPr>
              <w:widowControl/>
              <w:spacing w:line="360" w:lineRule="auto"/>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权益保障</w:t>
            </w:r>
          </w:p>
        </w:tc>
        <w:tc>
          <w:tcPr>
            <w:tcW w:w="6504" w:type="dxa"/>
            <w:tcBorders>
              <w:top w:val="single" w:color="000000" w:sz="4" w:space="0"/>
              <w:left w:val="single" w:color="000000" w:sz="4" w:space="0"/>
              <w:bottom w:val="single" w:color="000000" w:sz="4" w:space="0"/>
              <w:right w:val="single" w:color="000000" w:sz="4" w:space="0"/>
            </w:tcBorders>
            <w:noWrap w:val="0"/>
            <w:vAlign w:val="center"/>
          </w:tcPr>
          <w:p w14:paraId="096B2D5A">
            <w:pPr>
              <w:widowControl/>
              <w:spacing w:line="360" w:lineRule="auto"/>
              <w:jc w:val="left"/>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与有关部门和专业人士共同维护和保障老年人的财产处置和婚姻自由等合法权益不受侵犯。排查老年人有可能遭遇的风险，包括受虐待、被遗弃或疏于照顾等特殊问题，经发现后及时开展危机介入服务。协助老年人开展养老规划，帮助和引导符合条件的老年人申请和享受来自街道（乡镇）、村（居）和养老机构的有关服务和政策支持。开展社区宣传和社区教育，防止老人遭遇不公平对待或社会歧视。</w:t>
            </w:r>
          </w:p>
        </w:tc>
      </w:tr>
      <w:tr w14:paraId="27607515">
        <w:tblPrEx>
          <w:tblCellMar>
            <w:top w:w="0" w:type="dxa"/>
            <w:left w:w="108" w:type="dxa"/>
            <w:bottom w:w="0" w:type="dxa"/>
            <w:right w:w="108" w:type="dxa"/>
          </w:tblCellMar>
        </w:tblPrEx>
        <w:trPr>
          <w:trHeight w:val="2184" w:hRule="atLeast"/>
          <w:jc w:val="center"/>
        </w:trPr>
        <w:tc>
          <w:tcPr>
            <w:tcW w:w="1495" w:type="dxa"/>
            <w:vMerge w:val="continue"/>
            <w:tcBorders>
              <w:top w:val="single" w:color="000000" w:sz="4" w:space="0"/>
              <w:left w:val="single" w:color="000000" w:sz="4" w:space="0"/>
              <w:bottom w:val="single" w:color="000000" w:sz="4" w:space="0"/>
              <w:right w:val="single" w:color="000000" w:sz="4" w:space="0"/>
            </w:tcBorders>
            <w:noWrap w:val="0"/>
            <w:vAlign w:val="center"/>
          </w:tcPr>
          <w:p w14:paraId="14807FA4">
            <w:pPr>
              <w:spacing w:line="360" w:lineRule="auto"/>
              <w:jc w:val="center"/>
              <w:rPr>
                <w:rFonts w:hint="eastAsia" w:ascii="宋体" w:hAnsi="宋体" w:eastAsia="宋体" w:cs="宋体"/>
                <w:color w:val="000000"/>
                <w:szCs w:val="21"/>
              </w:rPr>
            </w:pPr>
          </w:p>
        </w:tc>
        <w:tc>
          <w:tcPr>
            <w:tcW w:w="1650" w:type="dxa"/>
            <w:tcBorders>
              <w:top w:val="single" w:color="000000" w:sz="4" w:space="0"/>
              <w:left w:val="single" w:color="000000" w:sz="4" w:space="0"/>
              <w:bottom w:val="single" w:color="000000" w:sz="4" w:space="0"/>
              <w:right w:val="single" w:color="000000" w:sz="4" w:space="0"/>
            </w:tcBorders>
            <w:noWrap w:val="0"/>
            <w:vAlign w:val="center"/>
          </w:tcPr>
          <w:p w14:paraId="7C638D51">
            <w:pPr>
              <w:widowControl/>
              <w:spacing w:line="360" w:lineRule="auto"/>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临终关怀</w:t>
            </w:r>
          </w:p>
        </w:tc>
        <w:tc>
          <w:tcPr>
            <w:tcW w:w="6504" w:type="dxa"/>
            <w:tcBorders>
              <w:top w:val="single" w:color="000000" w:sz="4" w:space="0"/>
              <w:left w:val="single" w:color="000000" w:sz="4" w:space="0"/>
              <w:bottom w:val="single" w:color="000000" w:sz="4" w:space="0"/>
              <w:right w:val="single" w:color="000000" w:sz="4" w:space="0"/>
            </w:tcBorders>
            <w:noWrap w:val="0"/>
            <w:vAlign w:val="center"/>
          </w:tcPr>
          <w:p w14:paraId="266803C1">
            <w:pPr>
              <w:widowControl/>
              <w:spacing w:line="360" w:lineRule="auto"/>
              <w:jc w:val="left"/>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开展生命教育，协助老人达成未了心愿，包括妥善安排遗嘱、器官捐赠等法律事宜，引导老年人及其家属建立理性的生死观。协助医护人员做好临终期老年人的疼痛和症状管理，包括音乐治疗、宠物治疗、艺术治疗。协助有需要的老人及其家属提供经济援助，缓解家庭经济压力。 动态评估老人及其家属的情绪变化，提供心理辅导和情感支持。开展丧亲后续服务，包括告别事宜、亲人离世后的哀伤辅导等。</w:t>
            </w:r>
          </w:p>
        </w:tc>
      </w:tr>
      <w:tr w14:paraId="1FF040AD">
        <w:tblPrEx>
          <w:tblCellMar>
            <w:top w:w="0" w:type="dxa"/>
            <w:left w:w="108" w:type="dxa"/>
            <w:bottom w:w="0" w:type="dxa"/>
            <w:right w:w="108" w:type="dxa"/>
          </w:tblCellMar>
        </w:tblPrEx>
        <w:trPr>
          <w:trHeight w:val="440" w:hRule="atLeast"/>
          <w:jc w:val="center"/>
        </w:trPr>
        <w:tc>
          <w:tcPr>
            <w:tcW w:w="1495" w:type="dxa"/>
            <w:vMerge w:val="restart"/>
            <w:tcBorders>
              <w:top w:val="single" w:color="000000" w:sz="4" w:space="0"/>
              <w:left w:val="single" w:color="000000" w:sz="4" w:space="0"/>
              <w:bottom w:val="single" w:color="000000" w:sz="4" w:space="0"/>
              <w:right w:val="single" w:color="000000" w:sz="4" w:space="0"/>
            </w:tcBorders>
            <w:noWrap w:val="0"/>
            <w:vAlign w:val="center"/>
          </w:tcPr>
          <w:p w14:paraId="40BD7F96">
            <w:pPr>
              <w:widowControl/>
              <w:spacing w:line="360" w:lineRule="auto"/>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（三） 儿童福利</w:t>
            </w:r>
          </w:p>
        </w:tc>
        <w:tc>
          <w:tcPr>
            <w:tcW w:w="1650" w:type="dxa"/>
            <w:tcBorders>
              <w:top w:val="single" w:color="000000" w:sz="4" w:space="0"/>
              <w:left w:val="single" w:color="000000" w:sz="4" w:space="0"/>
              <w:bottom w:val="single" w:color="000000" w:sz="4" w:space="0"/>
              <w:right w:val="single" w:color="000000" w:sz="4" w:space="0"/>
            </w:tcBorders>
            <w:noWrap w:val="0"/>
            <w:vAlign w:val="center"/>
          </w:tcPr>
          <w:p w14:paraId="6025F0C2">
            <w:pPr>
              <w:widowControl/>
              <w:spacing w:line="360" w:lineRule="auto"/>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救助保护</w:t>
            </w:r>
          </w:p>
        </w:tc>
        <w:tc>
          <w:tcPr>
            <w:tcW w:w="6504" w:type="dxa"/>
            <w:tcBorders>
              <w:top w:val="single" w:color="000000" w:sz="4" w:space="0"/>
              <w:left w:val="single" w:color="000000" w:sz="4" w:space="0"/>
              <w:bottom w:val="single" w:color="000000" w:sz="4" w:space="0"/>
              <w:right w:val="single" w:color="000000" w:sz="4" w:space="0"/>
            </w:tcBorders>
            <w:noWrap w:val="0"/>
            <w:vAlign w:val="center"/>
          </w:tcPr>
          <w:p w14:paraId="1D7DFB67">
            <w:pPr>
              <w:widowControl/>
              <w:spacing w:line="360" w:lineRule="auto"/>
              <w:jc w:val="left"/>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协助开展家庭随访，评估儿童成长和生活中面临的问题和需求，识别困境儿童并确 保其得到妥善照料。及时发现和报告遭受或疑似遭受家庭暴力或其他受虐行为，协同相关部门做好风险排查。链接社会资源为遭遇家庭暴力、虐待等问题的孩子提供临时庇护、调查取证、医疗救助、法律援助、心理疏导等服务。为困境儿童提供物质援助和关爱服务。</w:t>
            </w:r>
          </w:p>
        </w:tc>
      </w:tr>
      <w:tr w14:paraId="25435394">
        <w:tblPrEx>
          <w:tblCellMar>
            <w:top w:w="0" w:type="dxa"/>
            <w:left w:w="108" w:type="dxa"/>
            <w:bottom w:w="0" w:type="dxa"/>
            <w:right w:w="108" w:type="dxa"/>
          </w:tblCellMar>
        </w:tblPrEx>
        <w:trPr>
          <w:trHeight w:val="1248" w:hRule="atLeast"/>
          <w:jc w:val="center"/>
        </w:trPr>
        <w:tc>
          <w:tcPr>
            <w:tcW w:w="1495" w:type="dxa"/>
            <w:vMerge w:val="continue"/>
            <w:tcBorders>
              <w:top w:val="single" w:color="000000" w:sz="4" w:space="0"/>
              <w:left w:val="single" w:color="000000" w:sz="4" w:space="0"/>
              <w:bottom w:val="single" w:color="000000" w:sz="4" w:space="0"/>
              <w:right w:val="single" w:color="000000" w:sz="4" w:space="0"/>
            </w:tcBorders>
            <w:noWrap w:val="0"/>
            <w:vAlign w:val="center"/>
          </w:tcPr>
          <w:p w14:paraId="50BBE3BC">
            <w:pPr>
              <w:spacing w:line="360" w:lineRule="auto"/>
              <w:jc w:val="center"/>
              <w:rPr>
                <w:rFonts w:hint="eastAsia" w:ascii="宋体" w:hAnsi="宋体" w:eastAsia="宋体" w:cs="宋体"/>
                <w:color w:val="000000"/>
                <w:szCs w:val="21"/>
              </w:rPr>
            </w:pPr>
          </w:p>
        </w:tc>
        <w:tc>
          <w:tcPr>
            <w:tcW w:w="1650" w:type="dxa"/>
            <w:tcBorders>
              <w:top w:val="single" w:color="000000" w:sz="4" w:space="0"/>
              <w:left w:val="single" w:color="000000" w:sz="4" w:space="0"/>
              <w:bottom w:val="single" w:color="000000" w:sz="4" w:space="0"/>
              <w:right w:val="single" w:color="000000" w:sz="4" w:space="0"/>
            </w:tcBorders>
            <w:noWrap w:val="0"/>
            <w:vAlign w:val="center"/>
          </w:tcPr>
          <w:p w14:paraId="26E5D4B5">
            <w:pPr>
              <w:widowControl/>
              <w:spacing w:line="360" w:lineRule="auto"/>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家庭教育</w:t>
            </w:r>
          </w:p>
        </w:tc>
        <w:tc>
          <w:tcPr>
            <w:tcW w:w="6504" w:type="dxa"/>
            <w:tcBorders>
              <w:top w:val="single" w:color="000000" w:sz="4" w:space="0"/>
              <w:left w:val="single" w:color="000000" w:sz="4" w:space="0"/>
              <w:bottom w:val="single" w:color="000000" w:sz="4" w:space="0"/>
              <w:right w:val="single" w:color="000000" w:sz="4" w:space="0"/>
            </w:tcBorders>
            <w:noWrap w:val="0"/>
            <w:vAlign w:val="center"/>
          </w:tcPr>
          <w:p w14:paraId="26FC53A1">
            <w:pPr>
              <w:widowControl/>
              <w:spacing w:line="360" w:lineRule="auto"/>
              <w:jc w:val="left"/>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面向儿童的父母和家庭普及科学育儿理念。开展儿童监护法制宣传和家庭暴力预防教育。指导儿童监护人履行抚养义务和监护责任。调适亲子关系、代际关系建设和谐家庭。增进家庭情感联结和亲情交流。</w:t>
            </w:r>
          </w:p>
        </w:tc>
      </w:tr>
      <w:tr w14:paraId="53EEEB1D">
        <w:tblPrEx>
          <w:tblCellMar>
            <w:top w:w="0" w:type="dxa"/>
            <w:left w:w="108" w:type="dxa"/>
            <w:bottom w:w="0" w:type="dxa"/>
            <w:right w:w="108" w:type="dxa"/>
          </w:tblCellMar>
        </w:tblPrEx>
        <w:trPr>
          <w:trHeight w:val="936" w:hRule="atLeast"/>
          <w:jc w:val="center"/>
        </w:trPr>
        <w:tc>
          <w:tcPr>
            <w:tcW w:w="1495" w:type="dxa"/>
            <w:vMerge w:val="continue"/>
            <w:tcBorders>
              <w:top w:val="single" w:color="000000" w:sz="4" w:space="0"/>
              <w:left w:val="single" w:color="000000" w:sz="4" w:space="0"/>
              <w:bottom w:val="single" w:color="000000" w:sz="4" w:space="0"/>
              <w:right w:val="single" w:color="000000" w:sz="4" w:space="0"/>
            </w:tcBorders>
            <w:noWrap w:val="0"/>
            <w:vAlign w:val="center"/>
          </w:tcPr>
          <w:p w14:paraId="3DE62AF1">
            <w:pPr>
              <w:spacing w:line="360" w:lineRule="auto"/>
              <w:jc w:val="center"/>
              <w:rPr>
                <w:rFonts w:hint="eastAsia" w:ascii="宋体" w:hAnsi="宋体" w:eastAsia="宋体" w:cs="宋体"/>
                <w:color w:val="000000"/>
                <w:szCs w:val="21"/>
              </w:rPr>
            </w:pPr>
          </w:p>
        </w:tc>
        <w:tc>
          <w:tcPr>
            <w:tcW w:w="1650" w:type="dxa"/>
            <w:tcBorders>
              <w:top w:val="single" w:color="000000" w:sz="4" w:space="0"/>
              <w:left w:val="single" w:color="000000" w:sz="4" w:space="0"/>
              <w:bottom w:val="single" w:color="000000" w:sz="4" w:space="0"/>
              <w:right w:val="single" w:color="000000" w:sz="4" w:space="0"/>
            </w:tcBorders>
            <w:noWrap w:val="0"/>
            <w:vAlign w:val="center"/>
          </w:tcPr>
          <w:p w14:paraId="33E14F5E">
            <w:pPr>
              <w:widowControl/>
              <w:spacing w:line="360" w:lineRule="auto"/>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社会关爱</w:t>
            </w:r>
          </w:p>
        </w:tc>
        <w:tc>
          <w:tcPr>
            <w:tcW w:w="6504" w:type="dxa"/>
            <w:tcBorders>
              <w:top w:val="single" w:color="000000" w:sz="4" w:space="0"/>
              <w:left w:val="single" w:color="000000" w:sz="4" w:space="0"/>
              <w:bottom w:val="single" w:color="000000" w:sz="4" w:space="0"/>
              <w:right w:val="single" w:color="000000" w:sz="4" w:space="0"/>
            </w:tcBorders>
            <w:noWrap w:val="0"/>
            <w:vAlign w:val="center"/>
          </w:tcPr>
          <w:p w14:paraId="2297F675">
            <w:pPr>
              <w:widowControl/>
              <w:spacing w:line="360" w:lineRule="auto"/>
              <w:jc w:val="left"/>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协助学校和社区开展儿童安全教育。提供儿童心理健康教育和心理支持。开展儿童社会化引导促进社会融入。建立儿童友好社区，帮助儿童健康成长。</w:t>
            </w:r>
          </w:p>
        </w:tc>
      </w:tr>
      <w:tr w14:paraId="74B613DD">
        <w:tblPrEx>
          <w:tblCellMar>
            <w:top w:w="0" w:type="dxa"/>
            <w:left w:w="108" w:type="dxa"/>
            <w:bottom w:w="0" w:type="dxa"/>
            <w:right w:w="108" w:type="dxa"/>
          </w:tblCellMar>
        </w:tblPrEx>
        <w:trPr>
          <w:trHeight w:val="1872" w:hRule="atLeast"/>
          <w:jc w:val="center"/>
        </w:trPr>
        <w:tc>
          <w:tcPr>
            <w:tcW w:w="1495" w:type="dxa"/>
            <w:vMerge w:val="restart"/>
            <w:tcBorders>
              <w:top w:val="single" w:color="000000" w:sz="4" w:space="0"/>
              <w:left w:val="single" w:color="000000" w:sz="4" w:space="0"/>
              <w:bottom w:val="single" w:color="000000" w:sz="4" w:space="0"/>
              <w:right w:val="single" w:color="000000" w:sz="4" w:space="0"/>
            </w:tcBorders>
            <w:noWrap w:val="0"/>
            <w:vAlign w:val="center"/>
          </w:tcPr>
          <w:p w14:paraId="4AEBD470">
            <w:pPr>
              <w:widowControl/>
              <w:spacing w:line="360" w:lineRule="auto"/>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（四）社区治理</w:t>
            </w:r>
          </w:p>
        </w:tc>
        <w:tc>
          <w:tcPr>
            <w:tcW w:w="1650" w:type="dxa"/>
            <w:tcBorders>
              <w:top w:val="single" w:color="000000" w:sz="4" w:space="0"/>
              <w:left w:val="single" w:color="000000" w:sz="4" w:space="0"/>
              <w:bottom w:val="single" w:color="000000" w:sz="4" w:space="0"/>
              <w:right w:val="single" w:color="000000" w:sz="4" w:space="0"/>
            </w:tcBorders>
            <w:noWrap w:val="0"/>
            <w:vAlign w:val="center"/>
          </w:tcPr>
          <w:p w14:paraId="3DA75BC9">
            <w:pPr>
              <w:widowControl/>
              <w:spacing w:line="360" w:lineRule="auto"/>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社区公共服务</w:t>
            </w:r>
          </w:p>
        </w:tc>
        <w:tc>
          <w:tcPr>
            <w:tcW w:w="6504" w:type="dxa"/>
            <w:tcBorders>
              <w:top w:val="single" w:color="000000" w:sz="4" w:space="0"/>
              <w:left w:val="single" w:color="000000" w:sz="4" w:space="0"/>
              <w:bottom w:val="single" w:color="000000" w:sz="4" w:space="0"/>
              <w:right w:val="single" w:color="000000" w:sz="4" w:space="0"/>
            </w:tcBorders>
            <w:noWrap w:val="0"/>
            <w:vAlign w:val="center"/>
          </w:tcPr>
          <w:p w14:paraId="303211AC">
            <w:pPr>
              <w:widowControl/>
              <w:spacing w:line="360" w:lineRule="auto"/>
              <w:jc w:val="left"/>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盘活公共服务空间，形成社区居民休闲娱乐和参与公共事务的场所。开展就业政策咨询，鼓励引导就业人员适应市场需求投身经济建设。提供社区福利服务，关注社区弱势群体，协助解决困难。开展精神卫生服务，营造健康的社区心理支持环境。推动环境卫生治理，倡导健康文明的生活方式以及良好的卫生习惯。预防社区突发事件，保障社区治安有序。</w:t>
            </w:r>
          </w:p>
        </w:tc>
      </w:tr>
      <w:tr w14:paraId="30153BAB">
        <w:tblPrEx>
          <w:tblCellMar>
            <w:top w:w="0" w:type="dxa"/>
            <w:left w:w="108" w:type="dxa"/>
            <w:bottom w:w="0" w:type="dxa"/>
            <w:right w:w="108" w:type="dxa"/>
          </w:tblCellMar>
        </w:tblPrEx>
        <w:trPr>
          <w:trHeight w:val="624" w:hRule="atLeast"/>
          <w:jc w:val="center"/>
        </w:trPr>
        <w:tc>
          <w:tcPr>
            <w:tcW w:w="1495" w:type="dxa"/>
            <w:vMerge w:val="continue"/>
            <w:tcBorders>
              <w:top w:val="single" w:color="000000" w:sz="4" w:space="0"/>
              <w:left w:val="single" w:color="000000" w:sz="4" w:space="0"/>
              <w:bottom w:val="single" w:color="000000" w:sz="4" w:space="0"/>
              <w:right w:val="single" w:color="000000" w:sz="4" w:space="0"/>
            </w:tcBorders>
            <w:noWrap w:val="0"/>
            <w:vAlign w:val="center"/>
          </w:tcPr>
          <w:p w14:paraId="295D7667">
            <w:pPr>
              <w:spacing w:line="360" w:lineRule="auto"/>
              <w:jc w:val="center"/>
              <w:rPr>
                <w:rFonts w:hint="eastAsia" w:ascii="宋体" w:hAnsi="宋体" w:eastAsia="宋体" w:cs="宋体"/>
                <w:color w:val="000000"/>
                <w:szCs w:val="21"/>
              </w:rPr>
            </w:pPr>
          </w:p>
        </w:tc>
        <w:tc>
          <w:tcPr>
            <w:tcW w:w="1650" w:type="dxa"/>
            <w:tcBorders>
              <w:top w:val="single" w:color="000000" w:sz="4" w:space="0"/>
              <w:left w:val="single" w:color="000000" w:sz="4" w:space="0"/>
              <w:bottom w:val="single" w:color="000000" w:sz="4" w:space="0"/>
              <w:right w:val="single" w:color="000000" w:sz="4" w:space="0"/>
            </w:tcBorders>
            <w:noWrap w:val="0"/>
            <w:vAlign w:val="center"/>
          </w:tcPr>
          <w:p w14:paraId="24748D8B">
            <w:pPr>
              <w:widowControl/>
              <w:spacing w:line="360" w:lineRule="auto"/>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社区社会组织培育</w:t>
            </w:r>
          </w:p>
        </w:tc>
        <w:tc>
          <w:tcPr>
            <w:tcW w:w="6504" w:type="dxa"/>
            <w:tcBorders>
              <w:top w:val="single" w:color="000000" w:sz="4" w:space="0"/>
              <w:left w:val="single" w:color="000000" w:sz="4" w:space="0"/>
              <w:bottom w:val="single" w:color="000000" w:sz="4" w:space="0"/>
              <w:right w:val="single" w:color="000000" w:sz="4" w:space="0"/>
            </w:tcBorders>
            <w:noWrap w:val="0"/>
            <w:vAlign w:val="center"/>
          </w:tcPr>
          <w:p w14:paraId="32A3042A">
            <w:pPr>
              <w:widowControl/>
              <w:spacing w:line="360" w:lineRule="auto"/>
              <w:jc w:val="left"/>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挖掘社区骨干和社区资源，培育和发展各类社区社会组织，培育社区内生服务力量，促进社区居民自我服务。</w:t>
            </w:r>
          </w:p>
        </w:tc>
      </w:tr>
      <w:tr w14:paraId="6FB7FEFF">
        <w:tblPrEx>
          <w:tblCellMar>
            <w:top w:w="0" w:type="dxa"/>
            <w:left w:w="108" w:type="dxa"/>
            <w:bottom w:w="0" w:type="dxa"/>
            <w:right w:w="108" w:type="dxa"/>
          </w:tblCellMar>
        </w:tblPrEx>
        <w:trPr>
          <w:trHeight w:val="936" w:hRule="atLeast"/>
          <w:jc w:val="center"/>
        </w:trPr>
        <w:tc>
          <w:tcPr>
            <w:tcW w:w="1495" w:type="dxa"/>
            <w:vMerge w:val="continue"/>
            <w:tcBorders>
              <w:top w:val="single" w:color="000000" w:sz="4" w:space="0"/>
              <w:left w:val="single" w:color="000000" w:sz="4" w:space="0"/>
              <w:bottom w:val="single" w:color="000000" w:sz="4" w:space="0"/>
              <w:right w:val="single" w:color="000000" w:sz="4" w:space="0"/>
            </w:tcBorders>
            <w:noWrap w:val="0"/>
            <w:vAlign w:val="center"/>
          </w:tcPr>
          <w:p w14:paraId="726F02E5">
            <w:pPr>
              <w:spacing w:line="360" w:lineRule="auto"/>
              <w:jc w:val="center"/>
              <w:rPr>
                <w:rFonts w:hint="eastAsia" w:ascii="宋体" w:hAnsi="宋体" w:eastAsia="宋体" w:cs="宋体"/>
                <w:color w:val="000000"/>
                <w:szCs w:val="21"/>
              </w:rPr>
            </w:pPr>
          </w:p>
        </w:tc>
        <w:tc>
          <w:tcPr>
            <w:tcW w:w="1650" w:type="dxa"/>
            <w:tcBorders>
              <w:top w:val="single" w:color="000000" w:sz="4" w:space="0"/>
              <w:left w:val="single" w:color="000000" w:sz="4" w:space="0"/>
              <w:bottom w:val="single" w:color="000000" w:sz="4" w:space="0"/>
              <w:right w:val="single" w:color="000000" w:sz="4" w:space="0"/>
            </w:tcBorders>
            <w:noWrap w:val="0"/>
            <w:vAlign w:val="center"/>
          </w:tcPr>
          <w:p w14:paraId="62F66276">
            <w:pPr>
              <w:widowControl/>
              <w:spacing w:line="360" w:lineRule="auto"/>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社区志愿队伍建设</w:t>
            </w:r>
          </w:p>
        </w:tc>
        <w:tc>
          <w:tcPr>
            <w:tcW w:w="6504" w:type="dxa"/>
            <w:tcBorders>
              <w:top w:val="single" w:color="000000" w:sz="4" w:space="0"/>
              <w:left w:val="single" w:color="000000" w:sz="4" w:space="0"/>
              <w:bottom w:val="single" w:color="000000" w:sz="4" w:space="0"/>
              <w:right w:val="single" w:color="000000" w:sz="4" w:space="0"/>
            </w:tcBorders>
            <w:noWrap w:val="0"/>
            <w:vAlign w:val="center"/>
          </w:tcPr>
          <w:p w14:paraId="3C053EAE">
            <w:pPr>
              <w:widowControl/>
              <w:spacing w:line="360" w:lineRule="auto"/>
              <w:jc w:val="left"/>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指导社区志愿服务站点建设，推动建立志愿服务队伍，依托全国志愿服务信息系统做好志愿者的招募、注册、登记、培训、使用、激励和管理工作。</w:t>
            </w:r>
          </w:p>
        </w:tc>
      </w:tr>
      <w:tr w14:paraId="27AA3D5B">
        <w:tblPrEx>
          <w:tblCellMar>
            <w:top w:w="0" w:type="dxa"/>
            <w:left w:w="108" w:type="dxa"/>
            <w:bottom w:w="0" w:type="dxa"/>
            <w:right w:w="108" w:type="dxa"/>
          </w:tblCellMar>
        </w:tblPrEx>
        <w:trPr>
          <w:trHeight w:val="624" w:hRule="atLeast"/>
          <w:jc w:val="center"/>
        </w:trPr>
        <w:tc>
          <w:tcPr>
            <w:tcW w:w="1495" w:type="dxa"/>
            <w:vMerge w:val="continue"/>
            <w:tcBorders>
              <w:top w:val="single" w:color="000000" w:sz="4" w:space="0"/>
              <w:left w:val="single" w:color="000000" w:sz="4" w:space="0"/>
              <w:bottom w:val="single" w:color="000000" w:sz="4" w:space="0"/>
              <w:right w:val="single" w:color="000000" w:sz="4" w:space="0"/>
            </w:tcBorders>
            <w:noWrap w:val="0"/>
            <w:vAlign w:val="center"/>
          </w:tcPr>
          <w:p w14:paraId="3525E601">
            <w:pPr>
              <w:spacing w:line="360" w:lineRule="auto"/>
              <w:jc w:val="center"/>
              <w:rPr>
                <w:rFonts w:hint="eastAsia" w:ascii="宋体" w:hAnsi="宋体" w:eastAsia="宋体" w:cs="宋体"/>
                <w:color w:val="000000"/>
                <w:szCs w:val="21"/>
              </w:rPr>
            </w:pPr>
          </w:p>
        </w:tc>
        <w:tc>
          <w:tcPr>
            <w:tcW w:w="1650" w:type="dxa"/>
            <w:tcBorders>
              <w:top w:val="single" w:color="000000" w:sz="4" w:space="0"/>
              <w:left w:val="single" w:color="000000" w:sz="4" w:space="0"/>
              <w:bottom w:val="single" w:color="000000" w:sz="4" w:space="0"/>
              <w:right w:val="single" w:color="000000" w:sz="4" w:space="0"/>
            </w:tcBorders>
            <w:noWrap w:val="0"/>
            <w:vAlign w:val="center"/>
          </w:tcPr>
          <w:p w14:paraId="31787B72">
            <w:pPr>
              <w:widowControl/>
              <w:spacing w:line="360" w:lineRule="auto"/>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居民自治</w:t>
            </w:r>
          </w:p>
        </w:tc>
        <w:tc>
          <w:tcPr>
            <w:tcW w:w="6504" w:type="dxa"/>
            <w:tcBorders>
              <w:top w:val="single" w:color="000000" w:sz="4" w:space="0"/>
              <w:left w:val="single" w:color="000000" w:sz="4" w:space="0"/>
              <w:bottom w:val="single" w:color="000000" w:sz="4" w:space="0"/>
              <w:right w:val="single" w:color="000000" w:sz="4" w:space="0"/>
            </w:tcBorders>
            <w:noWrap w:val="0"/>
            <w:vAlign w:val="center"/>
          </w:tcPr>
          <w:p w14:paraId="30F955C4">
            <w:pPr>
              <w:widowControl/>
              <w:spacing w:line="360" w:lineRule="auto"/>
              <w:jc w:val="left"/>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引导居（村）民参与居（村）务管理，创新基层协商议事形式和活动载体，提升居（村）民自我管理、自我服务的意识和能力。</w:t>
            </w:r>
          </w:p>
        </w:tc>
      </w:tr>
      <w:tr w14:paraId="50BA02FE">
        <w:tblPrEx>
          <w:tblCellMar>
            <w:top w:w="0" w:type="dxa"/>
            <w:left w:w="108" w:type="dxa"/>
            <w:bottom w:w="0" w:type="dxa"/>
            <w:right w:w="108" w:type="dxa"/>
          </w:tblCellMar>
        </w:tblPrEx>
        <w:trPr>
          <w:trHeight w:val="1248" w:hRule="atLeast"/>
          <w:jc w:val="center"/>
        </w:trPr>
        <w:tc>
          <w:tcPr>
            <w:tcW w:w="1495" w:type="dxa"/>
            <w:vMerge w:val="restart"/>
            <w:tcBorders>
              <w:top w:val="single" w:color="000000" w:sz="4" w:space="0"/>
              <w:left w:val="single" w:color="000000" w:sz="4" w:space="0"/>
              <w:bottom w:val="single" w:color="000000" w:sz="4" w:space="0"/>
              <w:right w:val="single" w:color="000000" w:sz="4" w:space="0"/>
            </w:tcBorders>
            <w:noWrap w:val="0"/>
            <w:vAlign w:val="center"/>
          </w:tcPr>
          <w:p w14:paraId="4899CC65">
            <w:pPr>
              <w:widowControl/>
              <w:spacing w:line="360" w:lineRule="auto"/>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（五） 社会事务</w:t>
            </w:r>
          </w:p>
        </w:tc>
        <w:tc>
          <w:tcPr>
            <w:tcW w:w="1650" w:type="dxa"/>
            <w:tcBorders>
              <w:top w:val="single" w:color="000000" w:sz="4" w:space="0"/>
              <w:left w:val="single" w:color="000000" w:sz="4" w:space="0"/>
              <w:bottom w:val="single" w:color="000000" w:sz="4" w:space="0"/>
              <w:right w:val="single" w:color="000000" w:sz="4" w:space="0"/>
            </w:tcBorders>
            <w:noWrap w:val="0"/>
            <w:vAlign w:val="center"/>
          </w:tcPr>
          <w:p w14:paraId="20A88F40">
            <w:pPr>
              <w:widowControl/>
              <w:spacing w:line="360" w:lineRule="auto"/>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婚姻家庭服务</w:t>
            </w:r>
          </w:p>
        </w:tc>
        <w:tc>
          <w:tcPr>
            <w:tcW w:w="6504" w:type="dxa"/>
            <w:tcBorders>
              <w:top w:val="single" w:color="000000" w:sz="4" w:space="0"/>
              <w:left w:val="single" w:color="000000" w:sz="4" w:space="0"/>
              <w:bottom w:val="single" w:color="000000" w:sz="4" w:space="0"/>
              <w:right w:val="single" w:color="000000" w:sz="4" w:space="0"/>
            </w:tcBorders>
            <w:noWrap w:val="0"/>
            <w:vAlign w:val="center"/>
          </w:tcPr>
          <w:p w14:paraId="73B4FE3F">
            <w:pPr>
              <w:widowControl/>
              <w:spacing w:line="360" w:lineRule="auto"/>
              <w:jc w:val="left"/>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开展婚姻政策法规、婚俗改革宣传，加强婚恋观、婚育观教育；提供家庭行为学习及家庭心理健康教育；开展婚姻家庭辅导，预防发生家庭暴力等事件；为遭遇家庭暴力的成员及遭遇重大变故的家庭提供危机介入和帮助。</w:t>
            </w:r>
          </w:p>
        </w:tc>
      </w:tr>
      <w:tr w14:paraId="0F5A3E41">
        <w:tblPrEx>
          <w:tblCellMar>
            <w:top w:w="0" w:type="dxa"/>
            <w:left w:w="108" w:type="dxa"/>
            <w:bottom w:w="0" w:type="dxa"/>
            <w:right w:w="108" w:type="dxa"/>
          </w:tblCellMar>
        </w:tblPrEx>
        <w:trPr>
          <w:trHeight w:val="936" w:hRule="atLeast"/>
          <w:jc w:val="center"/>
        </w:trPr>
        <w:tc>
          <w:tcPr>
            <w:tcW w:w="1495" w:type="dxa"/>
            <w:vMerge w:val="continue"/>
            <w:tcBorders>
              <w:top w:val="single" w:color="000000" w:sz="4" w:space="0"/>
              <w:left w:val="single" w:color="000000" w:sz="4" w:space="0"/>
              <w:bottom w:val="single" w:color="000000" w:sz="4" w:space="0"/>
              <w:right w:val="single" w:color="000000" w:sz="4" w:space="0"/>
            </w:tcBorders>
            <w:noWrap w:val="0"/>
            <w:vAlign w:val="center"/>
          </w:tcPr>
          <w:p w14:paraId="2D4E27B5">
            <w:pPr>
              <w:spacing w:line="360" w:lineRule="auto"/>
              <w:jc w:val="center"/>
              <w:rPr>
                <w:rFonts w:hint="eastAsia" w:ascii="宋体" w:hAnsi="宋体" w:eastAsia="宋体" w:cs="宋体"/>
                <w:color w:val="000000"/>
                <w:szCs w:val="21"/>
              </w:rPr>
            </w:pPr>
          </w:p>
        </w:tc>
        <w:tc>
          <w:tcPr>
            <w:tcW w:w="1650" w:type="dxa"/>
            <w:tcBorders>
              <w:top w:val="single" w:color="000000" w:sz="4" w:space="0"/>
              <w:left w:val="single" w:color="000000" w:sz="4" w:space="0"/>
              <w:bottom w:val="single" w:color="000000" w:sz="4" w:space="0"/>
              <w:right w:val="single" w:color="000000" w:sz="4" w:space="0"/>
            </w:tcBorders>
            <w:noWrap w:val="0"/>
            <w:vAlign w:val="center"/>
          </w:tcPr>
          <w:p w14:paraId="609E62A2">
            <w:pPr>
              <w:widowControl/>
              <w:spacing w:line="360" w:lineRule="auto"/>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殡葬服务</w:t>
            </w:r>
          </w:p>
        </w:tc>
        <w:tc>
          <w:tcPr>
            <w:tcW w:w="6504" w:type="dxa"/>
            <w:tcBorders>
              <w:top w:val="single" w:color="000000" w:sz="4" w:space="0"/>
              <w:left w:val="single" w:color="000000" w:sz="4" w:space="0"/>
              <w:bottom w:val="single" w:color="000000" w:sz="4" w:space="0"/>
              <w:right w:val="single" w:color="000000" w:sz="4" w:space="0"/>
            </w:tcBorders>
            <w:noWrap w:val="0"/>
            <w:vAlign w:val="center"/>
          </w:tcPr>
          <w:p w14:paraId="5FE0B750">
            <w:pPr>
              <w:widowControl/>
              <w:spacing w:line="360" w:lineRule="auto"/>
              <w:jc w:val="left"/>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开展殡葬政策法规宣传，倡导绿色殡葬理念、节地生态安葬方式。向辖区居民提供治丧需求服务，协助对接殡葬服务机构，打通服务群众最后“一公里”，建立服务档案。</w:t>
            </w:r>
          </w:p>
        </w:tc>
      </w:tr>
      <w:tr w14:paraId="101FF5B7">
        <w:tblPrEx>
          <w:tblCellMar>
            <w:top w:w="0" w:type="dxa"/>
            <w:left w:w="108" w:type="dxa"/>
            <w:bottom w:w="0" w:type="dxa"/>
            <w:right w:w="108" w:type="dxa"/>
          </w:tblCellMar>
        </w:tblPrEx>
        <w:trPr>
          <w:trHeight w:val="2184" w:hRule="atLeast"/>
          <w:jc w:val="center"/>
        </w:trPr>
        <w:tc>
          <w:tcPr>
            <w:tcW w:w="1495" w:type="dxa"/>
            <w:vMerge w:val="continue"/>
            <w:tcBorders>
              <w:top w:val="single" w:color="000000" w:sz="4" w:space="0"/>
              <w:left w:val="single" w:color="000000" w:sz="4" w:space="0"/>
              <w:bottom w:val="single" w:color="000000" w:sz="4" w:space="0"/>
              <w:right w:val="single" w:color="000000" w:sz="4" w:space="0"/>
            </w:tcBorders>
            <w:noWrap w:val="0"/>
            <w:vAlign w:val="center"/>
          </w:tcPr>
          <w:p w14:paraId="7D579C84">
            <w:pPr>
              <w:spacing w:line="360" w:lineRule="auto"/>
              <w:jc w:val="center"/>
              <w:rPr>
                <w:rFonts w:hint="eastAsia" w:ascii="宋体" w:hAnsi="宋体" w:eastAsia="宋体" w:cs="宋体"/>
                <w:color w:val="000000"/>
                <w:szCs w:val="21"/>
              </w:rPr>
            </w:pPr>
          </w:p>
        </w:tc>
        <w:tc>
          <w:tcPr>
            <w:tcW w:w="1650" w:type="dxa"/>
            <w:tcBorders>
              <w:top w:val="single" w:color="000000" w:sz="4" w:space="0"/>
              <w:left w:val="single" w:color="000000" w:sz="4" w:space="0"/>
              <w:bottom w:val="single" w:color="000000" w:sz="4" w:space="0"/>
              <w:right w:val="single" w:color="000000" w:sz="4" w:space="0"/>
            </w:tcBorders>
            <w:noWrap w:val="0"/>
            <w:vAlign w:val="center"/>
          </w:tcPr>
          <w:p w14:paraId="2BF0F96A">
            <w:pPr>
              <w:widowControl/>
              <w:spacing w:line="360" w:lineRule="auto"/>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残疾人服务</w:t>
            </w:r>
          </w:p>
        </w:tc>
        <w:tc>
          <w:tcPr>
            <w:tcW w:w="6504" w:type="dxa"/>
            <w:tcBorders>
              <w:top w:val="single" w:color="000000" w:sz="4" w:space="0"/>
              <w:left w:val="single" w:color="000000" w:sz="4" w:space="0"/>
              <w:bottom w:val="single" w:color="000000" w:sz="4" w:space="0"/>
              <w:right w:val="single" w:color="000000" w:sz="4" w:space="0"/>
            </w:tcBorders>
            <w:noWrap w:val="0"/>
            <w:vAlign w:val="center"/>
          </w:tcPr>
          <w:p w14:paraId="7A6F1317">
            <w:pPr>
              <w:widowControl/>
              <w:spacing w:line="360" w:lineRule="auto"/>
              <w:jc w:val="left"/>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入户排查残疾人及其家庭成员情况，评估其服务需求。对残疾人及其家庭开展心理辅导和能力提升服务。对有需要帮助的残疾人及其家庭链接社会资源提供经济援助。对有意愿且符合就业条件的残疾人及其家庭提供技能培训创造就业机会。开展残疾人有关政策宣传，协助残疾人及其家庭申请有关政策，如协助符合条件的残疾人申请残疾人两项补贴。开展社区宣传及公众教育，营造尊重、平等、接纳残疾人的社区进步文化。</w:t>
            </w:r>
          </w:p>
        </w:tc>
      </w:tr>
      <w:tr w14:paraId="148E82FB">
        <w:tblPrEx>
          <w:tblCellMar>
            <w:top w:w="0" w:type="dxa"/>
            <w:left w:w="108" w:type="dxa"/>
            <w:bottom w:w="0" w:type="dxa"/>
            <w:right w:w="108" w:type="dxa"/>
          </w:tblCellMar>
        </w:tblPrEx>
        <w:trPr>
          <w:trHeight w:val="624" w:hRule="atLeast"/>
          <w:jc w:val="center"/>
        </w:trPr>
        <w:tc>
          <w:tcPr>
            <w:tcW w:w="1495" w:type="dxa"/>
            <w:vMerge w:val="continue"/>
            <w:tcBorders>
              <w:top w:val="single" w:color="000000" w:sz="4" w:space="0"/>
              <w:left w:val="single" w:color="000000" w:sz="4" w:space="0"/>
              <w:bottom w:val="single" w:color="000000" w:sz="4" w:space="0"/>
              <w:right w:val="single" w:color="000000" w:sz="4" w:space="0"/>
            </w:tcBorders>
            <w:noWrap w:val="0"/>
            <w:vAlign w:val="center"/>
          </w:tcPr>
          <w:p w14:paraId="4D465DC0">
            <w:pPr>
              <w:spacing w:line="360" w:lineRule="auto"/>
              <w:jc w:val="center"/>
              <w:rPr>
                <w:rFonts w:hint="eastAsia" w:ascii="宋体" w:hAnsi="宋体" w:eastAsia="宋体" w:cs="宋体"/>
                <w:color w:val="000000"/>
                <w:szCs w:val="21"/>
              </w:rPr>
            </w:pPr>
          </w:p>
        </w:tc>
        <w:tc>
          <w:tcPr>
            <w:tcW w:w="1650" w:type="dxa"/>
            <w:tcBorders>
              <w:top w:val="single" w:color="000000" w:sz="4" w:space="0"/>
              <w:left w:val="single" w:color="000000" w:sz="4" w:space="0"/>
              <w:bottom w:val="single" w:color="000000" w:sz="4" w:space="0"/>
              <w:right w:val="single" w:color="000000" w:sz="4" w:space="0"/>
            </w:tcBorders>
            <w:noWrap w:val="0"/>
            <w:vAlign w:val="center"/>
          </w:tcPr>
          <w:p w14:paraId="039315D5">
            <w:pPr>
              <w:widowControl/>
              <w:spacing w:line="360" w:lineRule="auto"/>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流浪乞讨救助服务</w:t>
            </w:r>
          </w:p>
        </w:tc>
        <w:tc>
          <w:tcPr>
            <w:tcW w:w="6504" w:type="dxa"/>
            <w:tcBorders>
              <w:top w:val="single" w:color="000000" w:sz="4" w:space="0"/>
              <w:left w:val="single" w:color="000000" w:sz="4" w:space="0"/>
              <w:bottom w:val="single" w:color="000000" w:sz="4" w:space="0"/>
              <w:right w:val="single" w:color="000000" w:sz="4" w:space="0"/>
            </w:tcBorders>
            <w:noWrap w:val="0"/>
            <w:vAlign w:val="center"/>
          </w:tcPr>
          <w:p w14:paraId="4AEFE994">
            <w:pPr>
              <w:widowControl/>
              <w:spacing w:line="360" w:lineRule="auto"/>
              <w:jc w:val="left"/>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为生活无着的流浪乞讨人员特别是返乡和易走失人员提供心理疏导、教育矫治等服务。</w:t>
            </w:r>
          </w:p>
        </w:tc>
      </w:tr>
    </w:tbl>
    <w:p w14:paraId="0B46013C">
      <w:pPr>
        <w:spacing w:line="360" w:lineRule="auto"/>
        <w:rPr>
          <w:rFonts w:hint="eastAsia" w:ascii="宋体" w:hAnsi="宋体" w:eastAsia="宋体" w:cs="宋体"/>
          <w:bCs/>
          <w:szCs w:val="21"/>
        </w:rPr>
        <w:sectPr>
          <w:headerReference r:id="rId11" w:type="default"/>
          <w:footerReference r:id="rId12" w:type="default"/>
          <w:pgSz w:w="11906" w:h="16838"/>
          <w:pgMar w:top="1418" w:right="1418" w:bottom="1418" w:left="1418" w:header="851" w:footer="992" w:gutter="0"/>
          <w:pgNumType w:fmt="numberInDash"/>
          <w:cols w:space="720" w:num="1"/>
          <w:docGrid w:type="lines" w:linePitch="312" w:charSpace="0"/>
        </w:sectPr>
      </w:pPr>
    </w:p>
    <w:p w14:paraId="772B4292">
      <w:pPr>
        <w:numPr>
          <w:ilvl w:val="0"/>
          <w:numId w:val="18"/>
        </w:numPr>
        <w:spacing w:line="360" w:lineRule="auto"/>
        <w:rPr>
          <w:rFonts w:hint="eastAsia" w:ascii="宋体" w:hAnsi="宋体" w:eastAsia="宋体" w:cs="宋体"/>
          <w:bCs/>
          <w:sz w:val="24"/>
          <w:szCs w:val="24"/>
          <w:lang w:val="en-US" w:eastAsia="zh-CN"/>
        </w:rPr>
      </w:pPr>
      <w:r>
        <w:rPr>
          <w:rFonts w:hint="eastAsia" w:ascii="宋体" w:hAnsi="宋体" w:eastAsia="宋体" w:cs="宋体"/>
          <w:bCs/>
          <w:sz w:val="24"/>
          <w:szCs w:val="24"/>
        </w:rPr>
        <w:t>服务指标：</w:t>
      </w:r>
    </w:p>
    <w:tbl>
      <w:tblPr>
        <w:tblStyle w:val="26"/>
        <w:tblpPr w:leftFromText="180" w:rightFromText="180" w:vertAnchor="text" w:horzAnchor="page" w:tblpX="1158" w:tblpY="1039"/>
        <w:tblOverlap w:val="never"/>
        <w:tblW w:w="14296" w:type="dxa"/>
        <w:tblInd w:w="0" w:type="dxa"/>
        <w:shd w:val="clear" w:color="auto" w:fill="auto"/>
        <w:tblLayout w:type="fixed"/>
        <w:tblCellMar>
          <w:top w:w="0" w:type="dxa"/>
          <w:left w:w="0" w:type="dxa"/>
          <w:bottom w:w="0" w:type="dxa"/>
          <w:right w:w="0" w:type="dxa"/>
        </w:tblCellMar>
      </w:tblPr>
      <w:tblGrid>
        <w:gridCol w:w="547"/>
        <w:gridCol w:w="527"/>
        <w:gridCol w:w="577"/>
        <w:gridCol w:w="538"/>
        <w:gridCol w:w="1"/>
        <w:gridCol w:w="787"/>
        <w:gridCol w:w="539"/>
        <w:gridCol w:w="516"/>
        <w:gridCol w:w="990"/>
        <w:gridCol w:w="537"/>
        <w:gridCol w:w="2"/>
        <w:gridCol w:w="458"/>
        <w:gridCol w:w="495"/>
        <w:gridCol w:w="2"/>
        <w:gridCol w:w="516"/>
        <w:gridCol w:w="527"/>
        <w:gridCol w:w="524"/>
        <w:gridCol w:w="3"/>
        <w:gridCol w:w="536"/>
        <w:gridCol w:w="3"/>
        <w:gridCol w:w="570"/>
        <w:gridCol w:w="3"/>
        <w:gridCol w:w="536"/>
        <w:gridCol w:w="3"/>
        <w:gridCol w:w="501"/>
        <w:gridCol w:w="3"/>
        <w:gridCol w:w="410"/>
        <w:gridCol w:w="385"/>
        <w:gridCol w:w="421"/>
        <w:gridCol w:w="446"/>
        <w:gridCol w:w="431"/>
        <w:gridCol w:w="3"/>
        <w:gridCol w:w="434"/>
        <w:gridCol w:w="483"/>
        <w:gridCol w:w="477"/>
        <w:gridCol w:w="565"/>
      </w:tblGrid>
      <w:tr w14:paraId="54D89301">
        <w:tblPrEx>
          <w:shd w:val="clear" w:color="auto" w:fill="auto"/>
          <w:tblCellMar>
            <w:top w:w="0" w:type="dxa"/>
            <w:left w:w="0" w:type="dxa"/>
            <w:bottom w:w="0" w:type="dxa"/>
            <w:right w:w="0" w:type="dxa"/>
          </w:tblCellMar>
        </w:tblPrEx>
        <w:trPr>
          <w:trHeight w:val="480" w:hRule="atLeast"/>
        </w:trPr>
        <w:tc>
          <w:tcPr>
            <w:tcW w:w="14296" w:type="dxa"/>
            <w:gridSpan w:val="36"/>
            <w:tcBorders>
              <w:top w:val="nil"/>
              <w:left w:val="nil"/>
              <w:bottom w:val="nil"/>
              <w:right w:val="nil"/>
            </w:tcBorders>
            <w:shd w:val="clear" w:color="auto" w:fill="auto"/>
            <w:noWrap/>
            <w:tcMar>
              <w:top w:w="15" w:type="dxa"/>
              <w:left w:w="15" w:type="dxa"/>
              <w:right w:w="15" w:type="dxa"/>
            </w:tcMar>
            <w:vAlign w:val="center"/>
          </w:tcPr>
          <w:p w14:paraId="41DA31CF">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郑东新区社会工作服务站工作内容明细表</w:t>
            </w:r>
          </w:p>
        </w:tc>
      </w:tr>
      <w:tr w14:paraId="251726FB">
        <w:tblPrEx>
          <w:tblCellMar>
            <w:top w:w="0" w:type="dxa"/>
            <w:left w:w="0" w:type="dxa"/>
            <w:bottom w:w="0" w:type="dxa"/>
            <w:right w:w="0" w:type="dxa"/>
          </w:tblCellMar>
        </w:tblPrEx>
        <w:trPr>
          <w:trHeight w:val="680" w:hRule="atLeast"/>
        </w:trPr>
        <w:tc>
          <w:tcPr>
            <w:tcW w:w="5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671B56">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服务类别</w:t>
            </w:r>
          </w:p>
        </w:tc>
        <w:tc>
          <w:tcPr>
            <w:tcW w:w="1642"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33C3CE">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便民服务</w:t>
            </w:r>
          </w:p>
        </w:tc>
        <w:tc>
          <w:tcPr>
            <w:tcW w:w="3370"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F8BBB3">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专业服务</w:t>
            </w:r>
          </w:p>
        </w:tc>
        <w:tc>
          <w:tcPr>
            <w:tcW w:w="955"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CB645E">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节庆日</w:t>
            </w:r>
            <w:r>
              <w:rPr>
                <w:rFonts w:hint="eastAsia" w:ascii="宋体" w:hAnsi="宋体" w:eastAsia="宋体" w:cs="宋体"/>
                <w:i w:val="0"/>
                <w:color w:val="000000"/>
                <w:kern w:val="0"/>
                <w:sz w:val="21"/>
                <w:szCs w:val="21"/>
                <w:u w:val="none"/>
                <w:lang w:val="en-US" w:eastAsia="zh-CN" w:bidi="ar"/>
              </w:rPr>
              <w:br w:type="textWrapping"/>
            </w:r>
            <w:r>
              <w:rPr>
                <w:rFonts w:hint="eastAsia" w:ascii="宋体" w:hAnsi="宋体" w:eastAsia="宋体" w:cs="宋体"/>
                <w:i w:val="0"/>
                <w:color w:val="000000"/>
                <w:kern w:val="0"/>
                <w:sz w:val="21"/>
                <w:szCs w:val="21"/>
                <w:u w:val="none"/>
                <w:lang w:val="en-US" w:eastAsia="zh-CN" w:bidi="ar"/>
              </w:rPr>
              <w:t>服务</w:t>
            </w:r>
          </w:p>
        </w:tc>
        <w:tc>
          <w:tcPr>
            <w:tcW w:w="1569"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0E5F3F">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社区社会组织</w:t>
            </w:r>
          </w:p>
        </w:tc>
        <w:tc>
          <w:tcPr>
            <w:tcW w:w="53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A61458">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活动筹备</w:t>
            </w:r>
          </w:p>
        </w:tc>
        <w:tc>
          <w:tcPr>
            <w:tcW w:w="57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DF7A03">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档案整理</w:t>
            </w:r>
          </w:p>
        </w:tc>
        <w:tc>
          <w:tcPr>
            <w:tcW w:w="53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E2A6F3">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日常宣传</w:t>
            </w:r>
          </w:p>
        </w:tc>
        <w:tc>
          <w:tcPr>
            <w:tcW w:w="50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F7E08F">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场地管理</w:t>
            </w:r>
          </w:p>
        </w:tc>
        <w:tc>
          <w:tcPr>
            <w:tcW w:w="2096"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898824">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沟通汇报</w:t>
            </w:r>
          </w:p>
        </w:tc>
        <w:tc>
          <w:tcPr>
            <w:tcW w:w="1397"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473ABF">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督导学习</w:t>
            </w:r>
          </w:p>
        </w:tc>
        <w:tc>
          <w:tcPr>
            <w:tcW w:w="5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7F9254">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总计</w:t>
            </w:r>
          </w:p>
        </w:tc>
      </w:tr>
      <w:tr w14:paraId="0CFD7B49">
        <w:tblPrEx>
          <w:tblCellMar>
            <w:top w:w="0" w:type="dxa"/>
            <w:left w:w="0" w:type="dxa"/>
            <w:bottom w:w="0" w:type="dxa"/>
            <w:right w:w="0" w:type="dxa"/>
          </w:tblCellMar>
        </w:tblPrEx>
        <w:trPr>
          <w:trHeight w:val="1760" w:hRule="atLeast"/>
        </w:trPr>
        <w:tc>
          <w:tcPr>
            <w:tcW w:w="5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B41360">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工作服务事项</w:t>
            </w:r>
          </w:p>
        </w:tc>
        <w:tc>
          <w:tcPr>
            <w:tcW w:w="5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042165">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义诊</w:t>
            </w:r>
          </w:p>
        </w:tc>
        <w:tc>
          <w:tcPr>
            <w:tcW w:w="5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F237B5">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义剪</w:t>
            </w:r>
          </w:p>
        </w:tc>
        <w:tc>
          <w:tcPr>
            <w:tcW w:w="53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25DE19">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义修</w:t>
            </w:r>
          </w:p>
        </w:tc>
        <w:tc>
          <w:tcPr>
            <w:tcW w:w="7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E42BDF">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探访</w:t>
            </w:r>
          </w:p>
        </w:tc>
        <w:tc>
          <w:tcPr>
            <w:tcW w:w="5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EBFE68">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个案</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9A4025">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小组</w:t>
            </w:r>
          </w:p>
        </w:tc>
        <w:tc>
          <w:tcPr>
            <w:tcW w:w="9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4BC9E5">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社区服务</w:t>
            </w:r>
          </w:p>
        </w:tc>
        <w:tc>
          <w:tcPr>
            <w:tcW w:w="53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00EC56">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社工服务宣传</w:t>
            </w:r>
          </w:p>
        </w:tc>
        <w:tc>
          <w:tcPr>
            <w:tcW w:w="4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A3C0BF">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24节气</w:t>
            </w:r>
          </w:p>
        </w:tc>
        <w:tc>
          <w:tcPr>
            <w:tcW w:w="49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AAA50B">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重要节日</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7DFBA7">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日常活动</w:t>
            </w:r>
          </w:p>
        </w:tc>
        <w:tc>
          <w:tcPr>
            <w:tcW w:w="5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A1EEBF">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公益服务</w:t>
            </w:r>
          </w:p>
        </w:tc>
        <w:tc>
          <w:tcPr>
            <w:tcW w:w="52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80A63D">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社区社会组织交流会</w:t>
            </w:r>
          </w:p>
        </w:tc>
        <w:tc>
          <w:tcPr>
            <w:tcW w:w="53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3EB25A">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策划、资源链接、招募、物资</w:t>
            </w:r>
          </w:p>
        </w:tc>
        <w:tc>
          <w:tcPr>
            <w:tcW w:w="57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2DF95F">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服务资料、东区智慧社工系统</w:t>
            </w:r>
          </w:p>
        </w:tc>
        <w:tc>
          <w:tcPr>
            <w:tcW w:w="53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EC6F6C">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新闻稿、视频</w:t>
            </w:r>
          </w:p>
        </w:tc>
        <w:tc>
          <w:tcPr>
            <w:tcW w:w="50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DF83EF">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场馆运营</w:t>
            </w:r>
          </w:p>
        </w:tc>
        <w:tc>
          <w:tcPr>
            <w:tcW w:w="4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A1B999">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项目例会</w:t>
            </w:r>
          </w:p>
        </w:tc>
        <w:tc>
          <w:tcPr>
            <w:tcW w:w="3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BA4560">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社区例会</w:t>
            </w:r>
          </w:p>
        </w:tc>
        <w:tc>
          <w:tcPr>
            <w:tcW w:w="4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B38DF6">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街道例会</w:t>
            </w:r>
          </w:p>
        </w:tc>
        <w:tc>
          <w:tcPr>
            <w:tcW w:w="4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308464">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东区例会</w:t>
            </w:r>
          </w:p>
        </w:tc>
        <w:tc>
          <w:tcPr>
            <w:tcW w:w="4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E2395B">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居民议事会</w:t>
            </w:r>
          </w:p>
        </w:tc>
        <w:tc>
          <w:tcPr>
            <w:tcW w:w="4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8CEFC9">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内部督导</w:t>
            </w:r>
          </w:p>
        </w:tc>
        <w:tc>
          <w:tcPr>
            <w:tcW w:w="48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30A315">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外部督导</w:t>
            </w:r>
          </w:p>
        </w:tc>
        <w:tc>
          <w:tcPr>
            <w:tcW w:w="4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682842">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培训学习</w:t>
            </w:r>
          </w:p>
        </w:tc>
        <w:tc>
          <w:tcPr>
            <w:tcW w:w="5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352119">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w:t>
            </w:r>
          </w:p>
        </w:tc>
      </w:tr>
      <w:tr w14:paraId="6309980F">
        <w:tblPrEx>
          <w:tblCellMar>
            <w:top w:w="0" w:type="dxa"/>
            <w:left w:w="0" w:type="dxa"/>
            <w:bottom w:w="0" w:type="dxa"/>
            <w:right w:w="0" w:type="dxa"/>
          </w:tblCellMar>
        </w:tblPrEx>
        <w:trPr>
          <w:trHeight w:val="2220" w:hRule="atLeast"/>
        </w:trPr>
        <w:tc>
          <w:tcPr>
            <w:tcW w:w="5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B7ECAD">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频次</w:t>
            </w:r>
          </w:p>
        </w:tc>
        <w:tc>
          <w:tcPr>
            <w:tcW w:w="5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DB14E8">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每小区每月1次</w:t>
            </w:r>
          </w:p>
        </w:tc>
        <w:tc>
          <w:tcPr>
            <w:tcW w:w="5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F114D5">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每小区每月1次</w:t>
            </w:r>
          </w:p>
        </w:tc>
        <w:tc>
          <w:tcPr>
            <w:tcW w:w="53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F8F6E7">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每小区每月1次</w:t>
            </w:r>
          </w:p>
        </w:tc>
        <w:tc>
          <w:tcPr>
            <w:tcW w:w="7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32763C">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每位服务对象每月至少探访2次；每月民政服务时间不低于总工作时间的60%</w:t>
            </w:r>
          </w:p>
        </w:tc>
        <w:tc>
          <w:tcPr>
            <w:tcW w:w="5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720921">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四人项目全年8个；二人项目全年4个</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3603E8">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每项目每两月1个</w:t>
            </w:r>
          </w:p>
        </w:tc>
        <w:tc>
          <w:tcPr>
            <w:tcW w:w="9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27774E">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①</w:t>
            </w:r>
            <w:r>
              <w:rPr>
                <w:rStyle w:val="80"/>
                <w:rFonts w:hint="eastAsia" w:ascii="宋体" w:hAnsi="宋体" w:eastAsia="宋体" w:cs="宋体"/>
                <w:sz w:val="21"/>
                <w:szCs w:val="21"/>
                <w:lang w:val="en-US" w:eastAsia="zh-CN" w:bidi="ar"/>
              </w:rPr>
              <w:t>民政政策宣传每月4次</w:t>
            </w:r>
            <w:r>
              <w:rPr>
                <w:rStyle w:val="80"/>
                <w:rFonts w:hint="eastAsia" w:ascii="宋体" w:hAnsi="宋体" w:eastAsia="宋体" w:cs="宋体"/>
                <w:sz w:val="21"/>
                <w:szCs w:val="21"/>
                <w:lang w:val="en-US" w:eastAsia="zh-CN" w:bidi="ar"/>
              </w:rPr>
              <w:br w:type="textWrapping"/>
            </w:r>
            <w:r>
              <w:rPr>
                <w:rStyle w:val="81"/>
                <w:rFonts w:hint="eastAsia" w:ascii="宋体" w:hAnsi="宋体" w:eastAsia="宋体" w:cs="宋体"/>
                <w:sz w:val="21"/>
                <w:szCs w:val="21"/>
                <w:lang w:val="en-US" w:eastAsia="zh-CN" w:bidi="ar"/>
              </w:rPr>
              <w:t>②</w:t>
            </w:r>
            <w:r>
              <w:rPr>
                <w:rStyle w:val="80"/>
                <w:rFonts w:hint="eastAsia" w:ascii="宋体" w:hAnsi="宋体" w:eastAsia="宋体" w:cs="宋体"/>
                <w:sz w:val="21"/>
                <w:szCs w:val="21"/>
                <w:lang w:val="en-US" w:eastAsia="zh-CN" w:bidi="ar"/>
              </w:rPr>
              <w:t>村规民约、居民公约、居民议事制度宣传每月1次</w:t>
            </w:r>
          </w:p>
        </w:tc>
        <w:tc>
          <w:tcPr>
            <w:tcW w:w="53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2D720B">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每小区每月1次</w:t>
            </w:r>
          </w:p>
        </w:tc>
        <w:tc>
          <w:tcPr>
            <w:tcW w:w="955"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68841C">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每月约4次</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D213FB">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每支队伍每月至少活动1次</w:t>
            </w:r>
          </w:p>
        </w:tc>
        <w:tc>
          <w:tcPr>
            <w:tcW w:w="5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8796E0">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每月由社区社会组织参与的公益服务2次</w:t>
            </w:r>
          </w:p>
        </w:tc>
        <w:tc>
          <w:tcPr>
            <w:tcW w:w="52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A9E80A">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每月1次</w:t>
            </w:r>
          </w:p>
        </w:tc>
        <w:tc>
          <w:tcPr>
            <w:tcW w:w="53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18B4CF">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每月约8次</w:t>
            </w:r>
          </w:p>
        </w:tc>
        <w:tc>
          <w:tcPr>
            <w:tcW w:w="57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63D483">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每月约8次</w:t>
            </w:r>
          </w:p>
        </w:tc>
        <w:tc>
          <w:tcPr>
            <w:tcW w:w="53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562C97">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每月约8次</w:t>
            </w:r>
          </w:p>
        </w:tc>
        <w:tc>
          <w:tcPr>
            <w:tcW w:w="50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943851">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每月约22次</w:t>
            </w:r>
          </w:p>
        </w:tc>
        <w:tc>
          <w:tcPr>
            <w:tcW w:w="4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C2C343">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每月4次</w:t>
            </w:r>
          </w:p>
        </w:tc>
        <w:tc>
          <w:tcPr>
            <w:tcW w:w="3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1859D3">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每月4次</w:t>
            </w:r>
          </w:p>
        </w:tc>
        <w:tc>
          <w:tcPr>
            <w:tcW w:w="4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C4F29C">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每月1次</w:t>
            </w:r>
          </w:p>
        </w:tc>
        <w:tc>
          <w:tcPr>
            <w:tcW w:w="4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4085E8">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每月1次</w:t>
            </w:r>
          </w:p>
        </w:tc>
        <w:tc>
          <w:tcPr>
            <w:tcW w:w="4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E715DC">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每月1次</w:t>
            </w:r>
          </w:p>
        </w:tc>
        <w:tc>
          <w:tcPr>
            <w:tcW w:w="4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3A849B">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每月1次</w:t>
            </w:r>
          </w:p>
        </w:tc>
        <w:tc>
          <w:tcPr>
            <w:tcW w:w="48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7126D0">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每月1次</w:t>
            </w:r>
          </w:p>
        </w:tc>
        <w:tc>
          <w:tcPr>
            <w:tcW w:w="4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5D57C2">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每月4次</w:t>
            </w:r>
          </w:p>
        </w:tc>
        <w:tc>
          <w:tcPr>
            <w:tcW w:w="5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EC81A0">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w:t>
            </w:r>
          </w:p>
        </w:tc>
      </w:tr>
      <w:tr w14:paraId="33B12CF3">
        <w:tblPrEx>
          <w:tblCellMar>
            <w:top w:w="0" w:type="dxa"/>
            <w:left w:w="0" w:type="dxa"/>
            <w:bottom w:w="0" w:type="dxa"/>
            <w:right w:w="0" w:type="dxa"/>
          </w:tblCellMar>
        </w:tblPrEx>
        <w:trPr>
          <w:trHeight w:val="1480" w:hRule="atLeast"/>
        </w:trPr>
        <w:tc>
          <w:tcPr>
            <w:tcW w:w="14296" w:type="dxa"/>
            <w:gridSpan w:val="36"/>
            <w:tcBorders>
              <w:top w:val="nil"/>
              <w:left w:val="nil"/>
              <w:bottom w:val="nil"/>
              <w:right w:val="nil"/>
            </w:tcBorders>
            <w:shd w:val="clear" w:color="auto" w:fill="auto"/>
            <w:tcMar>
              <w:top w:w="15" w:type="dxa"/>
              <w:left w:w="15" w:type="dxa"/>
              <w:right w:w="15" w:type="dxa"/>
            </w:tcMar>
            <w:vAlign w:val="center"/>
          </w:tcPr>
          <w:p w14:paraId="33032CDA">
            <w:pPr>
              <w:keepNext w:val="0"/>
              <w:keepLines w:val="0"/>
              <w:widowControl/>
              <w:suppressLineNumbers w:val="0"/>
              <w:spacing w:line="360" w:lineRule="auto"/>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1.便民服务不限于列出的3类，但应不少于3类；</w:t>
            </w:r>
            <w:r>
              <w:rPr>
                <w:rFonts w:hint="eastAsia" w:ascii="宋体" w:hAnsi="宋体" w:eastAsia="宋体" w:cs="宋体"/>
                <w:i w:val="0"/>
                <w:color w:val="000000"/>
                <w:kern w:val="0"/>
                <w:sz w:val="21"/>
                <w:szCs w:val="21"/>
                <w:u w:val="none"/>
                <w:lang w:val="en-US" w:eastAsia="zh-CN" w:bidi="ar"/>
              </w:rPr>
              <w:br w:type="textWrapping"/>
            </w:r>
            <w:r>
              <w:rPr>
                <w:rFonts w:hint="eastAsia" w:ascii="宋体" w:hAnsi="宋体" w:eastAsia="宋体" w:cs="宋体"/>
                <w:i w:val="0"/>
                <w:color w:val="000000"/>
                <w:kern w:val="0"/>
                <w:sz w:val="21"/>
                <w:szCs w:val="21"/>
                <w:u w:val="none"/>
                <w:lang w:val="en-US" w:eastAsia="zh-CN" w:bidi="ar"/>
              </w:rPr>
              <w:t>2.不属于个人承担的工作内容为四人项目通用内容，两人项目减半；</w:t>
            </w:r>
            <w:r>
              <w:rPr>
                <w:rFonts w:hint="eastAsia" w:ascii="宋体" w:hAnsi="宋体" w:eastAsia="宋体" w:cs="宋体"/>
                <w:i w:val="0"/>
                <w:color w:val="000000"/>
                <w:kern w:val="0"/>
                <w:sz w:val="21"/>
                <w:szCs w:val="21"/>
                <w:u w:val="none"/>
                <w:lang w:val="en-US" w:eastAsia="zh-CN" w:bidi="ar"/>
              </w:rPr>
              <w:br w:type="textWrapping"/>
            </w:r>
            <w:r>
              <w:rPr>
                <w:rFonts w:hint="eastAsia" w:ascii="宋体" w:hAnsi="宋体" w:eastAsia="宋体" w:cs="宋体"/>
                <w:i w:val="0"/>
                <w:color w:val="000000"/>
                <w:kern w:val="0"/>
                <w:sz w:val="21"/>
                <w:szCs w:val="21"/>
                <w:u w:val="none"/>
                <w:lang w:val="en-US" w:eastAsia="zh-CN" w:bidi="ar"/>
              </w:rPr>
              <w:t>3.乡村社工站以专业服务和节庆日服务为主要内容；</w:t>
            </w:r>
            <w:r>
              <w:rPr>
                <w:rFonts w:hint="eastAsia" w:ascii="宋体" w:hAnsi="宋体" w:eastAsia="宋体" w:cs="宋体"/>
                <w:i w:val="0"/>
                <w:color w:val="000000"/>
                <w:kern w:val="0"/>
                <w:sz w:val="21"/>
                <w:szCs w:val="21"/>
                <w:u w:val="none"/>
                <w:lang w:val="en-US" w:eastAsia="zh-CN" w:bidi="ar"/>
              </w:rPr>
              <w:br w:type="textWrapping"/>
            </w:r>
            <w:r>
              <w:rPr>
                <w:rFonts w:hint="eastAsia" w:ascii="宋体" w:hAnsi="宋体" w:eastAsia="宋体" w:cs="宋体"/>
                <w:i w:val="0"/>
                <w:color w:val="000000"/>
                <w:kern w:val="0"/>
                <w:sz w:val="21"/>
                <w:szCs w:val="21"/>
                <w:u w:val="none"/>
                <w:lang w:val="en-US" w:eastAsia="zh-CN" w:bidi="ar"/>
              </w:rPr>
              <w:t>4.每个社工站社区社会组织16支，总成员数300人以上;</w:t>
            </w:r>
            <w:r>
              <w:rPr>
                <w:rFonts w:hint="eastAsia" w:ascii="宋体" w:hAnsi="宋体" w:eastAsia="宋体" w:cs="宋体"/>
                <w:i w:val="0"/>
                <w:color w:val="000000"/>
                <w:kern w:val="0"/>
                <w:sz w:val="21"/>
                <w:szCs w:val="21"/>
                <w:u w:val="none"/>
                <w:lang w:val="en-US" w:eastAsia="zh-CN" w:bidi="ar"/>
              </w:rPr>
              <w:br w:type="textWrapping"/>
            </w:r>
            <w:r>
              <w:rPr>
                <w:rFonts w:hint="eastAsia" w:ascii="宋体" w:hAnsi="宋体" w:eastAsia="宋体" w:cs="宋体"/>
                <w:i w:val="0"/>
                <w:color w:val="000000"/>
                <w:kern w:val="0"/>
                <w:sz w:val="21"/>
                <w:szCs w:val="21"/>
                <w:u w:val="none"/>
                <w:lang w:val="en-US" w:eastAsia="zh-CN" w:bidi="ar"/>
              </w:rPr>
              <w:t>5.便民服务、专业服务、节庆日服务、社区社会组织服务将纳入每月社工效能考核。</w:t>
            </w:r>
          </w:p>
        </w:tc>
      </w:tr>
    </w:tbl>
    <w:p w14:paraId="5DB045F6">
      <w:pPr>
        <w:spacing w:line="360" w:lineRule="auto"/>
        <w:rPr>
          <w:rFonts w:hint="eastAsia" w:ascii="宋体" w:hAnsi="宋体" w:eastAsia="宋体" w:cs="宋体"/>
          <w:color w:val="000000"/>
          <w:kern w:val="2"/>
          <w:sz w:val="24"/>
          <w:szCs w:val="24"/>
          <w:lang w:val="en-US" w:eastAsia="zh-CN" w:bidi="ar-SA"/>
        </w:rPr>
      </w:pPr>
    </w:p>
    <w:p w14:paraId="60F90357">
      <w:pPr>
        <w:spacing w:line="360" w:lineRule="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kern w:val="2"/>
          <w:sz w:val="24"/>
          <w:szCs w:val="24"/>
          <w:lang w:val="en-US" w:eastAsia="zh-CN" w:bidi="ar-SA"/>
        </w:rPr>
        <w:br w:type="page"/>
      </w:r>
    </w:p>
    <w:p w14:paraId="1D056C32">
      <w:pPr>
        <w:spacing w:line="360" w:lineRule="auto"/>
        <w:rPr>
          <w:rFonts w:hint="eastAsia" w:ascii="宋体" w:hAnsi="宋体" w:eastAsia="宋体" w:cs="宋体"/>
          <w:color w:val="000000"/>
          <w:kern w:val="2"/>
          <w:sz w:val="24"/>
          <w:szCs w:val="24"/>
          <w:lang w:val="en-US" w:eastAsia="zh-CN" w:bidi="ar-SA"/>
        </w:rPr>
        <w:sectPr>
          <w:pgSz w:w="16838" w:h="11906" w:orient="landscape"/>
          <w:pgMar w:top="1701" w:right="1417" w:bottom="1701" w:left="1417" w:header="851" w:footer="992" w:gutter="0"/>
          <w:pgNumType w:fmt="numberInDash"/>
          <w:cols w:space="720" w:num="1"/>
          <w:docGrid w:type="lines" w:linePitch="312" w:charSpace="0"/>
        </w:sectPr>
      </w:pPr>
    </w:p>
    <w:p w14:paraId="431D6314">
      <w:pPr>
        <w:spacing w:line="360" w:lineRule="auto"/>
        <w:ind w:right="640"/>
        <w:rPr>
          <w:rFonts w:hint="eastAsia" w:ascii="宋体" w:hAnsi="宋体" w:eastAsia="宋体" w:cs="宋体"/>
          <w:b/>
          <w:bCs/>
          <w:kern w:val="0"/>
          <w:sz w:val="21"/>
          <w:szCs w:val="21"/>
        </w:rPr>
      </w:pPr>
      <w:r>
        <w:rPr>
          <w:rFonts w:hint="eastAsia" w:ascii="宋体" w:hAnsi="宋体" w:eastAsia="宋体" w:cs="宋体"/>
          <w:b/>
          <w:bCs/>
          <w:kern w:val="0"/>
          <w:sz w:val="21"/>
          <w:szCs w:val="21"/>
        </w:rPr>
        <w:t>二、“第三方评估”服务项目</w:t>
      </w:r>
    </w:p>
    <w:p w14:paraId="07C6EAAD">
      <w:pPr>
        <w:pStyle w:val="82"/>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line="360" w:lineRule="auto"/>
        <w:ind w:firstLine="420" w:firstLineChars="200"/>
        <w:rPr>
          <w:rFonts w:hint="eastAsia" w:ascii="宋体" w:hAnsi="宋体" w:eastAsia="宋体" w:cs="宋体"/>
          <w:sz w:val="21"/>
          <w:szCs w:val="21"/>
          <w:shd w:val="clear" w:color="auto" w:fill="FFFFFF"/>
          <w:lang w:val="en-US"/>
        </w:rPr>
      </w:pPr>
      <w:r>
        <w:rPr>
          <w:rFonts w:hint="eastAsia" w:ascii="宋体" w:hAnsi="宋体" w:eastAsia="宋体" w:cs="宋体"/>
          <w:sz w:val="21"/>
          <w:szCs w:val="21"/>
          <w:shd w:val="clear" w:color="auto" w:fill="FFFFFF"/>
          <w:lang w:val="en-US"/>
        </w:rPr>
        <w:t>（一）目标任务：</w:t>
      </w:r>
    </w:p>
    <w:p w14:paraId="3E4B6996">
      <w:pPr>
        <w:pStyle w:val="82"/>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line="360" w:lineRule="auto"/>
        <w:ind w:firstLine="420" w:firstLineChars="200"/>
        <w:rPr>
          <w:rFonts w:hint="eastAsia" w:ascii="宋体" w:hAnsi="宋体" w:eastAsia="宋体" w:cs="宋体"/>
          <w:sz w:val="21"/>
          <w:szCs w:val="21"/>
          <w:shd w:val="clear" w:color="auto" w:fill="FFFFFF"/>
          <w:lang w:val="en-US"/>
        </w:rPr>
      </w:pPr>
      <w:r>
        <w:rPr>
          <w:rFonts w:hint="eastAsia" w:ascii="宋体" w:hAnsi="宋体" w:eastAsia="宋体" w:cs="宋体"/>
          <w:sz w:val="21"/>
          <w:szCs w:val="21"/>
          <w:shd w:val="clear" w:color="auto" w:fill="FFFFFF"/>
          <w:lang w:val="en-US"/>
        </w:rPr>
        <w:t>由专业评估机构、行业管理组织、专家、专业的会计和审计人员等通过对岗位社工、项目社工和机构负责人进行中期评估和末期评估，对其服务开展情况从第三方角度予以监督和评估，以增进社工的专业服务技巧，提升专业社工服务质量，促进其规范运作，确保政府购买服务的资金用到实处。</w:t>
      </w:r>
    </w:p>
    <w:p w14:paraId="39C3EC9E">
      <w:pPr>
        <w:pStyle w:val="82"/>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line="360" w:lineRule="auto"/>
        <w:ind w:firstLine="420" w:firstLineChars="200"/>
        <w:rPr>
          <w:rFonts w:hint="eastAsia" w:ascii="宋体" w:hAnsi="宋体" w:eastAsia="宋体" w:cs="宋体"/>
          <w:bCs/>
          <w:kern w:val="2"/>
          <w:sz w:val="21"/>
          <w:szCs w:val="21"/>
          <w:lang w:val="en-US"/>
        </w:rPr>
      </w:pPr>
      <w:r>
        <w:rPr>
          <w:rFonts w:hint="eastAsia" w:ascii="宋体" w:hAnsi="宋体" w:eastAsia="宋体" w:cs="宋体"/>
          <w:bCs/>
          <w:kern w:val="2"/>
          <w:sz w:val="21"/>
          <w:szCs w:val="21"/>
          <w:lang w:val="en-US"/>
        </w:rPr>
        <w:t>（二）服务指标:</w:t>
      </w:r>
    </w:p>
    <w:p w14:paraId="15F395CE">
      <w:pPr>
        <w:pStyle w:val="82"/>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line="360" w:lineRule="auto"/>
        <w:ind w:firstLine="420" w:firstLineChars="200"/>
        <w:rPr>
          <w:rFonts w:hint="eastAsia" w:ascii="宋体" w:hAnsi="宋体" w:eastAsia="宋体" w:cs="宋体"/>
          <w:sz w:val="21"/>
          <w:szCs w:val="21"/>
          <w:shd w:val="clear" w:color="auto" w:fill="FFFFFF"/>
          <w:lang w:val="en-US"/>
        </w:rPr>
      </w:pPr>
      <w:r>
        <w:rPr>
          <w:rFonts w:hint="eastAsia" w:ascii="宋体" w:hAnsi="宋体" w:eastAsia="宋体" w:cs="宋体"/>
          <w:sz w:val="21"/>
          <w:szCs w:val="21"/>
          <w:shd w:val="clear" w:color="auto" w:fill="FFFFFF"/>
          <w:lang w:val="en-US"/>
        </w:rPr>
        <w:t>1.建立4-5人的专业评估团队，包含本土专家、资深社工、会计与审计人员等，对政府购买社会工作服务项目进行监督和评估，提升服务质量，促进其规范运作。</w:t>
      </w:r>
    </w:p>
    <w:p w14:paraId="34840582">
      <w:pPr>
        <w:pStyle w:val="82"/>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line="360" w:lineRule="auto"/>
        <w:ind w:firstLine="420" w:firstLineChars="200"/>
        <w:rPr>
          <w:rFonts w:hint="eastAsia" w:ascii="宋体" w:hAnsi="宋体" w:eastAsia="宋体" w:cs="宋体"/>
          <w:sz w:val="21"/>
          <w:szCs w:val="21"/>
          <w:shd w:val="clear" w:color="auto" w:fill="FFFFFF"/>
          <w:lang w:val="en-US"/>
        </w:rPr>
      </w:pPr>
      <w:r>
        <w:rPr>
          <w:rFonts w:hint="eastAsia" w:ascii="宋体" w:hAnsi="宋体" w:eastAsia="宋体" w:cs="宋体"/>
          <w:sz w:val="21"/>
          <w:szCs w:val="21"/>
          <w:shd w:val="clear" w:color="auto" w:fill="FFFFFF"/>
          <w:lang w:val="en-US"/>
        </w:rPr>
        <w:t>2.</w:t>
      </w:r>
      <w:r>
        <w:rPr>
          <w:rFonts w:hint="eastAsia" w:ascii="宋体" w:hAnsi="宋体" w:eastAsia="宋体" w:cs="宋体"/>
          <w:sz w:val="21"/>
          <w:szCs w:val="21"/>
        </w:rPr>
        <w:t>在合同周期内，定期对各项目社工进行走访调研，完成各相关方满意度和社会评价，对所有项目社工进行定期考核，并出具相关报告，为督导和培训项目提供可参考的依据。</w:t>
      </w:r>
    </w:p>
    <w:p w14:paraId="2F589F87">
      <w:pPr>
        <w:pStyle w:val="82"/>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line="360" w:lineRule="auto"/>
        <w:ind w:firstLine="420" w:firstLineChars="200"/>
        <w:rPr>
          <w:rFonts w:hint="eastAsia" w:ascii="宋体" w:hAnsi="宋体" w:eastAsia="宋体" w:cs="宋体"/>
          <w:sz w:val="21"/>
          <w:szCs w:val="21"/>
          <w:shd w:val="clear" w:color="auto" w:fill="FFFFFF"/>
          <w:lang w:val="en-US"/>
        </w:rPr>
      </w:pPr>
      <w:r>
        <w:rPr>
          <w:rFonts w:hint="eastAsia" w:ascii="宋体" w:hAnsi="宋体" w:eastAsia="宋体" w:cs="宋体"/>
          <w:sz w:val="21"/>
          <w:szCs w:val="21"/>
          <w:shd w:val="clear" w:color="auto" w:fill="FFFFFF"/>
          <w:lang w:val="en-US"/>
        </w:rPr>
        <w:t>3.制定项目评估标准和评估细则，对每个岗位和项目一年开展两次评估工作，包括中期评估和末期评估，每个岗位和项目撰写评估报告2份。</w:t>
      </w:r>
    </w:p>
    <w:p w14:paraId="6B903005">
      <w:pPr>
        <w:spacing w:line="360" w:lineRule="auto"/>
        <w:ind w:firstLine="420" w:firstLineChars="200"/>
        <w:rPr>
          <w:rFonts w:hint="eastAsia" w:ascii="宋体" w:hAnsi="宋体" w:eastAsia="宋体" w:cs="宋体"/>
          <w:sz w:val="21"/>
          <w:szCs w:val="21"/>
          <w:shd w:val="clear" w:color="auto" w:fill="FFFFFF"/>
        </w:rPr>
      </w:pPr>
      <w:r>
        <w:rPr>
          <w:rFonts w:hint="eastAsia" w:ascii="宋体" w:hAnsi="宋体" w:eastAsia="宋体" w:cs="宋体"/>
          <w:sz w:val="21"/>
          <w:szCs w:val="21"/>
          <w:shd w:val="clear" w:color="auto" w:fill="FFFFFF"/>
        </w:rPr>
        <w:t>4.对所有项目进行年中、年度财务评估审计，并出具报告。</w:t>
      </w:r>
    </w:p>
    <w:p w14:paraId="68F46105">
      <w:pPr>
        <w:spacing w:line="360" w:lineRule="auto"/>
        <w:rPr>
          <w:rFonts w:hint="eastAsia" w:ascii="宋体" w:hAnsi="宋体" w:eastAsia="宋体" w:cs="宋体"/>
          <w:color w:val="000000"/>
          <w:kern w:val="2"/>
          <w:sz w:val="24"/>
          <w:szCs w:val="24"/>
          <w:lang w:val="en-US" w:eastAsia="zh-CN" w:bidi="ar-SA"/>
        </w:rPr>
      </w:pPr>
    </w:p>
    <w:p w14:paraId="337FFACB">
      <w:pPr>
        <w:spacing w:line="360" w:lineRule="auto"/>
        <w:rPr>
          <w:rFonts w:hint="eastAsia" w:ascii="宋体" w:hAnsi="宋体" w:eastAsia="宋体" w:cs="宋体"/>
          <w:color w:val="000000"/>
          <w:kern w:val="2"/>
          <w:sz w:val="24"/>
          <w:szCs w:val="24"/>
          <w:lang w:val="en-US" w:eastAsia="zh-CN" w:bidi="ar-SA"/>
        </w:rPr>
      </w:pPr>
    </w:p>
    <w:p w14:paraId="0FFE9870">
      <w:pPr>
        <w:spacing w:line="360" w:lineRule="auto"/>
        <w:rPr>
          <w:rFonts w:hint="eastAsia" w:ascii="宋体" w:hAnsi="宋体" w:eastAsia="宋体" w:cs="宋体"/>
          <w:color w:val="000000"/>
          <w:kern w:val="2"/>
          <w:sz w:val="24"/>
          <w:szCs w:val="24"/>
          <w:lang w:val="en-US" w:eastAsia="zh-CN" w:bidi="ar-SA"/>
        </w:rPr>
        <w:sectPr>
          <w:pgSz w:w="11906" w:h="16838"/>
          <w:pgMar w:top="1417" w:right="1701" w:bottom="1417" w:left="1701" w:header="851" w:footer="992" w:gutter="0"/>
          <w:pgNumType w:fmt="numberInDash"/>
          <w:cols w:space="720" w:num="1"/>
          <w:docGrid w:type="lines" w:linePitch="312" w:charSpace="0"/>
        </w:sectPr>
      </w:pPr>
    </w:p>
    <w:tbl>
      <w:tblPr>
        <w:tblStyle w:val="26"/>
        <w:tblW w:w="848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815"/>
        <w:gridCol w:w="1546"/>
        <w:gridCol w:w="3989"/>
        <w:gridCol w:w="1375"/>
        <w:gridCol w:w="755"/>
      </w:tblGrid>
      <w:tr w14:paraId="07EDBD7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04" w:hRule="atLeast"/>
        </w:trPr>
        <w:tc>
          <w:tcPr>
            <w:tcW w:w="8480" w:type="dxa"/>
            <w:gridSpan w:val="5"/>
            <w:tcBorders>
              <w:top w:val="nil"/>
              <w:left w:val="nil"/>
              <w:bottom w:val="nil"/>
              <w:right w:val="nil"/>
            </w:tcBorders>
            <w:shd w:val="clear" w:color="auto" w:fill="auto"/>
            <w:noWrap/>
            <w:vAlign w:val="center"/>
          </w:tcPr>
          <w:p w14:paraId="31851D39">
            <w:pPr>
              <w:keepNext w:val="0"/>
              <w:keepLines w:val="0"/>
              <w:widowControl/>
              <w:suppressLineNumbers w:val="0"/>
              <w:spacing w:line="360" w:lineRule="auto"/>
              <w:jc w:val="left"/>
              <w:textAlignment w:val="center"/>
              <w:rPr>
                <w:rFonts w:hint="eastAsia" w:ascii="宋体" w:hAnsi="宋体" w:eastAsia="宋体" w:cs="宋体"/>
                <w:b/>
                <w:bCs/>
                <w:i w:val="0"/>
                <w:iCs w:val="0"/>
                <w:color w:val="000000"/>
                <w:kern w:val="0"/>
                <w:sz w:val="28"/>
                <w:szCs w:val="28"/>
                <w:u w:val="none"/>
                <w:lang w:val="en-US" w:eastAsia="zh-CN" w:bidi="ar"/>
              </w:rPr>
            </w:pPr>
            <w:r>
              <w:rPr>
                <w:rFonts w:hint="eastAsia" w:ascii="宋体" w:hAnsi="宋体" w:cs="宋体"/>
                <w:b/>
                <w:bCs/>
                <w:i w:val="0"/>
                <w:iCs w:val="0"/>
                <w:color w:val="000000"/>
                <w:kern w:val="0"/>
                <w:sz w:val="28"/>
                <w:szCs w:val="28"/>
                <w:u w:val="none"/>
                <w:lang w:val="en-US" w:eastAsia="zh-CN" w:bidi="ar"/>
              </w:rPr>
              <w:t>附件三：</w:t>
            </w:r>
          </w:p>
          <w:p w14:paraId="36B7F79C">
            <w:pPr>
              <w:keepNext w:val="0"/>
              <w:keepLines w:val="0"/>
              <w:widowControl/>
              <w:suppressLineNumbers w:val="0"/>
              <w:spacing w:line="360" w:lineRule="auto"/>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8"/>
                <w:szCs w:val="28"/>
                <w:u w:val="none"/>
                <w:lang w:val="en-US" w:eastAsia="zh-CN" w:bidi="ar"/>
              </w:rPr>
              <w:t>2024年项目分配表</w:t>
            </w:r>
          </w:p>
        </w:tc>
      </w:tr>
      <w:tr w14:paraId="65A1CB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11"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75EC88">
            <w:pPr>
              <w:keepNext w:val="0"/>
              <w:keepLines w:val="0"/>
              <w:widowControl/>
              <w:suppressLineNumbers w:val="0"/>
              <w:spacing w:line="360" w:lineRule="auto"/>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包段</w:t>
            </w:r>
          </w:p>
        </w:tc>
        <w:tc>
          <w:tcPr>
            <w:tcW w:w="17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E27410">
            <w:pPr>
              <w:keepNext w:val="0"/>
              <w:keepLines w:val="0"/>
              <w:widowControl/>
              <w:suppressLineNumbers w:val="0"/>
              <w:spacing w:line="360" w:lineRule="auto"/>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办事处</w:t>
            </w:r>
          </w:p>
        </w:tc>
        <w:tc>
          <w:tcPr>
            <w:tcW w:w="37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11C3C1">
            <w:pPr>
              <w:keepNext w:val="0"/>
              <w:keepLines w:val="0"/>
              <w:widowControl/>
              <w:suppressLineNumbers w:val="0"/>
              <w:spacing w:line="360" w:lineRule="auto"/>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项目名称</w:t>
            </w:r>
          </w:p>
        </w:tc>
        <w:tc>
          <w:tcPr>
            <w:tcW w:w="14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56D232">
            <w:pPr>
              <w:keepNext w:val="0"/>
              <w:keepLines w:val="0"/>
              <w:widowControl/>
              <w:suppressLineNumbers w:val="0"/>
              <w:spacing w:line="360" w:lineRule="auto"/>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最高限价（万元）</w:t>
            </w:r>
          </w:p>
        </w:tc>
        <w:tc>
          <w:tcPr>
            <w:tcW w:w="7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DC8112">
            <w:pPr>
              <w:keepNext w:val="0"/>
              <w:keepLines w:val="0"/>
              <w:widowControl/>
              <w:suppressLineNumbers w:val="0"/>
              <w:spacing w:line="360" w:lineRule="auto"/>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备注</w:t>
            </w:r>
          </w:p>
        </w:tc>
      </w:tr>
      <w:tr w14:paraId="2305BD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2E3D51">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A</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DA1F45">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065913">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“第三方评估”服务项目</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D930E5">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95A23F">
            <w:pPr>
              <w:keepNext w:val="0"/>
              <w:keepLines w:val="0"/>
              <w:widowControl/>
              <w:suppressLineNumbers w:val="0"/>
              <w:spacing w:line="36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r>
      <w:tr w14:paraId="29F028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0" w:type="auto"/>
            <w:vMerge w:val="restart"/>
            <w:tcBorders>
              <w:top w:val="single" w:color="000000" w:sz="4" w:space="0"/>
              <w:left w:val="single" w:color="000000" w:sz="4" w:space="0"/>
              <w:bottom w:val="nil"/>
              <w:right w:val="single" w:color="000000" w:sz="4" w:space="0"/>
            </w:tcBorders>
            <w:shd w:val="clear" w:color="auto" w:fill="auto"/>
            <w:noWrap/>
            <w:vAlign w:val="center"/>
          </w:tcPr>
          <w:p w14:paraId="46F55834">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B</w:t>
            </w:r>
          </w:p>
        </w:tc>
        <w:tc>
          <w:tcPr>
            <w:tcW w:w="1786" w:type="dxa"/>
            <w:vMerge w:val="restart"/>
            <w:tcBorders>
              <w:top w:val="single" w:color="000000" w:sz="4" w:space="0"/>
              <w:left w:val="single" w:color="000000" w:sz="4" w:space="0"/>
              <w:bottom w:val="nil"/>
              <w:right w:val="single" w:color="000000" w:sz="4" w:space="0"/>
            </w:tcBorders>
            <w:shd w:val="clear" w:color="auto" w:fill="auto"/>
            <w:vAlign w:val="center"/>
          </w:tcPr>
          <w:p w14:paraId="7B68C9B7">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祭城路街道办事处</w:t>
            </w:r>
          </w:p>
        </w:tc>
        <w:tc>
          <w:tcPr>
            <w:tcW w:w="3722" w:type="dxa"/>
            <w:vMerge w:val="restart"/>
            <w:tcBorders>
              <w:top w:val="single" w:color="000000" w:sz="4" w:space="0"/>
              <w:left w:val="single" w:color="000000" w:sz="4" w:space="0"/>
              <w:bottom w:val="nil"/>
              <w:right w:val="single" w:color="000000" w:sz="4" w:space="0"/>
            </w:tcBorders>
            <w:shd w:val="clear" w:color="auto" w:fill="auto"/>
            <w:vAlign w:val="center"/>
          </w:tcPr>
          <w:p w14:paraId="61B56789">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万安街社区社工站、黄河南路社区社工站、鑫苑花园社区社工站</w:t>
            </w:r>
          </w:p>
        </w:tc>
        <w:tc>
          <w:tcPr>
            <w:tcW w:w="1412" w:type="dxa"/>
            <w:vMerge w:val="restart"/>
            <w:tcBorders>
              <w:top w:val="single" w:color="000000" w:sz="4" w:space="0"/>
              <w:left w:val="single" w:color="000000" w:sz="4" w:space="0"/>
              <w:bottom w:val="nil"/>
              <w:right w:val="single" w:color="000000" w:sz="4" w:space="0"/>
            </w:tcBorders>
            <w:shd w:val="clear" w:color="auto" w:fill="auto"/>
            <w:vAlign w:val="center"/>
          </w:tcPr>
          <w:p w14:paraId="2C24BD79">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60.75</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411192">
            <w:pPr>
              <w:spacing w:line="360" w:lineRule="auto"/>
              <w:jc w:val="center"/>
              <w:rPr>
                <w:rFonts w:hint="eastAsia" w:ascii="宋体" w:hAnsi="宋体" w:eastAsia="宋体" w:cs="宋体"/>
                <w:i w:val="0"/>
                <w:iCs w:val="0"/>
                <w:color w:val="000000"/>
                <w:sz w:val="21"/>
                <w:szCs w:val="21"/>
                <w:u w:val="none"/>
              </w:rPr>
            </w:pPr>
          </w:p>
        </w:tc>
      </w:tr>
      <w:tr w14:paraId="543EA4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0" w:type="auto"/>
            <w:vMerge w:val="continue"/>
            <w:tcBorders>
              <w:top w:val="single" w:color="000000" w:sz="4" w:space="0"/>
              <w:left w:val="single" w:color="000000" w:sz="4" w:space="0"/>
              <w:bottom w:val="nil"/>
              <w:right w:val="single" w:color="000000" w:sz="4" w:space="0"/>
            </w:tcBorders>
            <w:shd w:val="clear" w:color="auto" w:fill="auto"/>
            <w:noWrap/>
            <w:vAlign w:val="center"/>
          </w:tcPr>
          <w:p w14:paraId="1746F429">
            <w:pPr>
              <w:spacing w:line="240" w:lineRule="auto"/>
              <w:jc w:val="center"/>
              <w:rPr>
                <w:rFonts w:hint="eastAsia" w:ascii="宋体" w:hAnsi="宋体" w:eastAsia="宋体" w:cs="宋体"/>
                <w:i w:val="0"/>
                <w:iCs w:val="0"/>
                <w:color w:val="000000"/>
                <w:sz w:val="21"/>
                <w:szCs w:val="21"/>
                <w:u w:val="none"/>
              </w:rPr>
            </w:pPr>
          </w:p>
        </w:tc>
        <w:tc>
          <w:tcPr>
            <w:tcW w:w="1786" w:type="dxa"/>
            <w:vMerge w:val="continue"/>
            <w:tcBorders>
              <w:top w:val="single" w:color="000000" w:sz="4" w:space="0"/>
              <w:left w:val="single" w:color="000000" w:sz="4" w:space="0"/>
              <w:bottom w:val="nil"/>
              <w:right w:val="single" w:color="000000" w:sz="4" w:space="0"/>
            </w:tcBorders>
            <w:shd w:val="clear" w:color="auto" w:fill="auto"/>
            <w:vAlign w:val="center"/>
          </w:tcPr>
          <w:p w14:paraId="2AD828E5">
            <w:pPr>
              <w:spacing w:line="240" w:lineRule="auto"/>
              <w:jc w:val="center"/>
              <w:rPr>
                <w:rFonts w:hint="eastAsia" w:ascii="宋体" w:hAnsi="宋体" w:eastAsia="宋体" w:cs="宋体"/>
                <w:i w:val="0"/>
                <w:iCs w:val="0"/>
                <w:color w:val="000000"/>
                <w:sz w:val="21"/>
                <w:szCs w:val="21"/>
                <w:u w:val="none"/>
              </w:rPr>
            </w:pPr>
          </w:p>
        </w:tc>
        <w:tc>
          <w:tcPr>
            <w:tcW w:w="3722" w:type="dxa"/>
            <w:vMerge w:val="continue"/>
            <w:tcBorders>
              <w:top w:val="single" w:color="000000" w:sz="4" w:space="0"/>
              <w:left w:val="single" w:color="000000" w:sz="4" w:space="0"/>
              <w:bottom w:val="nil"/>
              <w:right w:val="single" w:color="000000" w:sz="4" w:space="0"/>
            </w:tcBorders>
            <w:shd w:val="clear" w:color="auto" w:fill="auto"/>
            <w:vAlign w:val="center"/>
          </w:tcPr>
          <w:p w14:paraId="4D4FC28F">
            <w:pPr>
              <w:spacing w:line="240" w:lineRule="auto"/>
              <w:jc w:val="center"/>
              <w:rPr>
                <w:rFonts w:hint="eastAsia" w:ascii="宋体" w:hAnsi="宋体" w:eastAsia="宋体" w:cs="宋体"/>
                <w:i w:val="0"/>
                <w:iCs w:val="0"/>
                <w:color w:val="000000"/>
                <w:sz w:val="21"/>
                <w:szCs w:val="21"/>
                <w:u w:val="none"/>
              </w:rPr>
            </w:pPr>
          </w:p>
        </w:tc>
        <w:tc>
          <w:tcPr>
            <w:tcW w:w="1412" w:type="dxa"/>
            <w:vMerge w:val="continue"/>
            <w:tcBorders>
              <w:top w:val="single" w:color="000000" w:sz="4" w:space="0"/>
              <w:left w:val="single" w:color="000000" w:sz="4" w:space="0"/>
              <w:bottom w:val="nil"/>
              <w:right w:val="single" w:color="000000" w:sz="4" w:space="0"/>
            </w:tcBorders>
            <w:shd w:val="clear" w:color="auto" w:fill="auto"/>
            <w:vAlign w:val="center"/>
          </w:tcPr>
          <w:p w14:paraId="6A05C886">
            <w:pPr>
              <w:spacing w:line="240" w:lineRule="auto"/>
              <w:jc w:val="center"/>
              <w:rPr>
                <w:rFonts w:hint="eastAsia" w:ascii="宋体" w:hAnsi="宋体" w:eastAsia="宋体" w:cs="宋体"/>
                <w:i w:val="0"/>
                <w:iCs w:val="0"/>
                <w:color w:val="000000"/>
                <w:sz w:val="21"/>
                <w:szCs w:val="21"/>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784738">
            <w:pPr>
              <w:spacing w:line="360" w:lineRule="auto"/>
              <w:jc w:val="center"/>
              <w:rPr>
                <w:rFonts w:hint="eastAsia" w:ascii="宋体" w:hAnsi="宋体" w:eastAsia="宋体" w:cs="宋体"/>
                <w:i w:val="0"/>
                <w:iCs w:val="0"/>
                <w:color w:val="000000"/>
                <w:sz w:val="21"/>
                <w:szCs w:val="21"/>
                <w:u w:val="none"/>
              </w:rPr>
            </w:pPr>
          </w:p>
        </w:tc>
      </w:tr>
      <w:tr w14:paraId="31A4DA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0" w:type="auto"/>
            <w:vMerge w:val="continue"/>
            <w:tcBorders>
              <w:top w:val="single" w:color="000000" w:sz="4" w:space="0"/>
              <w:left w:val="single" w:color="000000" w:sz="4" w:space="0"/>
              <w:bottom w:val="nil"/>
              <w:right w:val="single" w:color="000000" w:sz="4" w:space="0"/>
            </w:tcBorders>
            <w:shd w:val="clear" w:color="auto" w:fill="auto"/>
            <w:noWrap/>
            <w:vAlign w:val="center"/>
          </w:tcPr>
          <w:p w14:paraId="581177AF">
            <w:pPr>
              <w:spacing w:line="240" w:lineRule="auto"/>
              <w:jc w:val="center"/>
              <w:rPr>
                <w:rFonts w:hint="eastAsia" w:ascii="宋体" w:hAnsi="宋体" w:eastAsia="宋体" w:cs="宋体"/>
                <w:i w:val="0"/>
                <w:iCs w:val="0"/>
                <w:color w:val="000000"/>
                <w:sz w:val="21"/>
                <w:szCs w:val="21"/>
                <w:u w:val="none"/>
              </w:rPr>
            </w:pPr>
          </w:p>
        </w:tc>
        <w:tc>
          <w:tcPr>
            <w:tcW w:w="1786" w:type="dxa"/>
            <w:vMerge w:val="continue"/>
            <w:tcBorders>
              <w:top w:val="single" w:color="000000" w:sz="4" w:space="0"/>
              <w:left w:val="single" w:color="000000" w:sz="4" w:space="0"/>
              <w:bottom w:val="nil"/>
              <w:right w:val="single" w:color="000000" w:sz="4" w:space="0"/>
            </w:tcBorders>
            <w:shd w:val="clear" w:color="auto" w:fill="auto"/>
            <w:vAlign w:val="center"/>
          </w:tcPr>
          <w:p w14:paraId="1DF521C6">
            <w:pPr>
              <w:spacing w:line="240" w:lineRule="auto"/>
              <w:jc w:val="center"/>
              <w:rPr>
                <w:rFonts w:hint="eastAsia" w:ascii="宋体" w:hAnsi="宋体" w:eastAsia="宋体" w:cs="宋体"/>
                <w:i w:val="0"/>
                <w:iCs w:val="0"/>
                <w:color w:val="000000"/>
                <w:sz w:val="21"/>
                <w:szCs w:val="21"/>
                <w:u w:val="none"/>
              </w:rPr>
            </w:pPr>
          </w:p>
        </w:tc>
        <w:tc>
          <w:tcPr>
            <w:tcW w:w="3722" w:type="dxa"/>
            <w:vMerge w:val="continue"/>
            <w:tcBorders>
              <w:top w:val="single" w:color="000000" w:sz="4" w:space="0"/>
              <w:left w:val="single" w:color="000000" w:sz="4" w:space="0"/>
              <w:bottom w:val="nil"/>
              <w:right w:val="single" w:color="000000" w:sz="4" w:space="0"/>
            </w:tcBorders>
            <w:shd w:val="clear" w:color="auto" w:fill="auto"/>
            <w:vAlign w:val="center"/>
          </w:tcPr>
          <w:p w14:paraId="2FD7061E">
            <w:pPr>
              <w:spacing w:line="240" w:lineRule="auto"/>
              <w:jc w:val="center"/>
              <w:rPr>
                <w:rFonts w:hint="eastAsia" w:ascii="宋体" w:hAnsi="宋体" w:eastAsia="宋体" w:cs="宋体"/>
                <w:i w:val="0"/>
                <w:iCs w:val="0"/>
                <w:color w:val="000000"/>
                <w:sz w:val="21"/>
                <w:szCs w:val="21"/>
                <w:u w:val="none"/>
              </w:rPr>
            </w:pPr>
          </w:p>
        </w:tc>
        <w:tc>
          <w:tcPr>
            <w:tcW w:w="1412" w:type="dxa"/>
            <w:vMerge w:val="continue"/>
            <w:tcBorders>
              <w:top w:val="single" w:color="000000" w:sz="4" w:space="0"/>
              <w:left w:val="single" w:color="000000" w:sz="4" w:space="0"/>
              <w:bottom w:val="nil"/>
              <w:right w:val="single" w:color="000000" w:sz="4" w:space="0"/>
            </w:tcBorders>
            <w:shd w:val="clear" w:color="auto" w:fill="auto"/>
            <w:vAlign w:val="center"/>
          </w:tcPr>
          <w:p w14:paraId="7D34BED2">
            <w:pPr>
              <w:spacing w:line="240" w:lineRule="auto"/>
              <w:jc w:val="center"/>
              <w:rPr>
                <w:rFonts w:hint="eastAsia" w:ascii="宋体" w:hAnsi="宋体" w:eastAsia="宋体" w:cs="宋体"/>
                <w:i w:val="0"/>
                <w:iCs w:val="0"/>
                <w:color w:val="000000"/>
                <w:sz w:val="21"/>
                <w:szCs w:val="21"/>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D3BB26">
            <w:pPr>
              <w:spacing w:line="360" w:lineRule="auto"/>
              <w:jc w:val="center"/>
              <w:rPr>
                <w:rFonts w:hint="eastAsia" w:ascii="宋体" w:hAnsi="宋体" w:eastAsia="宋体" w:cs="宋体"/>
                <w:i w:val="0"/>
                <w:iCs w:val="0"/>
                <w:color w:val="000000"/>
                <w:sz w:val="21"/>
                <w:szCs w:val="21"/>
                <w:u w:val="none"/>
              </w:rPr>
            </w:pPr>
          </w:p>
        </w:tc>
      </w:tr>
      <w:tr w14:paraId="6F8CAB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0" w:type="auto"/>
            <w:vMerge w:val="continue"/>
            <w:tcBorders>
              <w:top w:val="single" w:color="000000" w:sz="4" w:space="0"/>
              <w:left w:val="single" w:color="000000" w:sz="4" w:space="0"/>
              <w:bottom w:val="nil"/>
              <w:right w:val="single" w:color="000000" w:sz="4" w:space="0"/>
            </w:tcBorders>
            <w:shd w:val="clear" w:color="auto" w:fill="auto"/>
            <w:noWrap/>
            <w:vAlign w:val="center"/>
          </w:tcPr>
          <w:p w14:paraId="306C0D7B">
            <w:pPr>
              <w:spacing w:line="240" w:lineRule="auto"/>
              <w:jc w:val="center"/>
              <w:rPr>
                <w:rFonts w:hint="eastAsia" w:ascii="宋体" w:hAnsi="宋体" w:eastAsia="宋体" w:cs="宋体"/>
                <w:i w:val="0"/>
                <w:iCs w:val="0"/>
                <w:color w:val="000000"/>
                <w:sz w:val="21"/>
                <w:szCs w:val="21"/>
                <w:u w:val="none"/>
              </w:rPr>
            </w:pPr>
          </w:p>
        </w:tc>
        <w:tc>
          <w:tcPr>
            <w:tcW w:w="1786" w:type="dxa"/>
            <w:vMerge w:val="continue"/>
            <w:tcBorders>
              <w:top w:val="single" w:color="000000" w:sz="4" w:space="0"/>
              <w:left w:val="single" w:color="000000" w:sz="4" w:space="0"/>
              <w:bottom w:val="nil"/>
              <w:right w:val="single" w:color="000000" w:sz="4" w:space="0"/>
            </w:tcBorders>
            <w:shd w:val="clear" w:color="auto" w:fill="auto"/>
            <w:vAlign w:val="center"/>
          </w:tcPr>
          <w:p w14:paraId="50EEFAAA">
            <w:pPr>
              <w:spacing w:line="240" w:lineRule="auto"/>
              <w:jc w:val="center"/>
              <w:rPr>
                <w:rFonts w:hint="eastAsia" w:ascii="宋体" w:hAnsi="宋体" w:eastAsia="宋体" w:cs="宋体"/>
                <w:i w:val="0"/>
                <w:iCs w:val="0"/>
                <w:color w:val="000000"/>
                <w:sz w:val="21"/>
                <w:szCs w:val="21"/>
                <w:u w:val="none"/>
              </w:rPr>
            </w:pPr>
          </w:p>
        </w:tc>
        <w:tc>
          <w:tcPr>
            <w:tcW w:w="3722" w:type="dxa"/>
            <w:vMerge w:val="continue"/>
            <w:tcBorders>
              <w:top w:val="single" w:color="000000" w:sz="4" w:space="0"/>
              <w:left w:val="single" w:color="000000" w:sz="4" w:space="0"/>
              <w:bottom w:val="nil"/>
              <w:right w:val="single" w:color="000000" w:sz="4" w:space="0"/>
            </w:tcBorders>
            <w:shd w:val="clear" w:color="auto" w:fill="auto"/>
            <w:vAlign w:val="center"/>
          </w:tcPr>
          <w:p w14:paraId="62DBE0C5">
            <w:pPr>
              <w:spacing w:line="240" w:lineRule="auto"/>
              <w:jc w:val="center"/>
              <w:rPr>
                <w:rFonts w:hint="eastAsia" w:ascii="宋体" w:hAnsi="宋体" w:eastAsia="宋体" w:cs="宋体"/>
                <w:i w:val="0"/>
                <w:iCs w:val="0"/>
                <w:color w:val="000000"/>
                <w:sz w:val="21"/>
                <w:szCs w:val="21"/>
                <w:u w:val="none"/>
              </w:rPr>
            </w:pPr>
          </w:p>
        </w:tc>
        <w:tc>
          <w:tcPr>
            <w:tcW w:w="1412" w:type="dxa"/>
            <w:vMerge w:val="continue"/>
            <w:tcBorders>
              <w:top w:val="single" w:color="000000" w:sz="4" w:space="0"/>
              <w:left w:val="single" w:color="000000" w:sz="4" w:space="0"/>
              <w:bottom w:val="nil"/>
              <w:right w:val="single" w:color="000000" w:sz="4" w:space="0"/>
            </w:tcBorders>
            <w:shd w:val="clear" w:color="auto" w:fill="auto"/>
            <w:vAlign w:val="center"/>
          </w:tcPr>
          <w:p w14:paraId="0BF1974D">
            <w:pPr>
              <w:spacing w:line="240" w:lineRule="auto"/>
              <w:jc w:val="center"/>
              <w:rPr>
                <w:rFonts w:hint="eastAsia" w:ascii="宋体" w:hAnsi="宋体" w:eastAsia="宋体" w:cs="宋体"/>
                <w:i w:val="0"/>
                <w:iCs w:val="0"/>
                <w:color w:val="000000"/>
                <w:sz w:val="21"/>
                <w:szCs w:val="21"/>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CE63AD">
            <w:pPr>
              <w:spacing w:line="360" w:lineRule="auto"/>
              <w:jc w:val="center"/>
              <w:rPr>
                <w:rFonts w:hint="eastAsia" w:ascii="宋体" w:hAnsi="宋体" w:eastAsia="宋体" w:cs="宋体"/>
                <w:i w:val="0"/>
                <w:iCs w:val="0"/>
                <w:color w:val="000000"/>
                <w:sz w:val="21"/>
                <w:szCs w:val="21"/>
                <w:u w:val="none"/>
              </w:rPr>
            </w:pPr>
          </w:p>
        </w:tc>
      </w:tr>
      <w:tr w14:paraId="734E55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83A0BC">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C</w:t>
            </w:r>
          </w:p>
        </w:tc>
        <w:tc>
          <w:tcPr>
            <w:tcW w:w="1786" w:type="dxa"/>
            <w:vMerge w:val="restart"/>
            <w:tcBorders>
              <w:top w:val="single" w:color="000000" w:sz="4" w:space="0"/>
              <w:left w:val="single" w:color="000000" w:sz="4" w:space="0"/>
              <w:bottom w:val="nil"/>
              <w:right w:val="single" w:color="000000" w:sz="4" w:space="0"/>
            </w:tcBorders>
            <w:shd w:val="clear" w:color="auto" w:fill="auto"/>
            <w:vAlign w:val="center"/>
          </w:tcPr>
          <w:p w14:paraId="4935F176">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祭城路街道办事处</w:t>
            </w:r>
          </w:p>
        </w:tc>
        <w:tc>
          <w:tcPr>
            <w:tcW w:w="3722" w:type="dxa"/>
            <w:vMerge w:val="restart"/>
            <w:tcBorders>
              <w:top w:val="single" w:color="000000" w:sz="4" w:space="0"/>
              <w:left w:val="single" w:color="000000" w:sz="4" w:space="0"/>
              <w:bottom w:val="nil"/>
              <w:right w:val="single" w:color="000000" w:sz="4" w:space="0"/>
            </w:tcBorders>
            <w:shd w:val="clear" w:color="auto" w:fill="auto"/>
            <w:vAlign w:val="center"/>
          </w:tcPr>
          <w:p w14:paraId="672B0289">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心怡路社区社工站、正弘山社区社工站、翡翠社区社工站</w:t>
            </w:r>
          </w:p>
        </w:tc>
        <w:tc>
          <w:tcPr>
            <w:tcW w:w="1412" w:type="dxa"/>
            <w:vMerge w:val="restart"/>
            <w:tcBorders>
              <w:top w:val="single" w:color="000000" w:sz="4" w:space="0"/>
              <w:left w:val="single" w:color="000000" w:sz="4" w:space="0"/>
              <w:bottom w:val="nil"/>
              <w:right w:val="single" w:color="000000" w:sz="4" w:space="0"/>
            </w:tcBorders>
            <w:shd w:val="clear" w:color="auto" w:fill="auto"/>
            <w:vAlign w:val="center"/>
          </w:tcPr>
          <w:p w14:paraId="71D9C7D8">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60.75</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314003">
            <w:pPr>
              <w:spacing w:line="360" w:lineRule="auto"/>
              <w:jc w:val="center"/>
              <w:rPr>
                <w:rFonts w:hint="eastAsia" w:ascii="宋体" w:hAnsi="宋体" w:eastAsia="宋体" w:cs="宋体"/>
                <w:i w:val="0"/>
                <w:iCs w:val="0"/>
                <w:color w:val="000000"/>
                <w:sz w:val="21"/>
                <w:szCs w:val="21"/>
                <w:u w:val="none"/>
              </w:rPr>
            </w:pPr>
          </w:p>
        </w:tc>
      </w:tr>
      <w:tr w14:paraId="5B04A2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72C761">
            <w:pPr>
              <w:spacing w:line="240" w:lineRule="auto"/>
              <w:jc w:val="center"/>
              <w:rPr>
                <w:rFonts w:hint="eastAsia" w:ascii="宋体" w:hAnsi="宋体" w:eastAsia="宋体" w:cs="宋体"/>
                <w:i w:val="0"/>
                <w:iCs w:val="0"/>
                <w:color w:val="000000"/>
                <w:sz w:val="21"/>
                <w:szCs w:val="21"/>
                <w:u w:val="none"/>
              </w:rPr>
            </w:pPr>
          </w:p>
        </w:tc>
        <w:tc>
          <w:tcPr>
            <w:tcW w:w="1786" w:type="dxa"/>
            <w:vMerge w:val="continue"/>
            <w:tcBorders>
              <w:top w:val="single" w:color="000000" w:sz="4" w:space="0"/>
              <w:left w:val="single" w:color="000000" w:sz="4" w:space="0"/>
              <w:bottom w:val="nil"/>
              <w:right w:val="single" w:color="000000" w:sz="4" w:space="0"/>
            </w:tcBorders>
            <w:shd w:val="clear" w:color="auto" w:fill="auto"/>
            <w:vAlign w:val="center"/>
          </w:tcPr>
          <w:p w14:paraId="2F0995C0">
            <w:pPr>
              <w:spacing w:line="240" w:lineRule="auto"/>
              <w:jc w:val="center"/>
              <w:rPr>
                <w:rFonts w:hint="eastAsia" w:ascii="宋体" w:hAnsi="宋体" w:eastAsia="宋体" w:cs="宋体"/>
                <w:i w:val="0"/>
                <w:iCs w:val="0"/>
                <w:color w:val="000000"/>
                <w:sz w:val="21"/>
                <w:szCs w:val="21"/>
                <w:u w:val="none"/>
              </w:rPr>
            </w:pPr>
          </w:p>
        </w:tc>
        <w:tc>
          <w:tcPr>
            <w:tcW w:w="3722" w:type="dxa"/>
            <w:vMerge w:val="continue"/>
            <w:tcBorders>
              <w:top w:val="single" w:color="000000" w:sz="4" w:space="0"/>
              <w:left w:val="single" w:color="000000" w:sz="4" w:space="0"/>
              <w:bottom w:val="nil"/>
              <w:right w:val="single" w:color="000000" w:sz="4" w:space="0"/>
            </w:tcBorders>
            <w:shd w:val="clear" w:color="auto" w:fill="auto"/>
            <w:vAlign w:val="center"/>
          </w:tcPr>
          <w:p w14:paraId="303FC645">
            <w:pPr>
              <w:spacing w:line="240" w:lineRule="auto"/>
              <w:jc w:val="center"/>
              <w:rPr>
                <w:rFonts w:hint="eastAsia" w:ascii="宋体" w:hAnsi="宋体" w:eastAsia="宋体" w:cs="宋体"/>
                <w:i w:val="0"/>
                <w:iCs w:val="0"/>
                <w:color w:val="000000"/>
                <w:sz w:val="21"/>
                <w:szCs w:val="21"/>
                <w:u w:val="none"/>
              </w:rPr>
            </w:pPr>
          </w:p>
        </w:tc>
        <w:tc>
          <w:tcPr>
            <w:tcW w:w="1412" w:type="dxa"/>
            <w:vMerge w:val="continue"/>
            <w:tcBorders>
              <w:top w:val="single" w:color="000000" w:sz="4" w:space="0"/>
              <w:left w:val="single" w:color="000000" w:sz="4" w:space="0"/>
              <w:bottom w:val="nil"/>
              <w:right w:val="single" w:color="000000" w:sz="4" w:space="0"/>
            </w:tcBorders>
            <w:shd w:val="clear" w:color="auto" w:fill="auto"/>
            <w:vAlign w:val="center"/>
          </w:tcPr>
          <w:p w14:paraId="533460A6">
            <w:pPr>
              <w:spacing w:line="240" w:lineRule="auto"/>
              <w:jc w:val="center"/>
              <w:rPr>
                <w:rFonts w:hint="eastAsia" w:ascii="宋体" w:hAnsi="宋体" w:eastAsia="宋体" w:cs="宋体"/>
                <w:i w:val="0"/>
                <w:iCs w:val="0"/>
                <w:color w:val="000000"/>
                <w:sz w:val="21"/>
                <w:szCs w:val="21"/>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43C9C4">
            <w:pPr>
              <w:spacing w:line="360" w:lineRule="auto"/>
              <w:jc w:val="center"/>
              <w:rPr>
                <w:rFonts w:hint="eastAsia" w:ascii="宋体" w:hAnsi="宋体" w:eastAsia="宋体" w:cs="宋体"/>
                <w:i w:val="0"/>
                <w:iCs w:val="0"/>
                <w:color w:val="000000"/>
                <w:sz w:val="21"/>
                <w:szCs w:val="21"/>
                <w:u w:val="none"/>
              </w:rPr>
            </w:pPr>
          </w:p>
        </w:tc>
      </w:tr>
      <w:tr w14:paraId="4BAEA8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BBFC25">
            <w:pPr>
              <w:spacing w:line="240" w:lineRule="auto"/>
              <w:jc w:val="center"/>
              <w:rPr>
                <w:rFonts w:hint="eastAsia" w:ascii="宋体" w:hAnsi="宋体" w:eastAsia="宋体" w:cs="宋体"/>
                <w:i w:val="0"/>
                <w:iCs w:val="0"/>
                <w:color w:val="000000"/>
                <w:sz w:val="21"/>
                <w:szCs w:val="21"/>
                <w:u w:val="none"/>
              </w:rPr>
            </w:pPr>
          </w:p>
        </w:tc>
        <w:tc>
          <w:tcPr>
            <w:tcW w:w="1786" w:type="dxa"/>
            <w:vMerge w:val="continue"/>
            <w:tcBorders>
              <w:top w:val="single" w:color="000000" w:sz="4" w:space="0"/>
              <w:left w:val="single" w:color="000000" w:sz="4" w:space="0"/>
              <w:bottom w:val="nil"/>
              <w:right w:val="single" w:color="000000" w:sz="4" w:space="0"/>
            </w:tcBorders>
            <w:shd w:val="clear" w:color="auto" w:fill="auto"/>
            <w:vAlign w:val="center"/>
          </w:tcPr>
          <w:p w14:paraId="5B2A11A8">
            <w:pPr>
              <w:spacing w:line="240" w:lineRule="auto"/>
              <w:jc w:val="center"/>
              <w:rPr>
                <w:rFonts w:hint="eastAsia" w:ascii="宋体" w:hAnsi="宋体" w:eastAsia="宋体" w:cs="宋体"/>
                <w:i w:val="0"/>
                <w:iCs w:val="0"/>
                <w:color w:val="000000"/>
                <w:sz w:val="21"/>
                <w:szCs w:val="21"/>
                <w:u w:val="none"/>
              </w:rPr>
            </w:pPr>
          </w:p>
        </w:tc>
        <w:tc>
          <w:tcPr>
            <w:tcW w:w="3722" w:type="dxa"/>
            <w:vMerge w:val="continue"/>
            <w:tcBorders>
              <w:top w:val="single" w:color="000000" w:sz="4" w:space="0"/>
              <w:left w:val="single" w:color="000000" w:sz="4" w:space="0"/>
              <w:bottom w:val="nil"/>
              <w:right w:val="single" w:color="000000" w:sz="4" w:space="0"/>
            </w:tcBorders>
            <w:shd w:val="clear" w:color="auto" w:fill="auto"/>
            <w:vAlign w:val="center"/>
          </w:tcPr>
          <w:p w14:paraId="626204E6">
            <w:pPr>
              <w:spacing w:line="240" w:lineRule="auto"/>
              <w:jc w:val="center"/>
              <w:rPr>
                <w:rFonts w:hint="eastAsia" w:ascii="宋体" w:hAnsi="宋体" w:eastAsia="宋体" w:cs="宋体"/>
                <w:i w:val="0"/>
                <w:iCs w:val="0"/>
                <w:color w:val="000000"/>
                <w:sz w:val="21"/>
                <w:szCs w:val="21"/>
                <w:u w:val="none"/>
              </w:rPr>
            </w:pPr>
          </w:p>
        </w:tc>
        <w:tc>
          <w:tcPr>
            <w:tcW w:w="1412" w:type="dxa"/>
            <w:vMerge w:val="continue"/>
            <w:tcBorders>
              <w:top w:val="single" w:color="000000" w:sz="4" w:space="0"/>
              <w:left w:val="single" w:color="000000" w:sz="4" w:space="0"/>
              <w:bottom w:val="nil"/>
              <w:right w:val="single" w:color="000000" w:sz="4" w:space="0"/>
            </w:tcBorders>
            <w:shd w:val="clear" w:color="auto" w:fill="auto"/>
            <w:vAlign w:val="center"/>
          </w:tcPr>
          <w:p w14:paraId="18CF2F9A">
            <w:pPr>
              <w:spacing w:line="240" w:lineRule="auto"/>
              <w:jc w:val="center"/>
              <w:rPr>
                <w:rFonts w:hint="eastAsia" w:ascii="宋体" w:hAnsi="宋体" w:eastAsia="宋体" w:cs="宋体"/>
                <w:i w:val="0"/>
                <w:iCs w:val="0"/>
                <w:color w:val="000000"/>
                <w:sz w:val="21"/>
                <w:szCs w:val="21"/>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EEAAA3">
            <w:pPr>
              <w:spacing w:line="360" w:lineRule="auto"/>
              <w:jc w:val="center"/>
              <w:rPr>
                <w:rFonts w:hint="eastAsia" w:ascii="宋体" w:hAnsi="宋体" w:eastAsia="宋体" w:cs="宋体"/>
                <w:i w:val="0"/>
                <w:iCs w:val="0"/>
                <w:color w:val="000000"/>
                <w:sz w:val="21"/>
                <w:szCs w:val="21"/>
                <w:u w:val="none"/>
              </w:rPr>
            </w:pPr>
          </w:p>
        </w:tc>
      </w:tr>
      <w:tr w14:paraId="51A3BB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E360A8">
            <w:pPr>
              <w:spacing w:line="240" w:lineRule="auto"/>
              <w:jc w:val="center"/>
              <w:rPr>
                <w:rFonts w:hint="eastAsia" w:ascii="宋体" w:hAnsi="宋体" w:eastAsia="宋体" w:cs="宋体"/>
                <w:i w:val="0"/>
                <w:iCs w:val="0"/>
                <w:color w:val="000000"/>
                <w:sz w:val="21"/>
                <w:szCs w:val="21"/>
                <w:u w:val="none"/>
              </w:rPr>
            </w:pPr>
          </w:p>
        </w:tc>
        <w:tc>
          <w:tcPr>
            <w:tcW w:w="1786" w:type="dxa"/>
            <w:vMerge w:val="continue"/>
            <w:tcBorders>
              <w:top w:val="single" w:color="000000" w:sz="4" w:space="0"/>
              <w:left w:val="single" w:color="000000" w:sz="4" w:space="0"/>
              <w:bottom w:val="nil"/>
              <w:right w:val="single" w:color="000000" w:sz="4" w:space="0"/>
            </w:tcBorders>
            <w:shd w:val="clear" w:color="auto" w:fill="auto"/>
            <w:vAlign w:val="center"/>
          </w:tcPr>
          <w:p w14:paraId="4B847F4C">
            <w:pPr>
              <w:spacing w:line="240" w:lineRule="auto"/>
              <w:jc w:val="center"/>
              <w:rPr>
                <w:rFonts w:hint="eastAsia" w:ascii="宋体" w:hAnsi="宋体" w:eastAsia="宋体" w:cs="宋体"/>
                <w:i w:val="0"/>
                <w:iCs w:val="0"/>
                <w:color w:val="000000"/>
                <w:sz w:val="21"/>
                <w:szCs w:val="21"/>
                <w:u w:val="none"/>
              </w:rPr>
            </w:pPr>
          </w:p>
        </w:tc>
        <w:tc>
          <w:tcPr>
            <w:tcW w:w="3722" w:type="dxa"/>
            <w:vMerge w:val="continue"/>
            <w:tcBorders>
              <w:top w:val="single" w:color="000000" w:sz="4" w:space="0"/>
              <w:left w:val="single" w:color="000000" w:sz="4" w:space="0"/>
              <w:bottom w:val="nil"/>
              <w:right w:val="single" w:color="000000" w:sz="4" w:space="0"/>
            </w:tcBorders>
            <w:shd w:val="clear" w:color="auto" w:fill="auto"/>
            <w:vAlign w:val="center"/>
          </w:tcPr>
          <w:p w14:paraId="0C4DECE4">
            <w:pPr>
              <w:spacing w:line="240" w:lineRule="auto"/>
              <w:jc w:val="center"/>
              <w:rPr>
                <w:rFonts w:hint="eastAsia" w:ascii="宋体" w:hAnsi="宋体" w:eastAsia="宋体" w:cs="宋体"/>
                <w:i w:val="0"/>
                <w:iCs w:val="0"/>
                <w:color w:val="000000"/>
                <w:sz w:val="21"/>
                <w:szCs w:val="21"/>
                <w:u w:val="none"/>
              </w:rPr>
            </w:pPr>
          </w:p>
        </w:tc>
        <w:tc>
          <w:tcPr>
            <w:tcW w:w="1412" w:type="dxa"/>
            <w:vMerge w:val="continue"/>
            <w:tcBorders>
              <w:top w:val="single" w:color="000000" w:sz="4" w:space="0"/>
              <w:left w:val="single" w:color="000000" w:sz="4" w:space="0"/>
              <w:bottom w:val="nil"/>
              <w:right w:val="single" w:color="000000" w:sz="4" w:space="0"/>
            </w:tcBorders>
            <w:shd w:val="clear" w:color="auto" w:fill="auto"/>
            <w:vAlign w:val="center"/>
          </w:tcPr>
          <w:p w14:paraId="212F7A51">
            <w:pPr>
              <w:spacing w:line="240" w:lineRule="auto"/>
              <w:jc w:val="center"/>
              <w:rPr>
                <w:rFonts w:hint="eastAsia" w:ascii="宋体" w:hAnsi="宋体" w:eastAsia="宋体" w:cs="宋体"/>
                <w:i w:val="0"/>
                <w:iCs w:val="0"/>
                <w:color w:val="000000"/>
                <w:sz w:val="21"/>
                <w:szCs w:val="21"/>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99047C">
            <w:pPr>
              <w:spacing w:line="360" w:lineRule="auto"/>
              <w:jc w:val="center"/>
              <w:rPr>
                <w:rFonts w:hint="eastAsia" w:ascii="宋体" w:hAnsi="宋体" w:eastAsia="宋体" w:cs="宋体"/>
                <w:i w:val="0"/>
                <w:iCs w:val="0"/>
                <w:color w:val="000000"/>
                <w:sz w:val="21"/>
                <w:szCs w:val="21"/>
                <w:u w:val="none"/>
              </w:rPr>
            </w:pPr>
          </w:p>
        </w:tc>
      </w:tr>
      <w:tr w14:paraId="78B097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96D65B">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D</w:t>
            </w:r>
          </w:p>
        </w:tc>
        <w:tc>
          <w:tcPr>
            <w:tcW w:w="178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F75A842">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龙子湖街道办事处、博学路办事处</w:t>
            </w:r>
          </w:p>
        </w:tc>
        <w:tc>
          <w:tcPr>
            <w:tcW w:w="372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2EE3F0F">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知启街社区社工站、河大社区社工站、龙子湖南路社区社工站</w:t>
            </w:r>
          </w:p>
        </w:tc>
        <w:tc>
          <w:tcPr>
            <w:tcW w:w="141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EFFA473">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60.75</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EF26E0">
            <w:pPr>
              <w:spacing w:line="360" w:lineRule="auto"/>
              <w:jc w:val="center"/>
              <w:rPr>
                <w:rFonts w:hint="eastAsia" w:ascii="宋体" w:hAnsi="宋体" w:eastAsia="宋体" w:cs="宋体"/>
                <w:i w:val="0"/>
                <w:iCs w:val="0"/>
                <w:color w:val="000000"/>
                <w:sz w:val="21"/>
                <w:szCs w:val="21"/>
                <w:u w:val="none"/>
              </w:rPr>
            </w:pPr>
          </w:p>
        </w:tc>
      </w:tr>
      <w:tr w14:paraId="346FF5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A17AD9">
            <w:pPr>
              <w:spacing w:line="240" w:lineRule="auto"/>
              <w:jc w:val="center"/>
              <w:rPr>
                <w:rFonts w:hint="eastAsia" w:ascii="宋体" w:hAnsi="宋体" w:eastAsia="宋体" w:cs="宋体"/>
                <w:i w:val="0"/>
                <w:iCs w:val="0"/>
                <w:color w:val="000000"/>
                <w:sz w:val="21"/>
                <w:szCs w:val="21"/>
                <w:u w:val="none"/>
              </w:rPr>
            </w:pPr>
          </w:p>
        </w:tc>
        <w:tc>
          <w:tcPr>
            <w:tcW w:w="17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48B86C2">
            <w:pPr>
              <w:spacing w:line="240" w:lineRule="auto"/>
              <w:jc w:val="center"/>
              <w:rPr>
                <w:rFonts w:hint="eastAsia" w:ascii="宋体" w:hAnsi="宋体" w:eastAsia="宋体" w:cs="宋体"/>
                <w:i w:val="0"/>
                <w:iCs w:val="0"/>
                <w:color w:val="000000"/>
                <w:sz w:val="21"/>
                <w:szCs w:val="21"/>
                <w:u w:val="none"/>
              </w:rPr>
            </w:pPr>
          </w:p>
        </w:tc>
        <w:tc>
          <w:tcPr>
            <w:tcW w:w="372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4244F6A">
            <w:pPr>
              <w:spacing w:line="240" w:lineRule="auto"/>
              <w:jc w:val="center"/>
              <w:rPr>
                <w:rFonts w:hint="eastAsia" w:ascii="宋体" w:hAnsi="宋体" w:eastAsia="宋体" w:cs="宋体"/>
                <w:i w:val="0"/>
                <w:iCs w:val="0"/>
                <w:color w:val="000000"/>
                <w:sz w:val="21"/>
                <w:szCs w:val="21"/>
                <w:u w:val="none"/>
              </w:rPr>
            </w:pPr>
          </w:p>
        </w:tc>
        <w:tc>
          <w:tcPr>
            <w:tcW w:w="14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2C6218A">
            <w:pPr>
              <w:spacing w:line="240" w:lineRule="auto"/>
              <w:jc w:val="center"/>
              <w:rPr>
                <w:rFonts w:hint="eastAsia" w:ascii="宋体" w:hAnsi="宋体" w:eastAsia="宋体" w:cs="宋体"/>
                <w:i w:val="0"/>
                <w:iCs w:val="0"/>
                <w:color w:val="000000"/>
                <w:sz w:val="21"/>
                <w:szCs w:val="21"/>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38284D">
            <w:pPr>
              <w:spacing w:line="360" w:lineRule="auto"/>
              <w:jc w:val="center"/>
              <w:rPr>
                <w:rFonts w:hint="eastAsia" w:ascii="宋体" w:hAnsi="宋体" w:eastAsia="宋体" w:cs="宋体"/>
                <w:i w:val="0"/>
                <w:iCs w:val="0"/>
                <w:color w:val="000000"/>
                <w:sz w:val="21"/>
                <w:szCs w:val="21"/>
                <w:u w:val="none"/>
              </w:rPr>
            </w:pPr>
          </w:p>
        </w:tc>
      </w:tr>
      <w:tr w14:paraId="318ACC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11FC47">
            <w:pPr>
              <w:spacing w:line="240" w:lineRule="auto"/>
              <w:jc w:val="center"/>
              <w:rPr>
                <w:rFonts w:hint="eastAsia" w:ascii="宋体" w:hAnsi="宋体" w:eastAsia="宋体" w:cs="宋体"/>
                <w:i w:val="0"/>
                <w:iCs w:val="0"/>
                <w:color w:val="000000"/>
                <w:sz w:val="21"/>
                <w:szCs w:val="21"/>
                <w:u w:val="none"/>
              </w:rPr>
            </w:pPr>
          </w:p>
        </w:tc>
        <w:tc>
          <w:tcPr>
            <w:tcW w:w="17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F679985">
            <w:pPr>
              <w:spacing w:line="240" w:lineRule="auto"/>
              <w:jc w:val="center"/>
              <w:rPr>
                <w:rFonts w:hint="eastAsia" w:ascii="宋体" w:hAnsi="宋体" w:eastAsia="宋体" w:cs="宋体"/>
                <w:i w:val="0"/>
                <w:iCs w:val="0"/>
                <w:color w:val="000000"/>
                <w:sz w:val="21"/>
                <w:szCs w:val="21"/>
                <w:u w:val="none"/>
              </w:rPr>
            </w:pPr>
          </w:p>
        </w:tc>
        <w:tc>
          <w:tcPr>
            <w:tcW w:w="372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B3CA017">
            <w:pPr>
              <w:spacing w:line="240" w:lineRule="auto"/>
              <w:jc w:val="center"/>
              <w:rPr>
                <w:rFonts w:hint="eastAsia" w:ascii="宋体" w:hAnsi="宋体" w:eastAsia="宋体" w:cs="宋体"/>
                <w:i w:val="0"/>
                <w:iCs w:val="0"/>
                <w:color w:val="000000"/>
                <w:sz w:val="21"/>
                <w:szCs w:val="21"/>
                <w:u w:val="none"/>
              </w:rPr>
            </w:pPr>
          </w:p>
        </w:tc>
        <w:tc>
          <w:tcPr>
            <w:tcW w:w="14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3E8568A">
            <w:pPr>
              <w:spacing w:line="240" w:lineRule="auto"/>
              <w:jc w:val="center"/>
              <w:rPr>
                <w:rFonts w:hint="eastAsia" w:ascii="宋体" w:hAnsi="宋体" w:eastAsia="宋体" w:cs="宋体"/>
                <w:i w:val="0"/>
                <w:iCs w:val="0"/>
                <w:color w:val="000000"/>
                <w:sz w:val="21"/>
                <w:szCs w:val="21"/>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8FD507">
            <w:pPr>
              <w:spacing w:line="360" w:lineRule="auto"/>
              <w:jc w:val="center"/>
              <w:rPr>
                <w:rFonts w:hint="eastAsia" w:ascii="宋体" w:hAnsi="宋体" w:eastAsia="宋体" w:cs="宋体"/>
                <w:i w:val="0"/>
                <w:iCs w:val="0"/>
                <w:color w:val="000000"/>
                <w:sz w:val="21"/>
                <w:szCs w:val="21"/>
                <w:u w:val="none"/>
              </w:rPr>
            </w:pPr>
          </w:p>
        </w:tc>
      </w:tr>
      <w:tr w14:paraId="30305F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96"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C0EAD8">
            <w:pPr>
              <w:spacing w:line="240" w:lineRule="auto"/>
              <w:jc w:val="center"/>
              <w:rPr>
                <w:rFonts w:hint="eastAsia" w:ascii="宋体" w:hAnsi="宋体" w:eastAsia="宋体" w:cs="宋体"/>
                <w:i w:val="0"/>
                <w:iCs w:val="0"/>
                <w:color w:val="000000"/>
                <w:sz w:val="21"/>
                <w:szCs w:val="21"/>
                <w:u w:val="none"/>
              </w:rPr>
            </w:pPr>
          </w:p>
        </w:tc>
        <w:tc>
          <w:tcPr>
            <w:tcW w:w="17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9D128A2">
            <w:pPr>
              <w:spacing w:line="240" w:lineRule="auto"/>
              <w:jc w:val="center"/>
              <w:rPr>
                <w:rFonts w:hint="eastAsia" w:ascii="宋体" w:hAnsi="宋体" w:eastAsia="宋体" w:cs="宋体"/>
                <w:i w:val="0"/>
                <w:iCs w:val="0"/>
                <w:color w:val="000000"/>
                <w:sz w:val="21"/>
                <w:szCs w:val="21"/>
                <w:u w:val="none"/>
              </w:rPr>
            </w:pPr>
          </w:p>
        </w:tc>
        <w:tc>
          <w:tcPr>
            <w:tcW w:w="372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CDB2E3F">
            <w:pPr>
              <w:spacing w:line="240" w:lineRule="auto"/>
              <w:jc w:val="center"/>
              <w:rPr>
                <w:rFonts w:hint="eastAsia" w:ascii="宋体" w:hAnsi="宋体" w:eastAsia="宋体" w:cs="宋体"/>
                <w:i w:val="0"/>
                <w:iCs w:val="0"/>
                <w:color w:val="000000"/>
                <w:sz w:val="21"/>
                <w:szCs w:val="21"/>
                <w:u w:val="none"/>
              </w:rPr>
            </w:pPr>
          </w:p>
        </w:tc>
        <w:tc>
          <w:tcPr>
            <w:tcW w:w="14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B884E68">
            <w:pPr>
              <w:spacing w:line="240" w:lineRule="auto"/>
              <w:jc w:val="center"/>
              <w:rPr>
                <w:rFonts w:hint="eastAsia" w:ascii="宋体" w:hAnsi="宋体" w:eastAsia="宋体" w:cs="宋体"/>
                <w:i w:val="0"/>
                <w:iCs w:val="0"/>
                <w:color w:val="000000"/>
                <w:sz w:val="21"/>
                <w:szCs w:val="21"/>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78438A">
            <w:pPr>
              <w:spacing w:line="360" w:lineRule="auto"/>
              <w:jc w:val="center"/>
              <w:rPr>
                <w:rFonts w:hint="eastAsia" w:ascii="宋体" w:hAnsi="宋体" w:eastAsia="宋体" w:cs="宋体"/>
                <w:i w:val="0"/>
                <w:iCs w:val="0"/>
                <w:color w:val="000000"/>
                <w:sz w:val="21"/>
                <w:szCs w:val="21"/>
                <w:u w:val="none"/>
              </w:rPr>
            </w:pPr>
          </w:p>
        </w:tc>
      </w:tr>
      <w:tr w14:paraId="1BF720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9286A8">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E</w:t>
            </w:r>
          </w:p>
        </w:tc>
        <w:tc>
          <w:tcPr>
            <w:tcW w:w="178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F7E99B0">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如意湖办事处</w:t>
            </w:r>
          </w:p>
        </w:tc>
        <w:tc>
          <w:tcPr>
            <w:tcW w:w="372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1866F84">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天时路社区社工站、联盟新城社区社工站</w:t>
            </w:r>
          </w:p>
        </w:tc>
        <w:tc>
          <w:tcPr>
            <w:tcW w:w="141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E5169BA">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40.5</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E46686">
            <w:pPr>
              <w:spacing w:line="360" w:lineRule="auto"/>
              <w:jc w:val="center"/>
              <w:rPr>
                <w:rFonts w:hint="eastAsia" w:ascii="宋体" w:hAnsi="宋体" w:eastAsia="宋体" w:cs="宋体"/>
                <w:i w:val="0"/>
                <w:iCs w:val="0"/>
                <w:color w:val="000000"/>
                <w:sz w:val="21"/>
                <w:szCs w:val="21"/>
                <w:u w:val="none"/>
              </w:rPr>
            </w:pPr>
          </w:p>
        </w:tc>
      </w:tr>
      <w:tr w14:paraId="5AA827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61C8EB">
            <w:pPr>
              <w:spacing w:line="240" w:lineRule="auto"/>
              <w:jc w:val="center"/>
              <w:rPr>
                <w:rFonts w:hint="eastAsia" w:ascii="宋体" w:hAnsi="宋体" w:eastAsia="宋体" w:cs="宋体"/>
                <w:i w:val="0"/>
                <w:iCs w:val="0"/>
                <w:color w:val="000000"/>
                <w:sz w:val="21"/>
                <w:szCs w:val="21"/>
                <w:u w:val="none"/>
              </w:rPr>
            </w:pPr>
          </w:p>
        </w:tc>
        <w:tc>
          <w:tcPr>
            <w:tcW w:w="17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7929C72">
            <w:pPr>
              <w:spacing w:line="240" w:lineRule="auto"/>
              <w:jc w:val="center"/>
              <w:rPr>
                <w:rFonts w:hint="eastAsia" w:ascii="宋体" w:hAnsi="宋体" w:eastAsia="宋体" w:cs="宋体"/>
                <w:i w:val="0"/>
                <w:iCs w:val="0"/>
                <w:color w:val="000000"/>
                <w:sz w:val="21"/>
                <w:szCs w:val="21"/>
                <w:u w:val="none"/>
              </w:rPr>
            </w:pPr>
          </w:p>
        </w:tc>
        <w:tc>
          <w:tcPr>
            <w:tcW w:w="372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7C2BF8B">
            <w:pPr>
              <w:spacing w:line="240" w:lineRule="auto"/>
              <w:jc w:val="center"/>
              <w:rPr>
                <w:rFonts w:hint="eastAsia" w:ascii="宋体" w:hAnsi="宋体" w:eastAsia="宋体" w:cs="宋体"/>
                <w:i w:val="0"/>
                <w:iCs w:val="0"/>
                <w:color w:val="000000"/>
                <w:sz w:val="21"/>
                <w:szCs w:val="21"/>
                <w:u w:val="none"/>
              </w:rPr>
            </w:pPr>
          </w:p>
        </w:tc>
        <w:tc>
          <w:tcPr>
            <w:tcW w:w="14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321A2C9">
            <w:pPr>
              <w:spacing w:line="240" w:lineRule="auto"/>
              <w:jc w:val="center"/>
              <w:rPr>
                <w:rFonts w:hint="eastAsia" w:ascii="宋体" w:hAnsi="宋体" w:eastAsia="宋体" w:cs="宋体"/>
                <w:i w:val="0"/>
                <w:iCs w:val="0"/>
                <w:color w:val="000000"/>
                <w:sz w:val="21"/>
                <w:szCs w:val="21"/>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29568B">
            <w:pPr>
              <w:spacing w:line="360" w:lineRule="auto"/>
              <w:jc w:val="center"/>
              <w:rPr>
                <w:rFonts w:hint="eastAsia" w:ascii="宋体" w:hAnsi="宋体" w:eastAsia="宋体" w:cs="宋体"/>
                <w:i w:val="0"/>
                <w:iCs w:val="0"/>
                <w:color w:val="000000"/>
                <w:sz w:val="21"/>
                <w:szCs w:val="21"/>
                <w:u w:val="none"/>
              </w:rPr>
            </w:pPr>
          </w:p>
        </w:tc>
      </w:tr>
      <w:tr w14:paraId="59849C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88D4FB">
            <w:pPr>
              <w:spacing w:line="240" w:lineRule="auto"/>
              <w:jc w:val="center"/>
              <w:rPr>
                <w:rFonts w:hint="eastAsia" w:ascii="宋体" w:hAnsi="宋体" w:eastAsia="宋体" w:cs="宋体"/>
                <w:i w:val="0"/>
                <w:iCs w:val="0"/>
                <w:color w:val="000000"/>
                <w:sz w:val="21"/>
                <w:szCs w:val="21"/>
                <w:u w:val="none"/>
              </w:rPr>
            </w:pPr>
          </w:p>
        </w:tc>
        <w:tc>
          <w:tcPr>
            <w:tcW w:w="17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116E50C">
            <w:pPr>
              <w:spacing w:line="240" w:lineRule="auto"/>
              <w:jc w:val="center"/>
              <w:rPr>
                <w:rFonts w:hint="eastAsia" w:ascii="宋体" w:hAnsi="宋体" w:eastAsia="宋体" w:cs="宋体"/>
                <w:i w:val="0"/>
                <w:iCs w:val="0"/>
                <w:color w:val="000000"/>
                <w:sz w:val="21"/>
                <w:szCs w:val="21"/>
                <w:u w:val="none"/>
              </w:rPr>
            </w:pPr>
          </w:p>
        </w:tc>
        <w:tc>
          <w:tcPr>
            <w:tcW w:w="372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B871028">
            <w:pPr>
              <w:spacing w:line="240" w:lineRule="auto"/>
              <w:jc w:val="center"/>
              <w:rPr>
                <w:rFonts w:hint="eastAsia" w:ascii="宋体" w:hAnsi="宋体" w:eastAsia="宋体" w:cs="宋体"/>
                <w:i w:val="0"/>
                <w:iCs w:val="0"/>
                <w:color w:val="000000"/>
                <w:sz w:val="21"/>
                <w:szCs w:val="21"/>
                <w:u w:val="none"/>
              </w:rPr>
            </w:pPr>
          </w:p>
        </w:tc>
        <w:tc>
          <w:tcPr>
            <w:tcW w:w="14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BA565AD">
            <w:pPr>
              <w:spacing w:line="240" w:lineRule="auto"/>
              <w:jc w:val="center"/>
              <w:rPr>
                <w:rFonts w:hint="eastAsia" w:ascii="宋体" w:hAnsi="宋体" w:eastAsia="宋体" w:cs="宋体"/>
                <w:i w:val="0"/>
                <w:iCs w:val="0"/>
                <w:color w:val="000000"/>
                <w:sz w:val="21"/>
                <w:szCs w:val="21"/>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2D1CE5">
            <w:pPr>
              <w:spacing w:line="360" w:lineRule="auto"/>
              <w:jc w:val="center"/>
              <w:rPr>
                <w:rFonts w:hint="eastAsia" w:ascii="宋体" w:hAnsi="宋体" w:eastAsia="宋体" w:cs="宋体"/>
                <w:i w:val="0"/>
                <w:iCs w:val="0"/>
                <w:color w:val="000000"/>
                <w:sz w:val="21"/>
                <w:szCs w:val="21"/>
                <w:u w:val="none"/>
              </w:rPr>
            </w:pPr>
          </w:p>
        </w:tc>
      </w:tr>
      <w:tr w14:paraId="5C0188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F98544">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F</w:t>
            </w:r>
          </w:p>
        </w:tc>
        <w:tc>
          <w:tcPr>
            <w:tcW w:w="178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F92819C">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如意湖办事处</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龙源路办事处</w:t>
            </w:r>
          </w:p>
        </w:tc>
        <w:tc>
          <w:tcPr>
            <w:tcW w:w="372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AC9AEAF">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如意东路社区社工站、龙源嘉苑社区社工站、馨悦苑社区社工站</w:t>
            </w:r>
          </w:p>
        </w:tc>
        <w:tc>
          <w:tcPr>
            <w:tcW w:w="141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CA5C632">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60.75</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A3DCFA">
            <w:pPr>
              <w:spacing w:line="360" w:lineRule="auto"/>
              <w:jc w:val="center"/>
              <w:rPr>
                <w:rFonts w:hint="eastAsia" w:ascii="宋体" w:hAnsi="宋体" w:eastAsia="宋体" w:cs="宋体"/>
                <w:i w:val="0"/>
                <w:iCs w:val="0"/>
                <w:color w:val="000000"/>
                <w:sz w:val="21"/>
                <w:szCs w:val="21"/>
                <w:u w:val="none"/>
              </w:rPr>
            </w:pPr>
          </w:p>
        </w:tc>
      </w:tr>
      <w:tr w14:paraId="1CCFFB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C6D70D">
            <w:pPr>
              <w:spacing w:line="240" w:lineRule="auto"/>
              <w:jc w:val="center"/>
              <w:rPr>
                <w:rFonts w:hint="eastAsia" w:ascii="宋体" w:hAnsi="宋体" w:eastAsia="宋体" w:cs="宋体"/>
                <w:i w:val="0"/>
                <w:iCs w:val="0"/>
                <w:color w:val="000000"/>
                <w:sz w:val="21"/>
                <w:szCs w:val="21"/>
                <w:u w:val="none"/>
              </w:rPr>
            </w:pPr>
          </w:p>
        </w:tc>
        <w:tc>
          <w:tcPr>
            <w:tcW w:w="17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C98F284">
            <w:pPr>
              <w:spacing w:line="240" w:lineRule="auto"/>
              <w:jc w:val="center"/>
              <w:rPr>
                <w:rFonts w:hint="eastAsia" w:ascii="宋体" w:hAnsi="宋体" w:eastAsia="宋体" w:cs="宋体"/>
                <w:i w:val="0"/>
                <w:iCs w:val="0"/>
                <w:color w:val="000000"/>
                <w:sz w:val="21"/>
                <w:szCs w:val="21"/>
                <w:u w:val="none"/>
              </w:rPr>
            </w:pPr>
          </w:p>
        </w:tc>
        <w:tc>
          <w:tcPr>
            <w:tcW w:w="372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2E16C44">
            <w:pPr>
              <w:spacing w:line="240" w:lineRule="auto"/>
              <w:jc w:val="center"/>
              <w:rPr>
                <w:rFonts w:hint="eastAsia" w:ascii="宋体" w:hAnsi="宋体" w:eastAsia="宋体" w:cs="宋体"/>
                <w:i w:val="0"/>
                <w:iCs w:val="0"/>
                <w:color w:val="000000"/>
                <w:sz w:val="21"/>
                <w:szCs w:val="21"/>
                <w:u w:val="none"/>
              </w:rPr>
            </w:pPr>
          </w:p>
        </w:tc>
        <w:tc>
          <w:tcPr>
            <w:tcW w:w="14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2454EBB">
            <w:pPr>
              <w:spacing w:line="240" w:lineRule="auto"/>
              <w:jc w:val="center"/>
              <w:rPr>
                <w:rFonts w:hint="eastAsia" w:ascii="宋体" w:hAnsi="宋体" w:eastAsia="宋体" w:cs="宋体"/>
                <w:i w:val="0"/>
                <w:iCs w:val="0"/>
                <w:color w:val="000000"/>
                <w:sz w:val="21"/>
                <w:szCs w:val="21"/>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F4C6A8">
            <w:pPr>
              <w:spacing w:line="360" w:lineRule="auto"/>
              <w:jc w:val="center"/>
              <w:rPr>
                <w:rFonts w:hint="eastAsia" w:ascii="宋体" w:hAnsi="宋体" w:eastAsia="宋体" w:cs="宋体"/>
                <w:i w:val="0"/>
                <w:iCs w:val="0"/>
                <w:color w:val="000000"/>
                <w:sz w:val="21"/>
                <w:szCs w:val="21"/>
                <w:u w:val="none"/>
              </w:rPr>
            </w:pPr>
          </w:p>
        </w:tc>
      </w:tr>
      <w:tr w14:paraId="424C41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6B4717">
            <w:pPr>
              <w:spacing w:line="240" w:lineRule="auto"/>
              <w:jc w:val="center"/>
              <w:rPr>
                <w:rFonts w:hint="eastAsia" w:ascii="宋体" w:hAnsi="宋体" w:eastAsia="宋体" w:cs="宋体"/>
                <w:i w:val="0"/>
                <w:iCs w:val="0"/>
                <w:color w:val="000000"/>
                <w:sz w:val="21"/>
                <w:szCs w:val="21"/>
                <w:u w:val="none"/>
              </w:rPr>
            </w:pPr>
          </w:p>
        </w:tc>
        <w:tc>
          <w:tcPr>
            <w:tcW w:w="17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AD5E4D5">
            <w:pPr>
              <w:spacing w:line="240" w:lineRule="auto"/>
              <w:jc w:val="center"/>
              <w:rPr>
                <w:rFonts w:hint="eastAsia" w:ascii="宋体" w:hAnsi="宋体" w:eastAsia="宋体" w:cs="宋体"/>
                <w:i w:val="0"/>
                <w:iCs w:val="0"/>
                <w:color w:val="000000"/>
                <w:sz w:val="21"/>
                <w:szCs w:val="21"/>
                <w:u w:val="none"/>
              </w:rPr>
            </w:pPr>
          </w:p>
        </w:tc>
        <w:tc>
          <w:tcPr>
            <w:tcW w:w="372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9EA9100">
            <w:pPr>
              <w:spacing w:line="240" w:lineRule="auto"/>
              <w:jc w:val="center"/>
              <w:rPr>
                <w:rFonts w:hint="eastAsia" w:ascii="宋体" w:hAnsi="宋体" w:eastAsia="宋体" w:cs="宋体"/>
                <w:i w:val="0"/>
                <w:iCs w:val="0"/>
                <w:color w:val="000000"/>
                <w:sz w:val="21"/>
                <w:szCs w:val="21"/>
                <w:u w:val="none"/>
              </w:rPr>
            </w:pPr>
          </w:p>
        </w:tc>
        <w:tc>
          <w:tcPr>
            <w:tcW w:w="14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C8D8546">
            <w:pPr>
              <w:spacing w:line="240" w:lineRule="auto"/>
              <w:jc w:val="center"/>
              <w:rPr>
                <w:rFonts w:hint="eastAsia" w:ascii="宋体" w:hAnsi="宋体" w:eastAsia="宋体" w:cs="宋体"/>
                <w:i w:val="0"/>
                <w:iCs w:val="0"/>
                <w:color w:val="000000"/>
                <w:sz w:val="21"/>
                <w:szCs w:val="21"/>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7A7970">
            <w:pPr>
              <w:spacing w:line="360" w:lineRule="auto"/>
              <w:jc w:val="center"/>
              <w:rPr>
                <w:rFonts w:hint="eastAsia" w:ascii="宋体" w:hAnsi="宋体" w:eastAsia="宋体" w:cs="宋体"/>
                <w:i w:val="0"/>
                <w:iCs w:val="0"/>
                <w:color w:val="000000"/>
                <w:sz w:val="21"/>
                <w:szCs w:val="21"/>
                <w:u w:val="none"/>
              </w:rPr>
            </w:pPr>
          </w:p>
        </w:tc>
      </w:tr>
      <w:tr w14:paraId="469A24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1"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4B275B">
            <w:pPr>
              <w:spacing w:line="240" w:lineRule="auto"/>
              <w:jc w:val="center"/>
              <w:rPr>
                <w:rFonts w:hint="eastAsia" w:ascii="宋体" w:hAnsi="宋体" w:eastAsia="宋体" w:cs="宋体"/>
                <w:i w:val="0"/>
                <w:iCs w:val="0"/>
                <w:color w:val="000000"/>
                <w:sz w:val="21"/>
                <w:szCs w:val="21"/>
                <w:u w:val="none"/>
              </w:rPr>
            </w:pPr>
          </w:p>
        </w:tc>
        <w:tc>
          <w:tcPr>
            <w:tcW w:w="17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D07DA3F">
            <w:pPr>
              <w:spacing w:line="240" w:lineRule="auto"/>
              <w:jc w:val="center"/>
              <w:rPr>
                <w:rFonts w:hint="eastAsia" w:ascii="宋体" w:hAnsi="宋体" w:eastAsia="宋体" w:cs="宋体"/>
                <w:i w:val="0"/>
                <w:iCs w:val="0"/>
                <w:color w:val="000000"/>
                <w:sz w:val="21"/>
                <w:szCs w:val="21"/>
                <w:u w:val="none"/>
              </w:rPr>
            </w:pPr>
          </w:p>
        </w:tc>
        <w:tc>
          <w:tcPr>
            <w:tcW w:w="372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CF57CD0">
            <w:pPr>
              <w:spacing w:line="240" w:lineRule="auto"/>
              <w:jc w:val="center"/>
              <w:rPr>
                <w:rFonts w:hint="eastAsia" w:ascii="宋体" w:hAnsi="宋体" w:eastAsia="宋体" w:cs="宋体"/>
                <w:i w:val="0"/>
                <w:iCs w:val="0"/>
                <w:color w:val="000000"/>
                <w:sz w:val="21"/>
                <w:szCs w:val="21"/>
                <w:u w:val="none"/>
              </w:rPr>
            </w:pPr>
          </w:p>
        </w:tc>
        <w:tc>
          <w:tcPr>
            <w:tcW w:w="14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EDCF7B7">
            <w:pPr>
              <w:spacing w:line="240" w:lineRule="auto"/>
              <w:jc w:val="center"/>
              <w:rPr>
                <w:rFonts w:hint="eastAsia" w:ascii="宋体" w:hAnsi="宋体" w:eastAsia="宋体" w:cs="宋体"/>
                <w:i w:val="0"/>
                <w:iCs w:val="0"/>
                <w:color w:val="000000"/>
                <w:sz w:val="21"/>
                <w:szCs w:val="21"/>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62C28C">
            <w:pPr>
              <w:spacing w:line="360" w:lineRule="auto"/>
              <w:jc w:val="center"/>
              <w:rPr>
                <w:rFonts w:hint="eastAsia" w:ascii="宋体" w:hAnsi="宋体" w:eastAsia="宋体" w:cs="宋体"/>
                <w:i w:val="0"/>
                <w:iCs w:val="0"/>
                <w:color w:val="000000"/>
                <w:sz w:val="21"/>
                <w:szCs w:val="21"/>
                <w:u w:val="none"/>
              </w:rPr>
            </w:pPr>
          </w:p>
        </w:tc>
      </w:tr>
      <w:tr w14:paraId="52807E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27D00B">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G</w:t>
            </w:r>
          </w:p>
        </w:tc>
        <w:tc>
          <w:tcPr>
            <w:tcW w:w="178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2E994CE">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博学路办事处</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龙湖办事处</w:t>
            </w:r>
          </w:p>
        </w:tc>
        <w:tc>
          <w:tcPr>
            <w:tcW w:w="372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C7B9B5E">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龙之梦社区社工站、相济路社区社工站</w:t>
            </w:r>
          </w:p>
        </w:tc>
        <w:tc>
          <w:tcPr>
            <w:tcW w:w="141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4CE1406">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40.5</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E8120B">
            <w:pPr>
              <w:spacing w:line="360" w:lineRule="auto"/>
              <w:jc w:val="center"/>
              <w:rPr>
                <w:rFonts w:hint="eastAsia" w:ascii="宋体" w:hAnsi="宋体" w:eastAsia="宋体" w:cs="宋体"/>
                <w:i w:val="0"/>
                <w:iCs w:val="0"/>
                <w:color w:val="000000"/>
                <w:sz w:val="21"/>
                <w:szCs w:val="21"/>
                <w:u w:val="none"/>
              </w:rPr>
            </w:pPr>
          </w:p>
        </w:tc>
      </w:tr>
      <w:tr w14:paraId="2E09B7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C56319">
            <w:pPr>
              <w:spacing w:line="240" w:lineRule="auto"/>
              <w:jc w:val="center"/>
              <w:rPr>
                <w:rFonts w:hint="eastAsia" w:ascii="宋体" w:hAnsi="宋体" w:eastAsia="宋体" w:cs="宋体"/>
                <w:i w:val="0"/>
                <w:iCs w:val="0"/>
                <w:color w:val="000000"/>
                <w:sz w:val="21"/>
                <w:szCs w:val="21"/>
                <w:u w:val="none"/>
              </w:rPr>
            </w:pPr>
          </w:p>
        </w:tc>
        <w:tc>
          <w:tcPr>
            <w:tcW w:w="17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B82F2B8">
            <w:pPr>
              <w:spacing w:line="240" w:lineRule="auto"/>
              <w:jc w:val="center"/>
              <w:rPr>
                <w:rFonts w:hint="eastAsia" w:ascii="宋体" w:hAnsi="宋体" w:eastAsia="宋体" w:cs="宋体"/>
                <w:i w:val="0"/>
                <w:iCs w:val="0"/>
                <w:color w:val="000000"/>
                <w:sz w:val="21"/>
                <w:szCs w:val="21"/>
                <w:u w:val="none"/>
              </w:rPr>
            </w:pPr>
          </w:p>
        </w:tc>
        <w:tc>
          <w:tcPr>
            <w:tcW w:w="372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6B5F1E3">
            <w:pPr>
              <w:spacing w:line="240" w:lineRule="auto"/>
              <w:jc w:val="center"/>
              <w:rPr>
                <w:rFonts w:hint="eastAsia" w:ascii="宋体" w:hAnsi="宋体" w:eastAsia="宋体" w:cs="宋体"/>
                <w:i w:val="0"/>
                <w:iCs w:val="0"/>
                <w:color w:val="000000"/>
                <w:sz w:val="21"/>
                <w:szCs w:val="21"/>
                <w:u w:val="none"/>
              </w:rPr>
            </w:pPr>
          </w:p>
        </w:tc>
        <w:tc>
          <w:tcPr>
            <w:tcW w:w="14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223E0D1">
            <w:pPr>
              <w:spacing w:line="240" w:lineRule="auto"/>
              <w:jc w:val="center"/>
              <w:rPr>
                <w:rFonts w:hint="eastAsia" w:ascii="宋体" w:hAnsi="宋体" w:eastAsia="宋体" w:cs="宋体"/>
                <w:i w:val="0"/>
                <w:iCs w:val="0"/>
                <w:color w:val="000000"/>
                <w:sz w:val="21"/>
                <w:szCs w:val="21"/>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4475BF">
            <w:pPr>
              <w:spacing w:line="360" w:lineRule="auto"/>
              <w:jc w:val="center"/>
              <w:rPr>
                <w:rFonts w:hint="eastAsia" w:ascii="宋体" w:hAnsi="宋体" w:eastAsia="宋体" w:cs="宋体"/>
                <w:i w:val="0"/>
                <w:iCs w:val="0"/>
                <w:color w:val="000000"/>
                <w:sz w:val="21"/>
                <w:szCs w:val="21"/>
                <w:u w:val="none"/>
              </w:rPr>
            </w:pPr>
          </w:p>
        </w:tc>
      </w:tr>
      <w:tr w14:paraId="4BA31D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3A8B7E">
            <w:pPr>
              <w:spacing w:line="240" w:lineRule="auto"/>
              <w:jc w:val="center"/>
              <w:rPr>
                <w:rFonts w:hint="eastAsia" w:ascii="宋体" w:hAnsi="宋体" w:eastAsia="宋体" w:cs="宋体"/>
                <w:i w:val="0"/>
                <w:iCs w:val="0"/>
                <w:color w:val="000000"/>
                <w:sz w:val="21"/>
                <w:szCs w:val="21"/>
                <w:u w:val="none"/>
              </w:rPr>
            </w:pPr>
          </w:p>
        </w:tc>
        <w:tc>
          <w:tcPr>
            <w:tcW w:w="17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FDFC605">
            <w:pPr>
              <w:spacing w:line="240" w:lineRule="auto"/>
              <w:jc w:val="center"/>
              <w:rPr>
                <w:rFonts w:hint="eastAsia" w:ascii="宋体" w:hAnsi="宋体" w:eastAsia="宋体" w:cs="宋体"/>
                <w:i w:val="0"/>
                <w:iCs w:val="0"/>
                <w:color w:val="000000"/>
                <w:sz w:val="21"/>
                <w:szCs w:val="21"/>
                <w:u w:val="none"/>
              </w:rPr>
            </w:pPr>
          </w:p>
        </w:tc>
        <w:tc>
          <w:tcPr>
            <w:tcW w:w="372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8B9B900">
            <w:pPr>
              <w:spacing w:line="240" w:lineRule="auto"/>
              <w:jc w:val="center"/>
              <w:rPr>
                <w:rFonts w:hint="eastAsia" w:ascii="宋体" w:hAnsi="宋体" w:eastAsia="宋体" w:cs="宋体"/>
                <w:i w:val="0"/>
                <w:iCs w:val="0"/>
                <w:color w:val="000000"/>
                <w:sz w:val="21"/>
                <w:szCs w:val="21"/>
                <w:u w:val="none"/>
              </w:rPr>
            </w:pPr>
          </w:p>
        </w:tc>
        <w:tc>
          <w:tcPr>
            <w:tcW w:w="14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DFFF1C1">
            <w:pPr>
              <w:spacing w:line="240" w:lineRule="auto"/>
              <w:jc w:val="center"/>
              <w:rPr>
                <w:rFonts w:hint="eastAsia" w:ascii="宋体" w:hAnsi="宋体" w:eastAsia="宋体" w:cs="宋体"/>
                <w:i w:val="0"/>
                <w:iCs w:val="0"/>
                <w:color w:val="000000"/>
                <w:sz w:val="21"/>
                <w:szCs w:val="21"/>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8501E0">
            <w:pPr>
              <w:spacing w:line="360" w:lineRule="auto"/>
              <w:jc w:val="center"/>
              <w:rPr>
                <w:rFonts w:hint="eastAsia" w:ascii="宋体" w:hAnsi="宋体" w:eastAsia="宋体" w:cs="宋体"/>
                <w:i w:val="0"/>
                <w:iCs w:val="0"/>
                <w:color w:val="000000"/>
                <w:sz w:val="21"/>
                <w:szCs w:val="21"/>
                <w:u w:val="none"/>
              </w:rPr>
            </w:pPr>
          </w:p>
        </w:tc>
      </w:tr>
      <w:tr w14:paraId="752E7D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03C6EC">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H</w:t>
            </w:r>
          </w:p>
        </w:tc>
        <w:tc>
          <w:tcPr>
            <w:tcW w:w="1786" w:type="dxa"/>
            <w:vMerge w:val="restart"/>
            <w:tcBorders>
              <w:top w:val="single" w:color="000000" w:sz="4" w:space="0"/>
              <w:left w:val="single" w:color="000000" w:sz="4" w:space="0"/>
              <w:bottom w:val="nil"/>
              <w:right w:val="single" w:color="000000" w:sz="4" w:space="0"/>
            </w:tcBorders>
            <w:shd w:val="clear" w:color="auto" w:fill="auto"/>
            <w:vAlign w:val="center"/>
          </w:tcPr>
          <w:p w14:paraId="5B85780E">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 博学路办事处  </w:t>
            </w:r>
          </w:p>
        </w:tc>
        <w:tc>
          <w:tcPr>
            <w:tcW w:w="3722" w:type="dxa"/>
            <w:vMerge w:val="restart"/>
            <w:tcBorders>
              <w:top w:val="single" w:color="000000" w:sz="4" w:space="0"/>
              <w:left w:val="single" w:color="000000" w:sz="4" w:space="0"/>
              <w:bottom w:val="nil"/>
              <w:right w:val="single" w:color="000000" w:sz="4" w:space="0"/>
            </w:tcBorders>
            <w:shd w:val="clear" w:color="auto" w:fill="auto"/>
            <w:vAlign w:val="center"/>
          </w:tcPr>
          <w:p w14:paraId="6E335579">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学理路社区社工站、明理路社区社工站、后贾东街社区社工站</w:t>
            </w:r>
          </w:p>
        </w:tc>
        <w:tc>
          <w:tcPr>
            <w:tcW w:w="1412" w:type="dxa"/>
            <w:vMerge w:val="restart"/>
            <w:tcBorders>
              <w:top w:val="single" w:color="000000" w:sz="4" w:space="0"/>
              <w:left w:val="single" w:color="000000" w:sz="4" w:space="0"/>
              <w:bottom w:val="nil"/>
              <w:right w:val="single" w:color="000000" w:sz="4" w:space="0"/>
            </w:tcBorders>
            <w:shd w:val="clear" w:color="auto" w:fill="auto"/>
            <w:vAlign w:val="center"/>
          </w:tcPr>
          <w:p w14:paraId="43DC6BFC">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60.75</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C76EC2">
            <w:pPr>
              <w:spacing w:line="360" w:lineRule="auto"/>
              <w:jc w:val="center"/>
              <w:rPr>
                <w:rFonts w:hint="eastAsia" w:ascii="宋体" w:hAnsi="宋体" w:eastAsia="宋体" w:cs="宋体"/>
                <w:i w:val="0"/>
                <w:iCs w:val="0"/>
                <w:color w:val="000000"/>
                <w:sz w:val="21"/>
                <w:szCs w:val="21"/>
                <w:u w:val="none"/>
              </w:rPr>
            </w:pPr>
          </w:p>
        </w:tc>
      </w:tr>
      <w:tr w14:paraId="73DFCD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619E64">
            <w:pPr>
              <w:spacing w:line="240" w:lineRule="auto"/>
              <w:jc w:val="center"/>
              <w:rPr>
                <w:rFonts w:hint="eastAsia" w:ascii="宋体" w:hAnsi="宋体" w:eastAsia="宋体" w:cs="宋体"/>
                <w:i w:val="0"/>
                <w:iCs w:val="0"/>
                <w:color w:val="000000"/>
                <w:sz w:val="21"/>
                <w:szCs w:val="21"/>
                <w:u w:val="none"/>
              </w:rPr>
            </w:pPr>
          </w:p>
        </w:tc>
        <w:tc>
          <w:tcPr>
            <w:tcW w:w="1786" w:type="dxa"/>
            <w:vMerge w:val="continue"/>
            <w:tcBorders>
              <w:top w:val="single" w:color="000000" w:sz="4" w:space="0"/>
              <w:left w:val="single" w:color="000000" w:sz="4" w:space="0"/>
              <w:bottom w:val="nil"/>
              <w:right w:val="single" w:color="000000" w:sz="4" w:space="0"/>
            </w:tcBorders>
            <w:shd w:val="clear" w:color="auto" w:fill="auto"/>
            <w:vAlign w:val="center"/>
          </w:tcPr>
          <w:p w14:paraId="79881B78">
            <w:pPr>
              <w:spacing w:line="240" w:lineRule="auto"/>
              <w:jc w:val="center"/>
              <w:rPr>
                <w:rFonts w:hint="eastAsia" w:ascii="宋体" w:hAnsi="宋体" w:eastAsia="宋体" w:cs="宋体"/>
                <w:i w:val="0"/>
                <w:iCs w:val="0"/>
                <w:color w:val="000000"/>
                <w:sz w:val="21"/>
                <w:szCs w:val="21"/>
                <w:u w:val="none"/>
              </w:rPr>
            </w:pPr>
          </w:p>
        </w:tc>
        <w:tc>
          <w:tcPr>
            <w:tcW w:w="3722" w:type="dxa"/>
            <w:vMerge w:val="continue"/>
            <w:tcBorders>
              <w:top w:val="single" w:color="000000" w:sz="4" w:space="0"/>
              <w:left w:val="single" w:color="000000" w:sz="4" w:space="0"/>
              <w:bottom w:val="nil"/>
              <w:right w:val="single" w:color="000000" w:sz="4" w:space="0"/>
            </w:tcBorders>
            <w:shd w:val="clear" w:color="auto" w:fill="auto"/>
            <w:vAlign w:val="center"/>
          </w:tcPr>
          <w:p w14:paraId="076BC52A">
            <w:pPr>
              <w:spacing w:line="240" w:lineRule="auto"/>
              <w:jc w:val="center"/>
              <w:rPr>
                <w:rFonts w:hint="eastAsia" w:ascii="宋体" w:hAnsi="宋体" w:eastAsia="宋体" w:cs="宋体"/>
                <w:i w:val="0"/>
                <w:iCs w:val="0"/>
                <w:color w:val="000000"/>
                <w:sz w:val="21"/>
                <w:szCs w:val="21"/>
                <w:u w:val="none"/>
              </w:rPr>
            </w:pPr>
          </w:p>
        </w:tc>
        <w:tc>
          <w:tcPr>
            <w:tcW w:w="1412" w:type="dxa"/>
            <w:vMerge w:val="continue"/>
            <w:tcBorders>
              <w:top w:val="single" w:color="000000" w:sz="4" w:space="0"/>
              <w:left w:val="single" w:color="000000" w:sz="4" w:space="0"/>
              <w:bottom w:val="nil"/>
              <w:right w:val="single" w:color="000000" w:sz="4" w:space="0"/>
            </w:tcBorders>
            <w:shd w:val="clear" w:color="auto" w:fill="auto"/>
            <w:vAlign w:val="center"/>
          </w:tcPr>
          <w:p w14:paraId="4C903C3B">
            <w:pPr>
              <w:spacing w:line="240" w:lineRule="auto"/>
              <w:jc w:val="center"/>
              <w:rPr>
                <w:rFonts w:hint="eastAsia" w:ascii="宋体" w:hAnsi="宋体" w:eastAsia="宋体" w:cs="宋体"/>
                <w:i w:val="0"/>
                <w:iCs w:val="0"/>
                <w:color w:val="000000"/>
                <w:sz w:val="21"/>
                <w:szCs w:val="21"/>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ACB48C">
            <w:pPr>
              <w:spacing w:line="360" w:lineRule="auto"/>
              <w:jc w:val="center"/>
              <w:rPr>
                <w:rFonts w:hint="eastAsia" w:ascii="宋体" w:hAnsi="宋体" w:eastAsia="宋体" w:cs="宋体"/>
                <w:i w:val="0"/>
                <w:iCs w:val="0"/>
                <w:color w:val="000000"/>
                <w:sz w:val="21"/>
                <w:szCs w:val="21"/>
                <w:u w:val="none"/>
              </w:rPr>
            </w:pPr>
          </w:p>
        </w:tc>
      </w:tr>
      <w:tr w14:paraId="7A6AB4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A851DB">
            <w:pPr>
              <w:spacing w:line="240" w:lineRule="auto"/>
              <w:jc w:val="center"/>
              <w:rPr>
                <w:rFonts w:hint="eastAsia" w:ascii="宋体" w:hAnsi="宋体" w:eastAsia="宋体" w:cs="宋体"/>
                <w:i w:val="0"/>
                <w:iCs w:val="0"/>
                <w:color w:val="000000"/>
                <w:sz w:val="21"/>
                <w:szCs w:val="21"/>
                <w:u w:val="none"/>
              </w:rPr>
            </w:pPr>
          </w:p>
        </w:tc>
        <w:tc>
          <w:tcPr>
            <w:tcW w:w="1786" w:type="dxa"/>
            <w:vMerge w:val="continue"/>
            <w:tcBorders>
              <w:top w:val="single" w:color="000000" w:sz="4" w:space="0"/>
              <w:left w:val="single" w:color="000000" w:sz="4" w:space="0"/>
              <w:bottom w:val="nil"/>
              <w:right w:val="single" w:color="000000" w:sz="4" w:space="0"/>
            </w:tcBorders>
            <w:shd w:val="clear" w:color="auto" w:fill="auto"/>
            <w:vAlign w:val="center"/>
          </w:tcPr>
          <w:p w14:paraId="585B0CF8">
            <w:pPr>
              <w:spacing w:line="240" w:lineRule="auto"/>
              <w:jc w:val="center"/>
              <w:rPr>
                <w:rFonts w:hint="eastAsia" w:ascii="宋体" w:hAnsi="宋体" w:eastAsia="宋体" w:cs="宋体"/>
                <w:i w:val="0"/>
                <w:iCs w:val="0"/>
                <w:color w:val="000000"/>
                <w:sz w:val="21"/>
                <w:szCs w:val="21"/>
                <w:u w:val="none"/>
              </w:rPr>
            </w:pPr>
          </w:p>
        </w:tc>
        <w:tc>
          <w:tcPr>
            <w:tcW w:w="3722" w:type="dxa"/>
            <w:vMerge w:val="continue"/>
            <w:tcBorders>
              <w:top w:val="single" w:color="000000" w:sz="4" w:space="0"/>
              <w:left w:val="single" w:color="000000" w:sz="4" w:space="0"/>
              <w:bottom w:val="nil"/>
              <w:right w:val="single" w:color="000000" w:sz="4" w:space="0"/>
            </w:tcBorders>
            <w:shd w:val="clear" w:color="auto" w:fill="auto"/>
            <w:vAlign w:val="center"/>
          </w:tcPr>
          <w:p w14:paraId="3B7630F6">
            <w:pPr>
              <w:spacing w:line="240" w:lineRule="auto"/>
              <w:jc w:val="center"/>
              <w:rPr>
                <w:rFonts w:hint="eastAsia" w:ascii="宋体" w:hAnsi="宋体" w:eastAsia="宋体" w:cs="宋体"/>
                <w:i w:val="0"/>
                <w:iCs w:val="0"/>
                <w:color w:val="000000"/>
                <w:sz w:val="21"/>
                <w:szCs w:val="21"/>
                <w:u w:val="none"/>
              </w:rPr>
            </w:pPr>
          </w:p>
        </w:tc>
        <w:tc>
          <w:tcPr>
            <w:tcW w:w="1412" w:type="dxa"/>
            <w:vMerge w:val="continue"/>
            <w:tcBorders>
              <w:top w:val="single" w:color="000000" w:sz="4" w:space="0"/>
              <w:left w:val="single" w:color="000000" w:sz="4" w:space="0"/>
              <w:bottom w:val="nil"/>
              <w:right w:val="single" w:color="000000" w:sz="4" w:space="0"/>
            </w:tcBorders>
            <w:shd w:val="clear" w:color="auto" w:fill="auto"/>
            <w:vAlign w:val="center"/>
          </w:tcPr>
          <w:p w14:paraId="104DF583">
            <w:pPr>
              <w:spacing w:line="240" w:lineRule="auto"/>
              <w:jc w:val="center"/>
              <w:rPr>
                <w:rFonts w:hint="eastAsia" w:ascii="宋体" w:hAnsi="宋体" w:eastAsia="宋体" w:cs="宋体"/>
                <w:i w:val="0"/>
                <w:iCs w:val="0"/>
                <w:color w:val="000000"/>
                <w:sz w:val="21"/>
                <w:szCs w:val="21"/>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4C447C">
            <w:pPr>
              <w:spacing w:line="360" w:lineRule="auto"/>
              <w:jc w:val="center"/>
              <w:rPr>
                <w:rFonts w:hint="eastAsia" w:ascii="宋体" w:hAnsi="宋体" w:eastAsia="宋体" w:cs="宋体"/>
                <w:i w:val="0"/>
                <w:iCs w:val="0"/>
                <w:color w:val="000000"/>
                <w:sz w:val="21"/>
                <w:szCs w:val="21"/>
                <w:u w:val="none"/>
              </w:rPr>
            </w:pPr>
          </w:p>
        </w:tc>
      </w:tr>
      <w:tr w14:paraId="46215A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635689">
            <w:pPr>
              <w:spacing w:line="240" w:lineRule="auto"/>
              <w:jc w:val="center"/>
              <w:rPr>
                <w:rFonts w:hint="eastAsia" w:ascii="宋体" w:hAnsi="宋体" w:eastAsia="宋体" w:cs="宋体"/>
                <w:i w:val="0"/>
                <w:iCs w:val="0"/>
                <w:color w:val="000000"/>
                <w:sz w:val="21"/>
                <w:szCs w:val="21"/>
                <w:u w:val="none"/>
              </w:rPr>
            </w:pPr>
          </w:p>
        </w:tc>
        <w:tc>
          <w:tcPr>
            <w:tcW w:w="1786" w:type="dxa"/>
            <w:vMerge w:val="continue"/>
            <w:tcBorders>
              <w:top w:val="single" w:color="000000" w:sz="4" w:space="0"/>
              <w:left w:val="single" w:color="000000" w:sz="4" w:space="0"/>
              <w:bottom w:val="nil"/>
              <w:right w:val="single" w:color="000000" w:sz="4" w:space="0"/>
            </w:tcBorders>
            <w:shd w:val="clear" w:color="auto" w:fill="auto"/>
            <w:vAlign w:val="center"/>
          </w:tcPr>
          <w:p w14:paraId="701C72C0">
            <w:pPr>
              <w:spacing w:line="240" w:lineRule="auto"/>
              <w:jc w:val="center"/>
              <w:rPr>
                <w:rFonts w:hint="eastAsia" w:ascii="宋体" w:hAnsi="宋体" w:eastAsia="宋体" w:cs="宋体"/>
                <w:i w:val="0"/>
                <w:iCs w:val="0"/>
                <w:color w:val="000000"/>
                <w:sz w:val="21"/>
                <w:szCs w:val="21"/>
                <w:u w:val="none"/>
              </w:rPr>
            </w:pPr>
          </w:p>
        </w:tc>
        <w:tc>
          <w:tcPr>
            <w:tcW w:w="3722" w:type="dxa"/>
            <w:vMerge w:val="continue"/>
            <w:tcBorders>
              <w:top w:val="single" w:color="000000" w:sz="4" w:space="0"/>
              <w:left w:val="single" w:color="000000" w:sz="4" w:space="0"/>
              <w:bottom w:val="nil"/>
              <w:right w:val="single" w:color="000000" w:sz="4" w:space="0"/>
            </w:tcBorders>
            <w:shd w:val="clear" w:color="auto" w:fill="auto"/>
            <w:vAlign w:val="center"/>
          </w:tcPr>
          <w:p w14:paraId="4EF7F234">
            <w:pPr>
              <w:spacing w:line="240" w:lineRule="auto"/>
              <w:jc w:val="center"/>
              <w:rPr>
                <w:rFonts w:hint="eastAsia" w:ascii="宋体" w:hAnsi="宋体" w:eastAsia="宋体" w:cs="宋体"/>
                <w:i w:val="0"/>
                <w:iCs w:val="0"/>
                <w:color w:val="000000"/>
                <w:sz w:val="21"/>
                <w:szCs w:val="21"/>
                <w:u w:val="none"/>
              </w:rPr>
            </w:pPr>
          </w:p>
        </w:tc>
        <w:tc>
          <w:tcPr>
            <w:tcW w:w="1412" w:type="dxa"/>
            <w:vMerge w:val="continue"/>
            <w:tcBorders>
              <w:top w:val="single" w:color="000000" w:sz="4" w:space="0"/>
              <w:left w:val="single" w:color="000000" w:sz="4" w:space="0"/>
              <w:bottom w:val="nil"/>
              <w:right w:val="single" w:color="000000" w:sz="4" w:space="0"/>
            </w:tcBorders>
            <w:shd w:val="clear" w:color="auto" w:fill="auto"/>
            <w:vAlign w:val="center"/>
          </w:tcPr>
          <w:p w14:paraId="7FC00C32">
            <w:pPr>
              <w:spacing w:line="240" w:lineRule="auto"/>
              <w:jc w:val="center"/>
              <w:rPr>
                <w:rFonts w:hint="eastAsia" w:ascii="宋体" w:hAnsi="宋体" w:eastAsia="宋体" w:cs="宋体"/>
                <w:i w:val="0"/>
                <w:iCs w:val="0"/>
                <w:color w:val="000000"/>
                <w:sz w:val="21"/>
                <w:szCs w:val="21"/>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5D2611">
            <w:pPr>
              <w:spacing w:line="360" w:lineRule="auto"/>
              <w:jc w:val="center"/>
              <w:rPr>
                <w:rFonts w:hint="eastAsia" w:ascii="宋体" w:hAnsi="宋体" w:eastAsia="宋体" w:cs="宋体"/>
                <w:i w:val="0"/>
                <w:iCs w:val="0"/>
                <w:color w:val="000000"/>
                <w:sz w:val="21"/>
                <w:szCs w:val="21"/>
                <w:u w:val="none"/>
              </w:rPr>
            </w:pPr>
          </w:p>
        </w:tc>
      </w:tr>
      <w:tr w14:paraId="720AB7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37D435">
            <w:pPr>
              <w:spacing w:line="240" w:lineRule="auto"/>
              <w:jc w:val="center"/>
              <w:rPr>
                <w:rFonts w:hint="eastAsia" w:ascii="宋体" w:hAnsi="宋体" w:eastAsia="宋体" w:cs="宋体"/>
                <w:i w:val="0"/>
                <w:iCs w:val="0"/>
                <w:color w:val="000000"/>
                <w:sz w:val="21"/>
                <w:szCs w:val="21"/>
                <w:u w:val="none"/>
              </w:rPr>
            </w:pPr>
          </w:p>
        </w:tc>
        <w:tc>
          <w:tcPr>
            <w:tcW w:w="1786" w:type="dxa"/>
            <w:vMerge w:val="continue"/>
            <w:tcBorders>
              <w:top w:val="single" w:color="000000" w:sz="4" w:space="0"/>
              <w:left w:val="single" w:color="000000" w:sz="4" w:space="0"/>
              <w:bottom w:val="nil"/>
              <w:right w:val="single" w:color="000000" w:sz="4" w:space="0"/>
            </w:tcBorders>
            <w:shd w:val="clear" w:color="auto" w:fill="auto"/>
            <w:vAlign w:val="center"/>
          </w:tcPr>
          <w:p w14:paraId="4745C356">
            <w:pPr>
              <w:spacing w:line="240" w:lineRule="auto"/>
              <w:jc w:val="center"/>
              <w:rPr>
                <w:rFonts w:hint="eastAsia" w:ascii="宋体" w:hAnsi="宋体" w:eastAsia="宋体" w:cs="宋体"/>
                <w:i w:val="0"/>
                <w:iCs w:val="0"/>
                <w:color w:val="000000"/>
                <w:sz w:val="21"/>
                <w:szCs w:val="21"/>
                <w:u w:val="none"/>
              </w:rPr>
            </w:pPr>
          </w:p>
        </w:tc>
        <w:tc>
          <w:tcPr>
            <w:tcW w:w="3722" w:type="dxa"/>
            <w:vMerge w:val="continue"/>
            <w:tcBorders>
              <w:top w:val="single" w:color="000000" w:sz="4" w:space="0"/>
              <w:left w:val="single" w:color="000000" w:sz="4" w:space="0"/>
              <w:bottom w:val="nil"/>
              <w:right w:val="single" w:color="000000" w:sz="4" w:space="0"/>
            </w:tcBorders>
            <w:shd w:val="clear" w:color="auto" w:fill="auto"/>
            <w:vAlign w:val="center"/>
          </w:tcPr>
          <w:p w14:paraId="213C8836">
            <w:pPr>
              <w:spacing w:line="240" w:lineRule="auto"/>
              <w:jc w:val="center"/>
              <w:rPr>
                <w:rFonts w:hint="eastAsia" w:ascii="宋体" w:hAnsi="宋体" w:eastAsia="宋体" w:cs="宋体"/>
                <w:i w:val="0"/>
                <w:iCs w:val="0"/>
                <w:color w:val="000000"/>
                <w:sz w:val="21"/>
                <w:szCs w:val="21"/>
                <w:u w:val="none"/>
              </w:rPr>
            </w:pPr>
          </w:p>
        </w:tc>
        <w:tc>
          <w:tcPr>
            <w:tcW w:w="1412" w:type="dxa"/>
            <w:vMerge w:val="continue"/>
            <w:tcBorders>
              <w:top w:val="single" w:color="000000" w:sz="4" w:space="0"/>
              <w:left w:val="single" w:color="000000" w:sz="4" w:space="0"/>
              <w:bottom w:val="nil"/>
              <w:right w:val="single" w:color="000000" w:sz="4" w:space="0"/>
            </w:tcBorders>
            <w:shd w:val="clear" w:color="auto" w:fill="auto"/>
            <w:vAlign w:val="center"/>
          </w:tcPr>
          <w:p w14:paraId="3D57C220">
            <w:pPr>
              <w:spacing w:line="240" w:lineRule="auto"/>
              <w:jc w:val="center"/>
              <w:rPr>
                <w:rFonts w:hint="eastAsia" w:ascii="宋体" w:hAnsi="宋体" w:eastAsia="宋体" w:cs="宋体"/>
                <w:i w:val="0"/>
                <w:iCs w:val="0"/>
                <w:color w:val="000000"/>
                <w:sz w:val="21"/>
                <w:szCs w:val="21"/>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E9947B">
            <w:pPr>
              <w:spacing w:line="360" w:lineRule="auto"/>
              <w:jc w:val="center"/>
              <w:rPr>
                <w:rFonts w:hint="eastAsia" w:ascii="宋体" w:hAnsi="宋体" w:eastAsia="宋体" w:cs="宋体"/>
                <w:i w:val="0"/>
                <w:iCs w:val="0"/>
                <w:color w:val="000000"/>
                <w:sz w:val="21"/>
                <w:szCs w:val="21"/>
                <w:u w:val="none"/>
              </w:rPr>
            </w:pPr>
          </w:p>
        </w:tc>
      </w:tr>
      <w:tr w14:paraId="4DC452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BEC63D">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I</w:t>
            </w:r>
          </w:p>
        </w:tc>
        <w:tc>
          <w:tcPr>
            <w:tcW w:w="178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3FC95CC">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商都路办事处</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圃田</w:t>
            </w:r>
            <w:r>
              <w:rPr>
                <w:rFonts w:hint="eastAsia" w:ascii="宋体" w:hAnsi="宋体" w:cs="宋体"/>
                <w:i w:val="0"/>
                <w:iCs w:val="0"/>
                <w:color w:val="000000"/>
                <w:kern w:val="0"/>
                <w:sz w:val="21"/>
                <w:szCs w:val="21"/>
                <w:u w:val="none"/>
                <w:lang w:val="en-US" w:eastAsia="zh-CN" w:bidi="ar"/>
              </w:rPr>
              <w:t>乡</w:t>
            </w:r>
          </w:p>
        </w:tc>
        <w:tc>
          <w:tcPr>
            <w:tcW w:w="372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FE3D0C8">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普惠社区社工站、</w:t>
            </w:r>
            <w:bookmarkStart w:id="276" w:name="OLE_LINK32"/>
            <w:r>
              <w:rPr>
                <w:rFonts w:hint="eastAsia" w:ascii="宋体" w:hAnsi="宋体" w:eastAsia="宋体" w:cs="宋体"/>
                <w:i w:val="0"/>
                <w:iCs w:val="0"/>
                <w:color w:val="000000"/>
                <w:kern w:val="0"/>
                <w:sz w:val="21"/>
                <w:szCs w:val="21"/>
                <w:u w:val="none"/>
                <w:lang w:val="en-US" w:eastAsia="zh-CN" w:bidi="ar"/>
              </w:rPr>
              <w:t>圃田</w:t>
            </w:r>
            <w:bookmarkEnd w:id="276"/>
            <w:r>
              <w:rPr>
                <w:rFonts w:hint="eastAsia" w:ascii="宋体" w:hAnsi="宋体" w:eastAsia="宋体" w:cs="宋体"/>
                <w:i w:val="0"/>
                <w:iCs w:val="0"/>
                <w:color w:val="000000"/>
                <w:kern w:val="0"/>
                <w:sz w:val="21"/>
                <w:szCs w:val="21"/>
                <w:u w:val="none"/>
                <w:lang w:val="en-US" w:eastAsia="zh-CN" w:bidi="ar"/>
              </w:rPr>
              <w:t xml:space="preserve">嘉苑社区社工站          </w:t>
            </w:r>
          </w:p>
        </w:tc>
        <w:tc>
          <w:tcPr>
            <w:tcW w:w="141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DE7C787">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40.5</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AAB68E">
            <w:pPr>
              <w:spacing w:line="360" w:lineRule="auto"/>
              <w:jc w:val="center"/>
              <w:rPr>
                <w:rFonts w:hint="eastAsia" w:ascii="宋体" w:hAnsi="宋体" w:eastAsia="宋体" w:cs="宋体"/>
                <w:i w:val="0"/>
                <w:iCs w:val="0"/>
                <w:color w:val="000000"/>
                <w:sz w:val="21"/>
                <w:szCs w:val="21"/>
                <w:u w:val="none"/>
              </w:rPr>
            </w:pPr>
          </w:p>
        </w:tc>
      </w:tr>
      <w:tr w14:paraId="3695D9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DDA087">
            <w:pPr>
              <w:spacing w:line="240" w:lineRule="auto"/>
              <w:jc w:val="center"/>
              <w:rPr>
                <w:rFonts w:hint="eastAsia" w:ascii="宋体" w:hAnsi="宋体" w:eastAsia="宋体" w:cs="宋体"/>
                <w:i w:val="0"/>
                <w:iCs w:val="0"/>
                <w:color w:val="000000"/>
                <w:sz w:val="21"/>
                <w:szCs w:val="21"/>
                <w:u w:val="none"/>
              </w:rPr>
            </w:pPr>
          </w:p>
        </w:tc>
        <w:tc>
          <w:tcPr>
            <w:tcW w:w="17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D916D8D">
            <w:pPr>
              <w:spacing w:line="240" w:lineRule="auto"/>
              <w:jc w:val="center"/>
              <w:rPr>
                <w:rFonts w:hint="eastAsia" w:ascii="宋体" w:hAnsi="宋体" w:eastAsia="宋体" w:cs="宋体"/>
                <w:i w:val="0"/>
                <w:iCs w:val="0"/>
                <w:color w:val="000000"/>
                <w:sz w:val="21"/>
                <w:szCs w:val="21"/>
                <w:u w:val="none"/>
              </w:rPr>
            </w:pPr>
          </w:p>
        </w:tc>
        <w:tc>
          <w:tcPr>
            <w:tcW w:w="372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B650D6A">
            <w:pPr>
              <w:spacing w:line="240" w:lineRule="auto"/>
              <w:jc w:val="center"/>
              <w:rPr>
                <w:rFonts w:hint="eastAsia" w:ascii="宋体" w:hAnsi="宋体" w:eastAsia="宋体" w:cs="宋体"/>
                <w:i w:val="0"/>
                <w:iCs w:val="0"/>
                <w:color w:val="000000"/>
                <w:sz w:val="21"/>
                <w:szCs w:val="21"/>
                <w:u w:val="none"/>
              </w:rPr>
            </w:pPr>
          </w:p>
        </w:tc>
        <w:tc>
          <w:tcPr>
            <w:tcW w:w="14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66BA1A">
            <w:pPr>
              <w:spacing w:line="240" w:lineRule="auto"/>
              <w:jc w:val="center"/>
              <w:rPr>
                <w:rFonts w:hint="eastAsia" w:ascii="宋体" w:hAnsi="宋体" w:eastAsia="宋体" w:cs="宋体"/>
                <w:i w:val="0"/>
                <w:iCs w:val="0"/>
                <w:color w:val="000000"/>
                <w:sz w:val="21"/>
                <w:szCs w:val="21"/>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0A6CEF">
            <w:pPr>
              <w:spacing w:line="360" w:lineRule="auto"/>
              <w:jc w:val="center"/>
              <w:rPr>
                <w:rFonts w:hint="eastAsia" w:ascii="宋体" w:hAnsi="宋体" w:eastAsia="宋体" w:cs="宋体"/>
                <w:i w:val="0"/>
                <w:iCs w:val="0"/>
                <w:color w:val="000000"/>
                <w:sz w:val="21"/>
                <w:szCs w:val="21"/>
                <w:u w:val="none"/>
              </w:rPr>
            </w:pPr>
          </w:p>
        </w:tc>
      </w:tr>
      <w:tr w14:paraId="065FED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7"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E50A33">
            <w:pPr>
              <w:spacing w:line="240" w:lineRule="auto"/>
              <w:jc w:val="center"/>
              <w:rPr>
                <w:rFonts w:hint="eastAsia" w:ascii="宋体" w:hAnsi="宋体" w:eastAsia="宋体" w:cs="宋体"/>
                <w:i w:val="0"/>
                <w:iCs w:val="0"/>
                <w:color w:val="000000"/>
                <w:sz w:val="21"/>
                <w:szCs w:val="21"/>
                <w:u w:val="none"/>
              </w:rPr>
            </w:pPr>
          </w:p>
        </w:tc>
        <w:tc>
          <w:tcPr>
            <w:tcW w:w="17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AF0AEC8">
            <w:pPr>
              <w:spacing w:line="240" w:lineRule="auto"/>
              <w:jc w:val="center"/>
              <w:rPr>
                <w:rFonts w:hint="eastAsia" w:ascii="宋体" w:hAnsi="宋体" w:eastAsia="宋体" w:cs="宋体"/>
                <w:i w:val="0"/>
                <w:iCs w:val="0"/>
                <w:color w:val="000000"/>
                <w:sz w:val="21"/>
                <w:szCs w:val="21"/>
                <w:u w:val="none"/>
              </w:rPr>
            </w:pPr>
          </w:p>
        </w:tc>
        <w:tc>
          <w:tcPr>
            <w:tcW w:w="372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6BC39F9">
            <w:pPr>
              <w:spacing w:line="240" w:lineRule="auto"/>
              <w:jc w:val="center"/>
              <w:rPr>
                <w:rFonts w:hint="eastAsia" w:ascii="宋体" w:hAnsi="宋体" w:eastAsia="宋体" w:cs="宋体"/>
                <w:i w:val="0"/>
                <w:iCs w:val="0"/>
                <w:color w:val="000000"/>
                <w:sz w:val="21"/>
                <w:szCs w:val="21"/>
                <w:u w:val="none"/>
              </w:rPr>
            </w:pPr>
          </w:p>
        </w:tc>
        <w:tc>
          <w:tcPr>
            <w:tcW w:w="14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BE982EF">
            <w:pPr>
              <w:spacing w:line="240" w:lineRule="auto"/>
              <w:jc w:val="center"/>
              <w:rPr>
                <w:rFonts w:hint="eastAsia" w:ascii="宋体" w:hAnsi="宋体" w:eastAsia="宋体" w:cs="宋体"/>
                <w:i w:val="0"/>
                <w:iCs w:val="0"/>
                <w:color w:val="000000"/>
                <w:sz w:val="21"/>
                <w:szCs w:val="21"/>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9D5558">
            <w:pPr>
              <w:spacing w:line="360" w:lineRule="auto"/>
              <w:jc w:val="center"/>
              <w:rPr>
                <w:rFonts w:hint="eastAsia" w:ascii="宋体" w:hAnsi="宋体" w:eastAsia="宋体" w:cs="宋体"/>
                <w:i w:val="0"/>
                <w:iCs w:val="0"/>
                <w:color w:val="000000"/>
                <w:sz w:val="21"/>
                <w:szCs w:val="21"/>
                <w:u w:val="none"/>
              </w:rPr>
            </w:pPr>
          </w:p>
        </w:tc>
      </w:tr>
      <w:tr w14:paraId="485B13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7"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E7695A">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J</w:t>
            </w:r>
          </w:p>
        </w:tc>
        <w:tc>
          <w:tcPr>
            <w:tcW w:w="1786" w:type="dxa"/>
            <w:vMerge w:val="restart"/>
            <w:tcBorders>
              <w:top w:val="single" w:color="000000" w:sz="4" w:space="0"/>
              <w:left w:val="single" w:color="000000" w:sz="4" w:space="0"/>
              <w:bottom w:val="nil"/>
              <w:right w:val="single" w:color="000000" w:sz="4" w:space="0"/>
            </w:tcBorders>
            <w:shd w:val="clear" w:color="auto" w:fill="auto"/>
            <w:vAlign w:val="center"/>
          </w:tcPr>
          <w:p w14:paraId="2C56F55F">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金光路办事处</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白沙镇</w:t>
            </w:r>
          </w:p>
        </w:tc>
        <w:tc>
          <w:tcPr>
            <w:tcW w:w="3722" w:type="dxa"/>
            <w:vMerge w:val="restart"/>
            <w:tcBorders>
              <w:top w:val="single" w:color="000000" w:sz="4" w:space="0"/>
              <w:left w:val="single" w:color="000000" w:sz="4" w:space="0"/>
              <w:bottom w:val="nil"/>
              <w:right w:val="single" w:color="000000" w:sz="4" w:space="0"/>
            </w:tcBorders>
            <w:shd w:val="clear" w:color="auto" w:fill="auto"/>
            <w:vAlign w:val="center"/>
          </w:tcPr>
          <w:p w14:paraId="045A9300">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白沙社工站、贾陈社区社工站          </w:t>
            </w:r>
          </w:p>
        </w:tc>
        <w:tc>
          <w:tcPr>
            <w:tcW w:w="1412" w:type="dxa"/>
            <w:vMerge w:val="restart"/>
            <w:tcBorders>
              <w:top w:val="single" w:color="000000" w:sz="4" w:space="0"/>
              <w:left w:val="single" w:color="000000" w:sz="4" w:space="0"/>
              <w:bottom w:val="nil"/>
              <w:right w:val="single" w:color="000000" w:sz="4" w:space="0"/>
            </w:tcBorders>
            <w:shd w:val="clear" w:color="auto" w:fill="auto"/>
            <w:vAlign w:val="center"/>
          </w:tcPr>
          <w:p w14:paraId="4EC0C43D">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40.5</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B41785">
            <w:pPr>
              <w:spacing w:line="360" w:lineRule="auto"/>
              <w:jc w:val="center"/>
              <w:rPr>
                <w:rFonts w:hint="eastAsia" w:ascii="宋体" w:hAnsi="宋体" w:eastAsia="宋体" w:cs="宋体"/>
                <w:i w:val="0"/>
                <w:iCs w:val="0"/>
                <w:color w:val="000000"/>
                <w:sz w:val="21"/>
                <w:szCs w:val="21"/>
                <w:u w:val="none"/>
              </w:rPr>
            </w:pPr>
          </w:p>
        </w:tc>
      </w:tr>
      <w:tr w14:paraId="53F0C8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83"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649D9C">
            <w:pPr>
              <w:spacing w:line="240" w:lineRule="auto"/>
              <w:jc w:val="center"/>
              <w:rPr>
                <w:rFonts w:hint="eastAsia" w:ascii="宋体" w:hAnsi="宋体" w:eastAsia="宋体" w:cs="宋体"/>
                <w:i w:val="0"/>
                <w:iCs w:val="0"/>
                <w:color w:val="000000"/>
                <w:sz w:val="21"/>
                <w:szCs w:val="21"/>
                <w:u w:val="none"/>
              </w:rPr>
            </w:pPr>
          </w:p>
        </w:tc>
        <w:tc>
          <w:tcPr>
            <w:tcW w:w="1786" w:type="dxa"/>
            <w:vMerge w:val="continue"/>
            <w:tcBorders>
              <w:top w:val="single" w:color="000000" w:sz="4" w:space="0"/>
              <w:left w:val="single" w:color="000000" w:sz="4" w:space="0"/>
              <w:bottom w:val="nil"/>
              <w:right w:val="single" w:color="000000" w:sz="4" w:space="0"/>
            </w:tcBorders>
            <w:shd w:val="clear" w:color="auto" w:fill="auto"/>
            <w:vAlign w:val="center"/>
          </w:tcPr>
          <w:p w14:paraId="447694F4">
            <w:pPr>
              <w:spacing w:line="240" w:lineRule="auto"/>
              <w:jc w:val="center"/>
              <w:rPr>
                <w:rFonts w:hint="eastAsia" w:ascii="宋体" w:hAnsi="宋体" w:eastAsia="宋体" w:cs="宋体"/>
                <w:i w:val="0"/>
                <w:iCs w:val="0"/>
                <w:color w:val="000000"/>
                <w:sz w:val="21"/>
                <w:szCs w:val="21"/>
                <w:u w:val="none"/>
              </w:rPr>
            </w:pPr>
          </w:p>
        </w:tc>
        <w:tc>
          <w:tcPr>
            <w:tcW w:w="3722" w:type="dxa"/>
            <w:vMerge w:val="continue"/>
            <w:tcBorders>
              <w:top w:val="single" w:color="000000" w:sz="4" w:space="0"/>
              <w:left w:val="single" w:color="000000" w:sz="4" w:space="0"/>
              <w:bottom w:val="nil"/>
              <w:right w:val="single" w:color="000000" w:sz="4" w:space="0"/>
            </w:tcBorders>
            <w:shd w:val="clear" w:color="auto" w:fill="auto"/>
            <w:vAlign w:val="center"/>
          </w:tcPr>
          <w:p w14:paraId="128491AC">
            <w:pPr>
              <w:spacing w:line="240" w:lineRule="auto"/>
              <w:jc w:val="center"/>
              <w:rPr>
                <w:rFonts w:hint="eastAsia" w:ascii="宋体" w:hAnsi="宋体" w:eastAsia="宋体" w:cs="宋体"/>
                <w:i w:val="0"/>
                <w:iCs w:val="0"/>
                <w:color w:val="000000"/>
                <w:sz w:val="21"/>
                <w:szCs w:val="21"/>
                <w:u w:val="none"/>
              </w:rPr>
            </w:pPr>
          </w:p>
        </w:tc>
        <w:tc>
          <w:tcPr>
            <w:tcW w:w="1412" w:type="dxa"/>
            <w:vMerge w:val="continue"/>
            <w:tcBorders>
              <w:top w:val="single" w:color="000000" w:sz="4" w:space="0"/>
              <w:left w:val="single" w:color="000000" w:sz="4" w:space="0"/>
              <w:bottom w:val="nil"/>
              <w:right w:val="single" w:color="000000" w:sz="4" w:space="0"/>
            </w:tcBorders>
            <w:shd w:val="clear" w:color="auto" w:fill="auto"/>
            <w:vAlign w:val="center"/>
          </w:tcPr>
          <w:p w14:paraId="6F12D020">
            <w:pPr>
              <w:spacing w:line="240" w:lineRule="auto"/>
              <w:jc w:val="center"/>
              <w:rPr>
                <w:rFonts w:hint="eastAsia" w:ascii="宋体" w:hAnsi="宋体" w:eastAsia="宋体" w:cs="宋体"/>
                <w:i w:val="0"/>
                <w:iCs w:val="0"/>
                <w:color w:val="000000"/>
                <w:sz w:val="21"/>
                <w:szCs w:val="21"/>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92BDE3">
            <w:pPr>
              <w:spacing w:line="360" w:lineRule="auto"/>
              <w:jc w:val="center"/>
              <w:rPr>
                <w:rFonts w:hint="eastAsia" w:ascii="宋体" w:hAnsi="宋体" w:eastAsia="宋体" w:cs="宋体"/>
                <w:i w:val="0"/>
                <w:iCs w:val="0"/>
                <w:color w:val="000000"/>
                <w:sz w:val="21"/>
                <w:szCs w:val="21"/>
                <w:u w:val="none"/>
              </w:rPr>
            </w:pPr>
          </w:p>
        </w:tc>
      </w:tr>
      <w:tr w14:paraId="6CD604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7"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447CAE">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K</w:t>
            </w:r>
          </w:p>
        </w:tc>
        <w:tc>
          <w:tcPr>
            <w:tcW w:w="178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CA245FF">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杨桥办事处</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豫兴路办事处</w:t>
            </w:r>
          </w:p>
        </w:tc>
        <w:tc>
          <w:tcPr>
            <w:tcW w:w="372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098C3C3">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杨桥办事处、豫兴路办事处</w:t>
            </w:r>
          </w:p>
        </w:tc>
        <w:tc>
          <w:tcPr>
            <w:tcW w:w="141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81C4B34">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40.5</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EB95CE">
            <w:pPr>
              <w:spacing w:line="360" w:lineRule="auto"/>
              <w:jc w:val="center"/>
              <w:rPr>
                <w:rFonts w:hint="eastAsia" w:ascii="宋体" w:hAnsi="宋体" w:eastAsia="宋体" w:cs="宋体"/>
                <w:i w:val="0"/>
                <w:iCs w:val="0"/>
                <w:color w:val="000000"/>
                <w:sz w:val="21"/>
                <w:szCs w:val="21"/>
                <w:u w:val="none"/>
              </w:rPr>
            </w:pPr>
          </w:p>
        </w:tc>
      </w:tr>
      <w:tr w14:paraId="4CBDD3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83"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C1ED12">
            <w:pPr>
              <w:jc w:val="center"/>
              <w:rPr>
                <w:rFonts w:hint="eastAsia" w:ascii="宋体" w:hAnsi="宋体" w:eastAsia="宋体" w:cs="宋体"/>
                <w:i w:val="0"/>
                <w:iCs w:val="0"/>
                <w:color w:val="000000"/>
                <w:sz w:val="21"/>
                <w:szCs w:val="21"/>
                <w:u w:val="none"/>
              </w:rPr>
            </w:pPr>
          </w:p>
        </w:tc>
        <w:tc>
          <w:tcPr>
            <w:tcW w:w="17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3F8EAE0">
            <w:pPr>
              <w:jc w:val="center"/>
              <w:rPr>
                <w:rFonts w:hint="eastAsia" w:ascii="宋体" w:hAnsi="宋体" w:eastAsia="宋体" w:cs="宋体"/>
                <w:i w:val="0"/>
                <w:iCs w:val="0"/>
                <w:color w:val="000000"/>
                <w:sz w:val="21"/>
                <w:szCs w:val="21"/>
                <w:u w:val="none"/>
              </w:rPr>
            </w:pPr>
          </w:p>
        </w:tc>
        <w:tc>
          <w:tcPr>
            <w:tcW w:w="372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C59A71">
            <w:pPr>
              <w:jc w:val="center"/>
              <w:rPr>
                <w:rFonts w:hint="eastAsia" w:ascii="宋体" w:hAnsi="宋体" w:eastAsia="宋体" w:cs="宋体"/>
                <w:i w:val="0"/>
                <w:iCs w:val="0"/>
                <w:color w:val="000000"/>
                <w:sz w:val="21"/>
                <w:szCs w:val="21"/>
                <w:u w:val="none"/>
              </w:rPr>
            </w:pPr>
          </w:p>
        </w:tc>
        <w:tc>
          <w:tcPr>
            <w:tcW w:w="14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1A5A75">
            <w:pPr>
              <w:jc w:val="center"/>
              <w:rPr>
                <w:rFonts w:hint="eastAsia" w:ascii="宋体" w:hAnsi="宋体" w:eastAsia="宋体" w:cs="宋体"/>
                <w:i w:val="0"/>
                <w:iCs w:val="0"/>
                <w:color w:val="000000"/>
                <w:sz w:val="21"/>
                <w:szCs w:val="21"/>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BE7752">
            <w:pPr>
              <w:jc w:val="center"/>
              <w:rPr>
                <w:rFonts w:hint="eastAsia" w:ascii="宋体" w:hAnsi="宋体" w:eastAsia="宋体" w:cs="宋体"/>
                <w:i w:val="0"/>
                <w:iCs w:val="0"/>
                <w:color w:val="000000"/>
                <w:sz w:val="21"/>
                <w:szCs w:val="21"/>
                <w:u w:val="none"/>
              </w:rPr>
            </w:pPr>
          </w:p>
        </w:tc>
      </w:tr>
    </w:tbl>
    <w:p w14:paraId="45F859F7">
      <w:pPr>
        <w:rPr>
          <w:rFonts w:hint="eastAsia" w:ascii="宋体" w:hAnsi="宋体" w:eastAsia="宋体" w:cs="宋体"/>
          <w:color w:val="000000"/>
          <w:kern w:val="2"/>
          <w:sz w:val="24"/>
          <w:szCs w:val="24"/>
          <w:lang w:val="en-US" w:eastAsia="zh-CN" w:bidi="ar-SA"/>
        </w:rPr>
      </w:pPr>
    </w:p>
    <w:p w14:paraId="7D71E7AD">
      <w:pPr>
        <w:rPr>
          <w:rFonts w:hint="eastAsia" w:ascii="宋体" w:hAnsi="宋体" w:eastAsia="宋体" w:cs="宋体"/>
          <w:color w:val="000000"/>
          <w:kern w:val="2"/>
          <w:sz w:val="24"/>
          <w:szCs w:val="24"/>
          <w:lang w:val="en-US" w:eastAsia="zh-CN" w:bidi="ar-SA"/>
        </w:rPr>
      </w:pPr>
    </w:p>
    <w:p w14:paraId="6372652E">
      <w:pPr>
        <w:rPr>
          <w:rFonts w:hint="eastAsia" w:ascii="宋体" w:hAnsi="宋体" w:eastAsia="宋体" w:cs="宋体"/>
          <w:color w:val="000000"/>
          <w:kern w:val="2"/>
          <w:sz w:val="24"/>
          <w:szCs w:val="24"/>
          <w:lang w:val="en-US" w:eastAsia="zh-CN" w:bidi="ar-SA"/>
        </w:rPr>
      </w:pPr>
    </w:p>
    <w:p w14:paraId="110287A9">
      <w:pPr>
        <w:rPr>
          <w:rFonts w:hint="eastAsia" w:ascii="宋体" w:hAnsi="宋体" w:eastAsia="宋体" w:cs="宋体"/>
          <w:color w:val="000000"/>
          <w:kern w:val="2"/>
          <w:sz w:val="24"/>
          <w:szCs w:val="24"/>
          <w:lang w:val="en-US" w:eastAsia="zh-CN" w:bidi="ar-SA"/>
        </w:rPr>
      </w:pPr>
    </w:p>
    <w:p w14:paraId="4713A312">
      <w:pPr>
        <w:rPr>
          <w:rFonts w:hint="eastAsia" w:ascii="宋体" w:hAnsi="宋体" w:eastAsia="宋体" w:cs="宋体"/>
          <w:color w:val="000000"/>
          <w:kern w:val="2"/>
          <w:sz w:val="24"/>
          <w:szCs w:val="24"/>
          <w:lang w:val="en-US" w:eastAsia="zh-CN" w:bidi="ar-SA"/>
        </w:rPr>
        <w:sectPr>
          <w:pgSz w:w="11906" w:h="16838"/>
          <w:pgMar w:top="1417" w:right="1701" w:bottom="1417" w:left="1701" w:header="851" w:footer="992" w:gutter="0"/>
          <w:pgNumType w:fmt="numberInDash"/>
          <w:cols w:space="720" w:num="1"/>
          <w:docGrid w:type="lines" w:linePitch="312" w:charSpace="0"/>
        </w:sectPr>
      </w:pPr>
    </w:p>
    <w:p w14:paraId="2473D117">
      <w:pPr>
        <w:rPr>
          <w:rFonts w:hint="eastAsia" w:ascii="宋体" w:hAnsi="宋体" w:eastAsia="宋体" w:cs="宋体"/>
          <w:color w:val="000000"/>
          <w:kern w:val="2"/>
          <w:sz w:val="24"/>
          <w:szCs w:val="24"/>
          <w:lang w:val="en-US" w:eastAsia="zh-CN" w:bidi="ar-SA"/>
        </w:rPr>
      </w:pPr>
    </w:p>
    <w:bookmarkEnd w:id="269"/>
    <w:bookmarkEnd w:id="270"/>
    <w:bookmarkEnd w:id="271"/>
    <w:bookmarkEnd w:id="272"/>
    <w:bookmarkEnd w:id="273"/>
    <w:p w14:paraId="3DBE4382">
      <w:pPr>
        <w:pStyle w:val="3"/>
        <w:spacing w:line="600" w:lineRule="auto"/>
        <w:ind w:right="420" w:rightChars="200"/>
        <w:jc w:val="center"/>
        <w:rPr>
          <w:rFonts w:ascii="宋体" w:hAnsi="宋体" w:cs="宋体"/>
          <w:szCs w:val="32"/>
        </w:rPr>
      </w:pPr>
      <w:bookmarkStart w:id="277" w:name="_Toc5859"/>
      <w:bookmarkStart w:id="278" w:name="_Toc30449"/>
      <w:bookmarkStart w:id="279" w:name="_Toc22735"/>
      <w:bookmarkStart w:id="280" w:name="_Toc184635137"/>
      <w:bookmarkStart w:id="281" w:name="_Toc267581731"/>
      <w:bookmarkStart w:id="282" w:name="_Toc267581291"/>
      <w:r>
        <w:rPr>
          <w:rFonts w:hint="eastAsia" w:ascii="宋体" w:hAnsi="宋体" w:cs="宋体"/>
          <w:szCs w:val="32"/>
        </w:rPr>
        <w:t>第六章 投标文件格式</w:t>
      </w:r>
      <w:bookmarkEnd w:id="277"/>
      <w:bookmarkEnd w:id="278"/>
      <w:bookmarkEnd w:id="279"/>
    </w:p>
    <w:p w14:paraId="3E64C4FE">
      <w:pPr>
        <w:tabs>
          <w:tab w:val="center" w:pos="4739"/>
        </w:tabs>
        <w:ind w:left="180"/>
        <w:jc w:val="right"/>
        <w:rPr>
          <w:rFonts w:ascii="宋体" w:hAnsi="宋体" w:cs="宋体"/>
          <w:b/>
          <w:bCs/>
          <w:sz w:val="28"/>
          <w:szCs w:val="28"/>
        </w:rPr>
      </w:pPr>
    </w:p>
    <w:p w14:paraId="53B1A827">
      <w:pPr>
        <w:tabs>
          <w:tab w:val="center" w:pos="4739"/>
        </w:tabs>
        <w:ind w:left="180"/>
        <w:rPr>
          <w:rFonts w:ascii="宋体" w:hAnsi="宋体" w:cs="宋体"/>
          <w:sz w:val="24"/>
        </w:rPr>
      </w:pPr>
    </w:p>
    <w:p w14:paraId="1AF41A37">
      <w:pPr>
        <w:tabs>
          <w:tab w:val="center" w:pos="4739"/>
        </w:tabs>
        <w:ind w:left="180"/>
        <w:rPr>
          <w:rFonts w:ascii="宋体" w:hAnsi="宋体" w:cs="宋体"/>
          <w:sz w:val="24"/>
        </w:rPr>
      </w:pPr>
    </w:p>
    <w:p w14:paraId="5006040C">
      <w:pPr>
        <w:tabs>
          <w:tab w:val="center" w:pos="4739"/>
        </w:tabs>
        <w:ind w:left="180"/>
        <w:rPr>
          <w:rFonts w:ascii="宋体" w:hAnsi="宋体" w:cs="宋体"/>
          <w:sz w:val="24"/>
        </w:rPr>
      </w:pPr>
    </w:p>
    <w:p w14:paraId="3810702D">
      <w:pPr>
        <w:tabs>
          <w:tab w:val="center" w:pos="4739"/>
        </w:tabs>
        <w:rPr>
          <w:rFonts w:hint="default" w:ascii="宋体" w:hAnsi="宋体" w:cs="宋体"/>
          <w:b/>
          <w:sz w:val="52"/>
          <w:szCs w:val="52"/>
          <w:lang w:val="en-US"/>
        </w:rPr>
      </w:pPr>
      <w:r>
        <w:rPr>
          <w:rFonts w:hint="eastAsia" w:ascii="宋体" w:hAnsi="宋体" w:cs="宋体"/>
          <w:b/>
          <w:sz w:val="36"/>
          <w:szCs w:val="36"/>
          <w:u w:val="none"/>
          <w:lang w:eastAsia="zh-CN"/>
        </w:rPr>
        <w:t>项目名称</w:t>
      </w:r>
      <w:r>
        <w:rPr>
          <w:rFonts w:hint="eastAsia" w:ascii="宋体" w:hAnsi="宋体" w:cs="宋体"/>
          <w:b/>
          <w:sz w:val="36"/>
          <w:szCs w:val="36"/>
          <w:u w:val="single"/>
          <w:lang w:eastAsia="zh-CN"/>
        </w:rPr>
        <w:t>：</w:t>
      </w:r>
      <w:r>
        <w:rPr>
          <w:rFonts w:hint="eastAsia" w:ascii="宋体" w:hAnsi="宋体" w:cs="宋体"/>
          <w:b/>
          <w:sz w:val="36"/>
          <w:szCs w:val="36"/>
          <w:u w:val="single"/>
          <w:lang w:val="en-US" w:eastAsia="zh-CN"/>
        </w:rPr>
        <w:t xml:space="preserve">                                  </w:t>
      </w:r>
    </w:p>
    <w:p w14:paraId="7949CC99">
      <w:pPr>
        <w:tabs>
          <w:tab w:val="center" w:pos="4739"/>
        </w:tabs>
        <w:jc w:val="center"/>
        <w:rPr>
          <w:rFonts w:ascii="宋体" w:hAnsi="宋体" w:cs="宋体"/>
          <w:b/>
          <w:sz w:val="52"/>
          <w:szCs w:val="52"/>
        </w:rPr>
      </w:pPr>
      <w:r>
        <w:rPr>
          <w:rFonts w:hint="eastAsia" w:ascii="宋体" w:hAnsi="宋体" w:cs="宋体"/>
          <w:b/>
          <w:sz w:val="52"/>
          <w:szCs w:val="52"/>
        </w:rPr>
        <w:t>投 标 文 件</w:t>
      </w:r>
    </w:p>
    <w:p w14:paraId="015B8485">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cs="宋体"/>
          <w:b/>
          <w:bCs/>
          <w:sz w:val="30"/>
          <w:szCs w:val="30"/>
          <w:highlight w:val="none"/>
          <w:lang w:eastAsia="zh-CN"/>
        </w:rPr>
      </w:pPr>
    </w:p>
    <w:p w14:paraId="02CC3DC2">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sz w:val="30"/>
          <w:szCs w:val="30"/>
          <w:highlight w:val="none"/>
          <w:lang w:eastAsia="zh-CN"/>
        </w:rPr>
      </w:pPr>
      <w:r>
        <w:rPr>
          <w:rFonts w:hint="eastAsia" w:ascii="宋体" w:hAnsi="宋体" w:cs="宋体"/>
          <w:b/>
          <w:bCs/>
          <w:sz w:val="30"/>
          <w:szCs w:val="30"/>
          <w:highlight w:val="none"/>
          <w:lang w:eastAsia="zh-CN"/>
        </w:rPr>
        <w:t>（</w:t>
      </w:r>
      <w:r>
        <w:rPr>
          <w:rFonts w:hint="eastAsia" w:ascii="宋体" w:hAnsi="宋体" w:cs="宋体"/>
          <w:b/>
          <w:bCs/>
          <w:sz w:val="30"/>
          <w:szCs w:val="30"/>
          <w:highlight w:val="none"/>
          <w:u w:val="single"/>
          <w:lang w:val="en-US" w:eastAsia="zh-CN"/>
        </w:rPr>
        <w:t xml:space="preserve">   </w:t>
      </w:r>
      <w:r>
        <w:rPr>
          <w:rFonts w:hint="eastAsia" w:ascii="宋体" w:hAnsi="宋体" w:cs="宋体"/>
          <w:b/>
          <w:bCs/>
          <w:sz w:val="30"/>
          <w:szCs w:val="30"/>
          <w:highlight w:val="none"/>
          <w:lang w:eastAsia="zh-CN"/>
        </w:rPr>
        <w:t>包）</w:t>
      </w:r>
    </w:p>
    <w:p w14:paraId="6DD1909D">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cs="宋体"/>
          <w:b/>
          <w:bCs/>
          <w:sz w:val="30"/>
          <w:szCs w:val="30"/>
          <w:highlight w:val="none"/>
        </w:rPr>
      </w:pPr>
      <w:r>
        <w:rPr>
          <w:rFonts w:hint="eastAsia" w:ascii="宋体" w:hAnsi="宋体" w:cs="宋体"/>
          <w:b/>
          <w:bCs/>
          <w:sz w:val="30"/>
          <w:szCs w:val="30"/>
          <w:highlight w:val="none"/>
        </w:rPr>
        <w:t>项目编号：</w:t>
      </w:r>
    </w:p>
    <w:p w14:paraId="379E59B2">
      <w:pPr>
        <w:tabs>
          <w:tab w:val="center" w:pos="4739"/>
        </w:tabs>
        <w:ind w:left="180"/>
        <w:rPr>
          <w:rFonts w:ascii="宋体" w:hAnsi="宋体" w:cs="宋体"/>
          <w:sz w:val="24"/>
        </w:rPr>
      </w:pPr>
    </w:p>
    <w:p w14:paraId="173053EA">
      <w:pPr>
        <w:tabs>
          <w:tab w:val="center" w:pos="4739"/>
        </w:tabs>
        <w:ind w:left="180"/>
        <w:rPr>
          <w:rFonts w:ascii="宋体" w:hAnsi="宋体" w:cs="宋体"/>
          <w:sz w:val="24"/>
        </w:rPr>
      </w:pPr>
    </w:p>
    <w:p w14:paraId="7CE33162">
      <w:pPr>
        <w:tabs>
          <w:tab w:val="center" w:pos="4739"/>
        </w:tabs>
        <w:ind w:left="180"/>
        <w:rPr>
          <w:rFonts w:ascii="宋体" w:hAnsi="宋体" w:cs="宋体"/>
          <w:sz w:val="24"/>
        </w:rPr>
      </w:pPr>
    </w:p>
    <w:p w14:paraId="678A06C8">
      <w:pPr>
        <w:tabs>
          <w:tab w:val="center" w:pos="4739"/>
        </w:tabs>
        <w:ind w:left="180"/>
        <w:rPr>
          <w:rFonts w:ascii="宋体" w:hAnsi="宋体" w:cs="宋体"/>
          <w:sz w:val="24"/>
        </w:rPr>
      </w:pPr>
    </w:p>
    <w:p w14:paraId="18DB544B">
      <w:pPr>
        <w:tabs>
          <w:tab w:val="center" w:pos="4739"/>
        </w:tabs>
        <w:ind w:left="180"/>
        <w:rPr>
          <w:rFonts w:ascii="宋体" w:hAnsi="宋体" w:cs="宋体"/>
          <w:sz w:val="24"/>
        </w:rPr>
      </w:pPr>
    </w:p>
    <w:p w14:paraId="5AD45649">
      <w:pPr>
        <w:tabs>
          <w:tab w:val="center" w:pos="4739"/>
        </w:tabs>
        <w:ind w:left="180"/>
        <w:rPr>
          <w:rFonts w:ascii="宋体" w:hAnsi="宋体" w:cs="宋体"/>
          <w:sz w:val="24"/>
        </w:rPr>
      </w:pPr>
    </w:p>
    <w:p w14:paraId="451B4F6A">
      <w:pPr>
        <w:tabs>
          <w:tab w:val="center" w:pos="4739"/>
        </w:tabs>
        <w:ind w:left="180"/>
        <w:rPr>
          <w:rFonts w:ascii="宋体" w:hAnsi="宋体" w:cs="宋体"/>
          <w:sz w:val="24"/>
        </w:rPr>
      </w:pPr>
    </w:p>
    <w:p w14:paraId="66D25D89">
      <w:pPr>
        <w:tabs>
          <w:tab w:val="center" w:pos="4739"/>
        </w:tabs>
        <w:ind w:left="180"/>
        <w:rPr>
          <w:rFonts w:ascii="宋体" w:hAnsi="宋体" w:cs="宋体"/>
          <w:sz w:val="24"/>
        </w:rPr>
      </w:pPr>
    </w:p>
    <w:p w14:paraId="1F5B8666">
      <w:pPr>
        <w:tabs>
          <w:tab w:val="center" w:pos="4739"/>
        </w:tabs>
        <w:ind w:left="180"/>
        <w:rPr>
          <w:rFonts w:ascii="宋体" w:hAnsi="宋体" w:cs="宋体"/>
          <w:sz w:val="24"/>
        </w:rPr>
      </w:pPr>
    </w:p>
    <w:p w14:paraId="0DCB4217">
      <w:pPr>
        <w:tabs>
          <w:tab w:val="center" w:pos="4739"/>
        </w:tabs>
        <w:ind w:left="180"/>
        <w:rPr>
          <w:rFonts w:ascii="宋体" w:hAnsi="宋体" w:cs="宋体"/>
          <w:sz w:val="24"/>
        </w:rPr>
      </w:pPr>
    </w:p>
    <w:p w14:paraId="5D4C99A2">
      <w:pPr>
        <w:tabs>
          <w:tab w:val="center" w:pos="4739"/>
        </w:tabs>
        <w:ind w:left="180"/>
        <w:rPr>
          <w:rFonts w:ascii="宋体" w:hAnsi="宋体" w:cs="宋体"/>
          <w:b/>
        </w:rPr>
      </w:pPr>
    </w:p>
    <w:p w14:paraId="6E51D838">
      <w:pPr>
        <w:tabs>
          <w:tab w:val="center" w:pos="4739"/>
        </w:tabs>
        <w:spacing w:line="360" w:lineRule="auto"/>
        <w:ind w:left="180" w:firstLine="1304" w:firstLineChars="464"/>
        <w:jc w:val="left"/>
        <w:rPr>
          <w:rFonts w:ascii="宋体" w:hAnsi="宋体" w:cs="宋体"/>
          <w:b/>
          <w:sz w:val="28"/>
          <w:szCs w:val="28"/>
        </w:rPr>
      </w:pPr>
      <w:r>
        <w:rPr>
          <w:rFonts w:hint="eastAsia" w:ascii="宋体" w:hAnsi="宋体" w:cs="宋体"/>
          <w:b/>
          <w:sz w:val="28"/>
          <w:szCs w:val="28"/>
          <w:lang w:eastAsia="zh-CN"/>
        </w:rPr>
        <w:t>供应商名称</w:t>
      </w:r>
      <w:r>
        <w:rPr>
          <w:rFonts w:hint="eastAsia" w:ascii="宋体" w:hAnsi="宋体" w:cs="宋体"/>
          <w:b/>
          <w:sz w:val="28"/>
          <w:szCs w:val="28"/>
        </w:rPr>
        <w:t>:</w:t>
      </w:r>
      <w:r>
        <w:rPr>
          <w:rFonts w:hint="eastAsia" w:ascii="宋体" w:hAnsi="宋体" w:cs="宋体"/>
          <w:b/>
          <w:sz w:val="28"/>
          <w:szCs w:val="28"/>
          <w:u w:val="single"/>
        </w:rPr>
        <w:t xml:space="preserve">                         </w:t>
      </w:r>
      <w:r>
        <w:rPr>
          <w:rFonts w:hint="eastAsia" w:ascii="宋体" w:hAnsi="宋体" w:cs="宋体"/>
          <w:b/>
          <w:sz w:val="28"/>
          <w:szCs w:val="28"/>
        </w:rPr>
        <w:t>(盖单位章)</w:t>
      </w:r>
    </w:p>
    <w:p w14:paraId="59F9E84B">
      <w:pPr>
        <w:tabs>
          <w:tab w:val="center" w:pos="4739"/>
        </w:tabs>
        <w:spacing w:line="360" w:lineRule="auto"/>
        <w:ind w:left="180" w:firstLine="1304" w:firstLineChars="464"/>
        <w:rPr>
          <w:rFonts w:ascii="宋体" w:hAnsi="宋体" w:cs="宋体"/>
          <w:b/>
          <w:sz w:val="28"/>
          <w:szCs w:val="28"/>
        </w:rPr>
      </w:pPr>
      <w:r>
        <w:rPr>
          <w:rFonts w:hint="eastAsia" w:ascii="宋体" w:hAnsi="宋体" w:cs="宋体"/>
          <w:b/>
          <w:sz w:val="28"/>
          <w:szCs w:val="28"/>
        </w:rPr>
        <w:t>法定代表人或其委托代理人（签字</w:t>
      </w:r>
      <w:r>
        <w:rPr>
          <w:rFonts w:hint="eastAsia" w:ascii="宋体" w:hAnsi="宋体" w:cs="宋体"/>
          <w:b/>
          <w:sz w:val="28"/>
          <w:szCs w:val="28"/>
          <w:lang w:eastAsia="zh-CN"/>
        </w:rPr>
        <w:t>或盖章</w:t>
      </w:r>
      <w:r>
        <w:rPr>
          <w:rFonts w:hint="eastAsia" w:ascii="宋体" w:hAnsi="宋体" w:cs="宋体"/>
          <w:b/>
          <w:sz w:val="28"/>
          <w:szCs w:val="28"/>
        </w:rPr>
        <w:t>）:</w:t>
      </w:r>
      <w:r>
        <w:rPr>
          <w:rFonts w:hint="eastAsia" w:ascii="宋体" w:hAnsi="宋体" w:cs="宋体"/>
          <w:b/>
          <w:sz w:val="28"/>
          <w:szCs w:val="28"/>
          <w:u w:val="single"/>
        </w:rPr>
        <w:t xml:space="preserve">            </w:t>
      </w:r>
    </w:p>
    <w:p w14:paraId="03C962CC">
      <w:pPr>
        <w:spacing w:line="360" w:lineRule="auto"/>
        <w:ind w:firstLine="2249" w:firstLineChars="800"/>
        <w:jc w:val="both"/>
        <w:rPr>
          <w:rFonts w:ascii="宋体" w:hAnsi="宋体" w:cs="宋体"/>
          <w:b/>
          <w:sz w:val="28"/>
          <w:szCs w:val="28"/>
        </w:rPr>
      </w:pPr>
      <w:r>
        <w:rPr>
          <w:rFonts w:hint="eastAsia" w:ascii="宋体" w:hAnsi="宋体" w:cs="宋体"/>
          <w:b/>
          <w:sz w:val="28"/>
          <w:szCs w:val="28"/>
          <w:u w:val="single"/>
        </w:rPr>
        <w:t xml:space="preserve">      </w:t>
      </w:r>
      <w:r>
        <w:rPr>
          <w:rFonts w:hint="eastAsia" w:ascii="宋体" w:hAnsi="宋体" w:cs="宋体"/>
          <w:b/>
          <w:sz w:val="28"/>
          <w:szCs w:val="28"/>
        </w:rPr>
        <w:t>年</w:t>
      </w:r>
      <w:r>
        <w:rPr>
          <w:rFonts w:hint="eastAsia" w:ascii="宋体" w:hAnsi="宋体" w:cs="宋体"/>
          <w:b/>
          <w:sz w:val="28"/>
          <w:szCs w:val="28"/>
          <w:u w:val="single"/>
        </w:rPr>
        <w:t xml:space="preserve">      </w:t>
      </w:r>
      <w:r>
        <w:rPr>
          <w:rFonts w:hint="eastAsia" w:ascii="宋体" w:hAnsi="宋体" w:cs="宋体"/>
          <w:b/>
          <w:sz w:val="28"/>
          <w:szCs w:val="28"/>
        </w:rPr>
        <w:t>月</w:t>
      </w:r>
      <w:r>
        <w:rPr>
          <w:rFonts w:hint="eastAsia" w:ascii="宋体" w:hAnsi="宋体" w:cs="宋体"/>
          <w:b/>
          <w:sz w:val="28"/>
          <w:szCs w:val="28"/>
          <w:u w:val="single"/>
        </w:rPr>
        <w:t xml:space="preserve">       </w:t>
      </w:r>
      <w:r>
        <w:rPr>
          <w:rFonts w:hint="eastAsia" w:ascii="宋体" w:hAnsi="宋体" w:cs="宋体"/>
          <w:b/>
          <w:sz w:val="28"/>
          <w:szCs w:val="28"/>
        </w:rPr>
        <w:t>日</w:t>
      </w:r>
    </w:p>
    <w:p w14:paraId="73B9D0D6">
      <w:pPr>
        <w:rPr>
          <w:rFonts w:hAnsi="宋体"/>
          <w:b/>
          <w:sz w:val="28"/>
          <w:szCs w:val="28"/>
        </w:rPr>
      </w:pPr>
      <w:r>
        <w:rPr>
          <w:rFonts w:hAnsi="宋体"/>
          <w:b/>
          <w:sz w:val="28"/>
          <w:szCs w:val="28"/>
        </w:rPr>
        <w:br w:type="page"/>
      </w:r>
    </w:p>
    <w:p w14:paraId="0BD66E3B"/>
    <w:p w14:paraId="0CC67D9E">
      <w:pPr>
        <w:pStyle w:val="4"/>
        <w:jc w:val="center"/>
        <w:rPr>
          <w:rFonts w:ascii="宋体" w:hAnsi="宋体" w:cs="宋体"/>
          <w:sz w:val="28"/>
          <w:szCs w:val="28"/>
        </w:rPr>
      </w:pPr>
      <w:bookmarkStart w:id="283" w:name="_Toc6174"/>
      <w:bookmarkStart w:id="284" w:name="_Toc16590"/>
      <w:bookmarkStart w:id="285" w:name="_Toc9381"/>
      <w:bookmarkStart w:id="286" w:name="_Toc17785"/>
      <w:r>
        <w:rPr>
          <w:rFonts w:hint="eastAsia" w:ascii="宋体" w:hAnsi="宋体" w:cs="宋体"/>
          <w:sz w:val="28"/>
          <w:szCs w:val="28"/>
        </w:rPr>
        <w:t>目  录</w:t>
      </w:r>
      <w:bookmarkEnd w:id="280"/>
      <w:bookmarkEnd w:id="281"/>
      <w:bookmarkEnd w:id="282"/>
      <w:bookmarkEnd w:id="283"/>
      <w:bookmarkEnd w:id="284"/>
      <w:bookmarkEnd w:id="285"/>
      <w:bookmarkEnd w:id="286"/>
    </w:p>
    <w:p w14:paraId="2DC08615">
      <w:pPr>
        <w:spacing w:line="360" w:lineRule="auto"/>
        <w:jc w:val="center"/>
        <w:rPr>
          <w:rFonts w:ascii="宋体" w:hAnsi="宋体" w:cs="宋体"/>
        </w:rPr>
      </w:pPr>
      <w:r>
        <w:rPr>
          <w:rFonts w:hint="eastAsia" w:ascii="宋体" w:hAnsi="宋体" w:cs="宋体"/>
        </w:rPr>
        <w:t>（格式自拟）</w:t>
      </w:r>
    </w:p>
    <w:p w14:paraId="56E8E8D6">
      <w:pPr>
        <w:spacing w:line="360" w:lineRule="auto"/>
        <w:ind w:firstLine="420" w:firstLineChars="200"/>
        <w:rPr>
          <w:rFonts w:ascii="宋体" w:hAnsi="宋体" w:cs="宋体"/>
          <w:szCs w:val="21"/>
        </w:rPr>
      </w:pPr>
    </w:p>
    <w:p w14:paraId="769163CA">
      <w:pPr>
        <w:spacing w:line="360" w:lineRule="auto"/>
        <w:ind w:firstLine="1077" w:firstLineChars="513"/>
        <w:rPr>
          <w:rFonts w:ascii="宋体" w:hAnsi="宋体" w:cs="宋体"/>
          <w:szCs w:val="21"/>
        </w:rPr>
      </w:pPr>
    </w:p>
    <w:p w14:paraId="59FD8C03">
      <w:pPr>
        <w:spacing w:line="600" w:lineRule="exact"/>
        <w:ind w:left="850" w:leftChars="405"/>
        <w:rPr>
          <w:rFonts w:ascii="宋体" w:hAnsi="宋体" w:cs="宋体"/>
          <w:b/>
          <w:sz w:val="24"/>
        </w:rPr>
      </w:pPr>
      <w:r>
        <w:rPr>
          <w:rFonts w:hint="eastAsia" w:ascii="宋体" w:hAnsi="宋体" w:cs="宋体"/>
          <w:b/>
          <w:sz w:val="24"/>
        </w:rPr>
        <w:t>投标文件编制过程中应按本章提供的格式填报。</w:t>
      </w:r>
    </w:p>
    <w:p w14:paraId="2524B7B3">
      <w:pPr>
        <w:spacing w:line="600" w:lineRule="exact"/>
        <w:ind w:left="850" w:leftChars="405"/>
        <w:rPr>
          <w:rFonts w:ascii="宋体" w:hAnsi="宋体" w:cs="宋体"/>
          <w:b/>
          <w:sz w:val="24"/>
        </w:rPr>
      </w:pPr>
      <w:r>
        <w:rPr>
          <w:rFonts w:hint="eastAsia" w:ascii="宋体" w:hAnsi="宋体" w:cs="宋体"/>
          <w:b/>
          <w:sz w:val="24"/>
        </w:rPr>
        <w:t>如有本章未提供的格式，投标人可自行编制。</w:t>
      </w:r>
    </w:p>
    <w:p w14:paraId="41995BF7">
      <w:pPr>
        <w:spacing w:line="360" w:lineRule="auto"/>
        <w:ind w:firstLine="1077" w:firstLineChars="513"/>
        <w:rPr>
          <w:rFonts w:ascii="宋体" w:hAnsi="宋体" w:cs="宋体"/>
          <w:szCs w:val="21"/>
        </w:rPr>
      </w:pPr>
    </w:p>
    <w:p w14:paraId="75F05E8A">
      <w:pPr>
        <w:spacing w:line="360" w:lineRule="auto"/>
        <w:ind w:firstLine="1077" w:firstLineChars="513"/>
        <w:rPr>
          <w:rFonts w:ascii="宋体" w:hAnsi="宋体" w:cs="宋体"/>
          <w:szCs w:val="21"/>
        </w:rPr>
      </w:pPr>
    </w:p>
    <w:p w14:paraId="229416C3">
      <w:pPr>
        <w:spacing w:line="360" w:lineRule="auto"/>
        <w:ind w:firstLine="1077" w:firstLineChars="513"/>
        <w:rPr>
          <w:rFonts w:ascii="宋体" w:hAnsi="宋体" w:cs="宋体"/>
          <w:szCs w:val="21"/>
        </w:rPr>
      </w:pPr>
    </w:p>
    <w:p w14:paraId="58971E08">
      <w:pPr>
        <w:spacing w:line="360" w:lineRule="auto"/>
        <w:ind w:firstLine="1077" w:firstLineChars="513"/>
        <w:rPr>
          <w:rFonts w:ascii="宋体" w:hAnsi="宋体" w:cs="宋体"/>
          <w:szCs w:val="21"/>
        </w:rPr>
      </w:pPr>
    </w:p>
    <w:p w14:paraId="5B9C25D6">
      <w:pPr>
        <w:spacing w:line="360" w:lineRule="auto"/>
        <w:ind w:firstLine="1077" w:firstLineChars="513"/>
        <w:rPr>
          <w:rFonts w:ascii="宋体" w:hAnsi="宋体" w:cs="宋体"/>
          <w:szCs w:val="21"/>
        </w:rPr>
      </w:pPr>
    </w:p>
    <w:p w14:paraId="47CE95E0">
      <w:pPr>
        <w:pStyle w:val="9"/>
        <w:rPr>
          <w:rFonts w:ascii="宋体" w:hAnsi="宋体" w:eastAsia="宋体" w:cs="宋体"/>
        </w:rPr>
      </w:pPr>
    </w:p>
    <w:p w14:paraId="339AA2AC">
      <w:pPr>
        <w:spacing w:line="360" w:lineRule="auto"/>
        <w:ind w:firstLine="1077" w:firstLineChars="513"/>
        <w:rPr>
          <w:rFonts w:ascii="宋体" w:hAnsi="宋体" w:cs="宋体"/>
          <w:szCs w:val="21"/>
        </w:rPr>
      </w:pPr>
    </w:p>
    <w:p w14:paraId="25E998D6">
      <w:pPr>
        <w:pStyle w:val="24"/>
        <w:rPr>
          <w:rFonts w:ascii="宋体" w:hAnsi="宋体" w:cs="宋体"/>
          <w:szCs w:val="21"/>
        </w:rPr>
      </w:pPr>
    </w:p>
    <w:p w14:paraId="3A4DA99E">
      <w:pPr>
        <w:pStyle w:val="25"/>
        <w:rPr>
          <w:rFonts w:ascii="宋体" w:hAnsi="宋体" w:cs="宋体"/>
          <w:szCs w:val="21"/>
        </w:rPr>
      </w:pPr>
    </w:p>
    <w:p w14:paraId="4204B18B">
      <w:pPr>
        <w:rPr>
          <w:rFonts w:ascii="宋体" w:hAnsi="宋体" w:cs="宋体"/>
          <w:szCs w:val="21"/>
        </w:rPr>
      </w:pPr>
    </w:p>
    <w:p w14:paraId="52CEF5D7">
      <w:pPr>
        <w:pStyle w:val="24"/>
        <w:rPr>
          <w:rFonts w:ascii="宋体" w:hAnsi="宋体" w:cs="宋体"/>
          <w:szCs w:val="21"/>
        </w:rPr>
      </w:pPr>
    </w:p>
    <w:p w14:paraId="45506CC4">
      <w:pPr>
        <w:pStyle w:val="25"/>
        <w:rPr>
          <w:rFonts w:ascii="宋体" w:hAnsi="宋体" w:cs="宋体"/>
          <w:szCs w:val="21"/>
        </w:rPr>
      </w:pPr>
    </w:p>
    <w:p w14:paraId="3A9D15AE">
      <w:pPr>
        <w:rPr>
          <w:rFonts w:ascii="宋体" w:hAnsi="宋体" w:cs="宋体"/>
          <w:szCs w:val="21"/>
        </w:rPr>
      </w:pPr>
    </w:p>
    <w:p w14:paraId="12443AAC">
      <w:pPr>
        <w:pStyle w:val="24"/>
      </w:pPr>
    </w:p>
    <w:p w14:paraId="2D71BE7F">
      <w:pPr>
        <w:spacing w:line="360" w:lineRule="auto"/>
        <w:ind w:firstLine="1077" w:firstLineChars="513"/>
        <w:rPr>
          <w:rFonts w:ascii="宋体" w:hAnsi="宋体" w:cs="宋体"/>
          <w:szCs w:val="21"/>
        </w:rPr>
      </w:pPr>
    </w:p>
    <w:p w14:paraId="41ECDF3E">
      <w:pPr>
        <w:spacing w:line="360" w:lineRule="auto"/>
        <w:ind w:firstLine="1077" w:firstLineChars="513"/>
        <w:rPr>
          <w:rFonts w:ascii="宋体" w:hAnsi="宋体" w:cs="宋体"/>
          <w:szCs w:val="21"/>
        </w:rPr>
      </w:pPr>
    </w:p>
    <w:p w14:paraId="07D2010E">
      <w:pPr>
        <w:spacing w:line="360" w:lineRule="auto"/>
        <w:ind w:firstLine="1077" w:firstLineChars="513"/>
        <w:rPr>
          <w:rFonts w:ascii="宋体" w:hAnsi="宋体" w:cs="宋体"/>
          <w:szCs w:val="21"/>
        </w:rPr>
      </w:pPr>
    </w:p>
    <w:p w14:paraId="04EA6F2C">
      <w:pPr>
        <w:spacing w:line="360" w:lineRule="auto"/>
        <w:ind w:firstLine="1077" w:firstLineChars="513"/>
        <w:rPr>
          <w:rFonts w:ascii="宋体" w:hAnsi="宋体" w:cs="宋体"/>
          <w:szCs w:val="21"/>
        </w:rPr>
      </w:pPr>
    </w:p>
    <w:p w14:paraId="67359DB0">
      <w:pPr>
        <w:spacing w:line="360" w:lineRule="auto"/>
        <w:ind w:firstLine="1077" w:firstLineChars="513"/>
        <w:rPr>
          <w:rFonts w:ascii="宋体" w:hAnsi="宋体" w:cs="宋体"/>
          <w:szCs w:val="21"/>
        </w:rPr>
      </w:pPr>
    </w:p>
    <w:p w14:paraId="14D1F002">
      <w:pPr>
        <w:spacing w:line="360" w:lineRule="auto"/>
        <w:ind w:firstLine="1077" w:firstLineChars="513"/>
        <w:rPr>
          <w:rFonts w:ascii="宋体" w:hAnsi="宋体" w:cs="宋体"/>
          <w:szCs w:val="21"/>
        </w:rPr>
      </w:pPr>
    </w:p>
    <w:p w14:paraId="36160699">
      <w:pPr>
        <w:pStyle w:val="9"/>
        <w:rPr>
          <w:rFonts w:ascii="宋体" w:hAnsi="宋体" w:cs="宋体"/>
          <w:szCs w:val="21"/>
        </w:rPr>
      </w:pPr>
    </w:p>
    <w:p w14:paraId="1A779EC2">
      <w:pPr>
        <w:pStyle w:val="4"/>
        <w:jc w:val="center"/>
        <w:rPr>
          <w:rFonts w:ascii="宋体" w:hAnsi="宋体" w:cs="宋体"/>
        </w:rPr>
      </w:pPr>
      <w:bookmarkStart w:id="287" w:name="_Toc24813"/>
      <w:bookmarkStart w:id="288" w:name="_Toc67"/>
      <w:bookmarkStart w:id="289" w:name="_Toc184635138"/>
      <w:bookmarkStart w:id="290" w:name="_Toc3565"/>
      <w:bookmarkStart w:id="291" w:name="_Toc3713"/>
      <w:r>
        <w:rPr>
          <w:rFonts w:hint="eastAsia" w:ascii="宋体" w:hAnsi="宋体" w:cs="宋体"/>
        </w:rPr>
        <w:t>一、投标函</w:t>
      </w:r>
      <w:bookmarkEnd w:id="287"/>
      <w:bookmarkEnd w:id="288"/>
      <w:bookmarkEnd w:id="289"/>
      <w:bookmarkEnd w:id="290"/>
      <w:bookmarkEnd w:id="291"/>
    </w:p>
    <w:p w14:paraId="63AAEBBA">
      <w:pPr>
        <w:spacing w:line="360" w:lineRule="auto"/>
        <w:rPr>
          <w:rFonts w:ascii="宋体" w:hAnsi="宋体" w:cs="宋体"/>
          <w:szCs w:val="21"/>
        </w:rPr>
      </w:pPr>
      <w:r>
        <w:rPr>
          <w:rFonts w:hint="eastAsia" w:ascii="宋体" w:hAnsi="宋体" w:cs="宋体"/>
          <w:szCs w:val="21"/>
        </w:rPr>
        <w:t>致：</w:t>
      </w:r>
      <w:r>
        <w:rPr>
          <w:rFonts w:hint="eastAsia" w:ascii="宋体" w:hAnsi="宋体" w:cs="宋体"/>
          <w:szCs w:val="21"/>
          <w:u w:val="single"/>
        </w:rPr>
        <w:t xml:space="preserve">     （</w:t>
      </w:r>
      <w:r>
        <w:rPr>
          <w:rFonts w:hint="eastAsia" w:ascii="宋体" w:hAnsi="宋体" w:cs="宋体"/>
          <w:szCs w:val="21"/>
          <w:u w:val="single"/>
          <w:lang w:eastAsia="zh-CN"/>
        </w:rPr>
        <w:t>采购人</w:t>
      </w:r>
      <w:r>
        <w:rPr>
          <w:rFonts w:hint="eastAsia" w:ascii="宋体" w:hAnsi="宋体" w:cs="宋体"/>
          <w:szCs w:val="21"/>
          <w:u w:val="single"/>
        </w:rPr>
        <w:t xml:space="preserve">名称）       </w:t>
      </w:r>
    </w:p>
    <w:p w14:paraId="3CBBEDF0">
      <w:pPr>
        <w:spacing w:line="360" w:lineRule="auto"/>
        <w:ind w:firstLine="420" w:firstLineChars="200"/>
        <w:rPr>
          <w:rFonts w:ascii="宋体" w:hAnsi="宋体" w:cs="宋体"/>
          <w:szCs w:val="21"/>
        </w:rPr>
      </w:pPr>
      <w:r>
        <w:rPr>
          <w:rFonts w:hint="eastAsia" w:ascii="宋体" w:hAnsi="宋体" w:cs="宋体"/>
          <w:szCs w:val="21"/>
        </w:rPr>
        <w:t>根据贵方为</w:t>
      </w:r>
      <w:r>
        <w:rPr>
          <w:rFonts w:hint="eastAsia" w:ascii="宋体" w:hAnsi="宋体" w:cs="宋体"/>
          <w:szCs w:val="21"/>
          <w:u w:val="single"/>
        </w:rPr>
        <w:t xml:space="preserve">                               </w:t>
      </w:r>
      <w:r>
        <w:rPr>
          <w:rFonts w:hint="eastAsia" w:ascii="宋体" w:hAnsi="宋体" w:cs="宋体"/>
          <w:szCs w:val="21"/>
        </w:rPr>
        <w:t>项目</w:t>
      </w:r>
      <w:r>
        <w:rPr>
          <w:rFonts w:hint="eastAsia" w:ascii="宋体" w:hAnsi="宋体" w:cs="宋体"/>
          <w:szCs w:val="21"/>
          <w:lang w:eastAsia="zh-CN"/>
        </w:rPr>
        <w:t>（</w:t>
      </w:r>
      <w:r>
        <w:rPr>
          <w:rFonts w:hint="eastAsia" w:ascii="宋体" w:hAnsi="宋体" w:cs="宋体"/>
          <w:szCs w:val="21"/>
          <w:lang w:val="en-US" w:eastAsia="zh-CN"/>
        </w:rPr>
        <w:t xml:space="preserve">    包</w:t>
      </w:r>
      <w:r>
        <w:rPr>
          <w:rFonts w:hint="eastAsia" w:ascii="宋体" w:hAnsi="宋体" w:cs="宋体"/>
          <w:szCs w:val="21"/>
          <w:lang w:eastAsia="zh-CN"/>
        </w:rPr>
        <w:t>）</w:t>
      </w:r>
      <w:r>
        <w:rPr>
          <w:rFonts w:hint="eastAsia" w:ascii="宋体" w:hAnsi="宋体" w:cs="宋体"/>
          <w:szCs w:val="21"/>
        </w:rPr>
        <w:t>（项目编号：</w:t>
      </w:r>
      <w:r>
        <w:rPr>
          <w:rFonts w:hint="eastAsia" w:ascii="宋体" w:hAnsi="宋体" w:cs="宋体"/>
          <w:szCs w:val="21"/>
          <w:u w:val="single"/>
        </w:rPr>
        <w:t xml:space="preserve">         </w:t>
      </w:r>
      <w:r>
        <w:rPr>
          <w:rFonts w:hint="eastAsia" w:ascii="宋体" w:hAnsi="宋体" w:cs="宋体"/>
          <w:szCs w:val="21"/>
        </w:rPr>
        <w:t xml:space="preserve">）招标文件，签字代表 </w:t>
      </w:r>
      <w:r>
        <w:rPr>
          <w:rFonts w:hint="eastAsia" w:ascii="宋体" w:hAnsi="宋体" w:cs="宋体"/>
          <w:szCs w:val="21"/>
          <w:u w:val="single"/>
        </w:rPr>
        <w:t xml:space="preserve">（姓名、职务） </w:t>
      </w:r>
      <w:r>
        <w:rPr>
          <w:rFonts w:hint="eastAsia" w:ascii="宋体" w:hAnsi="宋体" w:cs="宋体"/>
          <w:szCs w:val="21"/>
        </w:rPr>
        <w:t>经正式授权并代表</w:t>
      </w:r>
      <w:r>
        <w:rPr>
          <w:rFonts w:hint="eastAsia" w:ascii="宋体" w:hAnsi="宋体" w:cs="宋体"/>
          <w:szCs w:val="21"/>
          <w:u w:val="single"/>
        </w:rPr>
        <w:t xml:space="preserve">   （</w:t>
      </w:r>
      <w:r>
        <w:rPr>
          <w:rFonts w:hint="eastAsia" w:ascii="宋体" w:hAnsi="宋体" w:cs="宋体"/>
          <w:szCs w:val="21"/>
          <w:u w:val="single"/>
          <w:lang w:eastAsia="zh-CN"/>
        </w:rPr>
        <w:t>供应商名称</w:t>
      </w:r>
      <w:r>
        <w:rPr>
          <w:rFonts w:hint="eastAsia" w:ascii="宋体" w:hAnsi="宋体" w:cs="宋体"/>
          <w:szCs w:val="21"/>
          <w:u w:val="single"/>
        </w:rPr>
        <w:t xml:space="preserve">）    </w:t>
      </w:r>
      <w:r>
        <w:rPr>
          <w:rFonts w:hint="eastAsia" w:ascii="宋体" w:hAnsi="宋体" w:cs="宋体"/>
          <w:szCs w:val="21"/>
        </w:rPr>
        <w:t>提交投标文件，并对之负法律责任。</w:t>
      </w:r>
    </w:p>
    <w:p w14:paraId="26387E53">
      <w:pPr>
        <w:spacing w:line="360" w:lineRule="auto"/>
        <w:ind w:firstLine="420" w:firstLineChars="200"/>
        <w:rPr>
          <w:rFonts w:ascii="宋体" w:hAnsi="宋体" w:cs="宋体"/>
          <w:szCs w:val="21"/>
        </w:rPr>
      </w:pPr>
      <w:r>
        <w:rPr>
          <w:rFonts w:hint="eastAsia" w:ascii="宋体" w:hAnsi="宋体" w:cs="宋体"/>
          <w:szCs w:val="21"/>
        </w:rPr>
        <w:t>据此函，签字代表宣布同意如下：</w:t>
      </w:r>
    </w:p>
    <w:p w14:paraId="50F31BE8">
      <w:pPr>
        <w:spacing w:line="360" w:lineRule="auto"/>
        <w:ind w:firstLine="420" w:firstLineChars="200"/>
        <w:rPr>
          <w:rFonts w:ascii="宋体" w:hAnsi="宋体" w:cs="宋体"/>
          <w:szCs w:val="21"/>
        </w:rPr>
      </w:pPr>
      <w:r>
        <w:rPr>
          <w:rFonts w:hint="eastAsia" w:ascii="宋体" w:hAnsi="宋体" w:cs="宋体"/>
          <w:szCs w:val="21"/>
        </w:rPr>
        <w:t>1.本次项目投标报价（总价）为人民币</w:t>
      </w:r>
      <w:r>
        <w:rPr>
          <w:rFonts w:hint="eastAsia" w:ascii="宋体" w:hAnsi="宋体" w:cs="宋体"/>
          <w:szCs w:val="21"/>
          <w:u w:val="single"/>
        </w:rPr>
        <w:t xml:space="preserve">大写：            （小写：           ） </w:t>
      </w:r>
      <w:r>
        <w:rPr>
          <w:rFonts w:hint="eastAsia" w:ascii="宋体" w:hAnsi="宋体" w:cs="宋体"/>
          <w:szCs w:val="21"/>
        </w:rPr>
        <w:t>。</w:t>
      </w:r>
    </w:p>
    <w:p w14:paraId="418E0D3D">
      <w:pPr>
        <w:spacing w:line="360" w:lineRule="auto"/>
        <w:ind w:firstLine="420" w:firstLineChars="200"/>
        <w:rPr>
          <w:rFonts w:ascii="宋体" w:hAnsi="宋体" w:cs="宋体"/>
          <w:szCs w:val="21"/>
        </w:rPr>
      </w:pPr>
      <w:r>
        <w:rPr>
          <w:rFonts w:hint="eastAsia" w:ascii="宋体" w:hAnsi="宋体" w:cs="宋体"/>
          <w:szCs w:val="21"/>
        </w:rPr>
        <w:t>合同履行期限：</w:t>
      </w:r>
      <w:r>
        <w:rPr>
          <w:rFonts w:hint="eastAsia" w:ascii="宋体" w:hAnsi="宋体" w:cs="宋体"/>
          <w:szCs w:val="21"/>
          <w:u w:val="single"/>
        </w:rPr>
        <w:t xml:space="preserve">                      </w:t>
      </w:r>
      <w:r>
        <w:rPr>
          <w:rFonts w:hint="eastAsia" w:ascii="宋体" w:hAnsi="宋体" w:cs="宋体"/>
          <w:szCs w:val="21"/>
        </w:rPr>
        <w:t>；服务质量：</w:t>
      </w:r>
      <w:r>
        <w:rPr>
          <w:rFonts w:hint="eastAsia" w:ascii="宋体" w:hAnsi="宋体" w:cs="宋体"/>
          <w:szCs w:val="21"/>
          <w:u w:val="single"/>
        </w:rPr>
        <w:t xml:space="preserve">                            </w:t>
      </w:r>
      <w:r>
        <w:rPr>
          <w:rFonts w:hint="eastAsia" w:ascii="宋体" w:hAnsi="宋体" w:cs="宋体"/>
          <w:szCs w:val="21"/>
        </w:rPr>
        <w:t>。</w:t>
      </w:r>
    </w:p>
    <w:p w14:paraId="078FAC14">
      <w:pPr>
        <w:spacing w:line="360" w:lineRule="auto"/>
        <w:ind w:firstLine="420" w:firstLineChars="200"/>
        <w:rPr>
          <w:rFonts w:ascii="宋体" w:hAnsi="宋体" w:cs="宋体"/>
          <w:szCs w:val="21"/>
        </w:rPr>
      </w:pPr>
      <w:r>
        <w:rPr>
          <w:rFonts w:hint="eastAsia" w:ascii="宋体" w:hAnsi="宋体" w:cs="宋体"/>
          <w:szCs w:val="21"/>
        </w:rPr>
        <w:t>2.我方已详细审查全部招标文件，包括修改文件（如有的话）以及全部参考资料和有关附件，我方完全接受招标文件中所规定的合同条款及其他部分的全部内容。</w:t>
      </w:r>
    </w:p>
    <w:p w14:paraId="29A8CD5E">
      <w:pPr>
        <w:spacing w:line="360" w:lineRule="auto"/>
        <w:ind w:firstLine="420" w:firstLineChars="200"/>
        <w:rPr>
          <w:rFonts w:ascii="宋体" w:hAnsi="宋体" w:cs="宋体"/>
          <w:szCs w:val="21"/>
        </w:rPr>
      </w:pPr>
      <w:r>
        <w:rPr>
          <w:rFonts w:hint="eastAsia" w:ascii="宋体" w:hAnsi="宋体" w:cs="宋体"/>
          <w:szCs w:val="21"/>
        </w:rPr>
        <w:t>3.投标有效期为</w:t>
      </w:r>
      <w:r>
        <w:rPr>
          <w:rFonts w:hint="eastAsia" w:ascii="宋体" w:hAnsi="宋体" w:cs="宋体"/>
          <w:szCs w:val="21"/>
          <w:u w:val="single"/>
        </w:rPr>
        <w:t>自投标截止之日起</w:t>
      </w:r>
      <w:r>
        <w:rPr>
          <w:rFonts w:hint="eastAsia" w:ascii="宋体" w:hAnsi="宋体" w:cs="宋体"/>
          <w:szCs w:val="21"/>
          <w:u w:val="single"/>
          <w:lang w:val="en-US" w:eastAsia="zh-CN"/>
        </w:rPr>
        <w:t>60</w:t>
      </w:r>
      <w:r>
        <w:rPr>
          <w:rFonts w:hint="eastAsia" w:ascii="宋体" w:hAnsi="宋体" w:cs="宋体"/>
          <w:szCs w:val="21"/>
          <w:u w:val="single"/>
        </w:rPr>
        <w:t>日历天</w:t>
      </w:r>
      <w:r>
        <w:rPr>
          <w:rFonts w:hint="eastAsia" w:ascii="宋体" w:hAnsi="宋体" w:cs="宋体"/>
          <w:szCs w:val="21"/>
        </w:rPr>
        <w:t>；在此有效期内，我方将严格遵守投标文件的承诺，本投标文件对我方具有约束力，并可随时被接受中标。</w:t>
      </w:r>
    </w:p>
    <w:p w14:paraId="09997638">
      <w:pPr>
        <w:spacing w:line="360" w:lineRule="auto"/>
        <w:ind w:firstLine="420" w:firstLineChars="200"/>
        <w:rPr>
          <w:rFonts w:ascii="宋体" w:hAnsi="宋体" w:cs="宋体"/>
          <w:szCs w:val="21"/>
        </w:rPr>
      </w:pPr>
      <w:r>
        <w:rPr>
          <w:rFonts w:hint="eastAsia" w:ascii="宋体" w:hAnsi="宋体" w:cs="宋体"/>
          <w:szCs w:val="21"/>
        </w:rPr>
        <w:t>4我方理解，贵方不一定接受最低报价或任何贵方可能收到的投标文件，同时理解贵方不承担我方的任何投标费用。</w:t>
      </w:r>
    </w:p>
    <w:p w14:paraId="7B84C60E">
      <w:pPr>
        <w:numPr>
          <w:ilvl w:val="0"/>
          <w:numId w:val="19"/>
        </w:numPr>
        <w:spacing w:line="360" w:lineRule="auto"/>
        <w:ind w:firstLine="420" w:firstLineChars="200"/>
        <w:rPr>
          <w:rFonts w:ascii="宋体" w:hAnsi="宋体" w:cs="宋体"/>
          <w:szCs w:val="21"/>
        </w:rPr>
      </w:pPr>
      <w:r>
        <w:rPr>
          <w:rFonts w:hint="eastAsia" w:ascii="宋体" w:hAnsi="宋体" w:cs="宋体"/>
          <w:szCs w:val="21"/>
        </w:rPr>
        <w:t>如果我方中标，我方保证按合同条款中规定的内容执行；我方保证投标服务质量符合国家相关标准、规范要求，满足本次项目要求。</w:t>
      </w:r>
    </w:p>
    <w:p w14:paraId="637AC810">
      <w:pPr>
        <w:spacing w:line="360" w:lineRule="auto"/>
        <w:ind w:firstLine="420" w:firstLineChars="200"/>
        <w:rPr>
          <w:rFonts w:ascii="宋体" w:hAnsi="宋体" w:cs="宋体"/>
          <w:szCs w:val="21"/>
        </w:rPr>
      </w:pPr>
      <w:r>
        <w:rPr>
          <w:rFonts w:hint="eastAsia" w:ascii="宋体" w:hAnsi="宋体" w:cs="宋体"/>
          <w:szCs w:val="21"/>
        </w:rPr>
        <w:t>6. 如我方中标按照招标文件规定足额递交履约担保金和招标代理服务费。</w:t>
      </w:r>
    </w:p>
    <w:p w14:paraId="728381F4">
      <w:pPr>
        <w:spacing w:line="360" w:lineRule="auto"/>
        <w:ind w:right="-210" w:rightChars="-100" w:firstLine="420" w:firstLineChars="200"/>
        <w:rPr>
          <w:rFonts w:ascii="宋体" w:hAnsi="宋体" w:cs="宋体"/>
          <w:szCs w:val="21"/>
        </w:rPr>
      </w:pPr>
      <w:r>
        <w:rPr>
          <w:rFonts w:hint="eastAsia" w:ascii="宋体" w:hAnsi="宋体" w:cs="宋体"/>
          <w:szCs w:val="21"/>
        </w:rPr>
        <w:t>7.我方在此声明，所递交的投标文件及有关资料内容完整、真实和准确，我方愿承担因资料问题造成的一切后果。</w:t>
      </w:r>
    </w:p>
    <w:p w14:paraId="3969D6B2">
      <w:pPr>
        <w:spacing w:line="360" w:lineRule="auto"/>
        <w:ind w:right="-210" w:rightChars="-100" w:firstLine="420" w:firstLineChars="200"/>
        <w:rPr>
          <w:rFonts w:ascii="宋体" w:hAnsi="宋体" w:cs="宋体"/>
          <w:szCs w:val="21"/>
        </w:rPr>
      </w:pPr>
      <w:r>
        <w:rPr>
          <w:rFonts w:hint="eastAsia" w:ascii="宋体" w:hAnsi="宋体" w:cs="宋体"/>
          <w:szCs w:val="21"/>
        </w:rPr>
        <w:t>8. 来往信函请联系（E-mail）:</w:t>
      </w:r>
      <w:r>
        <w:rPr>
          <w:rFonts w:hint="eastAsia" w:ascii="宋体" w:hAnsi="宋体" w:cs="宋体"/>
          <w:szCs w:val="21"/>
          <w:u w:val="single"/>
        </w:rPr>
        <w:t xml:space="preserve">               </w:t>
      </w:r>
      <w:r>
        <w:rPr>
          <w:rFonts w:hint="eastAsia" w:ascii="宋体" w:hAnsi="宋体" w:cs="宋体"/>
          <w:szCs w:val="21"/>
        </w:rPr>
        <w:t>(必填单位常用的业务联系邮箱，任何与</w:t>
      </w:r>
      <w:r>
        <w:rPr>
          <w:rFonts w:hint="eastAsia" w:ascii="宋体" w:hAnsi="宋体" w:cs="宋体"/>
          <w:szCs w:val="21"/>
          <w:lang w:eastAsia="zh-CN"/>
        </w:rPr>
        <w:t>采购人</w:t>
      </w:r>
      <w:r>
        <w:rPr>
          <w:rFonts w:hint="eastAsia" w:ascii="宋体" w:hAnsi="宋体" w:cs="宋体"/>
          <w:szCs w:val="21"/>
        </w:rPr>
        <w:t>有关的信息发至该邮箱视为已发送)</w:t>
      </w:r>
    </w:p>
    <w:p w14:paraId="56FD3CFA">
      <w:pPr>
        <w:spacing w:line="360" w:lineRule="auto"/>
        <w:ind w:left="283" w:leftChars="135"/>
        <w:jc w:val="left"/>
        <w:rPr>
          <w:rFonts w:ascii="宋体" w:hAnsi="宋体" w:cs="宋体"/>
          <w:szCs w:val="21"/>
        </w:rPr>
      </w:pPr>
      <w:r>
        <w:rPr>
          <w:rFonts w:hint="eastAsia" w:ascii="宋体" w:hAnsi="宋体" w:cs="宋体"/>
          <w:szCs w:val="21"/>
          <w:lang w:eastAsia="zh-CN"/>
        </w:rPr>
        <w:t>供应商名称</w:t>
      </w:r>
      <w:r>
        <w:rPr>
          <w:rFonts w:hint="eastAsia" w:ascii="宋体" w:hAnsi="宋体" w:cs="宋体"/>
          <w:szCs w:val="21"/>
        </w:rPr>
        <w:t>：</w:t>
      </w:r>
      <w:r>
        <w:rPr>
          <w:rFonts w:hint="eastAsia" w:ascii="宋体" w:hAnsi="宋体" w:cs="宋体"/>
          <w:szCs w:val="21"/>
          <w:u w:val="single"/>
        </w:rPr>
        <w:t xml:space="preserve">                     </w:t>
      </w:r>
      <w:r>
        <w:rPr>
          <w:rFonts w:hint="eastAsia" w:ascii="宋体" w:hAnsi="宋体" w:cs="宋体"/>
          <w:szCs w:val="21"/>
        </w:rPr>
        <w:t>（盖单位章）</w:t>
      </w:r>
    </w:p>
    <w:p w14:paraId="5FCB3D98">
      <w:pPr>
        <w:spacing w:line="360" w:lineRule="auto"/>
        <w:ind w:left="283" w:leftChars="135"/>
        <w:jc w:val="left"/>
        <w:rPr>
          <w:rFonts w:ascii="宋体" w:hAnsi="宋体" w:cs="宋体"/>
          <w:szCs w:val="21"/>
        </w:rPr>
      </w:pPr>
      <w:r>
        <w:rPr>
          <w:rFonts w:hint="eastAsia" w:ascii="宋体" w:hAnsi="宋体" w:cs="宋体"/>
          <w:szCs w:val="21"/>
        </w:rPr>
        <w:t>法定代表人或其委托代理人（签字</w:t>
      </w:r>
      <w:r>
        <w:rPr>
          <w:rFonts w:hint="eastAsia" w:ascii="宋体" w:hAnsi="宋体" w:cs="宋体"/>
          <w:szCs w:val="21"/>
          <w:lang w:eastAsia="zh-CN"/>
        </w:rPr>
        <w:t>或盖章</w:t>
      </w:r>
      <w:r>
        <w:rPr>
          <w:rFonts w:hint="eastAsia" w:ascii="宋体" w:hAnsi="宋体" w:cs="宋体"/>
          <w:szCs w:val="21"/>
        </w:rPr>
        <w:t>）：</w:t>
      </w:r>
      <w:r>
        <w:rPr>
          <w:rFonts w:hint="eastAsia" w:ascii="宋体" w:hAnsi="宋体" w:cs="宋体"/>
          <w:szCs w:val="21"/>
          <w:u w:val="single"/>
        </w:rPr>
        <w:t xml:space="preserve">                 </w:t>
      </w:r>
    </w:p>
    <w:p w14:paraId="5D3475EC">
      <w:pPr>
        <w:spacing w:line="360" w:lineRule="auto"/>
        <w:ind w:firstLine="315" w:firstLineChars="150"/>
        <w:rPr>
          <w:rFonts w:ascii="宋体" w:hAnsi="宋体" w:cs="宋体"/>
          <w:szCs w:val="21"/>
        </w:rPr>
      </w:pPr>
      <w:r>
        <w:rPr>
          <w:rFonts w:hint="eastAsia" w:ascii="宋体" w:hAnsi="宋体" w:cs="宋体"/>
          <w:szCs w:val="21"/>
        </w:rPr>
        <w:t>地址：</w:t>
      </w:r>
      <w:r>
        <w:rPr>
          <w:rFonts w:hint="eastAsia" w:ascii="宋体" w:hAnsi="宋体" w:cs="宋体"/>
          <w:szCs w:val="21"/>
          <w:u w:val="single"/>
        </w:rPr>
        <w:t xml:space="preserve">                     </w:t>
      </w:r>
    </w:p>
    <w:p w14:paraId="2CEAC796">
      <w:pPr>
        <w:spacing w:line="360" w:lineRule="auto"/>
        <w:ind w:firstLine="315" w:firstLineChars="150"/>
        <w:rPr>
          <w:rFonts w:ascii="宋体" w:hAnsi="宋体" w:cs="宋体"/>
          <w:szCs w:val="21"/>
        </w:rPr>
      </w:pPr>
      <w:r>
        <w:rPr>
          <w:rFonts w:hint="eastAsia" w:ascii="宋体" w:hAnsi="宋体" w:cs="宋体"/>
          <w:szCs w:val="21"/>
        </w:rPr>
        <w:t>电话：</w:t>
      </w:r>
      <w:r>
        <w:rPr>
          <w:rFonts w:hint="eastAsia" w:ascii="宋体" w:hAnsi="宋体" w:cs="宋体"/>
          <w:szCs w:val="21"/>
          <w:u w:val="single"/>
        </w:rPr>
        <w:t xml:space="preserve">                     </w:t>
      </w:r>
    </w:p>
    <w:p w14:paraId="41078365">
      <w:pPr>
        <w:spacing w:line="360" w:lineRule="auto"/>
        <w:ind w:firstLine="315" w:firstLineChars="150"/>
        <w:rPr>
          <w:rFonts w:ascii="宋体" w:hAnsi="宋体" w:cs="宋体"/>
          <w:szCs w:val="21"/>
        </w:rPr>
      </w:pPr>
      <w:r>
        <w:rPr>
          <w:rFonts w:hint="eastAsia" w:ascii="宋体" w:hAnsi="宋体" w:cs="宋体"/>
          <w:szCs w:val="21"/>
        </w:rPr>
        <w:t>日     期：</w:t>
      </w:r>
      <w:r>
        <w:rPr>
          <w:rFonts w:hint="eastAsia" w:ascii="宋体" w:hAnsi="宋体" w:cs="宋体"/>
          <w:szCs w:val="21"/>
          <w:u w:val="single"/>
        </w:rPr>
        <w:t xml:space="preserve">       </w:t>
      </w:r>
      <w:r>
        <w:rPr>
          <w:rFonts w:hint="eastAsia" w:ascii="宋体" w:hAnsi="宋体" w:cs="宋体"/>
          <w:szCs w:val="21"/>
        </w:rPr>
        <w:t>年</w:t>
      </w:r>
      <w:r>
        <w:rPr>
          <w:rFonts w:hint="eastAsia" w:ascii="宋体" w:hAnsi="宋体" w:cs="宋体"/>
          <w:szCs w:val="21"/>
          <w:u w:val="single"/>
        </w:rPr>
        <w:t xml:space="preserve">    </w:t>
      </w:r>
      <w:r>
        <w:rPr>
          <w:rFonts w:hint="eastAsia" w:ascii="宋体" w:hAnsi="宋体" w:cs="宋体"/>
          <w:szCs w:val="21"/>
        </w:rPr>
        <w:t>月</w:t>
      </w:r>
      <w:r>
        <w:rPr>
          <w:rFonts w:hint="eastAsia" w:ascii="宋体" w:hAnsi="宋体" w:cs="宋体"/>
          <w:szCs w:val="21"/>
          <w:u w:val="single"/>
        </w:rPr>
        <w:t xml:space="preserve">    </w:t>
      </w:r>
      <w:r>
        <w:rPr>
          <w:rFonts w:hint="eastAsia" w:ascii="宋体" w:hAnsi="宋体" w:cs="宋体"/>
          <w:szCs w:val="21"/>
        </w:rPr>
        <w:t>日</w:t>
      </w:r>
    </w:p>
    <w:p w14:paraId="6CDCEE01">
      <w:r>
        <w:rPr>
          <w:rFonts w:ascii="宋体" w:hAnsi="宋体" w:eastAsia="宋体" w:cs="宋体"/>
        </w:rPr>
        <w:br w:type="page"/>
      </w:r>
    </w:p>
    <w:p w14:paraId="36ACACB0">
      <w:pPr>
        <w:pStyle w:val="4"/>
        <w:jc w:val="center"/>
        <w:rPr>
          <w:rFonts w:ascii="宋体" w:hAnsi="宋体" w:cs="宋体"/>
        </w:rPr>
      </w:pPr>
      <w:bookmarkStart w:id="292" w:name="_Toc430020800"/>
      <w:bookmarkStart w:id="293" w:name="_Toc22038"/>
      <w:bookmarkStart w:id="294" w:name="_Toc23773"/>
      <w:bookmarkStart w:id="295" w:name="_Toc27486"/>
      <w:bookmarkStart w:id="296" w:name="_Toc22503"/>
      <w:r>
        <w:rPr>
          <w:rFonts w:hint="eastAsia" w:ascii="宋体" w:hAnsi="宋体" w:cs="宋体"/>
        </w:rPr>
        <w:t>二、开标一览表</w:t>
      </w:r>
      <w:bookmarkEnd w:id="292"/>
      <w:bookmarkEnd w:id="293"/>
      <w:bookmarkEnd w:id="294"/>
      <w:bookmarkEnd w:id="295"/>
      <w:bookmarkEnd w:id="296"/>
    </w:p>
    <w:p w14:paraId="386DE412">
      <w:pPr>
        <w:rPr>
          <w:rFonts w:ascii="宋体" w:hAnsi="宋体" w:cs="宋体"/>
        </w:rPr>
      </w:pPr>
    </w:p>
    <w:p w14:paraId="4B622D50">
      <w:pPr>
        <w:rPr>
          <w:rFonts w:ascii="宋体" w:hAnsi="宋体" w:cs="宋体"/>
        </w:rPr>
      </w:pPr>
      <w:r>
        <w:rPr>
          <w:rFonts w:hint="eastAsia" w:ascii="宋体" w:hAnsi="宋体" w:cs="宋体"/>
        </w:rPr>
        <w:t>项目编号：                                              货币单位：元（人民币）</w:t>
      </w:r>
    </w:p>
    <w:tbl>
      <w:tblPr>
        <w:tblStyle w:val="26"/>
        <w:tblW w:w="89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7"/>
        <w:gridCol w:w="6761"/>
      </w:tblGrid>
      <w:tr w14:paraId="4BD744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8" w:hRule="atLeast"/>
          <w:jc w:val="center"/>
        </w:trPr>
        <w:tc>
          <w:tcPr>
            <w:tcW w:w="2167" w:type="dxa"/>
            <w:vAlign w:val="center"/>
          </w:tcPr>
          <w:p w14:paraId="215E54C6">
            <w:pPr>
              <w:jc w:val="center"/>
              <w:rPr>
                <w:rFonts w:hint="eastAsia" w:ascii="宋体" w:hAnsi="宋体" w:eastAsia="宋体" w:cs="宋体"/>
                <w:szCs w:val="21"/>
                <w:lang w:eastAsia="zh-CN"/>
              </w:rPr>
            </w:pPr>
            <w:bookmarkStart w:id="297" w:name="OLE_LINK110"/>
            <w:r>
              <w:rPr>
                <w:rFonts w:hint="eastAsia" w:ascii="宋体" w:hAnsi="宋体" w:cs="宋体"/>
                <w:szCs w:val="21"/>
              </w:rPr>
              <w:t>项目名称</w:t>
            </w:r>
            <w:r>
              <w:rPr>
                <w:rFonts w:hint="eastAsia" w:ascii="宋体" w:hAnsi="宋体" w:cs="宋体"/>
                <w:szCs w:val="21"/>
                <w:lang w:eastAsia="zh-CN"/>
              </w:rPr>
              <w:t>及包号</w:t>
            </w:r>
            <w:bookmarkEnd w:id="297"/>
          </w:p>
        </w:tc>
        <w:tc>
          <w:tcPr>
            <w:tcW w:w="6761" w:type="dxa"/>
            <w:vAlign w:val="center"/>
          </w:tcPr>
          <w:p w14:paraId="6EC58081">
            <w:pPr>
              <w:jc w:val="center"/>
              <w:rPr>
                <w:rFonts w:ascii="宋体" w:hAnsi="宋体" w:cs="宋体"/>
                <w:szCs w:val="21"/>
              </w:rPr>
            </w:pPr>
          </w:p>
        </w:tc>
      </w:tr>
      <w:tr w14:paraId="262612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8" w:hRule="atLeast"/>
          <w:jc w:val="center"/>
        </w:trPr>
        <w:tc>
          <w:tcPr>
            <w:tcW w:w="2167" w:type="dxa"/>
            <w:vAlign w:val="center"/>
          </w:tcPr>
          <w:p w14:paraId="1D94BE94">
            <w:pPr>
              <w:jc w:val="center"/>
              <w:rPr>
                <w:rFonts w:hint="eastAsia" w:ascii="宋体" w:hAnsi="宋体" w:eastAsia="宋体" w:cs="宋体"/>
                <w:szCs w:val="21"/>
                <w:lang w:eastAsia="zh-CN"/>
              </w:rPr>
            </w:pPr>
            <w:r>
              <w:rPr>
                <w:rFonts w:hint="eastAsia" w:ascii="宋体" w:hAnsi="宋体" w:cs="宋体"/>
                <w:szCs w:val="21"/>
                <w:lang w:eastAsia="zh-CN"/>
              </w:rPr>
              <w:t>供应商名称</w:t>
            </w:r>
          </w:p>
        </w:tc>
        <w:tc>
          <w:tcPr>
            <w:tcW w:w="6761" w:type="dxa"/>
            <w:vAlign w:val="center"/>
          </w:tcPr>
          <w:p w14:paraId="0320E245">
            <w:pPr>
              <w:jc w:val="center"/>
              <w:rPr>
                <w:rFonts w:ascii="宋体" w:hAnsi="宋体" w:cs="宋体"/>
                <w:szCs w:val="21"/>
              </w:rPr>
            </w:pPr>
          </w:p>
        </w:tc>
      </w:tr>
      <w:tr w14:paraId="415BE9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7" w:hRule="atLeast"/>
          <w:jc w:val="center"/>
        </w:trPr>
        <w:tc>
          <w:tcPr>
            <w:tcW w:w="2167" w:type="dxa"/>
            <w:vAlign w:val="center"/>
          </w:tcPr>
          <w:p w14:paraId="3555BE1D">
            <w:pPr>
              <w:jc w:val="center"/>
              <w:rPr>
                <w:rFonts w:ascii="宋体" w:hAnsi="宋体" w:cs="宋体"/>
                <w:szCs w:val="21"/>
              </w:rPr>
            </w:pPr>
            <w:r>
              <w:rPr>
                <w:rFonts w:hint="eastAsia" w:ascii="宋体" w:hAnsi="宋体" w:cs="宋体"/>
                <w:szCs w:val="21"/>
              </w:rPr>
              <w:t>投标报价</w:t>
            </w:r>
          </w:p>
        </w:tc>
        <w:tc>
          <w:tcPr>
            <w:tcW w:w="6761" w:type="dxa"/>
            <w:vAlign w:val="center"/>
          </w:tcPr>
          <w:p w14:paraId="790999FD">
            <w:pPr>
              <w:pStyle w:val="11"/>
              <w:spacing w:line="520" w:lineRule="exact"/>
              <w:ind w:firstLine="0"/>
              <w:jc w:val="left"/>
              <w:rPr>
                <w:rFonts w:hint="eastAsia" w:ascii="宋体" w:hAnsi="宋体" w:eastAsia="宋体" w:cs="宋体"/>
                <w:bCs/>
                <w:sz w:val="21"/>
                <w:szCs w:val="21"/>
                <w:lang w:eastAsia="zh-CN"/>
              </w:rPr>
            </w:pPr>
            <w:r>
              <w:rPr>
                <w:rFonts w:hint="eastAsia" w:ascii="宋体" w:hAnsi="宋体" w:cs="宋体"/>
                <w:bCs/>
                <w:sz w:val="21"/>
                <w:szCs w:val="21"/>
              </w:rPr>
              <w:t>大写：</w:t>
            </w:r>
            <w:r>
              <w:rPr>
                <w:rFonts w:hint="eastAsia" w:ascii="宋体" w:hAnsi="宋体" w:cs="宋体"/>
                <w:bCs/>
                <w:sz w:val="21"/>
                <w:szCs w:val="21"/>
                <w:u w:val="single"/>
              </w:rPr>
              <w:t xml:space="preserve">           </w:t>
            </w:r>
            <w:r>
              <w:rPr>
                <w:rFonts w:hint="eastAsia" w:ascii="宋体" w:hAnsi="宋体" w:cs="宋体"/>
                <w:bCs/>
                <w:sz w:val="21"/>
                <w:szCs w:val="21"/>
                <w:lang w:eastAsia="zh-CN"/>
              </w:rPr>
              <w:t>（元）</w:t>
            </w:r>
          </w:p>
          <w:p w14:paraId="4A4384D4">
            <w:pPr>
              <w:rPr>
                <w:rFonts w:ascii="宋体" w:hAnsi="宋体" w:cs="宋体"/>
                <w:szCs w:val="21"/>
              </w:rPr>
            </w:pPr>
            <w:r>
              <w:rPr>
                <w:rFonts w:hint="eastAsia" w:ascii="宋体" w:hAnsi="宋体" w:cs="宋体"/>
                <w:bCs/>
                <w:szCs w:val="21"/>
              </w:rPr>
              <w:t>小写：</w:t>
            </w:r>
            <w:r>
              <w:rPr>
                <w:rFonts w:hint="eastAsia" w:ascii="宋体" w:hAnsi="宋体" w:cs="宋体"/>
                <w:bCs/>
                <w:szCs w:val="21"/>
                <w:u w:val="single"/>
              </w:rPr>
              <w:t xml:space="preserve">           </w:t>
            </w:r>
            <w:r>
              <w:rPr>
                <w:rFonts w:hint="eastAsia" w:ascii="宋体" w:hAnsi="宋体" w:cs="宋体"/>
                <w:bCs/>
                <w:sz w:val="21"/>
                <w:szCs w:val="21"/>
                <w:lang w:eastAsia="zh-CN"/>
              </w:rPr>
              <w:t>（元）</w:t>
            </w:r>
          </w:p>
        </w:tc>
      </w:tr>
      <w:tr w14:paraId="23EF31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7" w:hRule="atLeast"/>
          <w:jc w:val="center"/>
        </w:trPr>
        <w:tc>
          <w:tcPr>
            <w:tcW w:w="2167" w:type="dxa"/>
            <w:vAlign w:val="center"/>
          </w:tcPr>
          <w:p w14:paraId="6C19E642">
            <w:pPr>
              <w:jc w:val="center"/>
              <w:rPr>
                <w:rFonts w:hint="eastAsia" w:ascii="宋体" w:hAnsi="宋体" w:cs="宋体"/>
                <w:szCs w:val="21"/>
              </w:rPr>
            </w:pPr>
            <w:bookmarkStart w:id="298" w:name="OLE_LINK85"/>
            <w:r>
              <w:rPr>
                <w:rFonts w:hint="eastAsia" w:ascii="宋体" w:hAnsi="宋体" w:cs="宋体"/>
                <w:szCs w:val="21"/>
                <w:lang w:eastAsia="zh-CN"/>
              </w:rPr>
              <w:t>服务</w:t>
            </w:r>
            <w:r>
              <w:rPr>
                <w:rFonts w:hint="eastAsia" w:ascii="宋体" w:hAnsi="宋体" w:cs="宋体"/>
                <w:szCs w:val="21"/>
              </w:rPr>
              <w:t>内容</w:t>
            </w:r>
            <w:bookmarkEnd w:id="298"/>
          </w:p>
        </w:tc>
        <w:tc>
          <w:tcPr>
            <w:tcW w:w="6761" w:type="dxa"/>
            <w:vAlign w:val="center"/>
          </w:tcPr>
          <w:p w14:paraId="62CDD11B">
            <w:pPr>
              <w:rPr>
                <w:rFonts w:hint="eastAsia" w:ascii="宋体" w:hAnsi="宋体" w:cs="宋体"/>
                <w:bCs/>
                <w:szCs w:val="21"/>
              </w:rPr>
            </w:pPr>
          </w:p>
        </w:tc>
      </w:tr>
      <w:tr w14:paraId="36829C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8" w:hRule="atLeast"/>
          <w:jc w:val="center"/>
        </w:trPr>
        <w:tc>
          <w:tcPr>
            <w:tcW w:w="2167" w:type="dxa"/>
            <w:vAlign w:val="center"/>
          </w:tcPr>
          <w:p w14:paraId="75A2B750">
            <w:pPr>
              <w:jc w:val="center"/>
              <w:rPr>
                <w:rFonts w:ascii="宋体" w:hAnsi="宋体" w:cs="宋体"/>
                <w:szCs w:val="21"/>
              </w:rPr>
            </w:pPr>
            <w:bookmarkStart w:id="299" w:name="OLE_LINK86"/>
            <w:r>
              <w:rPr>
                <w:rFonts w:hint="eastAsia" w:ascii="宋体" w:hAnsi="宋体" w:cs="宋体"/>
                <w:szCs w:val="21"/>
              </w:rPr>
              <w:t>合同履行期限</w:t>
            </w:r>
            <w:bookmarkEnd w:id="299"/>
          </w:p>
        </w:tc>
        <w:tc>
          <w:tcPr>
            <w:tcW w:w="6761" w:type="dxa"/>
            <w:vAlign w:val="center"/>
          </w:tcPr>
          <w:p w14:paraId="2E9960E2">
            <w:pPr>
              <w:jc w:val="center"/>
              <w:rPr>
                <w:rFonts w:ascii="宋体" w:hAnsi="宋体" w:cs="宋体"/>
                <w:szCs w:val="21"/>
              </w:rPr>
            </w:pPr>
          </w:p>
        </w:tc>
      </w:tr>
      <w:tr w14:paraId="02CA05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8" w:hRule="atLeast"/>
          <w:jc w:val="center"/>
        </w:trPr>
        <w:tc>
          <w:tcPr>
            <w:tcW w:w="2167" w:type="dxa"/>
            <w:vAlign w:val="center"/>
          </w:tcPr>
          <w:p w14:paraId="4D76D849">
            <w:pPr>
              <w:jc w:val="center"/>
              <w:rPr>
                <w:rFonts w:ascii="宋体" w:hAnsi="宋体" w:cs="宋体"/>
                <w:szCs w:val="21"/>
              </w:rPr>
            </w:pPr>
            <w:bookmarkStart w:id="300" w:name="OLE_LINK87"/>
            <w:r>
              <w:rPr>
                <w:rFonts w:hint="eastAsia" w:ascii="宋体" w:hAnsi="宋体" w:cs="宋体"/>
                <w:szCs w:val="21"/>
              </w:rPr>
              <w:t>服务质量</w:t>
            </w:r>
            <w:bookmarkEnd w:id="300"/>
          </w:p>
        </w:tc>
        <w:tc>
          <w:tcPr>
            <w:tcW w:w="6761" w:type="dxa"/>
            <w:vAlign w:val="center"/>
          </w:tcPr>
          <w:p w14:paraId="78D98010">
            <w:pPr>
              <w:jc w:val="center"/>
              <w:rPr>
                <w:rFonts w:ascii="宋体" w:hAnsi="宋体" w:cs="宋体"/>
                <w:szCs w:val="21"/>
              </w:rPr>
            </w:pPr>
          </w:p>
        </w:tc>
      </w:tr>
      <w:tr w14:paraId="014DE8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8" w:hRule="atLeast"/>
          <w:jc w:val="center"/>
        </w:trPr>
        <w:tc>
          <w:tcPr>
            <w:tcW w:w="2167" w:type="dxa"/>
            <w:vAlign w:val="center"/>
          </w:tcPr>
          <w:p w14:paraId="4E1C5306">
            <w:pPr>
              <w:jc w:val="center"/>
              <w:rPr>
                <w:rFonts w:hint="eastAsia" w:ascii="宋体" w:hAnsi="宋体" w:eastAsia="宋体" w:cs="宋体"/>
                <w:szCs w:val="21"/>
                <w:lang w:eastAsia="zh-CN"/>
              </w:rPr>
            </w:pPr>
            <w:bookmarkStart w:id="301" w:name="OLE_LINK88"/>
            <w:r>
              <w:rPr>
                <w:rFonts w:hint="eastAsia" w:ascii="宋体" w:hAnsi="宋体" w:cs="宋体"/>
                <w:szCs w:val="21"/>
                <w:lang w:eastAsia="zh-CN"/>
              </w:rPr>
              <w:t>试用期</w:t>
            </w:r>
            <w:bookmarkEnd w:id="301"/>
          </w:p>
        </w:tc>
        <w:tc>
          <w:tcPr>
            <w:tcW w:w="6761" w:type="dxa"/>
            <w:vAlign w:val="center"/>
          </w:tcPr>
          <w:p w14:paraId="52D5279A">
            <w:pPr>
              <w:jc w:val="center"/>
              <w:rPr>
                <w:rFonts w:ascii="宋体" w:hAnsi="宋体" w:cs="宋体"/>
                <w:szCs w:val="21"/>
              </w:rPr>
            </w:pPr>
          </w:p>
        </w:tc>
      </w:tr>
      <w:tr w14:paraId="6C9A25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8" w:hRule="atLeast"/>
          <w:jc w:val="center"/>
        </w:trPr>
        <w:tc>
          <w:tcPr>
            <w:tcW w:w="2167" w:type="dxa"/>
            <w:vAlign w:val="center"/>
          </w:tcPr>
          <w:p w14:paraId="52F0D116">
            <w:pPr>
              <w:jc w:val="center"/>
              <w:rPr>
                <w:rFonts w:ascii="宋体" w:hAnsi="宋体" w:cs="宋体"/>
                <w:szCs w:val="21"/>
              </w:rPr>
            </w:pPr>
            <w:bookmarkStart w:id="302" w:name="OLE_LINK89"/>
            <w:r>
              <w:rPr>
                <w:rFonts w:hint="eastAsia" w:ascii="宋体" w:hAnsi="宋体" w:cs="宋体"/>
                <w:szCs w:val="21"/>
              </w:rPr>
              <w:t>投标有效期</w:t>
            </w:r>
            <w:bookmarkEnd w:id="302"/>
          </w:p>
        </w:tc>
        <w:tc>
          <w:tcPr>
            <w:tcW w:w="6761" w:type="dxa"/>
            <w:vAlign w:val="center"/>
          </w:tcPr>
          <w:p w14:paraId="02FD2F4E">
            <w:pPr>
              <w:jc w:val="center"/>
              <w:rPr>
                <w:rFonts w:ascii="宋体" w:hAnsi="宋体" w:cs="宋体"/>
                <w:szCs w:val="21"/>
              </w:rPr>
            </w:pPr>
          </w:p>
        </w:tc>
      </w:tr>
      <w:tr w14:paraId="50DFBD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8" w:hRule="atLeast"/>
          <w:jc w:val="center"/>
        </w:trPr>
        <w:tc>
          <w:tcPr>
            <w:tcW w:w="2167" w:type="dxa"/>
            <w:vAlign w:val="center"/>
          </w:tcPr>
          <w:p w14:paraId="03D2E8AC">
            <w:pPr>
              <w:jc w:val="center"/>
              <w:rPr>
                <w:rFonts w:ascii="宋体" w:hAnsi="宋体" w:cs="宋体"/>
                <w:szCs w:val="21"/>
              </w:rPr>
            </w:pPr>
            <w:bookmarkStart w:id="303" w:name="OLE_LINK90"/>
            <w:r>
              <w:rPr>
                <w:rFonts w:hint="eastAsia" w:ascii="宋体" w:hAnsi="宋体" w:cs="宋体"/>
                <w:szCs w:val="21"/>
              </w:rPr>
              <w:t>备  注</w:t>
            </w:r>
            <w:bookmarkEnd w:id="303"/>
          </w:p>
        </w:tc>
        <w:tc>
          <w:tcPr>
            <w:tcW w:w="6761" w:type="dxa"/>
            <w:vAlign w:val="center"/>
          </w:tcPr>
          <w:p w14:paraId="389D3B54">
            <w:pPr>
              <w:jc w:val="center"/>
              <w:rPr>
                <w:rFonts w:ascii="宋体" w:hAnsi="宋体" w:cs="宋体"/>
                <w:szCs w:val="21"/>
              </w:rPr>
            </w:pPr>
          </w:p>
        </w:tc>
      </w:tr>
    </w:tbl>
    <w:p w14:paraId="63D107AB">
      <w:pPr>
        <w:spacing w:line="360" w:lineRule="auto"/>
        <w:ind w:right="1440"/>
        <w:rPr>
          <w:rFonts w:ascii="宋体" w:hAnsi="宋体" w:cs="宋体"/>
          <w:szCs w:val="21"/>
        </w:rPr>
      </w:pPr>
    </w:p>
    <w:p w14:paraId="534C7BAB">
      <w:pPr>
        <w:spacing w:line="360" w:lineRule="auto"/>
        <w:ind w:right="1440"/>
        <w:rPr>
          <w:rFonts w:ascii="宋体" w:hAnsi="宋体" w:cs="宋体"/>
          <w:szCs w:val="21"/>
        </w:rPr>
      </w:pPr>
      <w:r>
        <w:rPr>
          <w:rFonts w:hint="eastAsia" w:ascii="宋体" w:hAnsi="宋体" w:cs="宋体"/>
          <w:szCs w:val="21"/>
          <w:lang w:eastAsia="zh-CN"/>
        </w:rPr>
        <w:t>供应商名称</w:t>
      </w:r>
      <w:r>
        <w:rPr>
          <w:rFonts w:hint="eastAsia" w:ascii="宋体" w:hAnsi="宋体" w:cs="宋体"/>
          <w:szCs w:val="21"/>
        </w:rPr>
        <w:t>：</w:t>
      </w:r>
      <w:r>
        <w:rPr>
          <w:rFonts w:hint="eastAsia" w:ascii="宋体" w:hAnsi="宋体" w:cs="宋体"/>
          <w:szCs w:val="21"/>
          <w:u w:val="single"/>
        </w:rPr>
        <w:t xml:space="preserve">                       </w:t>
      </w:r>
      <w:r>
        <w:rPr>
          <w:rFonts w:hint="eastAsia" w:ascii="宋体" w:hAnsi="宋体" w:cs="宋体"/>
          <w:szCs w:val="21"/>
        </w:rPr>
        <w:t>（盖单位章）</w:t>
      </w:r>
    </w:p>
    <w:p w14:paraId="6C4B99D2">
      <w:pPr>
        <w:spacing w:line="360" w:lineRule="auto"/>
        <w:ind w:right="1440"/>
        <w:rPr>
          <w:rFonts w:ascii="宋体" w:hAnsi="宋体" w:cs="宋体"/>
          <w:szCs w:val="21"/>
        </w:rPr>
      </w:pPr>
      <w:r>
        <w:rPr>
          <w:rFonts w:hint="eastAsia" w:ascii="宋体" w:hAnsi="宋体" w:cs="宋体"/>
          <w:szCs w:val="21"/>
        </w:rPr>
        <w:t>法定代表人或其委托代理人（签字</w:t>
      </w:r>
      <w:r>
        <w:rPr>
          <w:rFonts w:hint="eastAsia" w:ascii="宋体" w:hAnsi="宋体" w:cs="宋体"/>
          <w:szCs w:val="21"/>
          <w:lang w:eastAsia="zh-CN"/>
        </w:rPr>
        <w:t>或盖章</w:t>
      </w:r>
      <w:r>
        <w:rPr>
          <w:rFonts w:hint="eastAsia" w:ascii="宋体" w:hAnsi="宋体" w:cs="宋体"/>
          <w:szCs w:val="21"/>
        </w:rPr>
        <w:t>）：</w:t>
      </w:r>
      <w:r>
        <w:rPr>
          <w:rFonts w:hint="eastAsia" w:ascii="宋体" w:hAnsi="宋体" w:cs="宋体"/>
          <w:szCs w:val="21"/>
          <w:u w:val="single"/>
        </w:rPr>
        <w:t xml:space="preserve">               </w:t>
      </w:r>
    </w:p>
    <w:p w14:paraId="328723ED">
      <w:pPr>
        <w:spacing w:line="360" w:lineRule="auto"/>
        <w:ind w:right="1440"/>
        <w:rPr>
          <w:rFonts w:ascii="宋体" w:hAnsi="宋体" w:cs="宋体"/>
          <w:szCs w:val="21"/>
        </w:rPr>
      </w:pPr>
      <w:r>
        <w:rPr>
          <w:rFonts w:hint="eastAsia" w:ascii="宋体" w:hAnsi="宋体" w:cs="宋体"/>
          <w:szCs w:val="21"/>
        </w:rPr>
        <w:t>日     期：</w:t>
      </w:r>
      <w:r>
        <w:rPr>
          <w:rFonts w:hint="eastAsia" w:ascii="宋体" w:hAnsi="宋体" w:cs="宋体"/>
          <w:szCs w:val="21"/>
          <w:u w:val="single"/>
        </w:rPr>
        <w:t xml:space="preserve">       </w:t>
      </w:r>
      <w:r>
        <w:rPr>
          <w:rFonts w:hint="eastAsia" w:ascii="宋体" w:hAnsi="宋体" w:cs="宋体"/>
          <w:szCs w:val="21"/>
        </w:rPr>
        <w:t>年</w:t>
      </w:r>
      <w:r>
        <w:rPr>
          <w:rFonts w:hint="eastAsia" w:ascii="宋体" w:hAnsi="宋体" w:cs="宋体"/>
          <w:szCs w:val="21"/>
          <w:u w:val="single"/>
        </w:rPr>
        <w:t xml:space="preserve">    </w:t>
      </w:r>
      <w:r>
        <w:rPr>
          <w:rFonts w:hint="eastAsia" w:ascii="宋体" w:hAnsi="宋体" w:cs="宋体"/>
          <w:szCs w:val="21"/>
        </w:rPr>
        <w:t>月</w:t>
      </w:r>
      <w:r>
        <w:rPr>
          <w:rFonts w:hint="eastAsia" w:ascii="宋体" w:hAnsi="宋体" w:cs="宋体"/>
          <w:szCs w:val="21"/>
          <w:u w:val="single"/>
        </w:rPr>
        <w:t xml:space="preserve">    </w:t>
      </w:r>
      <w:r>
        <w:rPr>
          <w:rFonts w:hint="eastAsia" w:ascii="宋体" w:hAnsi="宋体" w:cs="宋体"/>
          <w:szCs w:val="21"/>
        </w:rPr>
        <w:t>日</w:t>
      </w:r>
    </w:p>
    <w:p w14:paraId="7FF10867">
      <w:pPr>
        <w:pStyle w:val="24"/>
        <w:ind w:firstLine="280"/>
      </w:pPr>
    </w:p>
    <w:p w14:paraId="60248EA1">
      <w:pPr>
        <w:pStyle w:val="24"/>
        <w:ind w:firstLine="0" w:firstLineChars="0"/>
      </w:pPr>
    </w:p>
    <w:p w14:paraId="41F70A41">
      <w:pPr>
        <w:pStyle w:val="24"/>
        <w:ind w:firstLine="0" w:firstLineChars="0"/>
      </w:pPr>
    </w:p>
    <w:p w14:paraId="6278B76C">
      <w:pPr>
        <w:pStyle w:val="24"/>
        <w:ind w:firstLine="0" w:firstLineChars="0"/>
      </w:pPr>
    </w:p>
    <w:p w14:paraId="7E477522">
      <w:pPr>
        <w:pStyle w:val="13"/>
        <w:ind w:left="0" w:firstLine="0"/>
        <w:jc w:val="left"/>
        <w:rPr>
          <w:rFonts w:hAnsi="宋体" w:eastAsia="宋体" w:cs="宋体"/>
          <w:sz w:val="24"/>
          <w:szCs w:val="24"/>
        </w:rPr>
      </w:pPr>
      <w:bookmarkStart w:id="304" w:name="_Toc184635140"/>
    </w:p>
    <w:p w14:paraId="4B634C2F">
      <w:pPr>
        <w:pStyle w:val="4"/>
        <w:spacing w:line="480" w:lineRule="auto"/>
        <w:jc w:val="center"/>
        <w:rPr>
          <w:rFonts w:ascii="宋体" w:hAnsi="宋体" w:cs="宋体"/>
        </w:rPr>
      </w:pPr>
      <w:bookmarkStart w:id="305" w:name="_Toc430020803"/>
      <w:bookmarkStart w:id="306" w:name="_Toc21351"/>
      <w:bookmarkStart w:id="307" w:name="_Toc10805"/>
      <w:bookmarkStart w:id="308" w:name="_Toc428775652"/>
      <w:bookmarkStart w:id="309" w:name="_Toc25747"/>
      <w:bookmarkStart w:id="310" w:name="_Toc5078"/>
      <w:bookmarkStart w:id="311" w:name="_Toc428775653"/>
      <w:bookmarkStart w:id="312" w:name="_Toc430020804"/>
      <w:bookmarkStart w:id="313" w:name="_Toc428882016"/>
      <w:r>
        <w:rPr>
          <w:rFonts w:hint="eastAsia" w:ascii="宋体" w:hAnsi="宋体" w:cs="宋体"/>
        </w:rPr>
        <w:t>三、资格证明文件</w:t>
      </w:r>
      <w:bookmarkEnd w:id="305"/>
      <w:bookmarkEnd w:id="306"/>
      <w:bookmarkEnd w:id="307"/>
      <w:bookmarkEnd w:id="308"/>
      <w:bookmarkEnd w:id="309"/>
      <w:bookmarkEnd w:id="310"/>
    </w:p>
    <w:p w14:paraId="092AD0B1">
      <w:pPr>
        <w:rPr>
          <w:rFonts w:ascii="宋体" w:hAnsi="宋体" w:cs="宋体"/>
        </w:rPr>
      </w:pPr>
    </w:p>
    <w:p w14:paraId="39AF2F98">
      <w:pPr>
        <w:jc w:val="center"/>
        <w:rPr>
          <w:rFonts w:ascii="宋体" w:hAnsi="宋体" w:cs="宋体"/>
          <w:b/>
        </w:rPr>
      </w:pPr>
      <w:r>
        <w:rPr>
          <w:rFonts w:hint="eastAsia" w:ascii="宋体" w:hAnsi="宋体" w:cs="宋体"/>
          <w:b/>
        </w:rPr>
        <w:t>（一）法定代表人身份证明</w:t>
      </w:r>
      <w:bookmarkEnd w:id="311"/>
      <w:bookmarkEnd w:id="312"/>
      <w:bookmarkEnd w:id="313"/>
    </w:p>
    <w:p w14:paraId="79092294">
      <w:pPr>
        <w:autoSpaceDE w:val="0"/>
        <w:autoSpaceDN w:val="0"/>
        <w:adjustRightInd w:val="0"/>
        <w:spacing w:line="420" w:lineRule="exact"/>
        <w:jc w:val="center"/>
        <w:rPr>
          <w:rFonts w:ascii="宋体" w:hAnsi="宋体" w:cs="宋体"/>
          <w:kern w:val="0"/>
          <w:sz w:val="28"/>
          <w:szCs w:val="28"/>
        </w:rPr>
      </w:pPr>
    </w:p>
    <w:p w14:paraId="78A0EE2A">
      <w:pPr>
        <w:autoSpaceDE w:val="0"/>
        <w:autoSpaceDN w:val="0"/>
        <w:adjustRightInd w:val="0"/>
        <w:spacing w:line="420" w:lineRule="exact"/>
        <w:jc w:val="center"/>
        <w:rPr>
          <w:rFonts w:ascii="宋体" w:hAnsi="宋体" w:cs="宋体"/>
          <w:kern w:val="0"/>
          <w:sz w:val="28"/>
          <w:szCs w:val="28"/>
        </w:rPr>
      </w:pPr>
    </w:p>
    <w:p w14:paraId="669B4874">
      <w:pPr>
        <w:autoSpaceDE w:val="0"/>
        <w:autoSpaceDN w:val="0"/>
        <w:adjustRightInd w:val="0"/>
        <w:spacing w:line="420" w:lineRule="exact"/>
        <w:ind w:firstLine="420" w:firstLineChars="200"/>
        <w:jc w:val="left"/>
        <w:rPr>
          <w:rFonts w:ascii="宋体" w:hAnsi="宋体" w:cs="宋体"/>
          <w:kern w:val="0"/>
          <w:szCs w:val="21"/>
          <w:u w:val="single"/>
        </w:rPr>
      </w:pPr>
      <w:r>
        <w:rPr>
          <w:rFonts w:hint="eastAsia" w:ascii="宋体" w:hAnsi="宋体" w:cs="宋体"/>
          <w:kern w:val="0"/>
          <w:szCs w:val="21"/>
          <w:lang w:eastAsia="zh-CN"/>
        </w:rPr>
        <w:t>供应商名称</w:t>
      </w:r>
      <w:r>
        <w:rPr>
          <w:rFonts w:hint="eastAsia" w:ascii="宋体" w:hAnsi="宋体" w:cs="宋体"/>
          <w:kern w:val="0"/>
          <w:szCs w:val="21"/>
        </w:rPr>
        <w:t>：</w:t>
      </w:r>
      <w:r>
        <w:rPr>
          <w:rFonts w:hint="eastAsia" w:ascii="宋体" w:hAnsi="宋体" w:cs="宋体"/>
          <w:kern w:val="0"/>
          <w:szCs w:val="21"/>
          <w:u w:val="single"/>
        </w:rPr>
        <w:t xml:space="preserve">                          </w:t>
      </w:r>
    </w:p>
    <w:p w14:paraId="7988A125">
      <w:pPr>
        <w:autoSpaceDE w:val="0"/>
        <w:autoSpaceDN w:val="0"/>
        <w:adjustRightInd w:val="0"/>
        <w:spacing w:line="420" w:lineRule="exact"/>
        <w:ind w:firstLine="420" w:firstLineChars="200"/>
        <w:jc w:val="left"/>
        <w:rPr>
          <w:rFonts w:ascii="宋体" w:hAnsi="宋体" w:cs="宋体"/>
          <w:kern w:val="0"/>
          <w:szCs w:val="21"/>
        </w:rPr>
      </w:pPr>
      <w:r>
        <w:rPr>
          <w:rFonts w:hint="eastAsia" w:ascii="宋体" w:hAnsi="宋体" w:cs="宋体"/>
          <w:kern w:val="0"/>
          <w:szCs w:val="21"/>
        </w:rPr>
        <w:t>单位性质：</w:t>
      </w:r>
      <w:r>
        <w:rPr>
          <w:rFonts w:hint="eastAsia" w:ascii="宋体" w:hAnsi="宋体" w:cs="宋体"/>
          <w:kern w:val="0"/>
          <w:szCs w:val="21"/>
          <w:u w:val="single"/>
        </w:rPr>
        <w:t xml:space="preserve">                            </w:t>
      </w:r>
    </w:p>
    <w:p w14:paraId="7553C439">
      <w:pPr>
        <w:autoSpaceDE w:val="0"/>
        <w:autoSpaceDN w:val="0"/>
        <w:adjustRightInd w:val="0"/>
        <w:spacing w:line="420" w:lineRule="exact"/>
        <w:ind w:firstLine="420" w:firstLineChars="200"/>
        <w:jc w:val="left"/>
        <w:rPr>
          <w:rFonts w:ascii="宋体" w:hAnsi="宋体" w:cs="宋体"/>
          <w:kern w:val="0"/>
          <w:szCs w:val="21"/>
          <w:u w:val="single"/>
        </w:rPr>
      </w:pPr>
      <w:r>
        <w:rPr>
          <w:rFonts w:hint="eastAsia" w:ascii="宋体" w:hAnsi="宋体" w:cs="宋体"/>
          <w:kern w:val="0"/>
          <w:szCs w:val="21"/>
        </w:rPr>
        <w:t>地    址：</w:t>
      </w:r>
      <w:r>
        <w:rPr>
          <w:rFonts w:hint="eastAsia" w:ascii="宋体" w:hAnsi="宋体" w:cs="宋体"/>
          <w:kern w:val="0"/>
          <w:szCs w:val="21"/>
          <w:u w:val="single"/>
        </w:rPr>
        <w:t xml:space="preserve">                            </w:t>
      </w:r>
    </w:p>
    <w:p w14:paraId="7F4F6684">
      <w:pPr>
        <w:autoSpaceDE w:val="0"/>
        <w:autoSpaceDN w:val="0"/>
        <w:adjustRightInd w:val="0"/>
        <w:spacing w:line="420" w:lineRule="exact"/>
        <w:ind w:firstLine="420" w:firstLineChars="200"/>
        <w:jc w:val="left"/>
        <w:rPr>
          <w:rFonts w:ascii="宋体" w:hAnsi="宋体" w:cs="宋体"/>
          <w:kern w:val="0"/>
          <w:szCs w:val="21"/>
        </w:rPr>
      </w:pPr>
      <w:r>
        <w:rPr>
          <w:rFonts w:hint="eastAsia" w:ascii="宋体" w:hAnsi="宋体" w:cs="宋体"/>
          <w:kern w:val="0"/>
          <w:szCs w:val="21"/>
        </w:rPr>
        <w:t>成立时间：</w:t>
      </w:r>
      <w:r>
        <w:rPr>
          <w:rFonts w:hint="eastAsia" w:ascii="宋体" w:hAnsi="宋体" w:cs="宋体"/>
          <w:kern w:val="0"/>
          <w:szCs w:val="21"/>
          <w:u w:val="single"/>
        </w:rPr>
        <w:t xml:space="preserve">      </w:t>
      </w:r>
      <w:r>
        <w:rPr>
          <w:rFonts w:hint="eastAsia" w:ascii="宋体" w:hAnsi="宋体" w:cs="宋体"/>
          <w:kern w:val="0"/>
          <w:szCs w:val="21"/>
        </w:rPr>
        <w:t>年</w:t>
      </w:r>
      <w:r>
        <w:rPr>
          <w:rFonts w:hint="eastAsia" w:ascii="宋体" w:hAnsi="宋体" w:cs="宋体"/>
          <w:kern w:val="0"/>
          <w:szCs w:val="21"/>
          <w:u w:val="single"/>
        </w:rPr>
        <w:t xml:space="preserve">       </w:t>
      </w:r>
      <w:r>
        <w:rPr>
          <w:rFonts w:hint="eastAsia" w:ascii="宋体" w:hAnsi="宋体" w:cs="宋体"/>
          <w:kern w:val="0"/>
          <w:szCs w:val="21"/>
        </w:rPr>
        <w:t>月</w:t>
      </w:r>
      <w:r>
        <w:rPr>
          <w:rFonts w:hint="eastAsia" w:ascii="宋体" w:hAnsi="宋体" w:cs="宋体"/>
          <w:kern w:val="0"/>
          <w:szCs w:val="21"/>
          <w:u w:val="single"/>
        </w:rPr>
        <w:t xml:space="preserve">       </w:t>
      </w:r>
      <w:r>
        <w:rPr>
          <w:rFonts w:hint="eastAsia" w:ascii="宋体" w:hAnsi="宋体" w:cs="宋体"/>
          <w:kern w:val="0"/>
          <w:szCs w:val="21"/>
        </w:rPr>
        <w:t>日</w:t>
      </w:r>
    </w:p>
    <w:p w14:paraId="233B21F6">
      <w:pPr>
        <w:autoSpaceDE w:val="0"/>
        <w:autoSpaceDN w:val="0"/>
        <w:adjustRightInd w:val="0"/>
        <w:spacing w:line="420" w:lineRule="exact"/>
        <w:ind w:firstLine="420" w:firstLineChars="200"/>
        <w:jc w:val="left"/>
        <w:rPr>
          <w:rFonts w:ascii="宋体" w:hAnsi="宋体" w:cs="宋体"/>
          <w:kern w:val="0"/>
          <w:szCs w:val="21"/>
          <w:u w:val="single"/>
        </w:rPr>
      </w:pPr>
      <w:r>
        <w:rPr>
          <w:rFonts w:hint="eastAsia" w:ascii="宋体" w:hAnsi="宋体" w:cs="宋体"/>
          <w:kern w:val="0"/>
          <w:szCs w:val="21"/>
        </w:rPr>
        <w:t>经营期限：</w:t>
      </w:r>
      <w:r>
        <w:rPr>
          <w:rFonts w:hint="eastAsia" w:ascii="宋体" w:hAnsi="宋体" w:cs="宋体"/>
          <w:kern w:val="0"/>
          <w:szCs w:val="21"/>
          <w:u w:val="single"/>
        </w:rPr>
        <w:t xml:space="preserve">                             </w:t>
      </w:r>
    </w:p>
    <w:p w14:paraId="3198FDE5">
      <w:pPr>
        <w:autoSpaceDE w:val="0"/>
        <w:autoSpaceDN w:val="0"/>
        <w:adjustRightInd w:val="0"/>
        <w:spacing w:line="420" w:lineRule="exact"/>
        <w:ind w:firstLine="420" w:firstLineChars="200"/>
        <w:jc w:val="left"/>
        <w:rPr>
          <w:rFonts w:ascii="宋体" w:hAnsi="宋体" w:cs="宋体"/>
          <w:kern w:val="0"/>
          <w:szCs w:val="21"/>
        </w:rPr>
      </w:pPr>
      <w:r>
        <w:rPr>
          <w:rFonts w:hint="eastAsia" w:ascii="宋体" w:hAnsi="宋体" w:cs="宋体"/>
          <w:kern w:val="0"/>
          <w:szCs w:val="21"/>
        </w:rPr>
        <w:t>姓名：</w:t>
      </w:r>
      <w:r>
        <w:rPr>
          <w:rFonts w:hint="eastAsia" w:ascii="宋体" w:hAnsi="宋体" w:cs="宋体"/>
          <w:kern w:val="0"/>
          <w:szCs w:val="21"/>
          <w:u w:val="single"/>
        </w:rPr>
        <w:t xml:space="preserve">      </w:t>
      </w:r>
      <w:r>
        <w:rPr>
          <w:rFonts w:hint="eastAsia" w:ascii="宋体" w:hAnsi="宋体" w:cs="宋体"/>
          <w:kern w:val="0"/>
          <w:szCs w:val="21"/>
        </w:rPr>
        <w:t>性别：</w:t>
      </w:r>
      <w:r>
        <w:rPr>
          <w:rFonts w:hint="eastAsia" w:ascii="宋体" w:hAnsi="宋体" w:cs="宋体"/>
          <w:kern w:val="0"/>
          <w:szCs w:val="21"/>
          <w:u w:val="single"/>
        </w:rPr>
        <w:t xml:space="preserve">         </w:t>
      </w:r>
      <w:r>
        <w:rPr>
          <w:rFonts w:hint="eastAsia" w:ascii="宋体" w:hAnsi="宋体" w:cs="宋体"/>
          <w:kern w:val="0"/>
          <w:szCs w:val="21"/>
        </w:rPr>
        <w:t>年龄：</w:t>
      </w:r>
      <w:r>
        <w:rPr>
          <w:rFonts w:hint="eastAsia" w:ascii="宋体" w:hAnsi="宋体" w:cs="宋体"/>
          <w:kern w:val="0"/>
          <w:szCs w:val="21"/>
          <w:u w:val="single"/>
        </w:rPr>
        <w:t xml:space="preserve">          </w:t>
      </w:r>
      <w:r>
        <w:rPr>
          <w:rFonts w:hint="eastAsia" w:ascii="宋体" w:hAnsi="宋体" w:cs="宋体"/>
          <w:kern w:val="0"/>
          <w:szCs w:val="21"/>
        </w:rPr>
        <w:t>职务：</w:t>
      </w:r>
      <w:r>
        <w:rPr>
          <w:rFonts w:hint="eastAsia" w:ascii="宋体" w:hAnsi="宋体" w:cs="宋体"/>
          <w:kern w:val="0"/>
          <w:szCs w:val="21"/>
          <w:u w:val="single"/>
        </w:rPr>
        <w:t xml:space="preserve">          </w:t>
      </w:r>
    </w:p>
    <w:p w14:paraId="008222BB">
      <w:pPr>
        <w:autoSpaceDE w:val="0"/>
        <w:autoSpaceDN w:val="0"/>
        <w:adjustRightInd w:val="0"/>
        <w:spacing w:line="420" w:lineRule="exact"/>
        <w:ind w:firstLine="420" w:firstLineChars="200"/>
        <w:jc w:val="left"/>
        <w:rPr>
          <w:rFonts w:ascii="宋体" w:hAnsi="宋体" w:cs="宋体"/>
          <w:kern w:val="0"/>
          <w:szCs w:val="21"/>
        </w:rPr>
      </w:pPr>
      <w:r>
        <w:rPr>
          <w:rFonts w:hint="eastAsia" w:ascii="宋体" w:hAnsi="宋体" w:cs="宋体"/>
          <w:kern w:val="0"/>
          <w:szCs w:val="21"/>
        </w:rPr>
        <w:t>系</w:t>
      </w:r>
      <w:r>
        <w:rPr>
          <w:rFonts w:hint="eastAsia" w:ascii="宋体" w:hAnsi="宋体" w:cs="宋体"/>
          <w:kern w:val="0"/>
          <w:szCs w:val="21"/>
          <w:u w:val="single"/>
        </w:rPr>
        <w:t xml:space="preserve">                            </w:t>
      </w:r>
      <w:r>
        <w:rPr>
          <w:rFonts w:hint="eastAsia" w:ascii="宋体" w:hAnsi="宋体" w:cs="宋体"/>
          <w:kern w:val="0"/>
          <w:szCs w:val="21"/>
        </w:rPr>
        <w:t>（</w:t>
      </w:r>
      <w:r>
        <w:rPr>
          <w:rFonts w:hint="eastAsia" w:ascii="宋体" w:hAnsi="宋体" w:cs="宋体"/>
          <w:kern w:val="0"/>
          <w:szCs w:val="21"/>
          <w:lang w:eastAsia="zh-CN"/>
        </w:rPr>
        <w:t>供应商名称</w:t>
      </w:r>
      <w:r>
        <w:rPr>
          <w:rFonts w:hint="eastAsia" w:ascii="宋体" w:hAnsi="宋体" w:cs="宋体"/>
          <w:kern w:val="0"/>
          <w:szCs w:val="21"/>
        </w:rPr>
        <w:t>）的法定代表人。</w:t>
      </w:r>
    </w:p>
    <w:p w14:paraId="2549F552">
      <w:pPr>
        <w:autoSpaceDE w:val="0"/>
        <w:autoSpaceDN w:val="0"/>
        <w:adjustRightInd w:val="0"/>
        <w:spacing w:line="420" w:lineRule="exact"/>
        <w:ind w:firstLine="420" w:firstLineChars="200"/>
        <w:jc w:val="left"/>
        <w:rPr>
          <w:rFonts w:ascii="宋体" w:hAnsi="宋体" w:cs="宋体"/>
          <w:kern w:val="0"/>
          <w:szCs w:val="21"/>
        </w:rPr>
      </w:pPr>
    </w:p>
    <w:p w14:paraId="1BE0217F">
      <w:pPr>
        <w:autoSpaceDE w:val="0"/>
        <w:autoSpaceDN w:val="0"/>
        <w:adjustRightInd w:val="0"/>
        <w:spacing w:line="420" w:lineRule="exact"/>
        <w:ind w:firstLine="420" w:firstLineChars="200"/>
        <w:jc w:val="left"/>
        <w:rPr>
          <w:rFonts w:ascii="宋体" w:hAnsi="宋体" w:cs="宋体"/>
          <w:kern w:val="0"/>
          <w:szCs w:val="21"/>
        </w:rPr>
      </w:pPr>
      <w:r>
        <w:rPr>
          <w:rFonts w:hint="eastAsia" w:ascii="宋体" w:hAnsi="宋体" w:cs="宋体"/>
          <w:kern w:val="0"/>
          <w:szCs w:val="21"/>
        </w:rPr>
        <w:t>特此证明。</w:t>
      </w:r>
    </w:p>
    <w:p w14:paraId="15B1CE83">
      <w:pPr>
        <w:autoSpaceDE w:val="0"/>
        <w:autoSpaceDN w:val="0"/>
        <w:adjustRightInd w:val="0"/>
        <w:spacing w:line="360" w:lineRule="auto"/>
        <w:ind w:firstLine="420" w:firstLineChars="200"/>
        <w:jc w:val="left"/>
        <w:rPr>
          <w:rFonts w:ascii="宋体" w:hAnsi="宋体" w:cs="宋体"/>
          <w:kern w:val="0"/>
          <w:szCs w:val="21"/>
        </w:rPr>
      </w:pPr>
      <w:r>
        <w:rPr>
          <w:rFonts w:hint="eastAsia" w:ascii="宋体" w:hAnsi="宋体" w:cs="宋体"/>
          <w:kern w:val="0"/>
          <w:szCs w:val="21"/>
        </w:rPr>
        <w:t>附：法定代表人身份证正反面复印件</w:t>
      </w:r>
    </w:p>
    <w:p w14:paraId="7A49AA83">
      <w:pPr>
        <w:pStyle w:val="9"/>
        <w:rPr>
          <w:rFonts w:ascii="宋体" w:hAnsi="宋体" w:eastAsia="宋体" w:cs="宋体"/>
        </w:rPr>
      </w:pPr>
    </w:p>
    <w:p w14:paraId="46BACE8F">
      <w:pPr>
        <w:autoSpaceDE w:val="0"/>
        <w:autoSpaceDN w:val="0"/>
        <w:adjustRightInd w:val="0"/>
        <w:spacing w:line="420" w:lineRule="exact"/>
        <w:ind w:firstLine="420" w:firstLineChars="200"/>
        <w:jc w:val="left"/>
        <w:rPr>
          <w:rFonts w:ascii="宋体" w:hAnsi="宋体" w:cs="宋体"/>
          <w:kern w:val="0"/>
          <w:szCs w:val="21"/>
        </w:rPr>
      </w:pPr>
    </w:p>
    <w:p w14:paraId="2B54F5EB">
      <w:pPr>
        <w:spacing w:line="480" w:lineRule="auto"/>
        <w:ind w:right="104" w:firstLine="3307" w:firstLineChars="1575"/>
        <w:rPr>
          <w:rFonts w:ascii="宋体" w:hAnsi="宋体" w:cs="宋体"/>
          <w:szCs w:val="21"/>
        </w:rPr>
      </w:pPr>
      <w:bookmarkStart w:id="314" w:name="_Toc271787732"/>
      <w:r>
        <w:rPr>
          <w:rFonts w:hint="eastAsia" w:ascii="宋体" w:hAnsi="宋体" w:cs="宋体"/>
          <w:szCs w:val="21"/>
          <w:lang w:eastAsia="zh-CN"/>
        </w:rPr>
        <w:t>供应商名称</w:t>
      </w:r>
      <w:r>
        <w:rPr>
          <w:rFonts w:hint="eastAsia" w:ascii="宋体" w:hAnsi="宋体" w:cs="宋体"/>
          <w:szCs w:val="21"/>
        </w:rPr>
        <w:t>：</w:t>
      </w:r>
      <w:r>
        <w:rPr>
          <w:rFonts w:hint="eastAsia" w:ascii="宋体" w:hAnsi="宋体" w:cs="宋体"/>
          <w:szCs w:val="21"/>
          <w:u w:val="single"/>
        </w:rPr>
        <w:t xml:space="preserve">               </w:t>
      </w:r>
      <w:r>
        <w:rPr>
          <w:rFonts w:hint="eastAsia" w:ascii="宋体" w:hAnsi="宋体" w:cs="宋体"/>
          <w:szCs w:val="21"/>
        </w:rPr>
        <w:t>（盖单位章）</w:t>
      </w:r>
    </w:p>
    <w:p w14:paraId="675FA8D2">
      <w:pPr>
        <w:spacing w:line="480" w:lineRule="auto"/>
        <w:ind w:right="1440" w:firstLine="3307" w:firstLineChars="1575"/>
        <w:rPr>
          <w:rFonts w:ascii="宋体" w:hAnsi="宋体" w:cs="宋体"/>
          <w:szCs w:val="21"/>
        </w:rPr>
      </w:pPr>
      <w:r>
        <w:rPr>
          <w:rFonts w:hint="eastAsia" w:ascii="宋体" w:hAnsi="宋体" w:cs="宋体"/>
          <w:szCs w:val="21"/>
        </w:rPr>
        <w:t>日     期：</w:t>
      </w:r>
      <w:r>
        <w:rPr>
          <w:rFonts w:hint="eastAsia" w:ascii="宋体" w:hAnsi="宋体" w:cs="宋体"/>
          <w:szCs w:val="21"/>
          <w:u w:val="single"/>
        </w:rPr>
        <w:t xml:space="preserve">       </w:t>
      </w:r>
      <w:r>
        <w:rPr>
          <w:rFonts w:hint="eastAsia" w:ascii="宋体" w:hAnsi="宋体" w:cs="宋体"/>
          <w:szCs w:val="21"/>
        </w:rPr>
        <w:t>年</w:t>
      </w:r>
      <w:r>
        <w:rPr>
          <w:rFonts w:hint="eastAsia" w:ascii="宋体" w:hAnsi="宋体" w:cs="宋体"/>
          <w:szCs w:val="21"/>
          <w:u w:val="single"/>
        </w:rPr>
        <w:t xml:space="preserve">    </w:t>
      </w:r>
      <w:r>
        <w:rPr>
          <w:rFonts w:hint="eastAsia" w:ascii="宋体" w:hAnsi="宋体" w:cs="宋体"/>
          <w:szCs w:val="21"/>
        </w:rPr>
        <w:t>月</w:t>
      </w:r>
      <w:r>
        <w:rPr>
          <w:rFonts w:hint="eastAsia" w:ascii="宋体" w:hAnsi="宋体" w:cs="宋体"/>
          <w:szCs w:val="21"/>
          <w:u w:val="single"/>
        </w:rPr>
        <w:t xml:space="preserve">    </w:t>
      </w:r>
      <w:r>
        <w:rPr>
          <w:rFonts w:hint="eastAsia" w:ascii="宋体" w:hAnsi="宋体" w:cs="宋体"/>
          <w:szCs w:val="21"/>
        </w:rPr>
        <w:t>日</w:t>
      </w:r>
    </w:p>
    <w:p w14:paraId="21BB0061">
      <w:pPr>
        <w:rPr>
          <w:rFonts w:ascii="宋体" w:hAnsi="宋体" w:cs="宋体"/>
        </w:rPr>
      </w:pPr>
    </w:p>
    <w:p w14:paraId="76697904">
      <w:pPr>
        <w:rPr>
          <w:rFonts w:ascii="宋体" w:hAnsi="宋体" w:cs="宋体"/>
        </w:rPr>
      </w:pPr>
    </w:p>
    <w:p w14:paraId="5AFEDF13">
      <w:pPr>
        <w:rPr>
          <w:rFonts w:ascii="宋体" w:hAnsi="宋体" w:cs="宋体"/>
        </w:rPr>
      </w:pPr>
    </w:p>
    <w:p w14:paraId="3F129734">
      <w:pPr>
        <w:rPr>
          <w:rFonts w:ascii="宋体" w:hAnsi="宋体" w:cs="宋体"/>
        </w:rPr>
      </w:pPr>
    </w:p>
    <w:p w14:paraId="747D5666">
      <w:pPr>
        <w:rPr>
          <w:rFonts w:ascii="宋体" w:hAnsi="宋体" w:cs="宋体"/>
        </w:rPr>
      </w:pPr>
    </w:p>
    <w:p w14:paraId="233CE1BC">
      <w:pPr>
        <w:rPr>
          <w:rFonts w:ascii="宋体" w:hAnsi="宋体" w:cs="宋体"/>
        </w:rPr>
      </w:pPr>
    </w:p>
    <w:p w14:paraId="07770EAC">
      <w:pPr>
        <w:rPr>
          <w:rFonts w:ascii="宋体" w:hAnsi="宋体" w:cs="宋体"/>
        </w:rPr>
      </w:pPr>
    </w:p>
    <w:p w14:paraId="6109F7B5">
      <w:pPr>
        <w:rPr>
          <w:rFonts w:ascii="宋体" w:hAnsi="宋体" w:cs="宋体"/>
        </w:rPr>
      </w:pPr>
    </w:p>
    <w:p w14:paraId="19400101">
      <w:pPr>
        <w:rPr>
          <w:rFonts w:ascii="宋体" w:hAnsi="宋体" w:cs="宋体"/>
        </w:rPr>
      </w:pPr>
    </w:p>
    <w:p w14:paraId="18930BED">
      <w:pPr>
        <w:rPr>
          <w:rFonts w:ascii="宋体" w:hAnsi="宋体" w:cs="宋体"/>
        </w:rPr>
      </w:pPr>
    </w:p>
    <w:p w14:paraId="77C64672">
      <w:pPr>
        <w:rPr>
          <w:rFonts w:ascii="宋体" w:hAnsi="宋体" w:cs="宋体"/>
        </w:rPr>
      </w:pPr>
    </w:p>
    <w:p w14:paraId="71FACF5B">
      <w:pPr>
        <w:rPr>
          <w:rFonts w:ascii="宋体" w:hAnsi="宋体" w:cs="宋体"/>
        </w:rPr>
      </w:pPr>
    </w:p>
    <w:p w14:paraId="048F3B62">
      <w:pPr>
        <w:rPr>
          <w:rFonts w:ascii="宋体" w:hAnsi="宋体" w:cs="宋体"/>
        </w:rPr>
      </w:pPr>
    </w:p>
    <w:p w14:paraId="15514352">
      <w:pPr>
        <w:rPr>
          <w:rFonts w:ascii="宋体" w:hAnsi="宋体" w:cs="宋体"/>
        </w:rPr>
      </w:pPr>
    </w:p>
    <w:p w14:paraId="203C92E3">
      <w:r>
        <w:br w:type="page"/>
      </w:r>
    </w:p>
    <w:p w14:paraId="60AF56F8">
      <w:pPr>
        <w:jc w:val="center"/>
        <w:rPr>
          <w:rFonts w:ascii="宋体" w:hAnsi="宋体" w:cs="宋体"/>
          <w:b/>
          <w:kern w:val="0"/>
        </w:rPr>
      </w:pPr>
      <w:bookmarkStart w:id="315" w:name="_Toc428775655"/>
      <w:r>
        <w:rPr>
          <w:rFonts w:hint="eastAsia" w:ascii="宋体" w:hAnsi="宋体" w:cs="宋体"/>
          <w:b/>
          <w:kern w:val="0"/>
        </w:rPr>
        <w:t>（二）授权委托书</w:t>
      </w:r>
      <w:bookmarkEnd w:id="314"/>
      <w:bookmarkEnd w:id="315"/>
    </w:p>
    <w:p w14:paraId="5AF801B2">
      <w:pPr>
        <w:autoSpaceDE w:val="0"/>
        <w:autoSpaceDN w:val="0"/>
        <w:adjustRightInd w:val="0"/>
        <w:spacing w:line="360" w:lineRule="auto"/>
        <w:ind w:firstLine="420" w:firstLineChars="200"/>
        <w:jc w:val="left"/>
        <w:rPr>
          <w:rFonts w:ascii="宋体" w:hAnsi="宋体" w:cs="宋体"/>
          <w:kern w:val="0"/>
          <w:szCs w:val="21"/>
        </w:rPr>
      </w:pPr>
    </w:p>
    <w:p w14:paraId="464B42D4">
      <w:pPr>
        <w:autoSpaceDE w:val="0"/>
        <w:autoSpaceDN w:val="0"/>
        <w:adjustRightInd w:val="0"/>
        <w:spacing w:line="360" w:lineRule="auto"/>
        <w:ind w:firstLine="420" w:firstLineChars="200"/>
        <w:jc w:val="left"/>
        <w:rPr>
          <w:rFonts w:ascii="宋体" w:hAnsi="宋体" w:cs="宋体"/>
          <w:kern w:val="0"/>
          <w:szCs w:val="21"/>
        </w:rPr>
      </w:pPr>
      <w:r>
        <w:rPr>
          <w:rFonts w:hint="eastAsia" w:ascii="宋体" w:hAnsi="宋体" w:cs="宋体"/>
          <w:kern w:val="0"/>
          <w:szCs w:val="21"/>
        </w:rPr>
        <w:t xml:space="preserve"> 我</w:t>
      </w:r>
      <w:r>
        <w:rPr>
          <w:rFonts w:hint="eastAsia" w:ascii="宋体" w:hAnsi="宋体" w:cs="宋体"/>
          <w:kern w:val="0"/>
          <w:szCs w:val="21"/>
          <w:u w:val="single"/>
        </w:rPr>
        <w:t xml:space="preserve">       </w:t>
      </w:r>
      <w:r>
        <w:rPr>
          <w:rFonts w:hint="eastAsia" w:ascii="宋体" w:hAnsi="宋体" w:cs="宋体"/>
          <w:kern w:val="0"/>
          <w:szCs w:val="21"/>
        </w:rPr>
        <w:t xml:space="preserve">系 </w:t>
      </w:r>
      <w:r>
        <w:rPr>
          <w:rFonts w:hint="eastAsia" w:ascii="宋体" w:hAnsi="宋体" w:cs="宋体"/>
          <w:kern w:val="0"/>
          <w:szCs w:val="21"/>
          <w:u w:val="single"/>
        </w:rPr>
        <w:t xml:space="preserve">         </w:t>
      </w:r>
      <w:r>
        <w:rPr>
          <w:rFonts w:hint="eastAsia" w:ascii="宋体" w:hAnsi="宋体" w:cs="宋体"/>
          <w:kern w:val="0"/>
          <w:szCs w:val="21"/>
        </w:rPr>
        <w:t>的法定代表人，现授权委托</w:t>
      </w:r>
      <w:r>
        <w:rPr>
          <w:rFonts w:hint="eastAsia" w:ascii="宋体" w:hAnsi="宋体" w:cs="宋体"/>
          <w:kern w:val="0"/>
          <w:szCs w:val="21"/>
          <w:u w:val="single"/>
        </w:rPr>
        <w:t xml:space="preserve">      </w:t>
      </w:r>
      <w:r>
        <w:rPr>
          <w:rFonts w:hint="eastAsia" w:ascii="宋体" w:hAnsi="宋体" w:cs="宋体"/>
          <w:kern w:val="0"/>
          <w:szCs w:val="21"/>
        </w:rPr>
        <w:t>（身份证号：</w:t>
      </w:r>
      <w:r>
        <w:rPr>
          <w:rFonts w:hint="eastAsia" w:ascii="宋体" w:hAnsi="宋体" w:cs="宋体"/>
          <w:kern w:val="0"/>
          <w:szCs w:val="21"/>
          <w:u w:val="single"/>
        </w:rPr>
        <w:t xml:space="preserve">              </w:t>
      </w:r>
      <w:r>
        <w:rPr>
          <w:rFonts w:hint="eastAsia" w:ascii="宋体" w:hAnsi="宋体" w:cs="宋体"/>
          <w:kern w:val="0"/>
          <w:szCs w:val="21"/>
        </w:rPr>
        <w:t>，联系电话：</w:t>
      </w:r>
      <w:r>
        <w:rPr>
          <w:rFonts w:hint="eastAsia" w:ascii="宋体" w:hAnsi="宋体" w:cs="宋体"/>
          <w:kern w:val="0"/>
          <w:szCs w:val="21"/>
          <w:u w:val="single"/>
        </w:rPr>
        <w:t xml:space="preserve">               </w:t>
      </w:r>
      <w:r>
        <w:rPr>
          <w:rFonts w:hint="eastAsia" w:ascii="宋体" w:hAnsi="宋体" w:cs="宋体"/>
          <w:kern w:val="0"/>
          <w:szCs w:val="21"/>
        </w:rPr>
        <w:t>）为我公司处理</w:t>
      </w:r>
      <w:r>
        <w:rPr>
          <w:rFonts w:hint="eastAsia" w:ascii="宋体" w:hAnsi="宋体" w:cs="宋体"/>
          <w:kern w:val="0"/>
          <w:szCs w:val="21"/>
          <w:u w:val="single"/>
        </w:rPr>
        <w:t xml:space="preserve">            （项目名称）</w:t>
      </w:r>
      <w:r>
        <w:rPr>
          <w:rFonts w:hint="eastAsia" w:ascii="宋体" w:hAnsi="宋体" w:cs="宋体"/>
          <w:kern w:val="0"/>
          <w:szCs w:val="21"/>
        </w:rPr>
        <w:t>投标事宜的授权委托人，该项委托权不得转让，委托期限：</w:t>
      </w:r>
      <w:r>
        <w:rPr>
          <w:rFonts w:hint="eastAsia" w:ascii="宋体" w:hAnsi="宋体" w:cs="宋体"/>
          <w:kern w:val="0"/>
          <w:szCs w:val="21"/>
          <w:u w:val="single"/>
        </w:rPr>
        <w:t xml:space="preserve">                      </w:t>
      </w:r>
      <w:r>
        <w:rPr>
          <w:rFonts w:hint="eastAsia" w:ascii="宋体" w:hAnsi="宋体" w:cs="宋体"/>
          <w:kern w:val="0"/>
          <w:szCs w:val="21"/>
        </w:rPr>
        <w:t>。</w:t>
      </w:r>
    </w:p>
    <w:p w14:paraId="72A169B6">
      <w:pPr>
        <w:autoSpaceDE w:val="0"/>
        <w:autoSpaceDN w:val="0"/>
        <w:adjustRightInd w:val="0"/>
        <w:spacing w:line="360" w:lineRule="auto"/>
        <w:ind w:firstLine="420" w:firstLineChars="200"/>
        <w:jc w:val="left"/>
        <w:rPr>
          <w:rFonts w:ascii="宋体" w:hAnsi="宋体" w:cs="宋体"/>
          <w:kern w:val="0"/>
          <w:szCs w:val="21"/>
        </w:rPr>
      </w:pPr>
      <w:r>
        <w:rPr>
          <w:rFonts w:hint="eastAsia" w:ascii="宋体" w:hAnsi="宋体" w:cs="宋体"/>
          <w:kern w:val="0"/>
          <w:szCs w:val="21"/>
        </w:rPr>
        <w:t>我承诺：该授权委托人系我单位在职人员，所提供的资料中如有虚假内容，愿意被否决或中标无效处理，并作为不良失信行为接受行政监管部门处罚。其参加本项目的投标活动，有权当场作出承诺及对投标书作出技术性补充，在开标、评标过程中所签署的一切文件和处理与之有关的一切事务，我均予以承认。</w:t>
      </w:r>
    </w:p>
    <w:p w14:paraId="264C1E77">
      <w:pPr>
        <w:autoSpaceDE w:val="0"/>
        <w:autoSpaceDN w:val="0"/>
        <w:adjustRightInd w:val="0"/>
        <w:spacing w:line="360" w:lineRule="auto"/>
        <w:ind w:firstLine="420" w:firstLineChars="200"/>
        <w:jc w:val="left"/>
        <w:rPr>
          <w:rFonts w:ascii="宋体" w:hAnsi="宋体" w:cs="宋体"/>
          <w:kern w:val="0"/>
          <w:szCs w:val="21"/>
        </w:rPr>
      </w:pPr>
      <w:r>
        <w:rPr>
          <w:rFonts w:hint="eastAsia" w:ascii="宋体" w:hAnsi="宋体" w:cs="宋体"/>
          <w:kern w:val="0"/>
          <w:szCs w:val="21"/>
        </w:rPr>
        <w:t>附：法定代表人及委托代理人身份证正反面复印件</w:t>
      </w:r>
    </w:p>
    <w:p w14:paraId="4FB6FC06">
      <w:pPr>
        <w:wordWrap w:val="0"/>
        <w:autoSpaceDE w:val="0"/>
        <w:autoSpaceDN w:val="0"/>
        <w:adjustRightInd w:val="0"/>
        <w:spacing w:line="360" w:lineRule="auto"/>
        <w:ind w:firstLine="420" w:firstLineChars="200"/>
        <w:jc w:val="right"/>
        <w:rPr>
          <w:rFonts w:ascii="宋体" w:hAnsi="宋体" w:cs="宋体"/>
          <w:kern w:val="0"/>
          <w:szCs w:val="21"/>
        </w:rPr>
      </w:pPr>
    </w:p>
    <w:p w14:paraId="6AD2A692">
      <w:pPr>
        <w:autoSpaceDE w:val="0"/>
        <w:autoSpaceDN w:val="0"/>
        <w:adjustRightInd w:val="0"/>
        <w:spacing w:line="360" w:lineRule="auto"/>
        <w:ind w:firstLine="420" w:firstLineChars="200"/>
        <w:jc w:val="right"/>
        <w:rPr>
          <w:rFonts w:ascii="宋体" w:hAnsi="宋体" w:cs="宋体"/>
          <w:kern w:val="0"/>
          <w:szCs w:val="21"/>
        </w:rPr>
      </w:pPr>
      <w:r>
        <w:rPr>
          <w:rFonts w:hint="eastAsia" w:ascii="宋体" w:hAnsi="宋体" w:cs="宋体"/>
          <w:kern w:val="0"/>
          <w:szCs w:val="21"/>
          <w:lang w:eastAsia="zh-CN"/>
        </w:rPr>
        <w:t>供应商名称</w:t>
      </w:r>
      <w:r>
        <w:rPr>
          <w:rFonts w:hint="eastAsia" w:ascii="宋体" w:hAnsi="宋体" w:cs="宋体"/>
          <w:kern w:val="0"/>
          <w:szCs w:val="21"/>
        </w:rPr>
        <w:t>：</w:t>
      </w:r>
      <w:r>
        <w:rPr>
          <w:rFonts w:hint="eastAsia" w:ascii="宋体" w:hAnsi="宋体" w:cs="宋体"/>
          <w:kern w:val="0"/>
          <w:szCs w:val="21"/>
          <w:u w:val="single"/>
        </w:rPr>
        <w:t xml:space="preserve">                         </w:t>
      </w:r>
      <w:r>
        <w:rPr>
          <w:rFonts w:hint="eastAsia" w:ascii="宋体" w:hAnsi="宋体" w:cs="宋体"/>
          <w:kern w:val="0"/>
          <w:szCs w:val="21"/>
        </w:rPr>
        <w:t>（</w:t>
      </w:r>
      <w:r>
        <w:rPr>
          <w:rFonts w:hint="eastAsia" w:ascii="宋体" w:hAnsi="宋体" w:cs="宋体"/>
          <w:szCs w:val="21"/>
        </w:rPr>
        <w:t>盖单位章</w:t>
      </w:r>
      <w:r>
        <w:rPr>
          <w:rFonts w:hint="eastAsia" w:ascii="宋体" w:hAnsi="宋体" w:cs="宋体"/>
          <w:kern w:val="0"/>
          <w:szCs w:val="21"/>
        </w:rPr>
        <w:t>）</w:t>
      </w:r>
    </w:p>
    <w:p w14:paraId="0BFDF391">
      <w:pPr>
        <w:wordWrap w:val="0"/>
        <w:autoSpaceDE w:val="0"/>
        <w:autoSpaceDN w:val="0"/>
        <w:adjustRightInd w:val="0"/>
        <w:spacing w:line="360" w:lineRule="auto"/>
        <w:ind w:firstLine="420" w:firstLineChars="200"/>
        <w:jc w:val="right"/>
        <w:rPr>
          <w:rFonts w:ascii="宋体" w:hAnsi="宋体" w:cs="宋体"/>
          <w:kern w:val="0"/>
          <w:szCs w:val="21"/>
        </w:rPr>
      </w:pPr>
      <w:r>
        <w:rPr>
          <w:rFonts w:hint="eastAsia" w:ascii="宋体" w:hAnsi="宋体" w:cs="宋体"/>
          <w:kern w:val="0"/>
          <w:szCs w:val="21"/>
        </w:rPr>
        <w:t>法定代表人：</w:t>
      </w:r>
      <w:r>
        <w:rPr>
          <w:rFonts w:hint="eastAsia" w:ascii="宋体" w:hAnsi="宋体" w:cs="宋体"/>
          <w:kern w:val="0"/>
          <w:szCs w:val="21"/>
          <w:u w:val="single"/>
        </w:rPr>
        <w:t xml:space="preserve">                             </w:t>
      </w:r>
      <w:r>
        <w:rPr>
          <w:rFonts w:hint="eastAsia" w:ascii="宋体" w:hAnsi="宋体" w:cs="宋体"/>
          <w:kern w:val="0"/>
          <w:szCs w:val="21"/>
        </w:rPr>
        <w:t>（签字）</w:t>
      </w:r>
    </w:p>
    <w:p w14:paraId="7FD5F473">
      <w:pPr>
        <w:wordWrap w:val="0"/>
        <w:autoSpaceDE w:val="0"/>
        <w:autoSpaceDN w:val="0"/>
        <w:adjustRightInd w:val="0"/>
        <w:spacing w:line="360" w:lineRule="auto"/>
        <w:ind w:firstLine="420" w:firstLineChars="200"/>
        <w:jc w:val="right"/>
        <w:rPr>
          <w:rFonts w:ascii="宋体" w:hAnsi="宋体" w:cs="宋体"/>
          <w:kern w:val="0"/>
          <w:szCs w:val="21"/>
          <w:u w:val="single"/>
        </w:rPr>
      </w:pPr>
      <w:r>
        <w:rPr>
          <w:rFonts w:hint="eastAsia" w:ascii="宋体" w:hAnsi="宋体" w:cs="宋体"/>
          <w:kern w:val="0"/>
          <w:szCs w:val="21"/>
        </w:rPr>
        <w:t>身份证号：</w:t>
      </w:r>
      <w:r>
        <w:rPr>
          <w:rFonts w:hint="eastAsia" w:ascii="宋体" w:hAnsi="宋体" w:cs="宋体"/>
          <w:kern w:val="0"/>
          <w:szCs w:val="21"/>
          <w:u w:val="single"/>
        </w:rPr>
        <w:t xml:space="preserve">                                       </w:t>
      </w:r>
    </w:p>
    <w:p w14:paraId="38806571">
      <w:pPr>
        <w:wordWrap w:val="0"/>
        <w:autoSpaceDE w:val="0"/>
        <w:autoSpaceDN w:val="0"/>
        <w:adjustRightInd w:val="0"/>
        <w:spacing w:line="360" w:lineRule="auto"/>
        <w:ind w:firstLine="420" w:firstLineChars="200"/>
        <w:jc w:val="right"/>
        <w:rPr>
          <w:rFonts w:ascii="宋体" w:hAnsi="宋体" w:cs="宋体"/>
          <w:kern w:val="0"/>
          <w:szCs w:val="21"/>
        </w:rPr>
      </w:pPr>
      <w:r>
        <w:rPr>
          <w:rFonts w:hint="eastAsia" w:ascii="宋体" w:hAnsi="宋体" w:cs="宋体"/>
          <w:kern w:val="0"/>
          <w:szCs w:val="21"/>
        </w:rPr>
        <w:t>委托代理人：</w:t>
      </w:r>
      <w:r>
        <w:rPr>
          <w:rFonts w:hint="eastAsia" w:ascii="宋体" w:hAnsi="宋体" w:cs="宋体"/>
          <w:kern w:val="0"/>
          <w:szCs w:val="21"/>
          <w:u w:val="single"/>
        </w:rPr>
        <w:t xml:space="preserve">                             </w:t>
      </w:r>
      <w:r>
        <w:rPr>
          <w:rFonts w:hint="eastAsia" w:ascii="宋体" w:hAnsi="宋体" w:cs="宋体"/>
          <w:kern w:val="0"/>
          <w:szCs w:val="21"/>
        </w:rPr>
        <w:t>（签字）</w:t>
      </w:r>
    </w:p>
    <w:p w14:paraId="397C7F44">
      <w:pPr>
        <w:wordWrap w:val="0"/>
        <w:autoSpaceDE w:val="0"/>
        <w:autoSpaceDN w:val="0"/>
        <w:adjustRightInd w:val="0"/>
        <w:spacing w:line="360" w:lineRule="auto"/>
        <w:ind w:firstLine="420" w:firstLineChars="200"/>
        <w:jc w:val="right"/>
        <w:rPr>
          <w:rFonts w:ascii="宋体" w:hAnsi="宋体" w:cs="宋体"/>
          <w:kern w:val="0"/>
          <w:szCs w:val="21"/>
          <w:u w:val="single"/>
        </w:rPr>
      </w:pPr>
      <w:r>
        <w:rPr>
          <w:rFonts w:hint="eastAsia" w:ascii="宋体" w:hAnsi="宋体" w:cs="宋体"/>
          <w:kern w:val="0"/>
          <w:szCs w:val="21"/>
        </w:rPr>
        <w:t>身份证号：</w:t>
      </w:r>
      <w:r>
        <w:rPr>
          <w:rFonts w:hint="eastAsia" w:ascii="宋体" w:hAnsi="宋体" w:cs="宋体"/>
          <w:kern w:val="0"/>
          <w:szCs w:val="21"/>
          <w:u w:val="single"/>
        </w:rPr>
        <w:t xml:space="preserve">                                      </w:t>
      </w:r>
    </w:p>
    <w:p w14:paraId="5D0404D9">
      <w:pPr>
        <w:wordWrap w:val="0"/>
        <w:autoSpaceDE w:val="0"/>
        <w:autoSpaceDN w:val="0"/>
        <w:adjustRightInd w:val="0"/>
        <w:spacing w:line="360" w:lineRule="auto"/>
        <w:ind w:firstLine="420" w:firstLineChars="200"/>
        <w:jc w:val="right"/>
        <w:rPr>
          <w:rFonts w:ascii="宋体" w:hAnsi="宋体" w:cs="宋体"/>
          <w:kern w:val="0"/>
          <w:szCs w:val="21"/>
        </w:rPr>
      </w:pPr>
    </w:p>
    <w:p w14:paraId="34E44797">
      <w:pPr>
        <w:wordWrap w:val="0"/>
        <w:autoSpaceDE w:val="0"/>
        <w:autoSpaceDN w:val="0"/>
        <w:adjustRightInd w:val="0"/>
        <w:spacing w:line="360" w:lineRule="auto"/>
        <w:ind w:firstLine="420" w:firstLineChars="200"/>
        <w:jc w:val="right"/>
        <w:rPr>
          <w:rFonts w:ascii="宋体" w:hAnsi="宋体" w:cs="宋体"/>
          <w:kern w:val="0"/>
          <w:szCs w:val="21"/>
        </w:rPr>
      </w:pPr>
      <w:r>
        <w:rPr>
          <w:rFonts w:hint="eastAsia" w:ascii="宋体" w:hAnsi="宋体" w:cs="宋体"/>
          <w:kern w:val="0"/>
          <w:szCs w:val="21"/>
        </w:rPr>
        <w:t>日      期：</w:t>
      </w:r>
      <w:r>
        <w:rPr>
          <w:rFonts w:hint="eastAsia" w:ascii="宋体" w:hAnsi="宋体" w:cs="宋体"/>
          <w:kern w:val="0"/>
          <w:szCs w:val="21"/>
          <w:u w:val="single"/>
        </w:rPr>
        <w:t xml:space="preserve">     </w:t>
      </w:r>
      <w:r>
        <w:rPr>
          <w:rFonts w:hint="eastAsia" w:ascii="宋体" w:hAnsi="宋体" w:cs="宋体"/>
          <w:kern w:val="0"/>
          <w:szCs w:val="21"/>
        </w:rPr>
        <w:t>年</w:t>
      </w:r>
      <w:r>
        <w:rPr>
          <w:rFonts w:hint="eastAsia" w:ascii="宋体" w:hAnsi="宋体" w:cs="宋体"/>
          <w:kern w:val="0"/>
          <w:szCs w:val="21"/>
          <w:u w:val="single"/>
        </w:rPr>
        <w:t xml:space="preserve">       </w:t>
      </w:r>
      <w:r>
        <w:rPr>
          <w:rFonts w:hint="eastAsia" w:ascii="宋体" w:hAnsi="宋体" w:cs="宋体"/>
          <w:kern w:val="0"/>
          <w:szCs w:val="21"/>
        </w:rPr>
        <w:t>月</w:t>
      </w:r>
      <w:r>
        <w:rPr>
          <w:rFonts w:hint="eastAsia" w:ascii="宋体" w:hAnsi="宋体" w:cs="宋体"/>
          <w:kern w:val="0"/>
          <w:szCs w:val="21"/>
          <w:u w:val="single"/>
        </w:rPr>
        <w:t xml:space="preserve">       </w:t>
      </w:r>
      <w:r>
        <w:rPr>
          <w:rFonts w:hint="eastAsia" w:ascii="宋体" w:hAnsi="宋体" w:cs="宋体"/>
          <w:kern w:val="0"/>
          <w:szCs w:val="21"/>
        </w:rPr>
        <w:t xml:space="preserve">日    </w:t>
      </w:r>
    </w:p>
    <w:p w14:paraId="6BBCA83D">
      <w:pPr>
        <w:rPr>
          <w:rFonts w:ascii="宋体" w:hAnsi="宋体" w:cs="宋体"/>
        </w:rPr>
      </w:pPr>
    </w:p>
    <w:p w14:paraId="7C3319E9">
      <w:pPr>
        <w:rPr>
          <w:rFonts w:ascii="宋体" w:hAnsi="宋体" w:cs="宋体"/>
        </w:rPr>
      </w:pPr>
    </w:p>
    <w:p w14:paraId="216B4107">
      <w:pPr>
        <w:rPr>
          <w:rFonts w:ascii="宋体" w:hAnsi="宋体" w:cs="宋体"/>
        </w:rPr>
      </w:pPr>
    </w:p>
    <w:p w14:paraId="45931AF6">
      <w:pPr>
        <w:rPr>
          <w:rFonts w:ascii="宋体" w:hAnsi="宋体" w:cs="宋体"/>
        </w:rPr>
      </w:pPr>
    </w:p>
    <w:p w14:paraId="00F27641">
      <w:pPr>
        <w:pStyle w:val="9"/>
        <w:rPr>
          <w:rFonts w:ascii="宋体" w:hAnsi="宋体" w:eastAsia="宋体" w:cs="宋体"/>
        </w:rPr>
      </w:pPr>
    </w:p>
    <w:p w14:paraId="383A68D8">
      <w:pPr>
        <w:rPr>
          <w:rFonts w:ascii="宋体" w:hAnsi="宋体" w:cs="宋体"/>
        </w:rPr>
      </w:pPr>
    </w:p>
    <w:p w14:paraId="4BC4BB90">
      <w:pPr>
        <w:rPr>
          <w:rFonts w:ascii="宋体" w:hAnsi="宋体" w:cs="宋体"/>
        </w:rPr>
      </w:pPr>
    </w:p>
    <w:p w14:paraId="0B895C7D">
      <w:pPr>
        <w:rPr>
          <w:rFonts w:ascii="宋体" w:hAnsi="宋体" w:cs="宋体"/>
        </w:rPr>
      </w:pPr>
    </w:p>
    <w:p w14:paraId="3D39F71B">
      <w:pPr>
        <w:rPr>
          <w:rFonts w:ascii="宋体" w:hAnsi="宋体" w:cs="宋体"/>
        </w:rPr>
      </w:pPr>
    </w:p>
    <w:p w14:paraId="54218E36">
      <w:pPr>
        <w:rPr>
          <w:rFonts w:ascii="宋体" w:hAnsi="宋体" w:cs="宋体"/>
        </w:rPr>
      </w:pPr>
    </w:p>
    <w:p w14:paraId="36E448F4">
      <w:pPr>
        <w:pStyle w:val="9"/>
        <w:rPr>
          <w:rFonts w:ascii="宋体" w:hAnsi="宋体" w:eastAsia="宋体" w:cs="宋体"/>
        </w:rPr>
      </w:pPr>
    </w:p>
    <w:p w14:paraId="02A7208C">
      <w:pPr>
        <w:pStyle w:val="9"/>
        <w:rPr>
          <w:rFonts w:ascii="宋体" w:hAnsi="宋体" w:eastAsia="宋体" w:cs="宋体"/>
        </w:rPr>
      </w:pPr>
    </w:p>
    <w:p w14:paraId="52B4A376">
      <w:pPr>
        <w:rPr>
          <w:rFonts w:ascii="宋体" w:hAnsi="宋体" w:cs="宋体"/>
        </w:rPr>
      </w:pPr>
      <w:r>
        <w:rPr>
          <w:rFonts w:ascii="宋体" w:hAnsi="宋体" w:cs="宋体"/>
        </w:rPr>
        <w:br w:type="page"/>
      </w:r>
    </w:p>
    <w:p w14:paraId="2734AA35">
      <w:pPr>
        <w:spacing w:line="360" w:lineRule="auto"/>
        <w:jc w:val="center"/>
        <w:rPr>
          <w:rFonts w:ascii="宋体" w:hAnsi="宋体" w:cs="宋体"/>
          <w:b/>
        </w:rPr>
      </w:pPr>
      <w:bookmarkStart w:id="316" w:name="_Toc428775656"/>
      <w:bookmarkStart w:id="317" w:name="_Toc428882017"/>
      <w:bookmarkStart w:id="318" w:name="_Toc430020805"/>
      <w:r>
        <w:rPr>
          <w:rFonts w:hint="eastAsia" w:ascii="宋体" w:hAnsi="宋体" w:cs="宋体"/>
          <w:b/>
        </w:rPr>
        <w:t>（三）</w:t>
      </w:r>
      <w:bookmarkEnd w:id="316"/>
      <w:bookmarkEnd w:id="317"/>
      <w:bookmarkEnd w:id="318"/>
      <w:r>
        <w:rPr>
          <w:rFonts w:hint="eastAsia" w:ascii="宋体" w:hAnsi="宋体" w:cs="宋体"/>
          <w:b/>
        </w:rPr>
        <w:t>投标人基本情况表</w:t>
      </w:r>
    </w:p>
    <w:tbl>
      <w:tblPr>
        <w:tblStyle w:val="26"/>
        <w:tblW w:w="93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3"/>
        <w:gridCol w:w="1108"/>
        <w:gridCol w:w="1331"/>
        <w:gridCol w:w="1332"/>
        <w:gridCol w:w="1332"/>
        <w:gridCol w:w="1332"/>
        <w:gridCol w:w="1332"/>
      </w:tblGrid>
      <w:tr w14:paraId="60E5E2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jc w:val="center"/>
        </w:trPr>
        <w:tc>
          <w:tcPr>
            <w:tcW w:w="1553" w:type="dxa"/>
            <w:vAlign w:val="center"/>
          </w:tcPr>
          <w:p w14:paraId="470C463C">
            <w:pPr>
              <w:autoSpaceDE w:val="0"/>
              <w:autoSpaceDN w:val="0"/>
              <w:adjustRightInd w:val="0"/>
              <w:spacing w:line="420" w:lineRule="exact"/>
              <w:jc w:val="center"/>
              <w:rPr>
                <w:rFonts w:hint="eastAsia" w:ascii="宋体" w:hAnsi="宋体" w:eastAsia="宋体" w:cs="宋体"/>
                <w:kern w:val="0"/>
                <w:szCs w:val="21"/>
                <w:lang w:eastAsia="zh-CN"/>
              </w:rPr>
            </w:pPr>
            <w:r>
              <w:rPr>
                <w:rFonts w:hint="eastAsia" w:ascii="宋体" w:hAnsi="宋体" w:cs="宋体"/>
                <w:kern w:val="0"/>
                <w:szCs w:val="21"/>
                <w:lang w:eastAsia="zh-CN"/>
              </w:rPr>
              <w:t>供应商名称</w:t>
            </w:r>
          </w:p>
        </w:tc>
        <w:tc>
          <w:tcPr>
            <w:tcW w:w="7767" w:type="dxa"/>
            <w:gridSpan w:val="6"/>
            <w:vAlign w:val="center"/>
          </w:tcPr>
          <w:p w14:paraId="1B74D84A">
            <w:pPr>
              <w:autoSpaceDE w:val="0"/>
              <w:autoSpaceDN w:val="0"/>
              <w:adjustRightInd w:val="0"/>
              <w:spacing w:line="420" w:lineRule="exact"/>
              <w:jc w:val="center"/>
              <w:rPr>
                <w:rFonts w:ascii="宋体" w:hAnsi="宋体" w:cs="宋体"/>
                <w:kern w:val="0"/>
                <w:szCs w:val="21"/>
              </w:rPr>
            </w:pPr>
          </w:p>
        </w:tc>
      </w:tr>
      <w:tr w14:paraId="27A45A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jc w:val="center"/>
        </w:trPr>
        <w:tc>
          <w:tcPr>
            <w:tcW w:w="1553" w:type="dxa"/>
            <w:vAlign w:val="center"/>
          </w:tcPr>
          <w:p w14:paraId="266E69C7">
            <w:pPr>
              <w:autoSpaceDE w:val="0"/>
              <w:autoSpaceDN w:val="0"/>
              <w:adjustRightInd w:val="0"/>
              <w:spacing w:line="420" w:lineRule="exact"/>
              <w:jc w:val="center"/>
              <w:rPr>
                <w:rFonts w:ascii="宋体" w:hAnsi="宋体" w:cs="宋体"/>
                <w:kern w:val="0"/>
                <w:szCs w:val="21"/>
              </w:rPr>
            </w:pPr>
            <w:r>
              <w:rPr>
                <w:rFonts w:hint="eastAsia" w:ascii="宋体" w:hAnsi="宋体" w:cs="宋体"/>
                <w:kern w:val="0"/>
                <w:szCs w:val="21"/>
              </w:rPr>
              <w:t>注册地址</w:t>
            </w:r>
          </w:p>
        </w:tc>
        <w:tc>
          <w:tcPr>
            <w:tcW w:w="3771" w:type="dxa"/>
            <w:gridSpan w:val="3"/>
            <w:vAlign w:val="center"/>
          </w:tcPr>
          <w:p w14:paraId="3A6555F5">
            <w:pPr>
              <w:autoSpaceDE w:val="0"/>
              <w:autoSpaceDN w:val="0"/>
              <w:adjustRightInd w:val="0"/>
              <w:spacing w:line="420" w:lineRule="exact"/>
              <w:jc w:val="center"/>
              <w:rPr>
                <w:rFonts w:ascii="宋体" w:hAnsi="宋体" w:cs="宋体"/>
                <w:kern w:val="0"/>
                <w:szCs w:val="21"/>
              </w:rPr>
            </w:pPr>
          </w:p>
        </w:tc>
        <w:tc>
          <w:tcPr>
            <w:tcW w:w="1332" w:type="dxa"/>
            <w:vAlign w:val="center"/>
          </w:tcPr>
          <w:p w14:paraId="7D9E061C">
            <w:pPr>
              <w:autoSpaceDE w:val="0"/>
              <w:autoSpaceDN w:val="0"/>
              <w:adjustRightInd w:val="0"/>
              <w:spacing w:line="420" w:lineRule="exact"/>
              <w:jc w:val="center"/>
              <w:rPr>
                <w:rFonts w:ascii="宋体" w:hAnsi="宋体" w:cs="宋体"/>
                <w:kern w:val="0"/>
                <w:szCs w:val="21"/>
              </w:rPr>
            </w:pPr>
            <w:r>
              <w:rPr>
                <w:rFonts w:hint="eastAsia" w:ascii="宋体" w:hAnsi="宋体" w:cs="宋体"/>
                <w:kern w:val="0"/>
                <w:szCs w:val="21"/>
              </w:rPr>
              <w:t>邮政编码</w:t>
            </w:r>
          </w:p>
        </w:tc>
        <w:tc>
          <w:tcPr>
            <w:tcW w:w="2664" w:type="dxa"/>
            <w:gridSpan w:val="2"/>
            <w:vAlign w:val="center"/>
          </w:tcPr>
          <w:p w14:paraId="2F9AA101">
            <w:pPr>
              <w:autoSpaceDE w:val="0"/>
              <w:autoSpaceDN w:val="0"/>
              <w:adjustRightInd w:val="0"/>
              <w:spacing w:line="420" w:lineRule="exact"/>
              <w:jc w:val="center"/>
              <w:rPr>
                <w:rFonts w:ascii="宋体" w:hAnsi="宋体" w:cs="宋体"/>
                <w:kern w:val="0"/>
                <w:szCs w:val="21"/>
              </w:rPr>
            </w:pPr>
          </w:p>
        </w:tc>
      </w:tr>
      <w:tr w14:paraId="6A141B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8" w:hRule="atLeast"/>
          <w:jc w:val="center"/>
        </w:trPr>
        <w:tc>
          <w:tcPr>
            <w:tcW w:w="1553" w:type="dxa"/>
            <w:vMerge w:val="restart"/>
            <w:vAlign w:val="center"/>
          </w:tcPr>
          <w:p w14:paraId="3E77F00D">
            <w:pPr>
              <w:autoSpaceDE w:val="0"/>
              <w:autoSpaceDN w:val="0"/>
              <w:adjustRightInd w:val="0"/>
              <w:spacing w:line="420" w:lineRule="exact"/>
              <w:jc w:val="center"/>
              <w:rPr>
                <w:rFonts w:ascii="宋体" w:hAnsi="宋体" w:cs="宋体"/>
                <w:kern w:val="0"/>
                <w:szCs w:val="21"/>
              </w:rPr>
            </w:pPr>
            <w:r>
              <w:rPr>
                <w:rFonts w:hint="eastAsia" w:ascii="宋体" w:hAnsi="宋体" w:cs="宋体"/>
                <w:kern w:val="0"/>
                <w:szCs w:val="21"/>
              </w:rPr>
              <w:t>联系方式</w:t>
            </w:r>
          </w:p>
        </w:tc>
        <w:tc>
          <w:tcPr>
            <w:tcW w:w="1108" w:type="dxa"/>
            <w:vAlign w:val="center"/>
          </w:tcPr>
          <w:p w14:paraId="7F50D3D1">
            <w:pPr>
              <w:autoSpaceDE w:val="0"/>
              <w:autoSpaceDN w:val="0"/>
              <w:adjustRightInd w:val="0"/>
              <w:spacing w:line="420" w:lineRule="exact"/>
              <w:jc w:val="center"/>
              <w:rPr>
                <w:rFonts w:ascii="宋体" w:hAnsi="宋体" w:cs="宋体"/>
                <w:kern w:val="0"/>
                <w:szCs w:val="21"/>
              </w:rPr>
            </w:pPr>
            <w:r>
              <w:rPr>
                <w:rFonts w:hint="eastAsia" w:ascii="宋体" w:hAnsi="宋体" w:cs="宋体"/>
                <w:kern w:val="0"/>
                <w:szCs w:val="21"/>
              </w:rPr>
              <w:t>联系人</w:t>
            </w:r>
          </w:p>
        </w:tc>
        <w:tc>
          <w:tcPr>
            <w:tcW w:w="2663" w:type="dxa"/>
            <w:gridSpan w:val="2"/>
            <w:vAlign w:val="center"/>
          </w:tcPr>
          <w:p w14:paraId="111E069F">
            <w:pPr>
              <w:autoSpaceDE w:val="0"/>
              <w:autoSpaceDN w:val="0"/>
              <w:adjustRightInd w:val="0"/>
              <w:spacing w:line="420" w:lineRule="exact"/>
              <w:jc w:val="center"/>
              <w:rPr>
                <w:rFonts w:ascii="宋体" w:hAnsi="宋体" w:cs="宋体"/>
                <w:kern w:val="0"/>
                <w:szCs w:val="21"/>
              </w:rPr>
            </w:pPr>
          </w:p>
        </w:tc>
        <w:tc>
          <w:tcPr>
            <w:tcW w:w="1332" w:type="dxa"/>
            <w:vAlign w:val="center"/>
          </w:tcPr>
          <w:p w14:paraId="5994E61C">
            <w:pPr>
              <w:autoSpaceDE w:val="0"/>
              <w:autoSpaceDN w:val="0"/>
              <w:adjustRightInd w:val="0"/>
              <w:spacing w:line="420" w:lineRule="exact"/>
              <w:jc w:val="center"/>
              <w:rPr>
                <w:rFonts w:ascii="宋体" w:hAnsi="宋体" w:cs="宋体"/>
                <w:kern w:val="0"/>
                <w:szCs w:val="21"/>
              </w:rPr>
            </w:pPr>
            <w:r>
              <w:rPr>
                <w:rFonts w:hint="eastAsia" w:ascii="宋体" w:hAnsi="宋体" w:cs="宋体"/>
                <w:kern w:val="0"/>
                <w:szCs w:val="21"/>
              </w:rPr>
              <w:t>电 话</w:t>
            </w:r>
          </w:p>
        </w:tc>
        <w:tc>
          <w:tcPr>
            <w:tcW w:w="2664" w:type="dxa"/>
            <w:gridSpan w:val="2"/>
            <w:vAlign w:val="center"/>
          </w:tcPr>
          <w:p w14:paraId="3774D42B">
            <w:pPr>
              <w:autoSpaceDE w:val="0"/>
              <w:autoSpaceDN w:val="0"/>
              <w:adjustRightInd w:val="0"/>
              <w:spacing w:line="420" w:lineRule="exact"/>
              <w:jc w:val="center"/>
              <w:rPr>
                <w:rFonts w:ascii="宋体" w:hAnsi="宋体" w:cs="宋体"/>
                <w:kern w:val="0"/>
                <w:szCs w:val="21"/>
              </w:rPr>
            </w:pPr>
          </w:p>
        </w:tc>
      </w:tr>
      <w:tr w14:paraId="033C17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1" w:hRule="atLeast"/>
          <w:jc w:val="center"/>
        </w:trPr>
        <w:tc>
          <w:tcPr>
            <w:tcW w:w="1553" w:type="dxa"/>
            <w:vMerge w:val="continue"/>
            <w:vAlign w:val="center"/>
          </w:tcPr>
          <w:p w14:paraId="16566B6B">
            <w:pPr>
              <w:autoSpaceDE w:val="0"/>
              <w:autoSpaceDN w:val="0"/>
              <w:adjustRightInd w:val="0"/>
              <w:spacing w:line="420" w:lineRule="exact"/>
              <w:jc w:val="center"/>
              <w:rPr>
                <w:rFonts w:ascii="宋体" w:hAnsi="宋体" w:cs="宋体"/>
                <w:kern w:val="0"/>
                <w:szCs w:val="21"/>
              </w:rPr>
            </w:pPr>
          </w:p>
        </w:tc>
        <w:tc>
          <w:tcPr>
            <w:tcW w:w="1108" w:type="dxa"/>
            <w:vAlign w:val="center"/>
          </w:tcPr>
          <w:p w14:paraId="2BC74A22">
            <w:pPr>
              <w:autoSpaceDE w:val="0"/>
              <w:autoSpaceDN w:val="0"/>
              <w:adjustRightInd w:val="0"/>
              <w:spacing w:line="420" w:lineRule="exact"/>
              <w:jc w:val="center"/>
              <w:rPr>
                <w:rFonts w:ascii="宋体" w:hAnsi="宋体" w:cs="宋体"/>
                <w:kern w:val="0"/>
                <w:szCs w:val="21"/>
              </w:rPr>
            </w:pPr>
            <w:r>
              <w:rPr>
                <w:rFonts w:hint="eastAsia" w:ascii="宋体" w:hAnsi="宋体" w:cs="宋体"/>
                <w:kern w:val="0"/>
                <w:szCs w:val="21"/>
              </w:rPr>
              <w:t>传  真</w:t>
            </w:r>
          </w:p>
        </w:tc>
        <w:tc>
          <w:tcPr>
            <w:tcW w:w="2663" w:type="dxa"/>
            <w:gridSpan w:val="2"/>
            <w:vAlign w:val="center"/>
          </w:tcPr>
          <w:p w14:paraId="5B51E9FD">
            <w:pPr>
              <w:autoSpaceDE w:val="0"/>
              <w:autoSpaceDN w:val="0"/>
              <w:adjustRightInd w:val="0"/>
              <w:spacing w:line="420" w:lineRule="exact"/>
              <w:jc w:val="center"/>
              <w:rPr>
                <w:rFonts w:ascii="宋体" w:hAnsi="宋体" w:cs="宋体"/>
                <w:kern w:val="0"/>
                <w:szCs w:val="21"/>
              </w:rPr>
            </w:pPr>
          </w:p>
        </w:tc>
        <w:tc>
          <w:tcPr>
            <w:tcW w:w="1332" w:type="dxa"/>
            <w:vAlign w:val="center"/>
          </w:tcPr>
          <w:p w14:paraId="502E138A">
            <w:pPr>
              <w:autoSpaceDE w:val="0"/>
              <w:autoSpaceDN w:val="0"/>
              <w:adjustRightInd w:val="0"/>
              <w:spacing w:line="420" w:lineRule="exact"/>
              <w:jc w:val="center"/>
              <w:rPr>
                <w:rFonts w:ascii="宋体" w:hAnsi="宋体" w:cs="宋体"/>
                <w:kern w:val="0"/>
                <w:szCs w:val="21"/>
              </w:rPr>
            </w:pPr>
            <w:r>
              <w:rPr>
                <w:rFonts w:hint="eastAsia" w:ascii="宋体" w:hAnsi="宋体" w:cs="宋体"/>
                <w:kern w:val="0"/>
                <w:szCs w:val="21"/>
              </w:rPr>
              <w:t>网 址</w:t>
            </w:r>
          </w:p>
        </w:tc>
        <w:tc>
          <w:tcPr>
            <w:tcW w:w="2664" w:type="dxa"/>
            <w:gridSpan w:val="2"/>
            <w:vAlign w:val="center"/>
          </w:tcPr>
          <w:p w14:paraId="073F8460">
            <w:pPr>
              <w:autoSpaceDE w:val="0"/>
              <w:autoSpaceDN w:val="0"/>
              <w:adjustRightInd w:val="0"/>
              <w:spacing w:line="420" w:lineRule="exact"/>
              <w:jc w:val="center"/>
              <w:rPr>
                <w:rFonts w:ascii="宋体" w:hAnsi="宋体" w:cs="宋体"/>
                <w:kern w:val="0"/>
                <w:szCs w:val="21"/>
              </w:rPr>
            </w:pPr>
          </w:p>
        </w:tc>
      </w:tr>
      <w:tr w14:paraId="6CA6A9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jc w:val="center"/>
        </w:trPr>
        <w:tc>
          <w:tcPr>
            <w:tcW w:w="1553" w:type="dxa"/>
            <w:vAlign w:val="center"/>
          </w:tcPr>
          <w:p w14:paraId="2BD9C00C">
            <w:pPr>
              <w:autoSpaceDE w:val="0"/>
              <w:autoSpaceDN w:val="0"/>
              <w:adjustRightInd w:val="0"/>
              <w:spacing w:line="420" w:lineRule="exact"/>
              <w:jc w:val="center"/>
              <w:rPr>
                <w:rFonts w:ascii="宋体" w:hAnsi="宋体" w:cs="宋体"/>
                <w:kern w:val="0"/>
                <w:szCs w:val="21"/>
              </w:rPr>
            </w:pPr>
            <w:r>
              <w:rPr>
                <w:rFonts w:hint="eastAsia" w:ascii="宋体" w:hAnsi="宋体" w:cs="宋体"/>
                <w:kern w:val="0"/>
                <w:szCs w:val="21"/>
              </w:rPr>
              <w:t>法定代表人</w:t>
            </w:r>
          </w:p>
        </w:tc>
        <w:tc>
          <w:tcPr>
            <w:tcW w:w="1108" w:type="dxa"/>
            <w:vAlign w:val="center"/>
          </w:tcPr>
          <w:p w14:paraId="7A909207">
            <w:pPr>
              <w:autoSpaceDE w:val="0"/>
              <w:autoSpaceDN w:val="0"/>
              <w:adjustRightInd w:val="0"/>
              <w:spacing w:line="420" w:lineRule="exact"/>
              <w:jc w:val="center"/>
              <w:rPr>
                <w:rFonts w:ascii="宋体" w:hAnsi="宋体" w:cs="宋体"/>
                <w:kern w:val="0"/>
                <w:szCs w:val="21"/>
              </w:rPr>
            </w:pPr>
            <w:r>
              <w:rPr>
                <w:rFonts w:hint="eastAsia" w:ascii="宋体" w:hAnsi="宋体" w:cs="宋体"/>
                <w:kern w:val="0"/>
                <w:szCs w:val="21"/>
              </w:rPr>
              <w:t>姓名</w:t>
            </w:r>
          </w:p>
        </w:tc>
        <w:tc>
          <w:tcPr>
            <w:tcW w:w="1331" w:type="dxa"/>
            <w:vAlign w:val="center"/>
          </w:tcPr>
          <w:p w14:paraId="25BE4E35">
            <w:pPr>
              <w:autoSpaceDE w:val="0"/>
              <w:autoSpaceDN w:val="0"/>
              <w:adjustRightInd w:val="0"/>
              <w:spacing w:line="420" w:lineRule="exact"/>
              <w:jc w:val="center"/>
              <w:rPr>
                <w:rFonts w:ascii="宋体" w:hAnsi="宋体" w:cs="宋体"/>
                <w:kern w:val="0"/>
                <w:szCs w:val="21"/>
              </w:rPr>
            </w:pPr>
          </w:p>
        </w:tc>
        <w:tc>
          <w:tcPr>
            <w:tcW w:w="1332" w:type="dxa"/>
            <w:vAlign w:val="center"/>
          </w:tcPr>
          <w:p w14:paraId="6A78F936">
            <w:pPr>
              <w:autoSpaceDE w:val="0"/>
              <w:autoSpaceDN w:val="0"/>
              <w:adjustRightInd w:val="0"/>
              <w:spacing w:line="420" w:lineRule="exact"/>
              <w:jc w:val="center"/>
              <w:rPr>
                <w:rFonts w:ascii="宋体" w:hAnsi="宋体" w:cs="宋体"/>
                <w:kern w:val="0"/>
                <w:szCs w:val="21"/>
              </w:rPr>
            </w:pPr>
            <w:r>
              <w:rPr>
                <w:rFonts w:hint="eastAsia" w:ascii="宋体" w:hAnsi="宋体" w:cs="宋体"/>
                <w:kern w:val="0"/>
                <w:szCs w:val="21"/>
              </w:rPr>
              <w:t>职务</w:t>
            </w:r>
          </w:p>
        </w:tc>
        <w:tc>
          <w:tcPr>
            <w:tcW w:w="1332" w:type="dxa"/>
            <w:vAlign w:val="center"/>
          </w:tcPr>
          <w:p w14:paraId="602C8529">
            <w:pPr>
              <w:autoSpaceDE w:val="0"/>
              <w:autoSpaceDN w:val="0"/>
              <w:adjustRightInd w:val="0"/>
              <w:spacing w:line="420" w:lineRule="exact"/>
              <w:jc w:val="center"/>
              <w:rPr>
                <w:rFonts w:ascii="宋体" w:hAnsi="宋体" w:cs="宋体"/>
                <w:kern w:val="0"/>
                <w:szCs w:val="21"/>
              </w:rPr>
            </w:pPr>
          </w:p>
        </w:tc>
        <w:tc>
          <w:tcPr>
            <w:tcW w:w="1332" w:type="dxa"/>
            <w:vAlign w:val="center"/>
          </w:tcPr>
          <w:p w14:paraId="44A204CF">
            <w:pPr>
              <w:autoSpaceDE w:val="0"/>
              <w:autoSpaceDN w:val="0"/>
              <w:adjustRightInd w:val="0"/>
              <w:spacing w:line="420" w:lineRule="exact"/>
              <w:jc w:val="center"/>
              <w:rPr>
                <w:rFonts w:ascii="宋体" w:hAnsi="宋体" w:cs="宋体"/>
                <w:kern w:val="0"/>
                <w:szCs w:val="21"/>
              </w:rPr>
            </w:pPr>
            <w:r>
              <w:rPr>
                <w:rFonts w:hint="eastAsia" w:ascii="宋体" w:hAnsi="宋体" w:cs="宋体"/>
                <w:kern w:val="0"/>
                <w:szCs w:val="21"/>
              </w:rPr>
              <w:t>电话</w:t>
            </w:r>
          </w:p>
        </w:tc>
        <w:tc>
          <w:tcPr>
            <w:tcW w:w="1332" w:type="dxa"/>
            <w:vAlign w:val="center"/>
          </w:tcPr>
          <w:p w14:paraId="089028B3">
            <w:pPr>
              <w:autoSpaceDE w:val="0"/>
              <w:autoSpaceDN w:val="0"/>
              <w:adjustRightInd w:val="0"/>
              <w:spacing w:line="420" w:lineRule="exact"/>
              <w:jc w:val="center"/>
              <w:rPr>
                <w:rFonts w:ascii="宋体" w:hAnsi="宋体" w:cs="宋体"/>
                <w:kern w:val="0"/>
                <w:szCs w:val="21"/>
              </w:rPr>
            </w:pPr>
          </w:p>
        </w:tc>
      </w:tr>
      <w:tr w14:paraId="463DD2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jc w:val="center"/>
        </w:trPr>
        <w:tc>
          <w:tcPr>
            <w:tcW w:w="1553" w:type="dxa"/>
            <w:vAlign w:val="center"/>
          </w:tcPr>
          <w:p w14:paraId="329D626F">
            <w:pPr>
              <w:autoSpaceDE w:val="0"/>
              <w:autoSpaceDN w:val="0"/>
              <w:adjustRightInd w:val="0"/>
              <w:spacing w:line="420" w:lineRule="exact"/>
              <w:jc w:val="center"/>
              <w:rPr>
                <w:rFonts w:ascii="宋体" w:hAnsi="宋体" w:cs="宋体"/>
                <w:kern w:val="0"/>
                <w:szCs w:val="21"/>
              </w:rPr>
            </w:pPr>
            <w:r>
              <w:rPr>
                <w:rFonts w:hint="eastAsia" w:ascii="宋体" w:hAnsi="宋体" w:cs="宋体"/>
                <w:kern w:val="0"/>
                <w:szCs w:val="21"/>
              </w:rPr>
              <w:t>授权委托人</w:t>
            </w:r>
          </w:p>
        </w:tc>
        <w:tc>
          <w:tcPr>
            <w:tcW w:w="1108" w:type="dxa"/>
            <w:vAlign w:val="center"/>
          </w:tcPr>
          <w:p w14:paraId="77BAF7C4">
            <w:pPr>
              <w:autoSpaceDE w:val="0"/>
              <w:autoSpaceDN w:val="0"/>
              <w:adjustRightInd w:val="0"/>
              <w:spacing w:line="420" w:lineRule="exact"/>
              <w:jc w:val="center"/>
              <w:rPr>
                <w:rFonts w:ascii="宋体" w:hAnsi="宋体" w:cs="宋体"/>
                <w:kern w:val="0"/>
                <w:szCs w:val="21"/>
              </w:rPr>
            </w:pPr>
            <w:r>
              <w:rPr>
                <w:rFonts w:hint="eastAsia" w:ascii="宋体" w:hAnsi="宋体" w:cs="宋体"/>
                <w:kern w:val="0"/>
                <w:szCs w:val="21"/>
              </w:rPr>
              <w:t>姓名</w:t>
            </w:r>
          </w:p>
        </w:tc>
        <w:tc>
          <w:tcPr>
            <w:tcW w:w="1331" w:type="dxa"/>
            <w:vAlign w:val="center"/>
          </w:tcPr>
          <w:p w14:paraId="521D3770">
            <w:pPr>
              <w:autoSpaceDE w:val="0"/>
              <w:autoSpaceDN w:val="0"/>
              <w:adjustRightInd w:val="0"/>
              <w:spacing w:line="420" w:lineRule="exact"/>
              <w:jc w:val="center"/>
              <w:rPr>
                <w:rFonts w:ascii="宋体" w:hAnsi="宋体" w:cs="宋体"/>
                <w:kern w:val="0"/>
                <w:szCs w:val="21"/>
              </w:rPr>
            </w:pPr>
          </w:p>
        </w:tc>
        <w:tc>
          <w:tcPr>
            <w:tcW w:w="1332" w:type="dxa"/>
            <w:vAlign w:val="center"/>
          </w:tcPr>
          <w:p w14:paraId="1B39F85E">
            <w:pPr>
              <w:autoSpaceDE w:val="0"/>
              <w:autoSpaceDN w:val="0"/>
              <w:adjustRightInd w:val="0"/>
              <w:spacing w:line="420" w:lineRule="exact"/>
              <w:jc w:val="center"/>
              <w:rPr>
                <w:rFonts w:ascii="宋体" w:hAnsi="宋体" w:cs="宋体"/>
                <w:kern w:val="0"/>
                <w:szCs w:val="21"/>
              </w:rPr>
            </w:pPr>
            <w:r>
              <w:rPr>
                <w:rFonts w:hint="eastAsia" w:ascii="宋体" w:hAnsi="宋体" w:cs="宋体"/>
                <w:kern w:val="0"/>
                <w:szCs w:val="21"/>
              </w:rPr>
              <w:t>职务</w:t>
            </w:r>
          </w:p>
        </w:tc>
        <w:tc>
          <w:tcPr>
            <w:tcW w:w="1332" w:type="dxa"/>
            <w:vAlign w:val="center"/>
          </w:tcPr>
          <w:p w14:paraId="3A9E7FD2">
            <w:pPr>
              <w:autoSpaceDE w:val="0"/>
              <w:autoSpaceDN w:val="0"/>
              <w:adjustRightInd w:val="0"/>
              <w:spacing w:line="420" w:lineRule="exact"/>
              <w:jc w:val="center"/>
              <w:rPr>
                <w:rFonts w:ascii="宋体" w:hAnsi="宋体" w:cs="宋体"/>
                <w:kern w:val="0"/>
                <w:szCs w:val="21"/>
              </w:rPr>
            </w:pPr>
          </w:p>
        </w:tc>
        <w:tc>
          <w:tcPr>
            <w:tcW w:w="1332" w:type="dxa"/>
            <w:vAlign w:val="center"/>
          </w:tcPr>
          <w:p w14:paraId="70A16519">
            <w:pPr>
              <w:autoSpaceDE w:val="0"/>
              <w:autoSpaceDN w:val="0"/>
              <w:adjustRightInd w:val="0"/>
              <w:spacing w:line="420" w:lineRule="exact"/>
              <w:jc w:val="center"/>
              <w:rPr>
                <w:rFonts w:ascii="宋体" w:hAnsi="宋体" w:cs="宋体"/>
                <w:kern w:val="0"/>
                <w:szCs w:val="21"/>
              </w:rPr>
            </w:pPr>
            <w:r>
              <w:rPr>
                <w:rFonts w:hint="eastAsia" w:ascii="宋体" w:hAnsi="宋体" w:cs="宋体"/>
                <w:kern w:val="0"/>
                <w:szCs w:val="21"/>
              </w:rPr>
              <w:t>电话</w:t>
            </w:r>
          </w:p>
        </w:tc>
        <w:tc>
          <w:tcPr>
            <w:tcW w:w="1332" w:type="dxa"/>
            <w:vAlign w:val="center"/>
          </w:tcPr>
          <w:p w14:paraId="65D59C07">
            <w:pPr>
              <w:autoSpaceDE w:val="0"/>
              <w:autoSpaceDN w:val="0"/>
              <w:adjustRightInd w:val="0"/>
              <w:spacing w:line="420" w:lineRule="exact"/>
              <w:jc w:val="center"/>
              <w:rPr>
                <w:rFonts w:ascii="宋体" w:hAnsi="宋体" w:cs="宋体"/>
                <w:kern w:val="0"/>
                <w:szCs w:val="21"/>
              </w:rPr>
            </w:pPr>
          </w:p>
        </w:tc>
      </w:tr>
      <w:tr w14:paraId="008A5C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jc w:val="center"/>
        </w:trPr>
        <w:tc>
          <w:tcPr>
            <w:tcW w:w="1553" w:type="dxa"/>
            <w:vAlign w:val="center"/>
          </w:tcPr>
          <w:p w14:paraId="0FBC594B">
            <w:pPr>
              <w:autoSpaceDE w:val="0"/>
              <w:autoSpaceDN w:val="0"/>
              <w:adjustRightInd w:val="0"/>
              <w:spacing w:line="420" w:lineRule="exact"/>
              <w:jc w:val="center"/>
              <w:rPr>
                <w:rFonts w:ascii="宋体" w:hAnsi="宋体" w:cs="宋体"/>
                <w:kern w:val="0"/>
                <w:szCs w:val="21"/>
              </w:rPr>
            </w:pPr>
            <w:r>
              <w:rPr>
                <w:rFonts w:hint="eastAsia" w:ascii="宋体" w:hAnsi="宋体" w:cs="宋体"/>
                <w:kern w:val="0"/>
                <w:szCs w:val="21"/>
              </w:rPr>
              <w:t>成立时间</w:t>
            </w:r>
          </w:p>
        </w:tc>
        <w:tc>
          <w:tcPr>
            <w:tcW w:w="3771" w:type="dxa"/>
            <w:gridSpan w:val="3"/>
            <w:vAlign w:val="center"/>
          </w:tcPr>
          <w:p w14:paraId="05213F4F">
            <w:pPr>
              <w:autoSpaceDE w:val="0"/>
              <w:autoSpaceDN w:val="0"/>
              <w:adjustRightInd w:val="0"/>
              <w:spacing w:line="420" w:lineRule="exact"/>
              <w:jc w:val="center"/>
              <w:rPr>
                <w:rFonts w:ascii="宋体" w:hAnsi="宋体" w:cs="宋体"/>
                <w:kern w:val="0"/>
                <w:szCs w:val="21"/>
              </w:rPr>
            </w:pPr>
          </w:p>
        </w:tc>
        <w:tc>
          <w:tcPr>
            <w:tcW w:w="3996" w:type="dxa"/>
            <w:gridSpan w:val="3"/>
            <w:vAlign w:val="center"/>
          </w:tcPr>
          <w:p w14:paraId="63E091B8">
            <w:pPr>
              <w:autoSpaceDE w:val="0"/>
              <w:autoSpaceDN w:val="0"/>
              <w:adjustRightInd w:val="0"/>
              <w:spacing w:line="420" w:lineRule="exact"/>
              <w:jc w:val="center"/>
              <w:rPr>
                <w:rFonts w:ascii="宋体" w:hAnsi="宋体" w:cs="宋体"/>
                <w:kern w:val="0"/>
                <w:szCs w:val="21"/>
              </w:rPr>
            </w:pPr>
            <w:r>
              <w:rPr>
                <w:rFonts w:hint="eastAsia" w:ascii="宋体" w:hAnsi="宋体" w:cs="宋体"/>
                <w:kern w:val="0"/>
                <w:szCs w:val="21"/>
              </w:rPr>
              <w:t>员工总人数：</w:t>
            </w:r>
          </w:p>
        </w:tc>
      </w:tr>
      <w:tr w14:paraId="5A9ACB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55" w:hRule="atLeast"/>
          <w:jc w:val="center"/>
        </w:trPr>
        <w:tc>
          <w:tcPr>
            <w:tcW w:w="1553" w:type="dxa"/>
            <w:vAlign w:val="center"/>
          </w:tcPr>
          <w:p w14:paraId="373A0400">
            <w:pPr>
              <w:autoSpaceDE w:val="0"/>
              <w:autoSpaceDN w:val="0"/>
              <w:adjustRightInd w:val="0"/>
              <w:spacing w:line="420" w:lineRule="exact"/>
              <w:jc w:val="center"/>
              <w:rPr>
                <w:rFonts w:ascii="宋体" w:hAnsi="宋体" w:cs="宋体"/>
                <w:kern w:val="0"/>
                <w:szCs w:val="21"/>
              </w:rPr>
            </w:pPr>
            <w:r>
              <w:rPr>
                <w:rFonts w:hint="eastAsia" w:ascii="宋体" w:hAnsi="宋体" w:cs="宋体"/>
                <w:kern w:val="0"/>
                <w:szCs w:val="21"/>
              </w:rPr>
              <w:t>开户银行及</w:t>
            </w:r>
          </w:p>
          <w:p w14:paraId="5A868933">
            <w:pPr>
              <w:autoSpaceDE w:val="0"/>
              <w:autoSpaceDN w:val="0"/>
              <w:adjustRightInd w:val="0"/>
              <w:spacing w:line="420" w:lineRule="exact"/>
              <w:jc w:val="center"/>
              <w:rPr>
                <w:rFonts w:ascii="宋体" w:hAnsi="宋体" w:cs="宋体"/>
                <w:kern w:val="0"/>
                <w:szCs w:val="21"/>
              </w:rPr>
            </w:pPr>
            <w:r>
              <w:rPr>
                <w:rFonts w:hint="eastAsia" w:ascii="宋体" w:hAnsi="宋体" w:cs="宋体"/>
                <w:kern w:val="0"/>
                <w:szCs w:val="21"/>
              </w:rPr>
              <w:t>账号</w:t>
            </w:r>
          </w:p>
        </w:tc>
        <w:tc>
          <w:tcPr>
            <w:tcW w:w="7767" w:type="dxa"/>
            <w:gridSpan w:val="6"/>
            <w:vAlign w:val="center"/>
          </w:tcPr>
          <w:p w14:paraId="4D876D5E">
            <w:pPr>
              <w:autoSpaceDE w:val="0"/>
              <w:autoSpaceDN w:val="0"/>
              <w:adjustRightInd w:val="0"/>
              <w:spacing w:line="420" w:lineRule="exact"/>
              <w:jc w:val="center"/>
              <w:rPr>
                <w:rFonts w:ascii="宋体" w:hAnsi="宋体" w:cs="宋体"/>
                <w:kern w:val="0"/>
                <w:szCs w:val="21"/>
              </w:rPr>
            </w:pPr>
          </w:p>
        </w:tc>
      </w:tr>
      <w:tr w14:paraId="59D08E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2" w:hRule="atLeast"/>
          <w:jc w:val="center"/>
        </w:trPr>
        <w:tc>
          <w:tcPr>
            <w:tcW w:w="1553" w:type="dxa"/>
            <w:vAlign w:val="center"/>
          </w:tcPr>
          <w:p w14:paraId="5451478F">
            <w:pPr>
              <w:autoSpaceDE w:val="0"/>
              <w:autoSpaceDN w:val="0"/>
              <w:adjustRightInd w:val="0"/>
              <w:spacing w:line="420" w:lineRule="exact"/>
              <w:jc w:val="center"/>
              <w:rPr>
                <w:rFonts w:ascii="宋体" w:hAnsi="宋体" w:cs="宋体"/>
                <w:kern w:val="0"/>
                <w:szCs w:val="21"/>
              </w:rPr>
            </w:pPr>
            <w:r>
              <w:rPr>
                <w:rFonts w:hint="eastAsia" w:ascii="宋体" w:hAnsi="宋体" w:cs="宋体"/>
                <w:kern w:val="0"/>
                <w:szCs w:val="21"/>
              </w:rPr>
              <w:t>单位概况</w:t>
            </w:r>
          </w:p>
        </w:tc>
        <w:tc>
          <w:tcPr>
            <w:tcW w:w="7767" w:type="dxa"/>
            <w:gridSpan w:val="6"/>
            <w:vAlign w:val="center"/>
          </w:tcPr>
          <w:p w14:paraId="7A4B7792">
            <w:pPr>
              <w:autoSpaceDE w:val="0"/>
              <w:autoSpaceDN w:val="0"/>
              <w:adjustRightInd w:val="0"/>
              <w:spacing w:line="420" w:lineRule="exact"/>
              <w:jc w:val="center"/>
              <w:rPr>
                <w:rFonts w:ascii="宋体" w:hAnsi="宋体" w:cs="宋体"/>
                <w:kern w:val="0"/>
                <w:szCs w:val="21"/>
              </w:rPr>
            </w:pPr>
          </w:p>
        </w:tc>
      </w:tr>
      <w:tr w14:paraId="71FCCD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76" w:hRule="atLeast"/>
          <w:jc w:val="center"/>
        </w:trPr>
        <w:tc>
          <w:tcPr>
            <w:tcW w:w="1553" w:type="dxa"/>
            <w:vAlign w:val="center"/>
          </w:tcPr>
          <w:p w14:paraId="5B85330F">
            <w:pPr>
              <w:autoSpaceDE w:val="0"/>
              <w:autoSpaceDN w:val="0"/>
              <w:adjustRightInd w:val="0"/>
              <w:spacing w:line="420" w:lineRule="exact"/>
              <w:jc w:val="center"/>
              <w:rPr>
                <w:rFonts w:ascii="宋体" w:hAnsi="宋体" w:cs="宋体"/>
                <w:kern w:val="0"/>
                <w:szCs w:val="21"/>
              </w:rPr>
            </w:pPr>
            <w:r>
              <w:rPr>
                <w:rFonts w:hint="eastAsia" w:ascii="宋体" w:hAnsi="宋体" w:cs="宋体"/>
                <w:kern w:val="0"/>
                <w:szCs w:val="21"/>
              </w:rPr>
              <w:t>主要项目情况</w:t>
            </w:r>
          </w:p>
        </w:tc>
        <w:tc>
          <w:tcPr>
            <w:tcW w:w="7767" w:type="dxa"/>
            <w:gridSpan w:val="6"/>
            <w:vAlign w:val="center"/>
          </w:tcPr>
          <w:p w14:paraId="2CCDEFE6">
            <w:pPr>
              <w:autoSpaceDE w:val="0"/>
              <w:autoSpaceDN w:val="0"/>
              <w:adjustRightInd w:val="0"/>
              <w:spacing w:line="420" w:lineRule="exact"/>
              <w:jc w:val="center"/>
              <w:rPr>
                <w:rFonts w:ascii="宋体" w:hAnsi="宋体" w:cs="宋体"/>
                <w:kern w:val="0"/>
                <w:szCs w:val="21"/>
              </w:rPr>
            </w:pPr>
          </w:p>
        </w:tc>
      </w:tr>
      <w:tr w14:paraId="113BE6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8" w:hRule="atLeast"/>
          <w:jc w:val="center"/>
        </w:trPr>
        <w:tc>
          <w:tcPr>
            <w:tcW w:w="1553" w:type="dxa"/>
            <w:vAlign w:val="center"/>
          </w:tcPr>
          <w:p w14:paraId="0802F1A6">
            <w:pPr>
              <w:autoSpaceDE w:val="0"/>
              <w:autoSpaceDN w:val="0"/>
              <w:adjustRightInd w:val="0"/>
              <w:spacing w:line="420" w:lineRule="exact"/>
              <w:jc w:val="center"/>
              <w:rPr>
                <w:rFonts w:ascii="宋体" w:hAnsi="宋体" w:cs="宋体"/>
                <w:kern w:val="0"/>
                <w:szCs w:val="21"/>
              </w:rPr>
            </w:pPr>
            <w:r>
              <w:rPr>
                <w:rFonts w:hint="eastAsia" w:ascii="宋体" w:hAnsi="宋体" w:cs="宋体"/>
                <w:kern w:val="0"/>
                <w:szCs w:val="21"/>
              </w:rPr>
              <w:t>备注</w:t>
            </w:r>
          </w:p>
        </w:tc>
        <w:tc>
          <w:tcPr>
            <w:tcW w:w="7767" w:type="dxa"/>
            <w:gridSpan w:val="6"/>
            <w:vAlign w:val="center"/>
          </w:tcPr>
          <w:p w14:paraId="1F191D07">
            <w:pPr>
              <w:autoSpaceDE w:val="0"/>
              <w:autoSpaceDN w:val="0"/>
              <w:adjustRightInd w:val="0"/>
              <w:spacing w:line="420" w:lineRule="exact"/>
              <w:jc w:val="center"/>
              <w:rPr>
                <w:rFonts w:ascii="宋体" w:hAnsi="宋体" w:cs="宋体"/>
                <w:kern w:val="0"/>
                <w:szCs w:val="21"/>
              </w:rPr>
            </w:pPr>
          </w:p>
        </w:tc>
      </w:tr>
    </w:tbl>
    <w:p w14:paraId="7261677C">
      <w:pPr>
        <w:rPr>
          <w:rFonts w:ascii="宋体" w:hAnsi="宋体" w:cs="宋体"/>
          <w:b/>
        </w:rPr>
      </w:pPr>
    </w:p>
    <w:p w14:paraId="20A2A96D">
      <w:pPr>
        <w:spacing w:line="500" w:lineRule="exact"/>
        <w:rPr>
          <w:rFonts w:ascii="宋体" w:hAnsi="宋体" w:cs="宋体"/>
          <w:szCs w:val="21"/>
        </w:rPr>
      </w:pPr>
      <w:bookmarkStart w:id="319" w:name="_Toc480942357"/>
      <w:bookmarkStart w:id="320" w:name="_Ref467988471"/>
      <w:bookmarkStart w:id="321" w:name="_Ref467990100"/>
      <w:bookmarkStart w:id="322" w:name="_Toc181348191"/>
      <w:bookmarkStart w:id="323" w:name="_Toc428775658"/>
      <w:bookmarkStart w:id="324" w:name="_Ref467990101"/>
      <w:bookmarkStart w:id="325" w:name="_Toc520125062"/>
      <w:bookmarkStart w:id="326" w:name="_Toc520356228"/>
      <w:bookmarkStart w:id="327" w:name="_Toc248025939"/>
      <w:bookmarkStart w:id="328" w:name="_Ref467990058"/>
      <w:bookmarkStart w:id="329" w:name="_Ref467988485"/>
      <w:bookmarkStart w:id="330" w:name="_Toc275431246"/>
      <w:bookmarkStart w:id="331" w:name="_Ref467988479"/>
      <w:bookmarkStart w:id="332" w:name="_Toc137651756"/>
      <w:bookmarkStart w:id="333" w:name="_Toc520356229"/>
      <w:bookmarkStart w:id="334" w:name="_Toc480942358"/>
      <w:bookmarkStart w:id="335" w:name="_Toc520125061"/>
      <w:bookmarkStart w:id="336" w:name="_Ref467990064"/>
      <w:bookmarkStart w:id="337" w:name="_Toc181344381"/>
      <w:bookmarkStart w:id="338" w:name="_Toc179456578"/>
      <w:bookmarkStart w:id="339" w:name="_Toc181344375"/>
      <w:bookmarkStart w:id="340" w:name="_Toc248025933"/>
      <w:bookmarkStart w:id="341" w:name="_Toc275431240"/>
      <w:bookmarkStart w:id="342" w:name="_Toc181348185"/>
      <w:r>
        <w:rPr>
          <w:rFonts w:hint="eastAsia" w:ascii="宋体" w:hAnsi="宋体" w:cs="宋体"/>
          <w:szCs w:val="21"/>
        </w:rPr>
        <w:t>备注：本表后应附有效的营业执照（副本）等资格证明文件；</w:t>
      </w:r>
    </w:p>
    <w:p w14:paraId="560D6B3F">
      <w:pPr>
        <w:rPr>
          <w:rFonts w:hint="default" w:ascii="宋体" w:hAnsi="宋体" w:eastAsia="宋体" w:cs="宋体"/>
          <w:lang w:val="en-US" w:eastAsia="zh-CN"/>
        </w:rPr>
      </w:pPr>
      <w:r>
        <w:rPr>
          <w:rFonts w:hint="eastAsia" w:ascii="宋体" w:hAnsi="宋体" w:cs="宋体"/>
          <w:lang w:eastAsia="zh-CN"/>
        </w:rPr>
        <w:t>根据</w:t>
      </w:r>
      <w:r>
        <w:rPr>
          <w:rFonts w:hint="eastAsia" w:ascii="宋体" w:hAnsi="宋体" w:cs="宋体"/>
        </w:rPr>
        <w:t xml:space="preserve">第二章 </w:t>
      </w:r>
      <w:r>
        <w:rPr>
          <w:rFonts w:hint="eastAsia" w:ascii="宋体" w:hAnsi="宋体" w:cs="宋体"/>
          <w:lang w:eastAsia="zh-CN"/>
        </w:rPr>
        <w:t>供应商须知第</w:t>
      </w:r>
      <w:r>
        <w:rPr>
          <w:rFonts w:hint="eastAsia" w:ascii="宋体" w:hAnsi="宋体" w:cs="宋体"/>
          <w:lang w:val="en-US" w:eastAsia="zh-CN"/>
        </w:rPr>
        <w:t>1.4.1供应商资格要求，提供相应资料。</w:t>
      </w:r>
    </w:p>
    <w:p w14:paraId="50548951">
      <w:pPr>
        <w:rPr>
          <w:rFonts w:ascii="宋体" w:hAnsi="宋体" w:cs="宋体"/>
        </w:rPr>
      </w:pPr>
    </w:p>
    <w:p w14:paraId="14DF5035">
      <w:pPr>
        <w:pStyle w:val="9"/>
        <w:rPr>
          <w:rFonts w:ascii="宋体" w:hAnsi="宋体" w:eastAsia="宋体" w:cs="宋体"/>
        </w:rPr>
      </w:pPr>
    </w:p>
    <w:p w14:paraId="0CA7176E">
      <w:pPr>
        <w:pStyle w:val="20"/>
        <w:ind w:left="0" w:leftChars="0" w:firstLine="0" w:firstLineChars="0"/>
        <w:rPr>
          <w:rFonts w:ascii="宋体" w:eastAsia="宋体" w:cs="宋体"/>
        </w:rPr>
      </w:pPr>
    </w:p>
    <w:p w14:paraId="056A8E35">
      <w:pPr>
        <w:pStyle w:val="20"/>
        <w:ind w:left="0" w:leftChars="0" w:firstLine="0" w:firstLineChars="0"/>
        <w:rPr>
          <w:rFonts w:ascii="宋体" w:eastAsia="宋体" w:cs="宋体"/>
        </w:rPr>
      </w:pPr>
    </w:p>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p w14:paraId="4369FCC5">
      <w:pPr>
        <w:jc w:val="both"/>
        <w:rPr>
          <w:rFonts w:ascii="宋体" w:hAnsi="宋体" w:cs="宋体"/>
          <w:b/>
        </w:rPr>
      </w:pPr>
      <w:bookmarkStart w:id="343" w:name="_Toc428775699"/>
      <w:bookmarkStart w:id="344" w:name="_Toc430020808"/>
      <w:bookmarkStart w:id="345" w:name="_Toc428882020"/>
    </w:p>
    <w:p w14:paraId="6A2CC89D">
      <w:pPr>
        <w:pStyle w:val="9"/>
        <w:rPr>
          <w:rFonts w:ascii="宋体" w:hAnsi="宋体" w:cs="宋体"/>
          <w:b/>
        </w:rPr>
      </w:pPr>
    </w:p>
    <w:p w14:paraId="6CD7A86B">
      <w:pPr>
        <w:rPr>
          <w:rFonts w:ascii="宋体" w:hAnsi="宋体" w:cs="宋体"/>
          <w:b/>
        </w:rPr>
      </w:pPr>
      <w:r>
        <w:rPr>
          <w:rFonts w:ascii="宋体" w:hAnsi="宋体" w:cs="宋体"/>
          <w:b/>
        </w:rPr>
        <w:br w:type="page"/>
      </w:r>
      <w:bookmarkEnd w:id="338"/>
      <w:bookmarkEnd w:id="339"/>
      <w:bookmarkEnd w:id="340"/>
      <w:bookmarkEnd w:id="341"/>
      <w:bookmarkEnd w:id="342"/>
      <w:bookmarkEnd w:id="343"/>
      <w:bookmarkEnd w:id="344"/>
      <w:bookmarkEnd w:id="345"/>
    </w:p>
    <w:p w14:paraId="436B6B63">
      <w:pPr>
        <w:numPr>
          <w:ilvl w:val="0"/>
          <w:numId w:val="20"/>
        </w:numPr>
        <w:spacing w:line="360" w:lineRule="auto"/>
        <w:jc w:val="center"/>
        <w:rPr>
          <w:rFonts w:hint="eastAsia" w:ascii="宋体" w:hAnsi="宋体" w:cs="宋体"/>
          <w:b/>
          <w:lang w:eastAsia="zh-CN"/>
        </w:rPr>
      </w:pPr>
      <w:bookmarkStart w:id="346" w:name="_Toc430020810"/>
      <w:bookmarkStart w:id="347" w:name="_Toc9644"/>
      <w:bookmarkStart w:id="348" w:name="_Toc7542"/>
      <w:bookmarkStart w:id="349" w:name="_Toc15582"/>
      <w:r>
        <w:rPr>
          <w:rFonts w:hint="eastAsia" w:ascii="宋体" w:hAnsi="宋体" w:cs="宋体"/>
          <w:b/>
          <w:lang w:eastAsia="zh-CN"/>
        </w:rPr>
        <w:t>资格承诺声明函</w:t>
      </w:r>
    </w:p>
    <w:p w14:paraId="47ECD9DA">
      <w:pPr>
        <w:pStyle w:val="10"/>
        <w:numPr>
          <w:ilvl w:val="0"/>
          <w:numId w:val="0"/>
        </w:numPr>
        <w:rPr>
          <w:rFonts w:hint="eastAsia"/>
          <w:lang w:eastAsia="zh-CN"/>
        </w:rPr>
      </w:pPr>
    </w:p>
    <w:p w14:paraId="17922122">
      <w:pPr>
        <w:pStyle w:val="9"/>
        <w:keepNext w:val="0"/>
        <w:keepLines w:val="0"/>
        <w:pageBreakBefore w:val="0"/>
        <w:widowControl w:val="0"/>
        <w:numPr>
          <w:ilvl w:val="0"/>
          <w:numId w:val="0"/>
        </w:numPr>
        <w:kinsoku/>
        <w:wordWrap/>
        <w:overflowPunct/>
        <w:topLinePunct w:val="0"/>
        <w:autoSpaceDE/>
        <w:autoSpaceDN/>
        <w:bidi w:val="0"/>
        <w:adjustRightInd/>
        <w:snapToGrid/>
        <w:ind w:firstLine="420" w:firstLineChars="200"/>
        <w:jc w:val="both"/>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u w:val="single"/>
          <w:lang w:val="en-US" w:eastAsia="zh-CN" w:bidi="ar-SA"/>
        </w:rPr>
        <w:t>致(本项目采购单位)及 XXX 公共资源交易中心</w:t>
      </w:r>
      <w:r>
        <w:rPr>
          <w:rFonts w:hint="eastAsia" w:ascii="宋体" w:hAnsi="宋体" w:eastAsia="宋体" w:cs="宋体"/>
          <w:kern w:val="2"/>
          <w:sz w:val="21"/>
          <w:szCs w:val="21"/>
          <w:lang w:val="en-US" w:eastAsia="zh-CN" w:bidi="ar-SA"/>
        </w:rPr>
        <w:t>:</w:t>
      </w:r>
    </w:p>
    <w:p w14:paraId="58869E09">
      <w:pPr>
        <w:pStyle w:val="9"/>
        <w:keepNext w:val="0"/>
        <w:keepLines w:val="0"/>
        <w:pageBreakBefore w:val="0"/>
        <w:widowControl w:val="0"/>
        <w:numPr>
          <w:ilvl w:val="0"/>
          <w:numId w:val="0"/>
        </w:numPr>
        <w:kinsoku w:val="0"/>
        <w:wordWrap w:val="0"/>
        <w:overflowPunct w:val="0"/>
        <w:topLinePunct w:val="0"/>
        <w:autoSpaceDE w:val="0"/>
        <w:autoSpaceDN w:val="0"/>
        <w:bidi w:val="0"/>
        <w:adjustRightInd/>
        <w:snapToGrid/>
        <w:ind w:firstLine="420" w:firstLineChars="200"/>
        <w:jc w:val="both"/>
        <w:textAlignment w:val="auto"/>
        <w:rPr>
          <w:rFonts w:hint="default"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 xml:space="preserve"> 我单位自愿参加本次政府采购活动,严格遵守《中华人民共和国政府采购法》及相关法律法规,依法诚信经营,依法遵守本次政府采购活动的各项规定。我单位郑重承诺声明如下:   </w:t>
      </w:r>
      <w:r>
        <w:rPr>
          <w:rFonts w:hint="eastAsia" w:ascii="宋体" w:hAnsi="宋体" w:cs="宋体"/>
          <w:kern w:val="2"/>
          <w:sz w:val="21"/>
          <w:szCs w:val="21"/>
          <w:lang w:val="en-US" w:eastAsia="zh-CN" w:bidi="ar-SA"/>
        </w:rPr>
        <w:t xml:space="preserve">   </w:t>
      </w:r>
      <w:r>
        <w:rPr>
          <w:rFonts w:hint="eastAsia" w:ascii="宋体" w:hAnsi="宋体" w:eastAsia="宋体" w:cs="宋体"/>
          <w:kern w:val="2"/>
          <w:sz w:val="21"/>
          <w:szCs w:val="21"/>
          <w:lang w:val="en-US" w:eastAsia="zh-CN" w:bidi="ar-SA"/>
        </w:rPr>
        <w:t>一、我单位全称为</w:t>
      </w:r>
      <w:r>
        <w:rPr>
          <w:rFonts w:hint="eastAsia" w:ascii="宋体" w:hAnsi="宋体" w:eastAsia="宋体" w:cs="宋体"/>
          <w:kern w:val="2"/>
          <w:sz w:val="21"/>
          <w:szCs w:val="21"/>
          <w:u w:val="single"/>
          <w:lang w:val="en-US" w:eastAsia="zh-CN" w:bidi="ar-SA"/>
        </w:rPr>
        <w:t xml:space="preserve">          ，</w:t>
      </w:r>
      <w:r>
        <w:rPr>
          <w:rFonts w:hint="eastAsia" w:ascii="宋体" w:hAnsi="宋体" w:eastAsia="宋体" w:cs="宋体"/>
          <w:kern w:val="2"/>
          <w:sz w:val="21"/>
          <w:szCs w:val="21"/>
          <w:lang w:val="en-US" w:eastAsia="zh-CN" w:bidi="ar-SA"/>
        </w:rPr>
        <w:t xml:space="preserve"> 注册地点为</w:t>
      </w:r>
      <w:r>
        <w:rPr>
          <w:rFonts w:hint="eastAsia" w:ascii="宋体" w:hAnsi="宋体" w:eastAsia="宋体" w:cs="宋体"/>
          <w:kern w:val="2"/>
          <w:sz w:val="21"/>
          <w:szCs w:val="21"/>
          <w:u w:val="single"/>
          <w:lang w:val="en-US" w:eastAsia="zh-CN" w:bidi="ar-SA"/>
        </w:rPr>
        <w:t xml:space="preserve">           ，</w:t>
      </w:r>
      <w:r>
        <w:rPr>
          <w:rFonts w:hint="eastAsia" w:ascii="宋体" w:hAnsi="宋体" w:eastAsia="宋体" w:cs="宋体"/>
          <w:kern w:val="2"/>
          <w:sz w:val="21"/>
          <w:szCs w:val="21"/>
          <w:lang w:val="en-US" w:eastAsia="zh-CN" w:bidi="ar-SA"/>
        </w:rPr>
        <w:t>统一社会信用代码为</w:t>
      </w:r>
      <w:r>
        <w:rPr>
          <w:rFonts w:hint="eastAsia" w:ascii="宋体" w:hAnsi="宋体" w:eastAsia="宋体" w:cs="宋体"/>
          <w:kern w:val="2"/>
          <w:sz w:val="21"/>
          <w:szCs w:val="21"/>
          <w:u w:val="single"/>
          <w:lang w:val="en-US" w:eastAsia="zh-CN" w:bidi="ar-SA"/>
        </w:rPr>
        <w:t xml:space="preserve">        ，</w:t>
      </w:r>
      <w:r>
        <w:rPr>
          <w:rFonts w:hint="eastAsia" w:ascii="宋体" w:hAnsi="宋体" w:eastAsia="宋体" w:cs="宋体"/>
          <w:kern w:val="2"/>
          <w:sz w:val="21"/>
          <w:szCs w:val="21"/>
          <w:lang w:val="en-US" w:eastAsia="zh-CN" w:bidi="ar-SA"/>
        </w:rPr>
        <w:t xml:space="preserve"> 法定代表人(单位负责人)为</w:t>
      </w:r>
      <w:r>
        <w:rPr>
          <w:rFonts w:hint="eastAsia" w:ascii="宋体" w:hAnsi="宋体" w:eastAsia="宋体" w:cs="宋体"/>
          <w:kern w:val="2"/>
          <w:sz w:val="21"/>
          <w:szCs w:val="21"/>
          <w:u w:val="single"/>
          <w:lang w:val="en-US" w:eastAsia="zh-CN" w:bidi="ar-SA"/>
        </w:rPr>
        <w:t xml:space="preserve">              </w:t>
      </w:r>
      <w:r>
        <w:rPr>
          <w:rFonts w:hint="eastAsia" w:ascii="宋体" w:hAnsi="宋体" w:eastAsia="宋体" w:cs="宋体"/>
          <w:kern w:val="2"/>
          <w:sz w:val="21"/>
          <w:szCs w:val="21"/>
          <w:lang w:val="en-US" w:eastAsia="zh-CN" w:bidi="ar-SA"/>
        </w:rPr>
        <w:t>，联系方式为</w:t>
      </w:r>
      <w:r>
        <w:rPr>
          <w:rFonts w:hint="eastAsia" w:ascii="宋体" w:hAnsi="宋体" w:eastAsia="宋体" w:cs="宋体"/>
          <w:kern w:val="2"/>
          <w:sz w:val="21"/>
          <w:szCs w:val="21"/>
          <w:u w:val="single"/>
          <w:lang w:val="en-US" w:eastAsia="zh-CN" w:bidi="ar-SA"/>
        </w:rPr>
        <w:t xml:space="preserve">              。</w:t>
      </w:r>
    </w:p>
    <w:p w14:paraId="2AD8B239">
      <w:pPr>
        <w:pStyle w:val="9"/>
        <w:keepNext w:val="0"/>
        <w:keepLines w:val="0"/>
        <w:pageBreakBefore w:val="0"/>
        <w:widowControl w:val="0"/>
        <w:numPr>
          <w:ilvl w:val="0"/>
          <w:numId w:val="0"/>
        </w:numPr>
        <w:kinsoku/>
        <w:wordWrap/>
        <w:overflowPunct/>
        <w:topLinePunct w:val="0"/>
        <w:autoSpaceDE/>
        <w:autoSpaceDN/>
        <w:bidi w:val="0"/>
        <w:adjustRightInd/>
        <w:snapToGrid/>
        <w:ind w:firstLine="420" w:firstLineChars="200"/>
        <w:jc w:val="both"/>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二、我单位具有独立承担民事责任的能力。</w:t>
      </w:r>
    </w:p>
    <w:p w14:paraId="07ECFD10">
      <w:pPr>
        <w:pStyle w:val="9"/>
        <w:keepNext w:val="0"/>
        <w:keepLines w:val="0"/>
        <w:pageBreakBefore w:val="0"/>
        <w:widowControl w:val="0"/>
        <w:numPr>
          <w:ilvl w:val="0"/>
          <w:numId w:val="0"/>
        </w:numPr>
        <w:kinsoku/>
        <w:wordWrap/>
        <w:overflowPunct/>
        <w:topLinePunct w:val="0"/>
        <w:autoSpaceDE/>
        <w:autoSpaceDN/>
        <w:bidi w:val="0"/>
        <w:adjustRightInd/>
        <w:snapToGrid/>
        <w:ind w:firstLine="420" w:firstLineChars="200"/>
        <w:jc w:val="both"/>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 xml:space="preserve">三、我单位具有良好的商业信誉和健全的财务会计制度。 </w:t>
      </w:r>
    </w:p>
    <w:p w14:paraId="5AE89827">
      <w:pPr>
        <w:pStyle w:val="9"/>
        <w:keepNext w:val="0"/>
        <w:keepLines w:val="0"/>
        <w:pageBreakBefore w:val="0"/>
        <w:widowControl w:val="0"/>
        <w:numPr>
          <w:ilvl w:val="0"/>
          <w:numId w:val="0"/>
        </w:numPr>
        <w:kinsoku/>
        <w:wordWrap/>
        <w:overflowPunct/>
        <w:topLinePunct w:val="0"/>
        <w:autoSpaceDE/>
        <w:autoSpaceDN/>
        <w:bidi w:val="0"/>
        <w:adjustRightInd/>
        <w:snapToGrid/>
        <w:ind w:firstLine="420" w:firstLineChars="200"/>
        <w:jc w:val="both"/>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四、我单位具有履行合同所必需的设备和专业技术能力。</w:t>
      </w:r>
    </w:p>
    <w:p w14:paraId="1A4BDF62">
      <w:pPr>
        <w:pStyle w:val="9"/>
        <w:keepNext w:val="0"/>
        <w:keepLines w:val="0"/>
        <w:pageBreakBefore w:val="0"/>
        <w:widowControl w:val="0"/>
        <w:numPr>
          <w:ilvl w:val="0"/>
          <w:numId w:val="0"/>
        </w:numPr>
        <w:kinsoku/>
        <w:wordWrap/>
        <w:overflowPunct/>
        <w:topLinePunct w:val="0"/>
        <w:autoSpaceDE/>
        <w:autoSpaceDN/>
        <w:bidi w:val="0"/>
        <w:adjustRightInd/>
        <w:snapToGrid/>
        <w:ind w:firstLine="420" w:firstLineChars="200"/>
        <w:jc w:val="both"/>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五、我单位有依法缴纳税收和社会保障资金的良好记录。</w:t>
      </w:r>
    </w:p>
    <w:p w14:paraId="3F85E08F">
      <w:pPr>
        <w:pStyle w:val="9"/>
        <w:keepNext w:val="0"/>
        <w:keepLines w:val="0"/>
        <w:pageBreakBefore w:val="0"/>
        <w:widowControl w:val="0"/>
        <w:numPr>
          <w:ilvl w:val="0"/>
          <w:numId w:val="0"/>
        </w:numPr>
        <w:kinsoku/>
        <w:wordWrap/>
        <w:overflowPunct/>
        <w:topLinePunct w:val="0"/>
        <w:autoSpaceDE/>
        <w:autoSpaceDN/>
        <w:bidi w:val="0"/>
        <w:adjustRightInd/>
        <w:snapToGrid/>
        <w:ind w:firstLine="420" w:firstLineChars="200"/>
        <w:jc w:val="both"/>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 xml:space="preserve">六、我单位参加政府采购活动前三年内,在经营活动中没有重大违法记录。(重大违法记录,是指供应商因违法经营受到刑事处罚或者责令停产停业、吊销许可证或者执照、较大数额罚款等行政处罚.) </w:t>
      </w:r>
    </w:p>
    <w:p w14:paraId="2072ED8D">
      <w:pPr>
        <w:pStyle w:val="9"/>
        <w:keepNext w:val="0"/>
        <w:keepLines w:val="0"/>
        <w:pageBreakBefore w:val="0"/>
        <w:widowControl w:val="0"/>
        <w:numPr>
          <w:ilvl w:val="0"/>
          <w:numId w:val="0"/>
        </w:numPr>
        <w:kinsoku/>
        <w:wordWrap/>
        <w:overflowPunct/>
        <w:topLinePunct w:val="0"/>
        <w:autoSpaceDE/>
        <w:autoSpaceDN/>
        <w:bidi w:val="0"/>
        <w:adjustRightInd/>
        <w:snapToGrid/>
        <w:ind w:firstLine="420" w:firstLineChars="200"/>
        <w:jc w:val="both"/>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 xml:space="preserve">七、我单位具备法律、行政法规规定的其他条件。 </w:t>
      </w:r>
    </w:p>
    <w:p w14:paraId="0C5E0FC9">
      <w:pPr>
        <w:pStyle w:val="9"/>
        <w:keepNext w:val="0"/>
        <w:keepLines w:val="0"/>
        <w:pageBreakBefore w:val="0"/>
        <w:widowControl w:val="0"/>
        <w:numPr>
          <w:ilvl w:val="0"/>
          <w:numId w:val="0"/>
        </w:numPr>
        <w:kinsoku/>
        <w:wordWrap/>
        <w:overflowPunct/>
        <w:topLinePunct w:val="0"/>
        <w:autoSpaceDE/>
        <w:autoSpaceDN/>
        <w:bidi w:val="0"/>
        <w:adjustRightInd/>
        <w:snapToGrid/>
        <w:ind w:firstLine="420" w:firstLineChars="200"/>
        <w:jc w:val="both"/>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 xml:space="preserve">我单位保证上述声明的事项都是真实的,符合《中华人民共和国政府采购法》规定的供应商资格条件.如有弄虚作假,我单位愿意按照“提供虚假材料谋取中标、成交”承担相应的法律责任,同意将违背承诺行为作为失信行为记录到社会信用信息平台,并承担因此所造成的一切损失。 </w:t>
      </w:r>
    </w:p>
    <w:p w14:paraId="7D928224">
      <w:pPr>
        <w:pStyle w:val="9"/>
        <w:keepNext w:val="0"/>
        <w:keepLines w:val="0"/>
        <w:pageBreakBefore w:val="0"/>
        <w:widowControl w:val="0"/>
        <w:numPr>
          <w:ilvl w:val="0"/>
          <w:numId w:val="0"/>
        </w:numPr>
        <w:kinsoku/>
        <w:wordWrap/>
        <w:overflowPunct/>
        <w:topLinePunct w:val="0"/>
        <w:autoSpaceDE/>
        <w:autoSpaceDN/>
        <w:bidi w:val="0"/>
        <w:adjustRightInd/>
        <w:snapToGrid/>
        <w:ind w:firstLine="420" w:firstLineChars="200"/>
        <w:jc w:val="right"/>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承诺单位(盖章):</w:t>
      </w:r>
    </w:p>
    <w:p w14:paraId="7C39AC65">
      <w:pPr>
        <w:pStyle w:val="9"/>
        <w:keepNext w:val="0"/>
        <w:keepLines w:val="0"/>
        <w:pageBreakBefore w:val="0"/>
        <w:widowControl w:val="0"/>
        <w:numPr>
          <w:ilvl w:val="0"/>
          <w:numId w:val="0"/>
        </w:numPr>
        <w:kinsoku/>
        <w:wordWrap/>
        <w:overflowPunct/>
        <w:topLinePunct w:val="0"/>
        <w:autoSpaceDE/>
        <w:autoSpaceDN/>
        <w:bidi w:val="0"/>
        <w:adjustRightInd/>
        <w:snapToGrid/>
        <w:ind w:firstLine="420" w:firstLineChars="200"/>
        <w:jc w:val="right"/>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法定代表人或授权代表(签名或盖章):</w:t>
      </w:r>
    </w:p>
    <w:p w14:paraId="027D3FB1">
      <w:pPr>
        <w:pStyle w:val="9"/>
        <w:keepNext w:val="0"/>
        <w:keepLines w:val="0"/>
        <w:pageBreakBefore w:val="0"/>
        <w:widowControl w:val="0"/>
        <w:numPr>
          <w:ilvl w:val="0"/>
          <w:numId w:val="0"/>
        </w:numPr>
        <w:kinsoku/>
        <w:wordWrap/>
        <w:overflowPunct/>
        <w:topLinePunct w:val="0"/>
        <w:autoSpaceDE/>
        <w:autoSpaceDN/>
        <w:bidi w:val="0"/>
        <w:adjustRightInd/>
        <w:snapToGrid/>
        <w:ind w:firstLine="420" w:firstLineChars="200"/>
        <w:jc w:val="right"/>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日期:    年    月    日</w:t>
      </w:r>
    </w:p>
    <w:p w14:paraId="058D7535">
      <w:pPr>
        <w:pStyle w:val="9"/>
        <w:keepNext w:val="0"/>
        <w:keepLines w:val="0"/>
        <w:pageBreakBefore w:val="0"/>
        <w:widowControl w:val="0"/>
        <w:numPr>
          <w:ilvl w:val="0"/>
          <w:numId w:val="0"/>
        </w:numPr>
        <w:kinsoku/>
        <w:wordWrap/>
        <w:overflowPunct/>
        <w:topLinePunct w:val="0"/>
        <w:autoSpaceDE/>
        <w:autoSpaceDN/>
        <w:bidi w:val="0"/>
        <w:adjustRightInd/>
        <w:snapToGrid/>
        <w:ind w:firstLine="420" w:firstLineChars="200"/>
        <w:jc w:val="both"/>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注:1.投标人须在投标文件中按此模板提供承诺函,未提供视为未实质性响应招标文件要求,按无效投标处理.</w:t>
      </w:r>
    </w:p>
    <w:p w14:paraId="62251C61">
      <w:pPr>
        <w:pStyle w:val="9"/>
        <w:keepNext w:val="0"/>
        <w:keepLines w:val="0"/>
        <w:pageBreakBefore w:val="0"/>
        <w:widowControl w:val="0"/>
        <w:numPr>
          <w:ilvl w:val="0"/>
          <w:numId w:val="0"/>
        </w:numPr>
        <w:kinsoku/>
        <w:wordWrap/>
        <w:overflowPunct/>
        <w:topLinePunct w:val="0"/>
        <w:autoSpaceDE/>
        <w:autoSpaceDN/>
        <w:bidi w:val="0"/>
        <w:adjustRightInd/>
        <w:snapToGrid/>
        <w:ind w:firstLine="420" w:firstLineChars="200"/>
        <w:jc w:val="both"/>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2.投标人的法定代表人或者授权代表的签字或盖章应真实、有效.</w:t>
      </w:r>
    </w:p>
    <w:p w14:paraId="0A915A8D">
      <w:pPr>
        <w:rPr>
          <w:rFonts w:hint="eastAsia" w:ascii="宋体" w:hAnsi="宋体" w:eastAsia="宋体" w:cs="宋体"/>
          <w:b/>
          <w:bCs/>
          <w:sz w:val="21"/>
          <w:szCs w:val="21"/>
          <w:lang w:eastAsia="zh-CN"/>
        </w:rPr>
      </w:pPr>
      <w:r>
        <w:rPr>
          <w:rFonts w:hint="eastAsia" w:ascii="宋体" w:hAnsi="宋体" w:eastAsia="宋体" w:cs="宋体"/>
          <w:b/>
          <w:bCs/>
          <w:sz w:val="21"/>
          <w:szCs w:val="21"/>
          <w:lang w:eastAsia="zh-CN"/>
        </w:rPr>
        <w:br w:type="page"/>
      </w:r>
    </w:p>
    <w:bookmarkEnd w:id="346"/>
    <w:p w14:paraId="2F448393">
      <w:pPr>
        <w:keepNext w:val="0"/>
        <w:keepLines w:val="0"/>
        <w:pageBreakBefore w:val="0"/>
        <w:widowControl w:val="0"/>
        <w:numPr>
          <w:ilvl w:val="0"/>
          <w:numId w:val="0"/>
        </w:numPr>
        <w:kinsoku/>
        <w:wordWrap/>
        <w:overflowPunct/>
        <w:topLinePunct w:val="0"/>
        <w:autoSpaceDE/>
        <w:autoSpaceDN/>
        <w:bidi w:val="0"/>
        <w:adjustRightInd w:val="0"/>
        <w:snapToGrid/>
        <w:spacing w:after="156" w:afterLines="50"/>
        <w:jc w:val="center"/>
        <w:textAlignment w:val="auto"/>
        <w:outlineLvl w:val="2"/>
        <w:rPr>
          <w:rFonts w:hint="eastAsia" w:ascii="宋体" w:hAnsi="宋体" w:eastAsia="宋体" w:cs="TimesNewRomanPSMT"/>
          <w:b/>
          <w:color w:val="auto"/>
          <w:kern w:val="0"/>
          <w:sz w:val="24"/>
          <w:highlight w:val="none"/>
          <w:lang w:val="en-US" w:eastAsia="zh-CN"/>
        </w:rPr>
      </w:pPr>
      <w:bookmarkStart w:id="350" w:name="_Toc144974871"/>
      <w:bookmarkStart w:id="351" w:name="_Toc246996369"/>
      <w:bookmarkStart w:id="352" w:name="_Toc246997112"/>
      <w:bookmarkStart w:id="353" w:name="_Toc296602614"/>
      <w:bookmarkStart w:id="354" w:name="_Toc16190"/>
      <w:bookmarkStart w:id="355" w:name="_Toc247085887"/>
      <w:bookmarkStart w:id="356" w:name="_Toc152042592"/>
      <w:bookmarkStart w:id="357" w:name="_Toc179632823"/>
      <w:bookmarkStart w:id="358" w:name="_Toc30450"/>
      <w:bookmarkStart w:id="359" w:name="_Toc152045803"/>
      <w:bookmarkStart w:id="360" w:name="_Toc2616"/>
      <w:bookmarkStart w:id="361" w:name="_Toc28537"/>
      <w:r>
        <w:rPr>
          <w:rFonts w:hint="eastAsia" w:ascii="宋体" w:hAnsi="宋体" w:cs="TimesNewRomanPSMT"/>
          <w:b/>
          <w:color w:val="auto"/>
          <w:kern w:val="0"/>
          <w:sz w:val="24"/>
          <w:highlight w:val="none"/>
          <w:lang w:val="en-US" w:eastAsia="zh-CN"/>
        </w:rPr>
        <w:t>四</w:t>
      </w:r>
      <w:r>
        <w:rPr>
          <w:rFonts w:hint="eastAsia" w:ascii="宋体" w:hAnsi="宋体" w:eastAsia="宋体" w:cs="TimesNewRomanPSMT"/>
          <w:b/>
          <w:color w:val="auto"/>
          <w:kern w:val="0"/>
          <w:sz w:val="24"/>
          <w:highlight w:val="none"/>
          <w:lang w:val="en-US" w:eastAsia="zh-CN"/>
        </w:rPr>
        <w:t>、</w:t>
      </w:r>
      <w:bookmarkEnd w:id="350"/>
      <w:bookmarkEnd w:id="351"/>
      <w:bookmarkEnd w:id="352"/>
      <w:bookmarkEnd w:id="353"/>
      <w:bookmarkEnd w:id="354"/>
      <w:bookmarkEnd w:id="355"/>
      <w:bookmarkEnd w:id="356"/>
      <w:bookmarkEnd w:id="357"/>
      <w:bookmarkEnd w:id="358"/>
      <w:bookmarkEnd w:id="359"/>
      <w:bookmarkStart w:id="362" w:name="OLE_LINK28"/>
      <w:r>
        <w:rPr>
          <w:rFonts w:hint="eastAsia" w:ascii="宋体" w:hAnsi="宋体" w:eastAsia="宋体" w:cs="TimesNewRomanPSMT"/>
          <w:b/>
          <w:color w:val="auto"/>
          <w:kern w:val="0"/>
          <w:sz w:val="24"/>
          <w:highlight w:val="none"/>
          <w:lang w:val="en-US" w:eastAsia="zh-CN"/>
        </w:rPr>
        <w:t>拟派驻本项目人员情况一览表</w:t>
      </w:r>
      <w:bookmarkEnd w:id="360"/>
      <w:bookmarkEnd w:id="362"/>
    </w:p>
    <w:tbl>
      <w:tblPr>
        <w:tblStyle w:val="26"/>
        <w:tblpPr w:leftFromText="180" w:rightFromText="180" w:vertAnchor="text" w:horzAnchor="page" w:tblpXSpec="center" w:tblpY="348"/>
        <w:tblOverlap w:val="never"/>
        <w:tblW w:w="92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701"/>
        <w:gridCol w:w="1272"/>
        <w:gridCol w:w="1190"/>
        <w:gridCol w:w="1186"/>
        <w:gridCol w:w="1060"/>
        <w:gridCol w:w="1227"/>
        <w:gridCol w:w="1528"/>
        <w:gridCol w:w="1043"/>
      </w:tblGrid>
      <w:tr w14:paraId="165628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859" w:hRule="atLeast"/>
          <w:jc w:val="center"/>
        </w:trPr>
        <w:tc>
          <w:tcPr>
            <w:tcW w:w="701" w:type="dxa"/>
            <w:noWrap w:val="0"/>
            <w:vAlign w:val="center"/>
          </w:tcPr>
          <w:p w14:paraId="138ECF50">
            <w:pPr>
              <w:adjustRightInd w:val="0"/>
              <w:jc w:val="center"/>
              <w:rPr>
                <w:rFonts w:hint="eastAsia" w:eastAsia="宋体"/>
                <w:sz w:val="21"/>
                <w:szCs w:val="21"/>
                <w:lang w:val="en-US" w:eastAsia="zh-CN"/>
              </w:rPr>
            </w:pPr>
            <w:bookmarkStart w:id="363" w:name="_Toc283814574"/>
            <w:bookmarkStart w:id="364" w:name="_Toc344550923"/>
            <w:bookmarkStart w:id="365" w:name="_Toc26387"/>
            <w:bookmarkStart w:id="366" w:name="_Toc334013867"/>
            <w:bookmarkStart w:id="367" w:name="_Toc306874014"/>
            <w:bookmarkStart w:id="368" w:name="_Toc333969562"/>
            <w:bookmarkStart w:id="369" w:name="_Toc25570"/>
            <w:r>
              <w:rPr>
                <w:rFonts w:hint="eastAsia"/>
                <w:sz w:val="21"/>
                <w:szCs w:val="21"/>
                <w:lang w:val="en-US" w:eastAsia="zh-CN"/>
              </w:rPr>
              <w:t>序号</w:t>
            </w:r>
          </w:p>
        </w:tc>
        <w:tc>
          <w:tcPr>
            <w:tcW w:w="1272" w:type="dxa"/>
            <w:noWrap w:val="0"/>
            <w:vAlign w:val="center"/>
          </w:tcPr>
          <w:p w14:paraId="14ACBC29">
            <w:pPr>
              <w:adjustRightInd w:val="0"/>
              <w:jc w:val="center"/>
              <w:rPr>
                <w:sz w:val="21"/>
                <w:szCs w:val="21"/>
              </w:rPr>
            </w:pPr>
            <w:r>
              <w:rPr>
                <w:sz w:val="21"/>
                <w:szCs w:val="21"/>
              </w:rPr>
              <w:t>姓名</w:t>
            </w:r>
          </w:p>
        </w:tc>
        <w:tc>
          <w:tcPr>
            <w:tcW w:w="1190" w:type="dxa"/>
            <w:noWrap w:val="0"/>
            <w:vAlign w:val="center"/>
          </w:tcPr>
          <w:p w14:paraId="407BDBC3">
            <w:pPr>
              <w:adjustRightInd w:val="0"/>
              <w:jc w:val="center"/>
              <w:rPr>
                <w:rFonts w:hint="eastAsia" w:eastAsia="宋体"/>
                <w:sz w:val="21"/>
                <w:szCs w:val="21"/>
                <w:lang w:eastAsia="zh-CN"/>
              </w:rPr>
            </w:pPr>
            <w:r>
              <w:rPr>
                <w:rFonts w:hint="eastAsia"/>
                <w:sz w:val="21"/>
                <w:szCs w:val="21"/>
                <w:lang w:val="en-US" w:eastAsia="zh-CN"/>
              </w:rPr>
              <w:t>年龄</w:t>
            </w:r>
          </w:p>
        </w:tc>
        <w:tc>
          <w:tcPr>
            <w:tcW w:w="1186" w:type="dxa"/>
            <w:noWrap w:val="0"/>
            <w:vAlign w:val="center"/>
          </w:tcPr>
          <w:p w14:paraId="5481CC29">
            <w:pPr>
              <w:adjustRightInd w:val="0"/>
              <w:jc w:val="center"/>
              <w:rPr>
                <w:rFonts w:hint="eastAsia" w:eastAsia="宋体"/>
                <w:sz w:val="21"/>
                <w:szCs w:val="21"/>
                <w:lang w:eastAsia="zh-CN"/>
              </w:rPr>
            </w:pPr>
            <w:r>
              <w:rPr>
                <w:rFonts w:hint="eastAsia" w:ascii="宋体" w:hAnsi="宋体" w:eastAsia="宋体"/>
                <w:sz w:val="21"/>
                <w:szCs w:val="21"/>
              </w:rPr>
              <w:t>资格证书及证件号</w:t>
            </w:r>
          </w:p>
        </w:tc>
        <w:tc>
          <w:tcPr>
            <w:tcW w:w="1060" w:type="dxa"/>
            <w:noWrap w:val="0"/>
            <w:vAlign w:val="center"/>
          </w:tcPr>
          <w:p w14:paraId="0D48E0E6">
            <w:pPr>
              <w:adjustRightInd w:val="0"/>
              <w:jc w:val="center"/>
              <w:rPr>
                <w:rFonts w:hint="default" w:eastAsia="宋体"/>
                <w:sz w:val="21"/>
                <w:szCs w:val="21"/>
                <w:lang w:val="en-US" w:eastAsia="zh-CN"/>
              </w:rPr>
            </w:pPr>
            <w:r>
              <w:rPr>
                <w:rFonts w:hint="eastAsia"/>
                <w:sz w:val="21"/>
                <w:szCs w:val="21"/>
                <w:lang w:val="en-US" w:eastAsia="zh-CN"/>
              </w:rPr>
              <w:t>从业时间</w:t>
            </w:r>
          </w:p>
        </w:tc>
        <w:tc>
          <w:tcPr>
            <w:tcW w:w="1227" w:type="dxa"/>
            <w:noWrap w:val="0"/>
            <w:vAlign w:val="center"/>
          </w:tcPr>
          <w:p w14:paraId="474EF316">
            <w:pPr>
              <w:adjustRightInd w:val="0"/>
              <w:jc w:val="center"/>
              <w:rPr>
                <w:rFonts w:hint="eastAsia"/>
                <w:sz w:val="21"/>
                <w:szCs w:val="21"/>
              </w:rPr>
            </w:pPr>
            <w:r>
              <w:rPr>
                <w:rFonts w:hint="eastAsia" w:ascii="宋体" w:hAnsi="宋体" w:eastAsia="宋体"/>
                <w:sz w:val="21"/>
                <w:szCs w:val="21"/>
              </w:rPr>
              <w:t>拟担任职务</w:t>
            </w:r>
          </w:p>
        </w:tc>
        <w:tc>
          <w:tcPr>
            <w:tcW w:w="1528" w:type="dxa"/>
            <w:noWrap w:val="0"/>
            <w:vAlign w:val="center"/>
          </w:tcPr>
          <w:p w14:paraId="018BB869">
            <w:pPr>
              <w:adjustRightInd w:val="0"/>
              <w:jc w:val="center"/>
              <w:rPr>
                <w:rFonts w:hint="eastAsia"/>
                <w:sz w:val="21"/>
                <w:szCs w:val="21"/>
              </w:rPr>
            </w:pPr>
            <w:r>
              <w:rPr>
                <w:rFonts w:hint="eastAsia" w:ascii="宋体" w:hAnsi="宋体" w:eastAsia="宋体"/>
                <w:sz w:val="21"/>
                <w:szCs w:val="21"/>
              </w:rPr>
              <w:t>主要业绩及擅长领域</w:t>
            </w:r>
          </w:p>
        </w:tc>
        <w:tc>
          <w:tcPr>
            <w:tcW w:w="1043" w:type="dxa"/>
            <w:noWrap w:val="0"/>
            <w:vAlign w:val="center"/>
          </w:tcPr>
          <w:p w14:paraId="3149C4AE">
            <w:pPr>
              <w:adjustRightInd w:val="0"/>
              <w:jc w:val="center"/>
              <w:rPr>
                <w:rFonts w:hint="eastAsia" w:ascii="宋体" w:hAnsi="宋体" w:eastAsia="宋体"/>
                <w:sz w:val="21"/>
                <w:szCs w:val="21"/>
                <w:lang w:val="en-US" w:eastAsia="zh-CN"/>
              </w:rPr>
            </w:pPr>
            <w:r>
              <w:rPr>
                <w:rFonts w:hint="eastAsia" w:ascii="宋体" w:hAnsi="宋体" w:eastAsia="宋体"/>
                <w:sz w:val="21"/>
                <w:szCs w:val="21"/>
                <w:lang w:val="en-US" w:eastAsia="zh-CN"/>
              </w:rPr>
              <w:t>备注</w:t>
            </w:r>
          </w:p>
        </w:tc>
      </w:tr>
      <w:tr w14:paraId="2FE198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701" w:type="dxa"/>
            <w:noWrap w:val="0"/>
            <w:vAlign w:val="center"/>
          </w:tcPr>
          <w:p w14:paraId="3EE81616">
            <w:pPr>
              <w:adjustRightInd w:val="0"/>
              <w:jc w:val="center"/>
              <w:rPr>
                <w:sz w:val="21"/>
                <w:szCs w:val="21"/>
              </w:rPr>
            </w:pPr>
          </w:p>
        </w:tc>
        <w:tc>
          <w:tcPr>
            <w:tcW w:w="1272" w:type="dxa"/>
            <w:noWrap w:val="0"/>
            <w:vAlign w:val="center"/>
          </w:tcPr>
          <w:p w14:paraId="628E2C8E">
            <w:pPr>
              <w:adjustRightInd w:val="0"/>
              <w:jc w:val="center"/>
              <w:rPr>
                <w:sz w:val="21"/>
                <w:szCs w:val="21"/>
              </w:rPr>
            </w:pPr>
          </w:p>
        </w:tc>
        <w:tc>
          <w:tcPr>
            <w:tcW w:w="1190" w:type="dxa"/>
            <w:noWrap w:val="0"/>
            <w:vAlign w:val="center"/>
          </w:tcPr>
          <w:p w14:paraId="57ECA7FF">
            <w:pPr>
              <w:adjustRightInd w:val="0"/>
              <w:jc w:val="center"/>
              <w:rPr>
                <w:sz w:val="21"/>
                <w:szCs w:val="21"/>
              </w:rPr>
            </w:pPr>
          </w:p>
        </w:tc>
        <w:tc>
          <w:tcPr>
            <w:tcW w:w="1186" w:type="dxa"/>
            <w:noWrap w:val="0"/>
            <w:vAlign w:val="center"/>
          </w:tcPr>
          <w:p w14:paraId="7444FFBB">
            <w:pPr>
              <w:adjustRightInd w:val="0"/>
              <w:jc w:val="center"/>
              <w:rPr>
                <w:sz w:val="21"/>
                <w:szCs w:val="21"/>
              </w:rPr>
            </w:pPr>
          </w:p>
        </w:tc>
        <w:tc>
          <w:tcPr>
            <w:tcW w:w="1060" w:type="dxa"/>
            <w:noWrap w:val="0"/>
            <w:vAlign w:val="center"/>
          </w:tcPr>
          <w:p w14:paraId="427BAC42">
            <w:pPr>
              <w:adjustRightInd w:val="0"/>
              <w:jc w:val="center"/>
              <w:rPr>
                <w:sz w:val="21"/>
                <w:szCs w:val="21"/>
              </w:rPr>
            </w:pPr>
          </w:p>
        </w:tc>
        <w:tc>
          <w:tcPr>
            <w:tcW w:w="1227" w:type="dxa"/>
            <w:noWrap w:val="0"/>
            <w:vAlign w:val="center"/>
          </w:tcPr>
          <w:p w14:paraId="6AA9D366">
            <w:pPr>
              <w:adjustRightInd w:val="0"/>
              <w:jc w:val="center"/>
              <w:rPr>
                <w:sz w:val="21"/>
                <w:szCs w:val="21"/>
              </w:rPr>
            </w:pPr>
          </w:p>
        </w:tc>
        <w:tc>
          <w:tcPr>
            <w:tcW w:w="1528" w:type="dxa"/>
            <w:noWrap w:val="0"/>
            <w:vAlign w:val="center"/>
          </w:tcPr>
          <w:p w14:paraId="4F9984B3">
            <w:pPr>
              <w:adjustRightInd w:val="0"/>
              <w:jc w:val="center"/>
              <w:rPr>
                <w:sz w:val="21"/>
                <w:szCs w:val="21"/>
              </w:rPr>
            </w:pPr>
          </w:p>
        </w:tc>
        <w:tc>
          <w:tcPr>
            <w:tcW w:w="1043" w:type="dxa"/>
            <w:noWrap w:val="0"/>
            <w:vAlign w:val="center"/>
          </w:tcPr>
          <w:p w14:paraId="6C4BE105">
            <w:pPr>
              <w:adjustRightInd w:val="0"/>
              <w:jc w:val="center"/>
              <w:rPr>
                <w:sz w:val="21"/>
                <w:szCs w:val="21"/>
              </w:rPr>
            </w:pPr>
          </w:p>
        </w:tc>
      </w:tr>
      <w:tr w14:paraId="36B12B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701" w:type="dxa"/>
            <w:noWrap w:val="0"/>
            <w:vAlign w:val="center"/>
          </w:tcPr>
          <w:p w14:paraId="2758CB8D">
            <w:pPr>
              <w:adjustRightInd w:val="0"/>
              <w:jc w:val="center"/>
              <w:rPr>
                <w:sz w:val="21"/>
                <w:szCs w:val="21"/>
              </w:rPr>
            </w:pPr>
          </w:p>
        </w:tc>
        <w:tc>
          <w:tcPr>
            <w:tcW w:w="1272" w:type="dxa"/>
            <w:noWrap w:val="0"/>
            <w:vAlign w:val="center"/>
          </w:tcPr>
          <w:p w14:paraId="7B57B3E5">
            <w:pPr>
              <w:adjustRightInd w:val="0"/>
              <w:jc w:val="center"/>
              <w:rPr>
                <w:sz w:val="21"/>
                <w:szCs w:val="21"/>
              </w:rPr>
            </w:pPr>
          </w:p>
        </w:tc>
        <w:tc>
          <w:tcPr>
            <w:tcW w:w="1190" w:type="dxa"/>
            <w:noWrap w:val="0"/>
            <w:vAlign w:val="center"/>
          </w:tcPr>
          <w:p w14:paraId="0B1A3218">
            <w:pPr>
              <w:adjustRightInd w:val="0"/>
              <w:jc w:val="center"/>
              <w:rPr>
                <w:sz w:val="21"/>
                <w:szCs w:val="21"/>
              </w:rPr>
            </w:pPr>
          </w:p>
        </w:tc>
        <w:tc>
          <w:tcPr>
            <w:tcW w:w="1186" w:type="dxa"/>
            <w:noWrap w:val="0"/>
            <w:vAlign w:val="center"/>
          </w:tcPr>
          <w:p w14:paraId="272E3A99">
            <w:pPr>
              <w:adjustRightInd w:val="0"/>
              <w:jc w:val="center"/>
              <w:rPr>
                <w:sz w:val="21"/>
                <w:szCs w:val="21"/>
              </w:rPr>
            </w:pPr>
          </w:p>
        </w:tc>
        <w:tc>
          <w:tcPr>
            <w:tcW w:w="1060" w:type="dxa"/>
            <w:noWrap w:val="0"/>
            <w:vAlign w:val="center"/>
          </w:tcPr>
          <w:p w14:paraId="56875B43">
            <w:pPr>
              <w:adjustRightInd w:val="0"/>
              <w:jc w:val="center"/>
              <w:rPr>
                <w:sz w:val="21"/>
                <w:szCs w:val="21"/>
              </w:rPr>
            </w:pPr>
          </w:p>
        </w:tc>
        <w:tc>
          <w:tcPr>
            <w:tcW w:w="1227" w:type="dxa"/>
            <w:noWrap w:val="0"/>
            <w:vAlign w:val="center"/>
          </w:tcPr>
          <w:p w14:paraId="310FE077">
            <w:pPr>
              <w:adjustRightInd w:val="0"/>
              <w:jc w:val="center"/>
              <w:rPr>
                <w:sz w:val="21"/>
                <w:szCs w:val="21"/>
              </w:rPr>
            </w:pPr>
          </w:p>
        </w:tc>
        <w:tc>
          <w:tcPr>
            <w:tcW w:w="1528" w:type="dxa"/>
            <w:noWrap w:val="0"/>
            <w:vAlign w:val="center"/>
          </w:tcPr>
          <w:p w14:paraId="7364C83A">
            <w:pPr>
              <w:adjustRightInd w:val="0"/>
              <w:jc w:val="center"/>
              <w:rPr>
                <w:sz w:val="21"/>
                <w:szCs w:val="21"/>
              </w:rPr>
            </w:pPr>
          </w:p>
        </w:tc>
        <w:tc>
          <w:tcPr>
            <w:tcW w:w="1043" w:type="dxa"/>
            <w:noWrap w:val="0"/>
            <w:vAlign w:val="center"/>
          </w:tcPr>
          <w:p w14:paraId="52828913">
            <w:pPr>
              <w:adjustRightInd w:val="0"/>
              <w:jc w:val="center"/>
              <w:rPr>
                <w:sz w:val="21"/>
                <w:szCs w:val="21"/>
              </w:rPr>
            </w:pPr>
          </w:p>
        </w:tc>
      </w:tr>
      <w:tr w14:paraId="1A6B46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701" w:type="dxa"/>
            <w:noWrap w:val="0"/>
            <w:vAlign w:val="center"/>
          </w:tcPr>
          <w:p w14:paraId="1FED7988">
            <w:pPr>
              <w:adjustRightInd w:val="0"/>
              <w:jc w:val="center"/>
              <w:rPr>
                <w:sz w:val="21"/>
                <w:szCs w:val="21"/>
              </w:rPr>
            </w:pPr>
          </w:p>
        </w:tc>
        <w:tc>
          <w:tcPr>
            <w:tcW w:w="1272" w:type="dxa"/>
            <w:noWrap w:val="0"/>
            <w:vAlign w:val="center"/>
          </w:tcPr>
          <w:p w14:paraId="0E49EC7A">
            <w:pPr>
              <w:adjustRightInd w:val="0"/>
              <w:jc w:val="center"/>
              <w:rPr>
                <w:sz w:val="21"/>
                <w:szCs w:val="21"/>
              </w:rPr>
            </w:pPr>
          </w:p>
        </w:tc>
        <w:tc>
          <w:tcPr>
            <w:tcW w:w="1190" w:type="dxa"/>
            <w:noWrap w:val="0"/>
            <w:vAlign w:val="center"/>
          </w:tcPr>
          <w:p w14:paraId="3BB48AC1">
            <w:pPr>
              <w:adjustRightInd w:val="0"/>
              <w:jc w:val="center"/>
              <w:rPr>
                <w:sz w:val="21"/>
                <w:szCs w:val="21"/>
              </w:rPr>
            </w:pPr>
          </w:p>
        </w:tc>
        <w:tc>
          <w:tcPr>
            <w:tcW w:w="1186" w:type="dxa"/>
            <w:noWrap w:val="0"/>
            <w:vAlign w:val="center"/>
          </w:tcPr>
          <w:p w14:paraId="05194C7D">
            <w:pPr>
              <w:adjustRightInd w:val="0"/>
              <w:jc w:val="center"/>
              <w:rPr>
                <w:sz w:val="21"/>
                <w:szCs w:val="21"/>
              </w:rPr>
            </w:pPr>
          </w:p>
        </w:tc>
        <w:tc>
          <w:tcPr>
            <w:tcW w:w="1060" w:type="dxa"/>
            <w:noWrap w:val="0"/>
            <w:vAlign w:val="center"/>
          </w:tcPr>
          <w:p w14:paraId="68763811">
            <w:pPr>
              <w:adjustRightInd w:val="0"/>
              <w:jc w:val="center"/>
              <w:rPr>
                <w:sz w:val="21"/>
                <w:szCs w:val="21"/>
              </w:rPr>
            </w:pPr>
          </w:p>
        </w:tc>
        <w:tc>
          <w:tcPr>
            <w:tcW w:w="1227" w:type="dxa"/>
            <w:noWrap w:val="0"/>
            <w:vAlign w:val="center"/>
          </w:tcPr>
          <w:p w14:paraId="1599988D">
            <w:pPr>
              <w:adjustRightInd w:val="0"/>
              <w:jc w:val="center"/>
              <w:rPr>
                <w:sz w:val="21"/>
                <w:szCs w:val="21"/>
              </w:rPr>
            </w:pPr>
          </w:p>
        </w:tc>
        <w:tc>
          <w:tcPr>
            <w:tcW w:w="1528" w:type="dxa"/>
            <w:noWrap w:val="0"/>
            <w:vAlign w:val="center"/>
          </w:tcPr>
          <w:p w14:paraId="17BA6437">
            <w:pPr>
              <w:adjustRightInd w:val="0"/>
              <w:jc w:val="center"/>
              <w:rPr>
                <w:sz w:val="21"/>
                <w:szCs w:val="21"/>
              </w:rPr>
            </w:pPr>
          </w:p>
        </w:tc>
        <w:tc>
          <w:tcPr>
            <w:tcW w:w="1043" w:type="dxa"/>
            <w:noWrap w:val="0"/>
            <w:vAlign w:val="center"/>
          </w:tcPr>
          <w:p w14:paraId="3BCA6A80">
            <w:pPr>
              <w:adjustRightInd w:val="0"/>
              <w:jc w:val="center"/>
              <w:rPr>
                <w:sz w:val="21"/>
                <w:szCs w:val="21"/>
              </w:rPr>
            </w:pPr>
          </w:p>
        </w:tc>
      </w:tr>
      <w:tr w14:paraId="2F88D6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701" w:type="dxa"/>
            <w:noWrap w:val="0"/>
            <w:vAlign w:val="center"/>
          </w:tcPr>
          <w:p w14:paraId="4744FD14">
            <w:pPr>
              <w:adjustRightInd w:val="0"/>
              <w:jc w:val="center"/>
              <w:rPr>
                <w:sz w:val="21"/>
                <w:szCs w:val="21"/>
              </w:rPr>
            </w:pPr>
          </w:p>
        </w:tc>
        <w:tc>
          <w:tcPr>
            <w:tcW w:w="1272" w:type="dxa"/>
            <w:noWrap w:val="0"/>
            <w:vAlign w:val="center"/>
          </w:tcPr>
          <w:p w14:paraId="1327B06C">
            <w:pPr>
              <w:adjustRightInd w:val="0"/>
              <w:jc w:val="center"/>
              <w:rPr>
                <w:sz w:val="21"/>
                <w:szCs w:val="21"/>
              </w:rPr>
            </w:pPr>
          </w:p>
        </w:tc>
        <w:tc>
          <w:tcPr>
            <w:tcW w:w="1190" w:type="dxa"/>
            <w:noWrap w:val="0"/>
            <w:vAlign w:val="center"/>
          </w:tcPr>
          <w:p w14:paraId="1E529234">
            <w:pPr>
              <w:adjustRightInd w:val="0"/>
              <w:jc w:val="center"/>
              <w:rPr>
                <w:sz w:val="21"/>
                <w:szCs w:val="21"/>
              </w:rPr>
            </w:pPr>
          </w:p>
        </w:tc>
        <w:tc>
          <w:tcPr>
            <w:tcW w:w="1186" w:type="dxa"/>
            <w:noWrap w:val="0"/>
            <w:vAlign w:val="center"/>
          </w:tcPr>
          <w:p w14:paraId="3F67EAF1">
            <w:pPr>
              <w:adjustRightInd w:val="0"/>
              <w:jc w:val="center"/>
              <w:rPr>
                <w:sz w:val="21"/>
                <w:szCs w:val="21"/>
              </w:rPr>
            </w:pPr>
          </w:p>
        </w:tc>
        <w:tc>
          <w:tcPr>
            <w:tcW w:w="1060" w:type="dxa"/>
            <w:noWrap w:val="0"/>
            <w:vAlign w:val="center"/>
          </w:tcPr>
          <w:p w14:paraId="77EB162D">
            <w:pPr>
              <w:adjustRightInd w:val="0"/>
              <w:jc w:val="center"/>
              <w:rPr>
                <w:sz w:val="21"/>
                <w:szCs w:val="21"/>
              </w:rPr>
            </w:pPr>
          </w:p>
        </w:tc>
        <w:tc>
          <w:tcPr>
            <w:tcW w:w="1227" w:type="dxa"/>
            <w:noWrap w:val="0"/>
            <w:vAlign w:val="center"/>
          </w:tcPr>
          <w:p w14:paraId="16236BEF">
            <w:pPr>
              <w:adjustRightInd w:val="0"/>
              <w:jc w:val="center"/>
              <w:rPr>
                <w:sz w:val="21"/>
                <w:szCs w:val="21"/>
              </w:rPr>
            </w:pPr>
          </w:p>
        </w:tc>
        <w:tc>
          <w:tcPr>
            <w:tcW w:w="1528" w:type="dxa"/>
            <w:noWrap w:val="0"/>
            <w:vAlign w:val="center"/>
          </w:tcPr>
          <w:p w14:paraId="233AFB32">
            <w:pPr>
              <w:adjustRightInd w:val="0"/>
              <w:jc w:val="center"/>
              <w:rPr>
                <w:sz w:val="21"/>
                <w:szCs w:val="21"/>
              </w:rPr>
            </w:pPr>
          </w:p>
        </w:tc>
        <w:tc>
          <w:tcPr>
            <w:tcW w:w="1043" w:type="dxa"/>
            <w:noWrap w:val="0"/>
            <w:vAlign w:val="center"/>
          </w:tcPr>
          <w:p w14:paraId="69FDD8CF">
            <w:pPr>
              <w:adjustRightInd w:val="0"/>
              <w:jc w:val="center"/>
              <w:rPr>
                <w:sz w:val="21"/>
                <w:szCs w:val="21"/>
              </w:rPr>
            </w:pPr>
          </w:p>
        </w:tc>
      </w:tr>
      <w:tr w14:paraId="40AEBD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701" w:type="dxa"/>
            <w:noWrap w:val="0"/>
            <w:vAlign w:val="center"/>
          </w:tcPr>
          <w:p w14:paraId="29EFCC1C">
            <w:pPr>
              <w:adjustRightInd w:val="0"/>
              <w:jc w:val="center"/>
              <w:rPr>
                <w:sz w:val="21"/>
                <w:szCs w:val="21"/>
              </w:rPr>
            </w:pPr>
          </w:p>
        </w:tc>
        <w:tc>
          <w:tcPr>
            <w:tcW w:w="1272" w:type="dxa"/>
            <w:noWrap w:val="0"/>
            <w:vAlign w:val="center"/>
          </w:tcPr>
          <w:p w14:paraId="301ABB40">
            <w:pPr>
              <w:adjustRightInd w:val="0"/>
              <w:jc w:val="center"/>
              <w:rPr>
                <w:sz w:val="21"/>
                <w:szCs w:val="21"/>
              </w:rPr>
            </w:pPr>
          </w:p>
        </w:tc>
        <w:tc>
          <w:tcPr>
            <w:tcW w:w="1190" w:type="dxa"/>
            <w:noWrap w:val="0"/>
            <w:vAlign w:val="center"/>
          </w:tcPr>
          <w:p w14:paraId="5D606492">
            <w:pPr>
              <w:adjustRightInd w:val="0"/>
              <w:jc w:val="center"/>
              <w:rPr>
                <w:sz w:val="21"/>
                <w:szCs w:val="21"/>
              </w:rPr>
            </w:pPr>
          </w:p>
        </w:tc>
        <w:tc>
          <w:tcPr>
            <w:tcW w:w="1186" w:type="dxa"/>
            <w:noWrap w:val="0"/>
            <w:vAlign w:val="center"/>
          </w:tcPr>
          <w:p w14:paraId="1634402B">
            <w:pPr>
              <w:adjustRightInd w:val="0"/>
              <w:jc w:val="center"/>
              <w:rPr>
                <w:sz w:val="21"/>
                <w:szCs w:val="21"/>
              </w:rPr>
            </w:pPr>
          </w:p>
        </w:tc>
        <w:tc>
          <w:tcPr>
            <w:tcW w:w="1060" w:type="dxa"/>
            <w:noWrap w:val="0"/>
            <w:vAlign w:val="center"/>
          </w:tcPr>
          <w:p w14:paraId="6A4F2ACF">
            <w:pPr>
              <w:adjustRightInd w:val="0"/>
              <w:jc w:val="center"/>
              <w:rPr>
                <w:sz w:val="21"/>
                <w:szCs w:val="21"/>
              </w:rPr>
            </w:pPr>
          </w:p>
        </w:tc>
        <w:tc>
          <w:tcPr>
            <w:tcW w:w="1227" w:type="dxa"/>
            <w:noWrap w:val="0"/>
            <w:vAlign w:val="center"/>
          </w:tcPr>
          <w:p w14:paraId="066BE6D7">
            <w:pPr>
              <w:adjustRightInd w:val="0"/>
              <w:jc w:val="center"/>
              <w:rPr>
                <w:sz w:val="21"/>
                <w:szCs w:val="21"/>
              </w:rPr>
            </w:pPr>
          </w:p>
        </w:tc>
        <w:tc>
          <w:tcPr>
            <w:tcW w:w="1528" w:type="dxa"/>
            <w:noWrap w:val="0"/>
            <w:vAlign w:val="center"/>
          </w:tcPr>
          <w:p w14:paraId="34E21A23">
            <w:pPr>
              <w:adjustRightInd w:val="0"/>
              <w:jc w:val="center"/>
              <w:rPr>
                <w:sz w:val="21"/>
                <w:szCs w:val="21"/>
              </w:rPr>
            </w:pPr>
          </w:p>
        </w:tc>
        <w:tc>
          <w:tcPr>
            <w:tcW w:w="1043" w:type="dxa"/>
            <w:noWrap w:val="0"/>
            <w:vAlign w:val="center"/>
          </w:tcPr>
          <w:p w14:paraId="62D6C459">
            <w:pPr>
              <w:adjustRightInd w:val="0"/>
              <w:jc w:val="center"/>
              <w:rPr>
                <w:sz w:val="21"/>
                <w:szCs w:val="21"/>
              </w:rPr>
            </w:pPr>
          </w:p>
        </w:tc>
      </w:tr>
      <w:tr w14:paraId="2F22C8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701" w:type="dxa"/>
            <w:noWrap w:val="0"/>
            <w:vAlign w:val="center"/>
          </w:tcPr>
          <w:p w14:paraId="7C806CD1">
            <w:pPr>
              <w:adjustRightInd w:val="0"/>
              <w:jc w:val="center"/>
              <w:rPr>
                <w:sz w:val="21"/>
                <w:szCs w:val="21"/>
              </w:rPr>
            </w:pPr>
          </w:p>
        </w:tc>
        <w:tc>
          <w:tcPr>
            <w:tcW w:w="1272" w:type="dxa"/>
            <w:noWrap w:val="0"/>
            <w:vAlign w:val="center"/>
          </w:tcPr>
          <w:p w14:paraId="1AE4723C">
            <w:pPr>
              <w:adjustRightInd w:val="0"/>
              <w:jc w:val="center"/>
              <w:rPr>
                <w:sz w:val="21"/>
                <w:szCs w:val="21"/>
              </w:rPr>
            </w:pPr>
          </w:p>
        </w:tc>
        <w:tc>
          <w:tcPr>
            <w:tcW w:w="1190" w:type="dxa"/>
            <w:noWrap w:val="0"/>
            <w:vAlign w:val="center"/>
          </w:tcPr>
          <w:p w14:paraId="22D101C8">
            <w:pPr>
              <w:adjustRightInd w:val="0"/>
              <w:jc w:val="center"/>
              <w:rPr>
                <w:sz w:val="21"/>
                <w:szCs w:val="21"/>
              </w:rPr>
            </w:pPr>
          </w:p>
        </w:tc>
        <w:tc>
          <w:tcPr>
            <w:tcW w:w="1186" w:type="dxa"/>
            <w:noWrap w:val="0"/>
            <w:vAlign w:val="center"/>
          </w:tcPr>
          <w:p w14:paraId="1631D9B1">
            <w:pPr>
              <w:adjustRightInd w:val="0"/>
              <w:jc w:val="center"/>
              <w:rPr>
                <w:sz w:val="21"/>
                <w:szCs w:val="21"/>
              </w:rPr>
            </w:pPr>
          </w:p>
        </w:tc>
        <w:tc>
          <w:tcPr>
            <w:tcW w:w="1060" w:type="dxa"/>
            <w:noWrap w:val="0"/>
            <w:vAlign w:val="center"/>
          </w:tcPr>
          <w:p w14:paraId="4FBC3639">
            <w:pPr>
              <w:adjustRightInd w:val="0"/>
              <w:jc w:val="center"/>
              <w:rPr>
                <w:sz w:val="21"/>
                <w:szCs w:val="21"/>
              </w:rPr>
            </w:pPr>
          </w:p>
        </w:tc>
        <w:tc>
          <w:tcPr>
            <w:tcW w:w="1227" w:type="dxa"/>
            <w:noWrap w:val="0"/>
            <w:vAlign w:val="center"/>
          </w:tcPr>
          <w:p w14:paraId="139A0019">
            <w:pPr>
              <w:adjustRightInd w:val="0"/>
              <w:jc w:val="center"/>
              <w:rPr>
                <w:sz w:val="21"/>
                <w:szCs w:val="21"/>
              </w:rPr>
            </w:pPr>
          </w:p>
        </w:tc>
        <w:tc>
          <w:tcPr>
            <w:tcW w:w="1528" w:type="dxa"/>
            <w:noWrap w:val="0"/>
            <w:vAlign w:val="center"/>
          </w:tcPr>
          <w:p w14:paraId="02D41047">
            <w:pPr>
              <w:adjustRightInd w:val="0"/>
              <w:jc w:val="center"/>
              <w:rPr>
                <w:sz w:val="21"/>
                <w:szCs w:val="21"/>
              </w:rPr>
            </w:pPr>
          </w:p>
        </w:tc>
        <w:tc>
          <w:tcPr>
            <w:tcW w:w="1043" w:type="dxa"/>
            <w:noWrap w:val="0"/>
            <w:vAlign w:val="center"/>
          </w:tcPr>
          <w:p w14:paraId="205CE235">
            <w:pPr>
              <w:adjustRightInd w:val="0"/>
              <w:jc w:val="center"/>
              <w:rPr>
                <w:sz w:val="21"/>
                <w:szCs w:val="21"/>
              </w:rPr>
            </w:pPr>
          </w:p>
        </w:tc>
      </w:tr>
      <w:tr w14:paraId="59F7E1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701" w:type="dxa"/>
            <w:noWrap w:val="0"/>
            <w:vAlign w:val="center"/>
          </w:tcPr>
          <w:p w14:paraId="5FE3A502">
            <w:pPr>
              <w:adjustRightInd w:val="0"/>
              <w:jc w:val="center"/>
              <w:rPr>
                <w:sz w:val="21"/>
                <w:szCs w:val="21"/>
              </w:rPr>
            </w:pPr>
          </w:p>
        </w:tc>
        <w:tc>
          <w:tcPr>
            <w:tcW w:w="1272" w:type="dxa"/>
            <w:noWrap w:val="0"/>
            <w:vAlign w:val="center"/>
          </w:tcPr>
          <w:p w14:paraId="153014DD">
            <w:pPr>
              <w:adjustRightInd w:val="0"/>
              <w:jc w:val="center"/>
              <w:rPr>
                <w:sz w:val="21"/>
                <w:szCs w:val="21"/>
              </w:rPr>
            </w:pPr>
          </w:p>
        </w:tc>
        <w:tc>
          <w:tcPr>
            <w:tcW w:w="1190" w:type="dxa"/>
            <w:noWrap w:val="0"/>
            <w:vAlign w:val="center"/>
          </w:tcPr>
          <w:p w14:paraId="52559AA1">
            <w:pPr>
              <w:adjustRightInd w:val="0"/>
              <w:jc w:val="center"/>
              <w:rPr>
                <w:sz w:val="21"/>
                <w:szCs w:val="21"/>
              </w:rPr>
            </w:pPr>
          </w:p>
        </w:tc>
        <w:tc>
          <w:tcPr>
            <w:tcW w:w="1186" w:type="dxa"/>
            <w:noWrap w:val="0"/>
            <w:vAlign w:val="center"/>
          </w:tcPr>
          <w:p w14:paraId="20325068">
            <w:pPr>
              <w:adjustRightInd w:val="0"/>
              <w:jc w:val="center"/>
              <w:rPr>
                <w:sz w:val="21"/>
                <w:szCs w:val="21"/>
              </w:rPr>
            </w:pPr>
          </w:p>
        </w:tc>
        <w:tc>
          <w:tcPr>
            <w:tcW w:w="1060" w:type="dxa"/>
            <w:noWrap w:val="0"/>
            <w:vAlign w:val="center"/>
          </w:tcPr>
          <w:p w14:paraId="78A60668">
            <w:pPr>
              <w:adjustRightInd w:val="0"/>
              <w:jc w:val="center"/>
              <w:rPr>
                <w:sz w:val="21"/>
                <w:szCs w:val="21"/>
              </w:rPr>
            </w:pPr>
          </w:p>
        </w:tc>
        <w:tc>
          <w:tcPr>
            <w:tcW w:w="1227" w:type="dxa"/>
            <w:noWrap w:val="0"/>
            <w:vAlign w:val="center"/>
          </w:tcPr>
          <w:p w14:paraId="0E79E292">
            <w:pPr>
              <w:adjustRightInd w:val="0"/>
              <w:jc w:val="center"/>
              <w:rPr>
                <w:sz w:val="21"/>
                <w:szCs w:val="21"/>
              </w:rPr>
            </w:pPr>
          </w:p>
        </w:tc>
        <w:tc>
          <w:tcPr>
            <w:tcW w:w="1528" w:type="dxa"/>
            <w:noWrap w:val="0"/>
            <w:vAlign w:val="center"/>
          </w:tcPr>
          <w:p w14:paraId="58F2E46F">
            <w:pPr>
              <w:adjustRightInd w:val="0"/>
              <w:jc w:val="center"/>
              <w:rPr>
                <w:sz w:val="21"/>
                <w:szCs w:val="21"/>
              </w:rPr>
            </w:pPr>
          </w:p>
        </w:tc>
        <w:tc>
          <w:tcPr>
            <w:tcW w:w="1043" w:type="dxa"/>
            <w:noWrap w:val="0"/>
            <w:vAlign w:val="center"/>
          </w:tcPr>
          <w:p w14:paraId="670683FE">
            <w:pPr>
              <w:adjustRightInd w:val="0"/>
              <w:jc w:val="center"/>
              <w:rPr>
                <w:sz w:val="21"/>
                <w:szCs w:val="21"/>
              </w:rPr>
            </w:pPr>
          </w:p>
        </w:tc>
      </w:tr>
      <w:tr w14:paraId="48C333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701" w:type="dxa"/>
            <w:noWrap w:val="0"/>
            <w:vAlign w:val="center"/>
          </w:tcPr>
          <w:p w14:paraId="256D3F48">
            <w:pPr>
              <w:adjustRightInd w:val="0"/>
              <w:jc w:val="center"/>
              <w:rPr>
                <w:sz w:val="21"/>
                <w:szCs w:val="21"/>
              </w:rPr>
            </w:pPr>
          </w:p>
        </w:tc>
        <w:tc>
          <w:tcPr>
            <w:tcW w:w="1272" w:type="dxa"/>
            <w:noWrap w:val="0"/>
            <w:vAlign w:val="center"/>
          </w:tcPr>
          <w:p w14:paraId="2517C1AC">
            <w:pPr>
              <w:adjustRightInd w:val="0"/>
              <w:jc w:val="center"/>
              <w:rPr>
                <w:sz w:val="21"/>
                <w:szCs w:val="21"/>
              </w:rPr>
            </w:pPr>
          </w:p>
        </w:tc>
        <w:tc>
          <w:tcPr>
            <w:tcW w:w="1190" w:type="dxa"/>
            <w:noWrap w:val="0"/>
            <w:vAlign w:val="center"/>
          </w:tcPr>
          <w:p w14:paraId="03A29AE0">
            <w:pPr>
              <w:adjustRightInd w:val="0"/>
              <w:jc w:val="center"/>
              <w:rPr>
                <w:sz w:val="21"/>
                <w:szCs w:val="21"/>
              </w:rPr>
            </w:pPr>
          </w:p>
        </w:tc>
        <w:tc>
          <w:tcPr>
            <w:tcW w:w="1186" w:type="dxa"/>
            <w:noWrap w:val="0"/>
            <w:vAlign w:val="center"/>
          </w:tcPr>
          <w:p w14:paraId="0E6B470C">
            <w:pPr>
              <w:adjustRightInd w:val="0"/>
              <w:jc w:val="center"/>
              <w:rPr>
                <w:sz w:val="21"/>
                <w:szCs w:val="21"/>
              </w:rPr>
            </w:pPr>
          </w:p>
        </w:tc>
        <w:tc>
          <w:tcPr>
            <w:tcW w:w="1060" w:type="dxa"/>
            <w:noWrap w:val="0"/>
            <w:vAlign w:val="center"/>
          </w:tcPr>
          <w:p w14:paraId="61344F38">
            <w:pPr>
              <w:adjustRightInd w:val="0"/>
              <w:jc w:val="center"/>
              <w:rPr>
                <w:sz w:val="21"/>
                <w:szCs w:val="21"/>
              </w:rPr>
            </w:pPr>
          </w:p>
        </w:tc>
        <w:tc>
          <w:tcPr>
            <w:tcW w:w="1227" w:type="dxa"/>
            <w:noWrap w:val="0"/>
            <w:vAlign w:val="center"/>
          </w:tcPr>
          <w:p w14:paraId="38B478A0">
            <w:pPr>
              <w:adjustRightInd w:val="0"/>
              <w:jc w:val="center"/>
              <w:rPr>
                <w:sz w:val="21"/>
                <w:szCs w:val="21"/>
              </w:rPr>
            </w:pPr>
          </w:p>
        </w:tc>
        <w:tc>
          <w:tcPr>
            <w:tcW w:w="1528" w:type="dxa"/>
            <w:noWrap w:val="0"/>
            <w:vAlign w:val="center"/>
          </w:tcPr>
          <w:p w14:paraId="50320C58">
            <w:pPr>
              <w:adjustRightInd w:val="0"/>
              <w:jc w:val="center"/>
              <w:rPr>
                <w:sz w:val="21"/>
                <w:szCs w:val="21"/>
              </w:rPr>
            </w:pPr>
          </w:p>
        </w:tc>
        <w:tc>
          <w:tcPr>
            <w:tcW w:w="1043" w:type="dxa"/>
            <w:noWrap w:val="0"/>
            <w:vAlign w:val="center"/>
          </w:tcPr>
          <w:p w14:paraId="1D780FBE">
            <w:pPr>
              <w:adjustRightInd w:val="0"/>
              <w:jc w:val="center"/>
              <w:rPr>
                <w:sz w:val="21"/>
                <w:szCs w:val="21"/>
              </w:rPr>
            </w:pPr>
          </w:p>
        </w:tc>
      </w:tr>
      <w:tr w14:paraId="45481C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701" w:type="dxa"/>
            <w:noWrap w:val="0"/>
            <w:vAlign w:val="center"/>
          </w:tcPr>
          <w:p w14:paraId="125DDAC6">
            <w:pPr>
              <w:adjustRightInd w:val="0"/>
              <w:jc w:val="center"/>
              <w:rPr>
                <w:sz w:val="21"/>
                <w:szCs w:val="21"/>
              </w:rPr>
            </w:pPr>
          </w:p>
        </w:tc>
        <w:tc>
          <w:tcPr>
            <w:tcW w:w="1272" w:type="dxa"/>
            <w:noWrap w:val="0"/>
            <w:vAlign w:val="center"/>
          </w:tcPr>
          <w:p w14:paraId="472CB1BE">
            <w:pPr>
              <w:adjustRightInd w:val="0"/>
              <w:jc w:val="center"/>
              <w:rPr>
                <w:sz w:val="21"/>
                <w:szCs w:val="21"/>
              </w:rPr>
            </w:pPr>
          </w:p>
        </w:tc>
        <w:tc>
          <w:tcPr>
            <w:tcW w:w="1190" w:type="dxa"/>
            <w:noWrap w:val="0"/>
            <w:vAlign w:val="center"/>
          </w:tcPr>
          <w:p w14:paraId="24F2FFC2">
            <w:pPr>
              <w:adjustRightInd w:val="0"/>
              <w:jc w:val="center"/>
              <w:rPr>
                <w:sz w:val="21"/>
                <w:szCs w:val="21"/>
              </w:rPr>
            </w:pPr>
          </w:p>
        </w:tc>
        <w:tc>
          <w:tcPr>
            <w:tcW w:w="1186" w:type="dxa"/>
            <w:noWrap w:val="0"/>
            <w:vAlign w:val="center"/>
          </w:tcPr>
          <w:p w14:paraId="5BD09570">
            <w:pPr>
              <w:adjustRightInd w:val="0"/>
              <w:jc w:val="center"/>
              <w:rPr>
                <w:sz w:val="21"/>
                <w:szCs w:val="21"/>
              </w:rPr>
            </w:pPr>
          </w:p>
        </w:tc>
        <w:tc>
          <w:tcPr>
            <w:tcW w:w="1060" w:type="dxa"/>
            <w:noWrap w:val="0"/>
            <w:vAlign w:val="center"/>
          </w:tcPr>
          <w:p w14:paraId="6E5ADBCF">
            <w:pPr>
              <w:adjustRightInd w:val="0"/>
              <w:jc w:val="center"/>
              <w:rPr>
                <w:sz w:val="21"/>
                <w:szCs w:val="21"/>
              </w:rPr>
            </w:pPr>
          </w:p>
        </w:tc>
        <w:tc>
          <w:tcPr>
            <w:tcW w:w="1227" w:type="dxa"/>
            <w:noWrap w:val="0"/>
            <w:vAlign w:val="center"/>
          </w:tcPr>
          <w:p w14:paraId="3D5721DB">
            <w:pPr>
              <w:adjustRightInd w:val="0"/>
              <w:jc w:val="center"/>
              <w:rPr>
                <w:sz w:val="21"/>
                <w:szCs w:val="21"/>
              </w:rPr>
            </w:pPr>
          </w:p>
        </w:tc>
        <w:tc>
          <w:tcPr>
            <w:tcW w:w="1528" w:type="dxa"/>
            <w:noWrap w:val="0"/>
            <w:vAlign w:val="center"/>
          </w:tcPr>
          <w:p w14:paraId="6188AE25">
            <w:pPr>
              <w:adjustRightInd w:val="0"/>
              <w:jc w:val="center"/>
              <w:rPr>
                <w:sz w:val="21"/>
                <w:szCs w:val="21"/>
              </w:rPr>
            </w:pPr>
          </w:p>
        </w:tc>
        <w:tc>
          <w:tcPr>
            <w:tcW w:w="1043" w:type="dxa"/>
            <w:noWrap w:val="0"/>
            <w:vAlign w:val="center"/>
          </w:tcPr>
          <w:p w14:paraId="2D0866FA">
            <w:pPr>
              <w:adjustRightInd w:val="0"/>
              <w:jc w:val="center"/>
              <w:rPr>
                <w:sz w:val="21"/>
                <w:szCs w:val="21"/>
              </w:rPr>
            </w:pPr>
          </w:p>
        </w:tc>
      </w:tr>
      <w:tr w14:paraId="765B7A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701" w:type="dxa"/>
            <w:noWrap w:val="0"/>
            <w:vAlign w:val="center"/>
          </w:tcPr>
          <w:p w14:paraId="1DFC44FA">
            <w:pPr>
              <w:adjustRightInd w:val="0"/>
              <w:jc w:val="center"/>
              <w:rPr>
                <w:sz w:val="21"/>
                <w:szCs w:val="21"/>
              </w:rPr>
            </w:pPr>
          </w:p>
        </w:tc>
        <w:tc>
          <w:tcPr>
            <w:tcW w:w="1272" w:type="dxa"/>
            <w:noWrap w:val="0"/>
            <w:vAlign w:val="center"/>
          </w:tcPr>
          <w:p w14:paraId="1AF9D4A3">
            <w:pPr>
              <w:adjustRightInd w:val="0"/>
              <w:jc w:val="center"/>
              <w:rPr>
                <w:sz w:val="21"/>
                <w:szCs w:val="21"/>
              </w:rPr>
            </w:pPr>
          </w:p>
        </w:tc>
        <w:tc>
          <w:tcPr>
            <w:tcW w:w="1190" w:type="dxa"/>
            <w:noWrap w:val="0"/>
            <w:vAlign w:val="center"/>
          </w:tcPr>
          <w:p w14:paraId="5C6B8D0E">
            <w:pPr>
              <w:adjustRightInd w:val="0"/>
              <w:jc w:val="center"/>
              <w:rPr>
                <w:sz w:val="21"/>
                <w:szCs w:val="21"/>
              </w:rPr>
            </w:pPr>
          </w:p>
        </w:tc>
        <w:tc>
          <w:tcPr>
            <w:tcW w:w="1186" w:type="dxa"/>
            <w:noWrap w:val="0"/>
            <w:vAlign w:val="center"/>
          </w:tcPr>
          <w:p w14:paraId="0066E509">
            <w:pPr>
              <w:adjustRightInd w:val="0"/>
              <w:jc w:val="center"/>
              <w:rPr>
                <w:sz w:val="21"/>
                <w:szCs w:val="21"/>
              </w:rPr>
            </w:pPr>
          </w:p>
        </w:tc>
        <w:tc>
          <w:tcPr>
            <w:tcW w:w="1060" w:type="dxa"/>
            <w:noWrap w:val="0"/>
            <w:vAlign w:val="center"/>
          </w:tcPr>
          <w:p w14:paraId="1DB0DA5B">
            <w:pPr>
              <w:adjustRightInd w:val="0"/>
              <w:jc w:val="center"/>
              <w:rPr>
                <w:sz w:val="21"/>
                <w:szCs w:val="21"/>
              </w:rPr>
            </w:pPr>
          </w:p>
        </w:tc>
        <w:tc>
          <w:tcPr>
            <w:tcW w:w="1227" w:type="dxa"/>
            <w:noWrap w:val="0"/>
            <w:vAlign w:val="center"/>
          </w:tcPr>
          <w:p w14:paraId="5E56EAD2">
            <w:pPr>
              <w:adjustRightInd w:val="0"/>
              <w:jc w:val="center"/>
              <w:rPr>
                <w:sz w:val="21"/>
                <w:szCs w:val="21"/>
              </w:rPr>
            </w:pPr>
          </w:p>
        </w:tc>
        <w:tc>
          <w:tcPr>
            <w:tcW w:w="1528" w:type="dxa"/>
            <w:noWrap w:val="0"/>
            <w:vAlign w:val="center"/>
          </w:tcPr>
          <w:p w14:paraId="7F292664">
            <w:pPr>
              <w:adjustRightInd w:val="0"/>
              <w:jc w:val="center"/>
              <w:rPr>
                <w:sz w:val="21"/>
                <w:szCs w:val="21"/>
              </w:rPr>
            </w:pPr>
          </w:p>
        </w:tc>
        <w:tc>
          <w:tcPr>
            <w:tcW w:w="1043" w:type="dxa"/>
            <w:noWrap w:val="0"/>
            <w:vAlign w:val="center"/>
          </w:tcPr>
          <w:p w14:paraId="1D116A7B">
            <w:pPr>
              <w:adjustRightInd w:val="0"/>
              <w:jc w:val="center"/>
              <w:rPr>
                <w:sz w:val="21"/>
                <w:szCs w:val="21"/>
              </w:rPr>
            </w:pPr>
          </w:p>
        </w:tc>
      </w:tr>
      <w:tr w14:paraId="4EB4E2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701" w:type="dxa"/>
            <w:noWrap w:val="0"/>
            <w:vAlign w:val="center"/>
          </w:tcPr>
          <w:p w14:paraId="30A7BC81">
            <w:pPr>
              <w:adjustRightInd w:val="0"/>
              <w:jc w:val="center"/>
              <w:rPr>
                <w:sz w:val="21"/>
                <w:szCs w:val="21"/>
              </w:rPr>
            </w:pPr>
          </w:p>
        </w:tc>
        <w:tc>
          <w:tcPr>
            <w:tcW w:w="1272" w:type="dxa"/>
            <w:noWrap w:val="0"/>
            <w:vAlign w:val="center"/>
          </w:tcPr>
          <w:p w14:paraId="2A160BB1">
            <w:pPr>
              <w:adjustRightInd w:val="0"/>
              <w:jc w:val="center"/>
              <w:rPr>
                <w:sz w:val="21"/>
                <w:szCs w:val="21"/>
              </w:rPr>
            </w:pPr>
          </w:p>
        </w:tc>
        <w:tc>
          <w:tcPr>
            <w:tcW w:w="1190" w:type="dxa"/>
            <w:noWrap w:val="0"/>
            <w:vAlign w:val="center"/>
          </w:tcPr>
          <w:p w14:paraId="659F02FC">
            <w:pPr>
              <w:adjustRightInd w:val="0"/>
              <w:jc w:val="center"/>
              <w:rPr>
                <w:sz w:val="21"/>
                <w:szCs w:val="21"/>
              </w:rPr>
            </w:pPr>
          </w:p>
        </w:tc>
        <w:tc>
          <w:tcPr>
            <w:tcW w:w="1186" w:type="dxa"/>
            <w:noWrap w:val="0"/>
            <w:vAlign w:val="center"/>
          </w:tcPr>
          <w:p w14:paraId="7D4982CF">
            <w:pPr>
              <w:adjustRightInd w:val="0"/>
              <w:jc w:val="center"/>
              <w:rPr>
                <w:sz w:val="21"/>
                <w:szCs w:val="21"/>
              </w:rPr>
            </w:pPr>
          </w:p>
        </w:tc>
        <w:tc>
          <w:tcPr>
            <w:tcW w:w="1060" w:type="dxa"/>
            <w:noWrap w:val="0"/>
            <w:vAlign w:val="center"/>
          </w:tcPr>
          <w:p w14:paraId="60847457">
            <w:pPr>
              <w:adjustRightInd w:val="0"/>
              <w:jc w:val="center"/>
              <w:rPr>
                <w:sz w:val="21"/>
                <w:szCs w:val="21"/>
              </w:rPr>
            </w:pPr>
          </w:p>
        </w:tc>
        <w:tc>
          <w:tcPr>
            <w:tcW w:w="1227" w:type="dxa"/>
            <w:noWrap w:val="0"/>
            <w:vAlign w:val="center"/>
          </w:tcPr>
          <w:p w14:paraId="0680A890">
            <w:pPr>
              <w:adjustRightInd w:val="0"/>
              <w:jc w:val="center"/>
              <w:rPr>
                <w:sz w:val="21"/>
                <w:szCs w:val="21"/>
              </w:rPr>
            </w:pPr>
          </w:p>
        </w:tc>
        <w:tc>
          <w:tcPr>
            <w:tcW w:w="1528" w:type="dxa"/>
            <w:noWrap w:val="0"/>
            <w:vAlign w:val="center"/>
          </w:tcPr>
          <w:p w14:paraId="0686469B">
            <w:pPr>
              <w:adjustRightInd w:val="0"/>
              <w:jc w:val="center"/>
              <w:rPr>
                <w:sz w:val="21"/>
                <w:szCs w:val="21"/>
              </w:rPr>
            </w:pPr>
          </w:p>
        </w:tc>
        <w:tc>
          <w:tcPr>
            <w:tcW w:w="1043" w:type="dxa"/>
            <w:noWrap w:val="0"/>
            <w:vAlign w:val="center"/>
          </w:tcPr>
          <w:p w14:paraId="07D31BDE">
            <w:pPr>
              <w:adjustRightInd w:val="0"/>
              <w:jc w:val="center"/>
              <w:rPr>
                <w:sz w:val="21"/>
                <w:szCs w:val="21"/>
              </w:rPr>
            </w:pPr>
          </w:p>
        </w:tc>
      </w:tr>
      <w:tr w14:paraId="3D9E4F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701" w:type="dxa"/>
            <w:noWrap w:val="0"/>
            <w:vAlign w:val="center"/>
          </w:tcPr>
          <w:p w14:paraId="5D3E1D62">
            <w:pPr>
              <w:adjustRightInd w:val="0"/>
              <w:jc w:val="center"/>
              <w:rPr>
                <w:sz w:val="21"/>
                <w:szCs w:val="21"/>
              </w:rPr>
            </w:pPr>
          </w:p>
        </w:tc>
        <w:tc>
          <w:tcPr>
            <w:tcW w:w="1272" w:type="dxa"/>
            <w:noWrap w:val="0"/>
            <w:vAlign w:val="center"/>
          </w:tcPr>
          <w:p w14:paraId="6EA3AB0D">
            <w:pPr>
              <w:adjustRightInd w:val="0"/>
              <w:jc w:val="center"/>
              <w:rPr>
                <w:sz w:val="21"/>
                <w:szCs w:val="21"/>
              </w:rPr>
            </w:pPr>
          </w:p>
        </w:tc>
        <w:tc>
          <w:tcPr>
            <w:tcW w:w="1190" w:type="dxa"/>
            <w:noWrap w:val="0"/>
            <w:vAlign w:val="center"/>
          </w:tcPr>
          <w:p w14:paraId="581DCDB9">
            <w:pPr>
              <w:adjustRightInd w:val="0"/>
              <w:jc w:val="center"/>
              <w:rPr>
                <w:sz w:val="21"/>
                <w:szCs w:val="21"/>
              </w:rPr>
            </w:pPr>
          </w:p>
        </w:tc>
        <w:tc>
          <w:tcPr>
            <w:tcW w:w="1186" w:type="dxa"/>
            <w:noWrap w:val="0"/>
            <w:vAlign w:val="center"/>
          </w:tcPr>
          <w:p w14:paraId="57812346">
            <w:pPr>
              <w:adjustRightInd w:val="0"/>
              <w:jc w:val="center"/>
              <w:rPr>
                <w:sz w:val="21"/>
                <w:szCs w:val="21"/>
              </w:rPr>
            </w:pPr>
          </w:p>
        </w:tc>
        <w:tc>
          <w:tcPr>
            <w:tcW w:w="1060" w:type="dxa"/>
            <w:noWrap w:val="0"/>
            <w:vAlign w:val="center"/>
          </w:tcPr>
          <w:p w14:paraId="2737C265">
            <w:pPr>
              <w:adjustRightInd w:val="0"/>
              <w:jc w:val="center"/>
              <w:rPr>
                <w:sz w:val="21"/>
                <w:szCs w:val="21"/>
              </w:rPr>
            </w:pPr>
          </w:p>
        </w:tc>
        <w:tc>
          <w:tcPr>
            <w:tcW w:w="1227" w:type="dxa"/>
            <w:noWrap w:val="0"/>
            <w:vAlign w:val="center"/>
          </w:tcPr>
          <w:p w14:paraId="137B6560">
            <w:pPr>
              <w:adjustRightInd w:val="0"/>
              <w:jc w:val="center"/>
              <w:rPr>
                <w:sz w:val="21"/>
                <w:szCs w:val="21"/>
              </w:rPr>
            </w:pPr>
          </w:p>
        </w:tc>
        <w:tc>
          <w:tcPr>
            <w:tcW w:w="1528" w:type="dxa"/>
            <w:noWrap w:val="0"/>
            <w:vAlign w:val="center"/>
          </w:tcPr>
          <w:p w14:paraId="235B5856">
            <w:pPr>
              <w:adjustRightInd w:val="0"/>
              <w:jc w:val="center"/>
              <w:rPr>
                <w:sz w:val="21"/>
                <w:szCs w:val="21"/>
              </w:rPr>
            </w:pPr>
          </w:p>
        </w:tc>
        <w:tc>
          <w:tcPr>
            <w:tcW w:w="1043" w:type="dxa"/>
            <w:noWrap w:val="0"/>
            <w:vAlign w:val="center"/>
          </w:tcPr>
          <w:p w14:paraId="3DA8E86F">
            <w:pPr>
              <w:adjustRightInd w:val="0"/>
              <w:jc w:val="center"/>
              <w:rPr>
                <w:sz w:val="21"/>
                <w:szCs w:val="21"/>
              </w:rPr>
            </w:pPr>
          </w:p>
        </w:tc>
      </w:tr>
      <w:tr w14:paraId="1D54F3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701" w:type="dxa"/>
            <w:noWrap w:val="0"/>
            <w:vAlign w:val="center"/>
          </w:tcPr>
          <w:p w14:paraId="7F8C95C5">
            <w:pPr>
              <w:adjustRightInd w:val="0"/>
              <w:jc w:val="center"/>
              <w:rPr>
                <w:sz w:val="21"/>
                <w:szCs w:val="21"/>
              </w:rPr>
            </w:pPr>
          </w:p>
        </w:tc>
        <w:tc>
          <w:tcPr>
            <w:tcW w:w="1272" w:type="dxa"/>
            <w:noWrap w:val="0"/>
            <w:vAlign w:val="center"/>
          </w:tcPr>
          <w:p w14:paraId="3AD2FAE3">
            <w:pPr>
              <w:adjustRightInd w:val="0"/>
              <w:jc w:val="center"/>
              <w:rPr>
                <w:sz w:val="21"/>
                <w:szCs w:val="21"/>
              </w:rPr>
            </w:pPr>
          </w:p>
        </w:tc>
        <w:tc>
          <w:tcPr>
            <w:tcW w:w="1190" w:type="dxa"/>
            <w:noWrap w:val="0"/>
            <w:vAlign w:val="center"/>
          </w:tcPr>
          <w:p w14:paraId="383E9424">
            <w:pPr>
              <w:adjustRightInd w:val="0"/>
              <w:jc w:val="center"/>
              <w:rPr>
                <w:sz w:val="21"/>
                <w:szCs w:val="21"/>
              </w:rPr>
            </w:pPr>
          </w:p>
        </w:tc>
        <w:tc>
          <w:tcPr>
            <w:tcW w:w="1186" w:type="dxa"/>
            <w:noWrap w:val="0"/>
            <w:vAlign w:val="center"/>
          </w:tcPr>
          <w:p w14:paraId="5D2B8CA5">
            <w:pPr>
              <w:adjustRightInd w:val="0"/>
              <w:jc w:val="center"/>
              <w:rPr>
                <w:sz w:val="21"/>
                <w:szCs w:val="21"/>
              </w:rPr>
            </w:pPr>
          </w:p>
        </w:tc>
        <w:tc>
          <w:tcPr>
            <w:tcW w:w="1060" w:type="dxa"/>
            <w:noWrap w:val="0"/>
            <w:vAlign w:val="center"/>
          </w:tcPr>
          <w:p w14:paraId="24EFBB12">
            <w:pPr>
              <w:adjustRightInd w:val="0"/>
              <w:jc w:val="center"/>
              <w:rPr>
                <w:sz w:val="21"/>
                <w:szCs w:val="21"/>
              </w:rPr>
            </w:pPr>
          </w:p>
        </w:tc>
        <w:tc>
          <w:tcPr>
            <w:tcW w:w="1227" w:type="dxa"/>
            <w:noWrap w:val="0"/>
            <w:vAlign w:val="center"/>
          </w:tcPr>
          <w:p w14:paraId="413EBDB8">
            <w:pPr>
              <w:adjustRightInd w:val="0"/>
              <w:jc w:val="center"/>
              <w:rPr>
                <w:sz w:val="21"/>
                <w:szCs w:val="21"/>
              </w:rPr>
            </w:pPr>
          </w:p>
        </w:tc>
        <w:tc>
          <w:tcPr>
            <w:tcW w:w="1528" w:type="dxa"/>
            <w:noWrap w:val="0"/>
            <w:vAlign w:val="center"/>
          </w:tcPr>
          <w:p w14:paraId="7E985D46">
            <w:pPr>
              <w:adjustRightInd w:val="0"/>
              <w:jc w:val="center"/>
              <w:rPr>
                <w:sz w:val="21"/>
                <w:szCs w:val="21"/>
              </w:rPr>
            </w:pPr>
          </w:p>
        </w:tc>
        <w:tc>
          <w:tcPr>
            <w:tcW w:w="1043" w:type="dxa"/>
            <w:noWrap w:val="0"/>
            <w:vAlign w:val="center"/>
          </w:tcPr>
          <w:p w14:paraId="46105C5F">
            <w:pPr>
              <w:adjustRightInd w:val="0"/>
              <w:jc w:val="center"/>
              <w:rPr>
                <w:sz w:val="21"/>
                <w:szCs w:val="21"/>
              </w:rPr>
            </w:pPr>
          </w:p>
        </w:tc>
      </w:tr>
      <w:tr w14:paraId="4DF1FB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701" w:type="dxa"/>
            <w:noWrap w:val="0"/>
            <w:vAlign w:val="center"/>
          </w:tcPr>
          <w:p w14:paraId="6C13557A">
            <w:pPr>
              <w:adjustRightInd w:val="0"/>
              <w:jc w:val="center"/>
              <w:rPr>
                <w:sz w:val="21"/>
                <w:szCs w:val="21"/>
              </w:rPr>
            </w:pPr>
          </w:p>
        </w:tc>
        <w:tc>
          <w:tcPr>
            <w:tcW w:w="1272" w:type="dxa"/>
            <w:noWrap w:val="0"/>
            <w:vAlign w:val="center"/>
          </w:tcPr>
          <w:p w14:paraId="2FD87EF7">
            <w:pPr>
              <w:adjustRightInd w:val="0"/>
              <w:jc w:val="center"/>
              <w:rPr>
                <w:sz w:val="21"/>
                <w:szCs w:val="21"/>
              </w:rPr>
            </w:pPr>
          </w:p>
        </w:tc>
        <w:tc>
          <w:tcPr>
            <w:tcW w:w="1190" w:type="dxa"/>
            <w:noWrap w:val="0"/>
            <w:vAlign w:val="center"/>
          </w:tcPr>
          <w:p w14:paraId="7411CEEA">
            <w:pPr>
              <w:adjustRightInd w:val="0"/>
              <w:jc w:val="center"/>
              <w:rPr>
                <w:sz w:val="21"/>
                <w:szCs w:val="21"/>
              </w:rPr>
            </w:pPr>
          </w:p>
        </w:tc>
        <w:tc>
          <w:tcPr>
            <w:tcW w:w="1186" w:type="dxa"/>
            <w:noWrap w:val="0"/>
            <w:vAlign w:val="center"/>
          </w:tcPr>
          <w:p w14:paraId="0EDA409B">
            <w:pPr>
              <w:adjustRightInd w:val="0"/>
              <w:jc w:val="center"/>
              <w:rPr>
                <w:sz w:val="21"/>
                <w:szCs w:val="21"/>
              </w:rPr>
            </w:pPr>
          </w:p>
        </w:tc>
        <w:tc>
          <w:tcPr>
            <w:tcW w:w="1060" w:type="dxa"/>
            <w:noWrap w:val="0"/>
            <w:vAlign w:val="center"/>
          </w:tcPr>
          <w:p w14:paraId="36532077">
            <w:pPr>
              <w:adjustRightInd w:val="0"/>
              <w:jc w:val="center"/>
              <w:rPr>
                <w:sz w:val="21"/>
                <w:szCs w:val="21"/>
              </w:rPr>
            </w:pPr>
          </w:p>
        </w:tc>
        <w:tc>
          <w:tcPr>
            <w:tcW w:w="1227" w:type="dxa"/>
            <w:noWrap w:val="0"/>
            <w:vAlign w:val="center"/>
          </w:tcPr>
          <w:p w14:paraId="33DE704D">
            <w:pPr>
              <w:adjustRightInd w:val="0"/>
              <w:jc w:val="center"/>
              <w:rPr>
                <w:sz w:val="21"/>
                <w:szCs w:val="21"/>
              </w:rPr>
            </w:pPr>
          </w:p>
        </w:tc>
        <w:tc>
          <w:tcPr>
            <w:tcW w:w="1528" w:type="dxa"/>
            <w:noWrap w:val="0"/>
            <w:vAlign w:val="center"/>
          </w:tcPr>
          <w:p w14:paraId="5326D339">
            <w:pPr>
              <w:adjustRightInd w:val="0"/>
              <w:jc w:val="center"/>
              <w:rPr>
                <w:sz w:val="21"/>
                <w:szCs w:val="21"/>
              </w:rPr>
            </w:pPr>
          </w:p>
        </w:tc>
        <w:tc>
          <w:tcPr>
            <w:tcW w:w="1043" w:type="dxa"/>
            <w:noWrap w:val="0"/>
            <w:vAlign w:val="center"/>
          </w:tcPr>
          <w:p w14:paraId="4FCCCF66">
            <w:pPr>
              <w:adjustRightInd w:val="0"/>
              <w:jc w:val="center"/>
              <w:rPr>
                <w:sz w:val="21"/>
                <w:szCs w:val="21"/>
              </w:rPr>
            </w:pPr>
          </w:p>
        </w:tc>
      </w:tr>
      <w:tr w14:paraId="3456E5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701" w:type="dxa"/>
            <w:noWrap w:val="0"/>
            <w:vAlign w:val="center"/>
          </w:tcPr>
          <w:p w14:paraId="7F920AA8">
            <w:pPr>
              <w:adjustRightInd w:val="0"/>
              <w:jc w:val="center"/>
              <w:rPr>
                <w:sz w:val="21"/>
                <w:szCs w:val="21"/>
              </w:rPr>
            </w:pPr>
          </w:p>
        </w:tc>
        <w:tc>
          <w:tcPr>
            <w:tcW w:w="1272" w:type="dxa"/>
            <w:noWrap w:val="0"/>
            <w:vAlign w:val="center"/>
          </w:tcPr>
          <w:p w14:paraId="3F402C15">
            <w:pPr>
              <w:adjustRightInd w:val="0"/>
              <w:jc w:val="center"/>
              <w:rPr>
                <w:sz w:val="21"/>
                <w:szCs w:val="21"/>
              </w:rPr>
            </w:pPr>
          </w:p>
        </w:tc>
        <w:tc>
          <w:tcPr>
            <w:tcW w:w="1190" w:type="dxa"/>
            <w:noWrap w:val="0"/>
            <w:vAlign w:val="center"/>
          </w:tcPr>
          <w:p w14:paraId="74A9FD1D">
            <w:pPr>
              <w:adjustRightInd w:val="0"/>
              <w:jc w:val="center"/>
              <w:rPr>
                <w:sz w:val="21"/>
                <w:szCs w:val="21"/>
              </w:rPr>
            </w:pPr>
          </w:p>
        </w:tc>
        <w:tc>
          <w:tcPr>
            <w:tcW w:w="1186" w:type="dxa"/>
            <w:noWrap w:val="0"/>
            <w:vAlign w:val="center"/>
          </w:tcPr>
          <w:p w14:paraId="56849491">
            <w:pPr>
              <w:adjustRightInd w:val="0"/>
              <w:jc w:val="center"/>
              <w:rPr>
                <w:sz w:val="21"/>
                <w:szCs w:val="21"/>
              </w:rPr>
            </w:pPr>
          </w:p>
        </w:tc>
        <w:tc>
          <w:tcPr>
            <w:tcW w:w="1060" w:type="dxa"/>
            <w:noWrap w:val="0"/>
            <w:vAlign w:val="center"/>
          </w:tcPr>
          <w:p w14:paraId="4FDA0C2D">
            <w:pPr>
              <w:adjustRightInd w:val="0"/>
              <w:jc w:val="center"/>
              <w:rPr>
                <w:sz w:val="21"/>
                <w:szCs w:val="21"/>
              </w:rPr>
            </w:pPr>
          </w:p>
        </w:tc>
        <w:tc>
          <w:tcPr>
            <w:tcW w:w="1227" w:type="dxa"/>
            <w:noWrap w:val="0"/>
            <w:vAlign w:val="center"/>
          </w:tcPr>
          <w:p w14:paraId="0722581D">
            <w:pPr>
              <w:adjustRightInd w:val="0"/>
              <w:jc w:val="center"/>
              <w:rPr>
                <w:sz w:val="21"/>
                <w:szCs w:val="21"/>
              </w:rPr>
            </w:pPr>
          </w:p>
        </w:tc>
        <w:tc>
          <w:tcPr>
            <w:tcW w:w="1528" w:type="dxa"/>
            <w:noWrap w:val="0"/>
            <w:vAlign w:val="center"/>
          </w:tcPr>
          <w:p w14:paraId="2B345080">
            <w:pPr>
              <w:adjustRightInd w:val="0"/>
              <w:jc w:val="center"/>
              <w:rPr>
                <w:sz w:val="21"/>
                <w:szCs w:val="21"/>
              </w:rPr>
            </w:pPr>
          </w:p>
        </w:tc>
        <w:tc>
          <w:tcPr>
            <w:tcW w:w="1043" w:type="dxa"/>
            <w:noWrap w:val="0"/>
            <w:vAlign w:val="center"/>
          </w:tcPr>
          <w:p w14:paraId="5C41C7AB">
            <w:pPr>
              <w:adjustRightInd w:val="0"/>
              <w:jc w:val="center"/>
              <w:rPr>
                <w:sz w:val="21"/>
                <w:szCs w:val="21"/>
              </w:rPr>
            </w:pPr>
          </w:p>
        </w:tc>
      </w:tr>
      <w:tr w14:paraId="4A6804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701" w:type="dxa"/>
            <w:noWrap w:val="0"/>
            <w:vAlign w:val="center"/>
          </w:tcPr>
          <w:p w14:paraId="5E523A5B">
            <w:pPr>
              <w:adjustRightInd w:val="0"/>
              <w:jc w:val="center"/>
              <w:rPr>
                <w:sz w:val="21"/>
                <w:szCs w:val="21"/>
              </w:rPr>
            </w:pPr>
          </w:p>
        </w:tc>
        <w:tc>
          <w:tcPr>
            <w:tcW w:w="1272" w:type="dxa"/>
            <w:noWrap w:val="0"/>
            <w:vAlign w:val="center"/>
          </w:tcPr>
          <w:p w14:paraId="66FE2366">
            <w:pPr>
              <w:adjustRightInd w:val="0"/>
              <w:jc w:val="center"/>
              <w:rPr>
                <w:sz w:val="21"/>
                <w:szCs w:val="21"/>
              </w:rPr>
            </w:pPr>
          </w:p>
        </w:tc>
        <w:tc>
          <w:tcPr>
            <w:tcW w:w="1190" w:type="dxa"/>
            <w:noWrap w:val="0"/>
            <w:vAlign w:val="center"/>
          </w:tcPr>
          <w:p w14:paraId="0666DB8D">
            <w:pPr>
              <w:adjustRightInd w:val="0"/>
              <w:jc w:val="center"/>
              <w:rPr>
                <w:sz w:val="21"/>
                <w:szCs w:val="21"/>
              </w:rPr>
            </w:pPr>
          </w:p>
        </w:tc>
        <w:tc>
          <w:tcPr>
            <w:tcW w:w="1186" w:type="dxa"/>
            <w:noWrap w:val="0"/>
            <w:vAlign w:val="center"/>
          </w:tcPr>
          <w:p w14:paraId="636DE20B">
            <w:pPr>
              <w:adjustRightInd w:val="0"/>
              <w:jc w:val="center"/>
              <w:rPr>
                <w:sz w:val="21"/>
                <w:szCs w:val="21"/>
              </w:rPr>
            </w:pPr>
          </w:p>
        </w:tc>
        <w:tc>
          <w:tcPr>
            <w:tcW w:w="1060" w:type="dxa"/>
            <w:noWrap w:val="0"/>
            <w:vAlign w:val="center"/>
          </w:tcPr>
          <w:p w14:paraId="1A66C6EF">
            <w:pPr>
              <w:adjustRightInd w:val="0"/>
              <w:jc w:val="center"/>
              <w:rPr>
                <w:sz w:val="21"/>
                <w:szCs w:val="21"/>
              </w:rPr>
            </w:pPr>
          </w:p>
        </w:tc>
        <w:tc>
          <w:tcPr>
            <w:tcW w:w="1227" w:type="dxa"/>
            <w:noWrap w:val="0"/>
            <w:vAlign w:val="center"/>
          </w:tcPr>
          <w:p w14:paraId="715273D2">
            <w:pPr>
              <w:adjustRightInd w:val="0"/>
              <w:jc w:val="center"/>
              <w:rPr>
                <w:sz w:val="21"/>
                <w:szCs w:val="21"/>
              </w:rPr>
            </w:pPr>
          </w:p>
        </w:tc>
        <w:tc>
          <w:tcPr>
            <w:tcW w:w="1528" w:type="dxa"/>
            <w:noWrap w:val="0"/>
            <w:vAlign w:val="center"/>
          </w:tcPr>
          <w:p w14:paraId="1292931C">
            <w:pPr>
              <w:adjustRightInd w:val="0"/>
              <w:jc w:val="center"/>
              <w:rPr>
                <w:sz w:val="21"/>
                <w:szCs w:val="21"/>
              </w:rPr>
            </w:pPr>
          </w:p>
        </w:tc>
        <w:tc>
          <w:tcPr>
            <w:tcW w:w="1043" w:type="dxa"/>
            <w:noWrap w:val="0"/>
            <w:vAlign w:val="center"/>
          </w:tcPr>
          <w:p w14:paraId="3A80A73C">
            <w:pPr>
              <w:adjustRightInd w:val="0"/>
              <w:jc w:val="center"/>
              <w:rPr>
                <w:sz w:val="21"/>
                <w:szCs w:val="21"/>
              </w:rPr>
            </w:pPr>
          </w:p>
        </w:tc>
      </w:tr>
      <w:tr w14:paraId="32C62D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701" w:type="dxa"/>
            <w:noWrap w:val="0"/>
            <w:vAlign w:val="center"/>
          </w:tcPr>
          <w:p w14:paraId="05798385">
            <w:pPr>
              <w:adjustRightInd w:val="0"/>
              <w:jc w:val="center"/>
              <w:rPr>
                <w:sz w:val="21"/>
                <w:szCs w:val="21"/>
              </w:rPr>
            </w:pPr>
          </w:p>
        </w:tc>
        <w:tc>
          <w:tcPr>
            <w:tcW w:w="1272" w:type="dxa"/>
            <w:noWrap w:val="0"/>
            <w:vAlign w:val="center"/>
          </w:tcPr>
          <w:p w14:paraId="796E2DC2">
            <w:pPr>
              <w:adjustRightInd w:val="0"/>
              <w:jc w:val="center"/>
              <w:rPr>
                <w:sz w:val="21"/>
                <w:szCs w:val="21"/>
              </w:rPr>
            </w:pPr>
          </w:p>
        </w:tc>
        <w:tc>
          <w:tcPr>
            <w:tcW w:w="1190" w:type="dxa"/>
            <w:noWrap w:val="0"/>
            <w:vAlign w:val="center"/>
          </w:tcPr>
          <w:p w14:paraId="5C759C1D">
            <w:pPr>
              <w:adjustRightInd w:val="0"/>
              <w:jc w:val="center"/>
              <w:rPr>
                <w:sz w:val="21"/>
                <w:szCs w:val="21"/>
              </w:rPr>
            </w:pPr>
          </w:p>
        </w:tc>
        <w:tc>
          <w:tcPr>
            <w:tcW w:w="1186" w:type="dxa"/>
            <w:noWrap w:val="0"/>
            <w:vAlign w:val="center"/>
          </w:tcPr>
          <w:p w14:paraId="5837366B">
            <w:pPr>
              <w:adjustRightInd w:val="0"/>
              <w:jc w:val="center"/>
              <w:rPr>
                <w:sz w:val="21"/>
                <w:szCs w:val="21"/>
              </w:rPr>
            </w:pPr>
          </w:p>
        </w:tc>
        <w:tc>
          <w:tcPr>
            <w:tcW w:w="1060" w:type="dxa"/>
            <w:noWrap w:val="0"/>
            <w:vAlign w:val="center"/>
          </w:tcPr>
          <w:p w14:paraId="38133FE3">
            <w:pPr>
              <w:adjustRightInd w:val="0"/>
              <w:jc w:val="center"/>
              <w:rPr>
                <w:sz w:val="21"/>
                <w:szCs w:val="21"/>
              </w:rPr>
            </w:pPr>
          </w:p>
        </w:tc>
        <w:tc>
          <w:tcPr>
            <w:tcW w:w="1227" w:type="dxa"/>
            <w:noWrap w:val="0"/>
            <w:vAlign w:val="center"/>
          </w:tcPr>
          <w:p w14:paraId="2D807E10">
            <w:pPr>
              <w:adjustRightInd w:val="0"/>
              <w:jc w:val="center"/>
              <w:rPr>
                <w:sz w:val="21"/>
                <w:szCs w:val="21"/>
              </w:rPr>
            </w:pPr>
          </w:p>
        </w:tc>
        <w:tc>
          <w:tcPr>
            <w:tcW w:w="1528" w:type="dxa"/>
            <w:noWrap w:val="0"/>
            <w:vAlign w:val="center"/>
          </w:tcPr>
          <w:p w14:paraId="4575F687">
            <w:pPr>
              <w:adjustRightInd w:val="0"/>
              <w:jc w:val="center"/>
              <w:rPr>
                <w:sz w:val="21"/>
                <w:szCs w:val="21"/>
              </w:rPr>
            </w:pPr>
          </w:p>
        </w:tc>
        <w:tc>
          <w:tcPr>
            <w:tcW w:w="1043" w:type="dxa"/>
            <w:noWrap w:val="0"/>
            <w:vAlign w:val="center"/>
          </w:tcPr>
          <w:p w14:paraId="3297C08A">
            <w:pPr>
              <w:adjustRightInd w:val="0"/>
              <w:jc w:val="center"/>
              <w:rPr>
                <w:sz w:val="21"/>
                <w:szCs w:val="21"/>
              </w:rPr>
            </w:pPr>
          </w:p>
        </w:tc>
      </w:tr>
      <w:tr w14:paraId="4AF5DA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701" w:type="dxa"/>
            <w:noWrap w:val="0"/>
            <w:vAlign w:val="center"/>
          </w:tcPr>
          <w:p w14:paraId="6C4769C2">
            <w:pPr>
              <w:adjustRightInd w:val="0"/>
              <w:jc w:val="center"/>
              <w:rPr>
                <w:sz w:val="21"/>
                <w:szCs w:val="21"/>
              </w:rPr>
            </w:pPr>
          </w:p>
        </w:tc>
        <w:tc>
          <w:tcPr>
            <w:tcW w:w="1272" w:type="dxa"/>
            <w:noWrap w:val="0"/>
            <w:vAlign w:val="center"/>
          </w:tcPr>
          <w:p w14:paraId="08341176">
            <w:pPr>
              <w:adjustRightInd w:val="0"/>
              <w:jc w:val="center"/>
              <w:rPr>
                <w:sz w:val="21"/>
                <w:szCs w:val="21"/>
              </w:rPr>
            </w:pPr>
          </w:p>
        </w:tc>
        <w:tc>
          <w:tcPr>
            <w:tcW w:w="1190" w:type="dxa"/>
            <w:noWrap w:val="0"/>
            <w:vAlign w:val="center"/>
          </w:tcPr>
          <w:p w14:paraId="29D28A48">
            <w:pPr>
              <w:adjustRightInd w:val="0"/>
              <w:jc w:val="center"/>
              <w:rPr>
                <w:sz w:val="21"/>
                <w:szCs w:val="21"/>
              </w:rPr>
            </w:pPr>
          </w:p>
        </w:tc>
        <w:tc>
          <w:tcPr>
            <w:tcW w:w="1186" w:type="dxa"/>
            <w:noWrap w:val="0"/>
            <w:vAlign w:val="center"/>
          </w:tcPr>
          <w:p w14:paraId="665F6598">
            <w:pPr>
              <w:adjustRightInd w:val="0"/>
              <w:jc w:val="center"/>
              <w:rPr>
                <w:sz w:val="21"/>
                <w:szCs w:val="21"/>
              </w:rPr>
            </w:pPr>
          </w:p>
        </w:tc>
        <w:tc>
          <w:tcPr>
            <w:tcW w:w="1060" w:type="dxa"/>
            <w:noWrap w:val="0"/>
            <w:vAlign w:val="center"/>
          </w:tcPr>
          <w:p w14:paraId="4FBBDBB5">
            <w:pPr>
              <w:adjustRightInd w:val="0"/>
              <w:jc w:val="center"/>
              <w:rPr>
                <w:sz w:val="21"/>
                <w:szCs w:val="21"/>
              </w:rPr>
            </w:pPr>
          </w:p>
        </w:tc>
        <w:tc>
          <w:tcPr>
            <w:tcW w:w="1227" w:type="dxa"/>
            <w:noWrap w:val="0"/>
            <w:vAlign w:val="center"/>
          </w:tcPr>
          <w:p w14:paraId="318189E2">
            <w:pPr>
              <w:adjustRightInd w:val="0"/>
              <w:jc w:val="center"/>
              <w:rPr>
                <w:sz w:val="21"/>
                <w:szCs w:val="21"/>
              </w:rPr>
            </w:pPr>
          </w:p>
        </w:tc>
        <w:tc>
          <w:tcPr>
            <w:tcW w:w="1528" w:type="dxa"/>
            <w:noWrap w:val="0"/>
            <w:vAlign w:val="center"/>
          </w:tcPr>
          <w:p w14:paraId="6CC2FC49">
            <w:pPr>
              <w:adjustRightInd w:val="0"/>
              <w:jc w:val="center"/>
              <w:rPr>
                <w:sz w:val="21"/>
                <w:szCs w:val="21"/>
              </w:rPr>
            </w:pPr>
          </w:p>
        </w:tc>
        <w:tc>
          <w:tcPr>
            <w:tcW w:w="1043" w:type="dxa"/>
            <w:noWrap w:val="0"/>
            <w:vAlign w:val="center"/>
          </w:tcPr>
          <w:p w14:paraId="30D7EB1A">
            <w:pPr>
              <w:adjustRightInd w:val="0"/>
              <w:jc w:val="center"/>
              <w:rPr>
                <w:sz w:val="21"/>
                <w:szCs w:val="21"/>
              </w:rPr>
            </w:pPr>
          </w:p>
        </w:tc>
      </w:tr>
      <w:bookmarkEnd w:id="363"/>
      <w:bookmarkEnd w:id="364"/>
      <w:bookmarkEnd w:id="365"/>
      <w:bookmarkEnd w:id="366"/>
      <w:bookmarkEnd w:id="367"/>
      <w:bookmarkEnd w:id="368"/>
      <w:bookmarkEnd w:id="369"/>
    </w:tbl>
    <w:p w14:paraId="0621F6F1">
      <w:pPr>
        <w:pStyle w:val="4"/>
        <w:spacing w:line="480" w:lineRule="auto"/>
        <w:jc w:val="left"/>
        <w:rPr>
          <w:rFonts w:hint="eastAsia" w:ascii="宋体" w:hAnsi="宋体" w:cs="TimesNewRomanPSMT"/>
          <w:b w:val="0"/>
          <w:bCs w:val="0"/>
          <w:color w:val="auto"/>
          <w:kern w:val="0"/>
          <w:sz w:val="21"/>
          <w:szCs w:val="21"/>
          <w:highlight w:val="none"/>
          <w:u w:val="single"/>
          <w:lang w:val="en-US" w:eastAsia="zh-CN"/>
        </w:rPr>
      </w:pPr>
      <w:r>
        <w:rPr>
          <w:rFonts w:hint="eastAsia" w:ascii="Times New Roman" w:hAnsi="Times New Roman" w:eastAsia="宋体" w:cs="Times New Roman"/>
          <w:b w:val="0"/>
          <w:bCs w:val="0"/>
          <w:sz w:val="21"/>
          <w:szCs w:val="21"/>
          <w:lang w:eastAsia="zh-CN"/>
        </w:rPr>
        <w:t>注：后附相应证书</w:t>
      </w:r>
      <w:r>
        <w:rPr>
          <w:rFonts w:hint="eastAsia" w:ascii="Times New Roman" w:hAnsi="Times New Roman" w:eastAsia="宋体" w:cs="Times New Roman"/>
          <w:b w:val="0"/>
          <w:bCs w:val="0"/>
          <w:sz w:val="21"/>
          <w:szCs w:val="21"/>
          <w:lang w:val="en-US" w:eastAsia="zh-CN"/>
        </w:rPr>
        <w:t>等资料</w:t>
      </w:r>
      <w:r>
        <w:rPr>
          <w:rFonts w:hint="eastAsia" w:ascii="Times New Roman" w:hAnsi="Times New Roman" w:eastAsia="宋体" w:cs="Times New Roman"/>
          <w:b w:val="0"/>
          <w:bCs w:val="0"/>
          <w:sz w:val="21"/>
          <w:szCs w:val="21"/>
          <w:lang w:eastAsia="zh-CN"/>
        </w:rPr>
        <w:t>复印件</w:t>
      </w:r>
    </w:p>
    <w:p w14:paraId="225D079C">
      <w:pPr>
        <w:pStyle w:val="2"/>
        <w:rPr>
          <w:rFonts w:hint="eastAsia"/>
          <w:lang w:val="en-US" w:eastAsia="zh-CN"/>
        </w:rPr>
        <w:sectPr>
          <w:pgSz w:w="11906" w:h="16838"/>
          <w:pgMar w:top="1417" w:right="1701" w:bottom="1417" w:left="1701" w:header="851" w:footer="992" w:gutter="0"/>
          <w:pgNumType w:fmt="numberInDash"/>
          <w:cols w:space="720" w:num="1"/>
          <w:docGrid w:type="lines" w:linePitch="312" w:charSpace="0"/>
        </w:sectPr>
      </w:pPr>
    </w:p>
    <w:p w14:paraId="4B1B49B4">
      <w:pPr>
        <w:pStyle w:val="4"/>
        <w:spacing w:line="480" w:lineRule="auto"/>
        <w:jc w:val="center"/>
        <w:rPr>
          <w:rFonts w:ascii="宋体" w:hAnsi="宋体" w:cs="宋体"/>
        </w:rPr>
      </w:pPr>
      <w:r>
        <w:rPr>
          <w:rFonts w:hint="eastAsia" w:ascii="宋体" w:hAnsi="宋体" w:cs="宋体"/>
          <w:lang w:eastAsia="zh-CN"/>
        </w:rPr>
        <w:t>五、</w:t>
      </w:r>
      <w:r>
        <w:rPr>
          <w:rFonts w:hint="eastAsia" w:ascii="宋体" w:hAnsi="宋体" w:cs="宋体"/>
        </w:rPr>
        <w:t>技术部分</w:t>
      </w:r>
      <w:bookmarkEnd w:id="347"/>
      <w:bookmarkEnd w:id="348"/>
      <w:bookmarkEnd w:id="349"/>
      <w:bookmarkEnd w:id="361"/>
    </w:p>
    <w:p w14:paraId="7237C8B2">
      <w:pPr>
        <w:rPr>
          <w:rFonts w:ascii="宋体" w:hAnsi="宋体" w:cs="宋体"/>
        </w:rPr>
      </w:pPr>
    </w:p>
    <w:p w14:paraId="0EC633E6">
      <w:pPr>
        <w:jc w:val="center"/>
        <w:rPr>
          <w:rFonts w:ascii="宋体" w:hAnsi="宋体" w:cs="宋体"/>
        </w:rPr>
      </w:pPr>
      <w:r>
        <w:rPr>
          <w:rFonts w:hint="eastAsia" w:ascii="宋体" w:hAnsi="宋体" w:cs="宋体"/>
        </w:rPr>
        <w:t>（格式自拟）</w:t>
      </w:r>
    </w:p>
    <w:p w14:paraId="4F616CB9">
      <w:pPr>
        <w:rPr>
          <w:rFonts w:ascii="宋体" w:hAnsi="宋体" w:cs="宋体"/>
        </w:rPr>
      </w:pPr>
    </w:p>
    <w:p w14:paraId="0F8339ED">
      <w:pPr>
        <w:pStyle w:val="9"/>
        <w:rPr>
          <w:rFonts w:ascii="宋体" w:hAnsi="宋体" w:eastAsia="宋体" w:cs="宋体"/>
        </w:rPr>
      </w:pPr>
    </w:p>
    <w:p w14:paraId="3235AA1E">
      <w:pPr>
        <w:rPr>
          <w:rFonts w:ascii="宋体" w:hAnsi="宋体" w:cs="宋体"/>
        </w:rPr>
      </w:pPr>
    </w:p>
    <w:p w14:paraId="5BB3139C">
      <w:pPr>
        <w:pStyle w:val="9"/>
        <w:rPr>
          <w:rFonts w:ascii="宋体" w:hAnsi="宋体" w:eastAsia="宋体" w:cs="宋体"/>
        </w:rPr>
      </w:pPr>
    </w:p>
    <w:p w14:paraId="67F06EF4">
      <w:pPr>
        <w:rPr>
          <w:rFonts w:ascii="宋体" w:hAnsi="宋体" w:cs="宋体"/>
        </w:rPr>
      </w:pPr>
    </w:p>
    <w:p w14:paraId="180D14FB">
      <w:pPr>
        <w:pStyle w:val="9"/>
        <w:rPr>
          <w:rFonts w:ascii="宋体" w:hAnsi="宋体" w:eastAsia="宋体" w:cs="宋体"/>
        </w:rPr>
      </w:pPr>
    </w:p>
    <w:p w14:paraId="44C808CC">
      <w:pPr>
        <w:rPr>
          <w:rFonts w:ascii="宋体" w:hAnsi="宋体" w:cs="宋体"/>
        </w:rPr>
      </w:pPr>
    </w:p>
    <w:p w14:paraId="2FF2B7AD">
      <w:pPr>
        <w:pStyle w:val="9"/>
        <w:rPr>
          <w:rFonts w:ascii="宋体" w:hAnsi="宋体" w:eastAsia="宋体" w:cs="宋体"/>
        </w:rPr>
      </w:pPr>
    </w:p>
    <w:p w14:paraId="2D284435">
      <w:pPr>
        <w:rPr>
          <w:rFonts w:ascii="宋体" w:hAnsi="宋体" w:cs="宋体"/>
        </w:rPr>
      </w:pPr>
    </w:p>
    <w:p w14:paraId="2E149E6F">
      <w:pPr>
        <w:pStyle w:val="9"/>
        <w:rPr>
          <w:rFonts w:ascii="宋体" w:hAnsi="宋体" w:eastAsia="宋体" w:cs="宋体"/>
        </w:rPr>
      </w:pPr>
    </w:p>
    <w:p w14:paraId="7EB9C52B">
      <w:pPr>
        <w:rPr>
          <w:rFonts w:ascii="宋体" w:hAnsi="宋体" w:cs="宋体"/>
        </w:rPr>
      </w:pPr>
    </w:p>
    <w:p w14:paraId="7423D3E1">
      <w:pPr>
        <w:pStyle w:val="9"/>
        <w:rPr>
          <w:rFonts w:ascii="宋体" w:hAnsi="宋体" w:eastAsia="宋体" w:cs="宋体"/>
        </w:rPr>
      </w:pPr>
    </w:p>
    <w:p w14:paraId="60B989ED">
      <w:pPr>
        <w:rPr>
          <w:rFonts w:ascii="宋体" w:hAnsi="宋体" w:cs="宋体"/>
        </w:rPr>
      </w:pPr>
    </w:p>
    <w:p w14:paraId="777C5688">
      <w:pPr>
        <w:pStyle w:val="9"/>
        <w:rPr>
          <w:rFonts w:ascii="宋体" w:hAnsi="宋体" w:eastAsia="宋体" w:cs="宋体"/>
        </w:rPr>
      </w:pPr>
    </w:p>
    <w:p w14:paraId="6219150B">
      <w:pPr>
        <w:rPr>
          <w:rFonts w:ascii="宋体" w:hAnsi="宋体" w:cs="宋体"/>
        </w:rPr>
      </w:pPr>
    </w:p>
    <w:p w14:paraId="22D7D4C5">
      <w:pPr>
        <w:pStyle w:val="9"/>
        <w:rPr>
          <w:rFonts w:ascii="宋体" w:hAnsi="宋体" w:eastAsia="宋体" w:cs="宋体"/>
        </w:rPr>
      </w:pPr>
    </w:p>
    <w:p w14:paraId="56E2E30D">
      <w:pPr>
        <w:rPr>
          <w:rFonts w:ascii="宋体" w:hAnsi="宋体" w:eastAsia="宋体" w:cs="宋体"/>
        </w:rPr>
      </w:pPr>
      <w:r>
        <w:rPr>
          <w:rFonts w:ascii="宋体" w:hAnsi="宋体" w:cs="宋体"/>
        </w:rPr>
        <w:br w:type="page"/>
      </w:r>
    </w:p>
    <w:p w14:paraId="0CE44D1C">
      <w:pPr>
        <w:pStyle w:val="4"/>
        <w:spacing w:line="480" w:lineRule="auto"/>
        <w:jc w:val="center"/>
        <w:rPr>
          <w:rFonts w:ascii="宋体" w:hAnsi="宋体" w:cs="宋体"/>
        </w:rPr>
      </w:pPr>
      <w:bookmarkStart w:id="370" w:name="_Toc21300"/>
      <w:bookmarkStart w:id="371" w:name="_Toc4132"/>
      <w:bookmarkStart w:id="372" w:name="_Toc25636"/>
      <w:bookmarkStart w:id="373" w:name="_Toc6167"/>
      <w:r>
        <w:rPr>
          <w:rFonts w:hint="eastAsia" w:ascii="宋体" w:hAnsi="宋体" w:cs="宋体"/>
          <w:lang w:eastAsia="zh-CN"/>
        </w:rPr>
        <w:t>六</w:t>
      </w:r>
      <w:r>
        <w:rPr>
          <w:rFonts w:hint="eastAsia" w:ascii="宋体" w:hAnsi="宋体" w:cs="宋体"/>
        </w:rPr>
        <w:t>、</w:t>
      </w:r>
      <w:bookmarkEnd w:id="370"/>
      <w:bookmarkEnd w:id="371"/>
      <w:r>
        <w:rPr>
          <w:rFonts w:hint="eastAsia" w:ascii="宋体" w:hAnsi="宋体" w:cs="宋体"/>
        </w:rPr>
        <w:t>商务部分</w:t>
      </w:r>
      <w:bookmarkEnd w:id="372"/>
      <w:bookmarkEnd w:id="373"/>
    </w:p>
    <w:p w14:paraId="35ACDEF8">
      <w:pPr>
        <w:rPr>
          <w:rFonts w:ascii="宋体" w:hAnsi="宋体" w:cs="宋体"/>
          <w:szCs w:val="21"/>
        </w:rPr>
      </w:pPr>
    </w:p>
    <w:p w14:paraId="06043D6D">
      <w:pPr>
        <w:jc w:val="center"/>
        <w:rPr>
          <w:rFonts w:ascii="宋体" w:hAnsi="宋体" w:cs="宋体"/>
        </w:rPr>
      </w:pPr>
      <w:r>
        <w:rPr>
          <w:rFonts w:hint="eastAsia" w:ascii="宋体" w:hAnsi="宋体" w:cs="宋体"/>
        </w:rPr>
        <w:t>（格式自拟）</w:t>
      </w:r>
    </w:p>
    <w:p w14:paraId="3111922B">
      <w:pPr>
        <w:rPr>
          <w:rFonts w:ascii="宋体" w:hAnsi="宋体" w:cs="宋体"/>
        </w:rPr>
      </w:pPr>
    </w:p>
    <w:p w14:paraId="0FD53413">
      <w:pPr>
        <w:pStyle w:val="9"/>
        <w:rPr>
          <w:rFonts w:ascii="宋体" w:hAnsi="宋体" w:eastAsia="宋体" w:cs="宋体"/>
          <w:sz w:val="21"/>
          <w:szCs w:val="21"/>
        </w:rPr>
      </w:pPr>
    </w:p>
    <w:p w14:paraId="0A668A60">
      <w:pPr>
        <w:rPr>
          <w:rFonts w:ascii="宋体" w:hAnsi="宋体" w:cs="宋体"/>
        </w:rPr>
      </w:pPr>
    </w:p>
    <w:p w14:paraId="5CF059A4">
      <w:pPr>
        <w:pStyle w:val="45"/>
        <w:rPr>
          <w:rFonts w:ascii="宋体" w:hAnsi="宋体" w:cs="宋体"/>
        </w:rPr>
      </w:pPr>
    </w:p>
    <w:p w14:paraId="68449B5D">
      <w:pPr>
        <w:pStyle w:val="45"/>
        <w:rPr>
          <w:rFonts w:ascii="宋体" w:hAnsi="宋体" w:cs="宋体"/>
        </w:rPr>
      </w:pPr>
    </w:p>
    <w:p w14:paraId="5B232C75">
      <w:pPr>
        <w:pStyle w:val="45"/>
        <w:rPr>
          <w:rFonts w:ascii="宋体" w:hAnsi="宋体" w:cs="宋体"/>
        </w:rPr>
      </w:pPr>
    </w:p>
    <w:p w14:paraId="351BC093">
      <w:pPr>
        <w:pStyle w:val="45"/>
        <w:rPr>
          <w:rFonts w:ascii="宋体" w:hAnsi="宋体" w:cs="宋体"/>
        </w:rPr>
      </w:pPr>
    </w:p>
    <w:p w14:paraId="2A7F7E06">
      <w:pPr>
        <w:pStyle w:val="45"/>
        <w:rPr>
          <w:rFonts w:ascii="宋体" w:hAnsi="宋体" w:cs="宋体"/>
        </w:rPr>
      </w:pPr>
    </w:p>
    <w:p w14:paraId="44E844CC">
      <w:pPr>
        <w:pStyle w:val="45"/>
        <w:rPr>
          <w:rFonts w:ascii="宋体" w:hAnsi="宋体" w:cs="宋体"/>
        </w:rPr>
      </w:pPr>
    </w:p>
    <w:p w14:paraId="4330A684">
      <w:pPr>
        <w:pStyle w:val="45"/>
        <w:rPr>
          <w:rFonts w:ascii="宋体" w:hAnsi="宋体" w:cs="宋体"/>
        </w:rPr>
      </w:pPr>
    </w:p>
    <w:p w14:paraId="09612493">
      <w:pPr>
        <w:pStyle w:val="45"/>
        <w:rPr>
          <w:rFonts w:ascii="宋体" w:hAnsi="宋体" w:cs="宋体"/>
        </w:rPr>
      </w:pPr>
    </w:p>
    <w:p w14:paraId="6DE13B72">
      <w:pPr>
        <w:pStyle w:val="45"/>
        <w:rPr>
          <w:rFonts w:ascii="宋体" w:hAnsi="宋体" w:cs="宋体"/>
        </w:rPr>
      </w:pPr>
    </w:p>
    <w:p w14:paraId="420243A2">
      <w:pPr>
        <w:pStyle w:val="45"/>
        <w:rPr>
          <w:rFonts w:ascii="宋体" w:hAnsi="宋体" w:cs="宋体"/>
        </w:rPr>
      </w:pPr>
    </w:p>
    <w:p w14:paraId="0C0AB920">
      <w:pPr>
        <w:pStyle w:val="45"/>
        <w:rPr>
          <w:rFonts w:ascii="宋体" w:hAnsi="宋体" w:cs="宋体"/>
        </w:rPr>
      </w:pPr>
    </w:p>
    <w:p w14:paraId="4C21B766">
      <w:pPr>
        <w:pStyle w:val="45"/>
        <w:rPr>
          <w:rFonts w:ascii="宋体" w:hAnsi="宋体" w:cs="宋体"/>
        </w:rPr>
      </w:pPr>
    </w:p>
    <w:p w14:paraId="757EB03A">
      <w:pPr>
        <w:pStyle w:val="45"/>
        <w:rPr>
          <w:rFonts w:ascii="宋体" w:hAnsi="宋体" w:cs="宋体"/>
        </w:rPr>
      </w:pPr>
    </w:p>
    <w:p w14:paraId="6D698FF7">
      <w:pPr>
        <w:pStyle w:val="45"/>
        <w:rPr>
          <w:rFonts w:ascii="宋体" w:hAnsi="宋体" w:cs="宋体"/>
        </w:rPr>
      </w:pPr>
    </w:p>
    <w:p w14:paraId="6EB2E8B5">
      <w:pPr>
        <w:pStyle w:val="45"/>
        <w:rPr>
          <w:rFonts w:ascii="宋体" w:hAnsi="宋体" w:cs="宋体"/>
        </w:rPr>
      </w:pPr>
    </w:p>
    <w:p w14:paraId="462DA07C">
      <w:pPr>
        <w:pStyle w:val="45"/>
        <w:rPr>
          <w:rFonts w:ascii="宋体" w:hAnsi="宋体" w:cs="宋体"/>
        </w:rPr>
      </w:pPr>
    </w:p>
    <w:p w14:paraId="5C39703C">
      <w:pPr>
        <w:pStyle w:val="45"/>
        <w:rPr>
          <w:rFonts w:ascii="宋体" w:hAnsi="宋体" w:cs="宋体"/>
        </w:rPr>
      </w:pPr>
    </w:p>
    <w:p w14:paraId="14E80DD8">
      <w:pPr>
        <w:pStyle w:val="45"/>
        <w:rPr>
          <w:rFonts w:ascii="宋体" w:hAnsi="宋体" w:cs="宋体"/>
        </w:rPr>
      </w:pPr>
    </w:p>
    <w:p w14:paraId="125179AD">
      <w:pPr>
        <w:rPr>
          <w:rFonts w:ascii="宋体" w:hAnsi="宋体" w:eastAsia="宋体" w:cs="宋体"/>
        </w:rPr>
      </w:pPr>
      <w:r>
        <w:rPr>
          <w:rFonts w:ascii="宋体" w:hAnsi="宋体" w:cs="宋体"/>
        </w:rPr>
        <w:br w:type="page"/>
      </w:r>
    </w:p>
    <w:p w14:paraId="244F433F">
      <w:pPr>
        <w:pStyle w:val="4"/>
        <w:spacing w:line="480" w:lineRule="auto"/>
        <w:jc w:val="center"/>
        <w:rPr>
          <w:rFonts w:ascii="宋体" w:hAnsi="宋体" w:cs="宋体"/>
        </w:rPr>
      </w:pPr>
      <w:bookmarkStart w:id="374" w:name="_Toc20989"/>
      <w:bookmarkStart w:id="375" w:name="_Toc24001"/>
      <w:bookmarkStart w:id="376" w:name="_Toc29719"/>
      <w:bookmarkStart w:id="377" w:name="_Toc25812"/>
      <w:bookmarkStart w:id="378" w:name="_Toc430020811"/>
      <w:r>
        <w:rPr>
          <w:rFonts w:hint="eastAsia" w:ascii="宋体" w:hAnsi="宋体" w:cs="宋体"/>
          <w:lang w:eastAsia="zh-CN"/>
        </w:rPr>
        <w:t>七</w:t>
      </w:r>
      <w:r>
        <w:rPr>
          <w:rFonts w:hint="eastAsia" w:ascii="宋体" w:hAnsi="宋体" w:cs="宋体"/>
        </w:rPr>
        <w:t>、反商业贿赂承诺书</w:t>
      </w:r>
      <w:bookmarkEnd w:id="374"/>
      <w:bookmarkEnd w:id="375"/>
      <w:bookmarkEnd w:id="376"/>
      <w:bookmarkEnd w:id="377"/>
      <w:bookmarkEnd w:id="378"/>
    </w:p>
    <w:p w14:paraId="7D932C80">
      <w:pPr>
        <w:rPr>
          <w:rFonts w:ascii="宋体" w:hAnsi="宋体" w:cs="宋体"/>
        </w:rPr>
      </w:pPr>
    </w:p>
    <w:p w14:paraId="769BBBC7">
      <w:pPr>
        <w:widowControl/>
        <w:spacing w:line="360" w:lineRule="auto"/>
        <w:rPr>
          <w:rFonts w:ascii="宋体" w:hAnsi="宋体" w:cs="宋体"/>
          <w:szCs w:val="21"/>
        </w:rPr>
      </w:pPr>
      <w:r>
        <w:rPr>
          <w:rFonts w:hint="eastAsia" w:ascii="宋体" w:hAnsi="宋体" w:cs="宋体"/>
          <w:szCs w:val="21"/>
        </w:rPr>
        <w:t xml:space="preserve">我公司承诺：  </w:t>
      </w:r>
    </w:p>
    <w:p w14:paraId="1163519C">
      <w:pPr>
        <w:widowControl/>
        <w:spacing w:line="360" w:lineRule="auto"/>
        <w:ind w:firstLine="420" w:firstLineChars="200"/>
        <w:rPr>
          <w:rFonts w:ascii="宋体" w:hAnsi="宋体" w:cs="宋体"/>
          <w:szCs w:val="21"/>
        </w:rPr>
      </w:pPr>
      <w:r>
        <w:rPr>
          <w:rFonts w:hint="eastAsia" w:ascii="宋体" w:hAnsi="宋体" w:cs="宋体"/>
          <w:szCs w:val="21"/>
        </w:rPr>
        <w:t>在</w:t>
      </w:r>
      <w:r>
        <w:rPr>
          <w:rFonts w:hint="eastAsia" w:ascii="宋体" w:hAnsi="宋体" w:cs="宋体"/>
          <w:szCs w:val="21"/>
          <w:u w:val="single"/>
        </w:rPr>
        <w:t xml:space="preserve">                 （项目名称）</w:t>
      </w:r>
      <w:r>
        <w:rPr>
          <w:rFonts w:hint="eastAsia" w:ascii="宋体" w:hAnsi="宋体" w:cs="宋体"/>
          <w:szCs w:val="21"/>
        </w:rPr>
        <w:t>（项目编号：</w:t>
      </w:r>
      <w:r>
        <w:rPr>
          <w:rFonts w:hint="eastAsia" w:ascii="宋体" w:hAnsi="宋体" w:cs="宋体"/>
          <w:szCs w:val="21"/>
          <w:u w:val="single"/>
        </w:rPr>
        <w:t xml:space="preserve">        </w:t>
      </w:r>
      <w:r>
        <w:rPr>
          <w:rFonts w:hint="eastAsia" w:ascii="宋体" w:hAnsi="宋体" w:cs="宋体"/>
          <w:szCs w:val="21"/>
        </w:rPr>
        <w:t>）招标活动中，我公司保证做到：</w:t>
      </w:r>
    </w:p>
    <w:p w14:paraId="7331BC43">
      <w:pPr>
        <w:spacing w:line="360" w:lineRule="auto"/>
        <w:ind w:firstLine="420" w:firstLineChars="200"/>
        <w:rPr>
          <w:rFonts w:ascii="宋体" w:hAnsi="宋体" w:cs="宋体"/>
          <w:szCs w:val="21"/>
        </w:rPr>
      </w:pPr>
      <w:r>
        <w:rPr>
          <w:rFonts w:hint="eastAsia" w:ascii="宋体" w:hAnsi="宋体" w:cs="宋体"/>
          <w:szCs w:val="21"/>
        </w:rPr>
        <w:t>一、公平竞争参加本次招标活动。</w:t>
      </w:r>
    </w:p>
    <w:p w14:paraId="0706464C">
      <w:pPr>
        <w:spacing w:line="360" w:lineRule="auto"/>
        <w:ind w:firstLine="420" w:firstLineChars="200"/>
        <w:rPr>
          <w:rFonts w:ascii="宋体" w:hAnsi="宋体" w:cs="宋体"/>
          <w:szCs w:val="21"/>
        </w:rPr>
      </w:pPr>
      <w:r>
        <w:rPr>
          <w:rFonts w:hint="eastAsia" w:ascii="宋体" w:hAnsi="宋体" w:cs="宋体"/>
          <w:szCs w:val="21"/>
        </w:rPr>
        <w:t>二、杜绝任何形式的商业贿赂行为。不向国家工作人员、代理机构工作人员、评审专家及其亲属提供礼品礼金、有价证券、购物券、回扣、佣金、咨询费、劳务费、赞助费、宣传费、宴请；不为其报销各种消费凭证，不支付其旅游、娱乐等费用。</w:t>
      </w:r>
    </w:p>
    <w:p w14:paraId="78FC4483">
      <w:pPr>
        <w:spacing w:line="360" w:lineRule="auto"/>
        <w:ind w:firstLine="420" w:firstLineChars="200"/>
        <w:rPr>
          <w:rFonts w:ascii="宋体" w:hAnsi="宋体" w:cs="宋体"/>
          <w:szCs w:val="21"/>
        </w:rPr>
      </w:pPr>
      <w:r>
        <w:rPr>
          <w:rFonts w:hint="eastAsia" w:ascii="宋体" w:hAnsi="宋体" w:cs="宋体"/>
          <w:szCs w:val="21"/>
        </w:rPr>
        <w:t>三、若出现上述行为，我公司及参与投标的工作人员愿意接受按照国家法律法规等有关规定给予的处罚。</w:t>
      </w:r>
    </w:p>
    <w:p w14:paraId="42E3CA00">
      <w:pPr>
        <w:pStyle w:val="9"/>
        <w:rPr>
          <w:rFonts w:ascii="宋体" w:hAnsi="宋体" w:eastAsia="宋体" w:cs="宋体"/>
          <w:szCs w:val="21"/>
        </w:rPr>
      </w:pPr>
    </w:p>
    <w:p w14:paraId="06C5BADF">
      <w:pPr>
        <w:pStyle w:val="9"/>
        <w:rPr>
          <w:rFonts w:ascii="宋体" w:hAnsi="宋体" w:eastAsia="宋体" w:cs="宋体"/>
          <w:szCs w:val="21"/>
        </w:rPr>
      </w:pPr>
    </w:p>
    <w:p w14:paraId="65B25606">
      <w:pPr>
        <w:pStyle w:val="9"/>
        <w:rPr>
          <w:rFonts w:ascii="宋体" w:hAnsi="宋体" w:eastAsia="宋体" w:cs="宋体"/>
          <w:szCs w:val="21"/>
        </w:rPr>
      </w:pPr>
    </w:p>
    <w:p w14:paraId="4D0CDAC0">
      <w:pPr>
        <w:spacing w:line="480" w:lineRule="auto"/>
        <w:ind w:right="1440"/>
        <w:rPr>
          <w:rFonts w:ascii="宋体" w:hAnsi="宋体" w:cs="宋体"/>
          <w:szCs w:val="21"/>
        </w:rPr>
      </w:pPr>
      <w:bookmarkStart w:id="379" w:name="_Hlt520274407"/>
      <w:bookmarkEnd w:id="379"/>
      <w:bookmarkStart w:id="380" w:name="_Hlt520343392"/>
      <w:bookmarkEnd w:id="380"/>
      <w:bookmarkStart w:id="381" w:name="_Hlt520350918"/>
      <w:bookmarkEnd w:id="381"/>
      <w:bookmarkStart w:id="382" w:name="_Hlt520274065"/>
      <w:bookmarkEnd w:id="382"/>
      <w:bookmarkStart w:id="383" w:name="_Hlt520271212"/>
      <w:bookmarkEnd w:id="383"/>
      <w:bookmarkStart w:id="384" w:name="_Hlt520274393"/>
      <w:bookmarkEnd w:id="384"/>
      <w:bookmarkStart w:id="385" w:name="_Hlt520273711"/>
      <w:bookmarkEnd w:id="385"/>
      <w:bookmarkStart w:id="386" w:name="_Hlt520343000"/>
      <w:bookmarkEnd w:id="386"/>
      <w:r>
        <w:rPr>
          <w:rFonts w:hint="eastAsia" w:ascii="宋体" w:hAnsi="宋体" w:cs="宋体"/>
          <w:szCs w:val="21"/>
          <w:lang w:eastAsia="zh-CN"/>
        </w:rPr>
        <w:t>供应商名称</w:t>
      </w:r>
      <w:r>
        <w:rPr>
          <w:rFonts w:hint="eastAsia" w:ascii="宋体" w:hAnsi="宋体" w:cs="宋体"/>
          <w:szCs w:val="21"/>
        </w:rPr>
        <w:t>：</w:t>
      </w:r>
      <w:r>
        <w:rPr>
          <w:rFonts w:hint="eastAsia" w:ascii="宋体" w:hAnsi="宋体" w:cs="宋体"/>
          <w:szCs w:val="21"/>
          <w:u w:val="single"/>
        </w:rPr>
        <w:t xml:space="preserve">                       </w:t>
      </w:r>
      <w:r>
        <w:rPr>
          <w:rFonts w:hint="eastAsia" w:ascii="宋体" w:hAnsi="宋体" w:cs="宋体"/>
          <w:szCs w:val="21"/>
        </w:rPr>
        <w:t>（盖单位章）</w:t>
      </w:r>
    </w:p>
    <w:p w14:paraId="27666216">
      <w:pPr>
        <w:spacing w:line="480" w:lineRule="auto"/>
        <w:ind w:right="1440"/>
        <w:rPr>
          <w:rFonts w:ascii="宋体" w:hAnsi="宋体" w:cs="宋体"/>
          <w:szCs w:val="21"/>
          <w:u w:val="single"/>
        </w:rPr>
      </w:pPr>
      <w:r>
        <w:rPr>
          <w:rFonts w:hint="eastAsia" w:ascii="宋体" w:hAnsi="宋体" w:cs="宋体"/>
          <w:szCs w:val="21"/>
        </w:rPr>
        <w:t>法定代表人或其委托代理人（签字）：</w:t>
      </w:r>
      <w:r>
        <w:rPr>
          <w:rFonts w:hint="eastAsia" w:ascii="宋体" w:hAnsi="宋体" w:cs="宋体"/>
          <w:szCs w:val="21"/>
          <w:u w:val="single"/>
        </w:rPr>
        <w:t xml:space="preserve">               </w:t>
      </w:r>
    </w:p>
    <w:p w14:paraId="7C38D2C4">
      <w:pPr>
        <w:spacing w:line="480" w:lineRule="auto"/>
        <w:ind w:right="1440"/>
        <w:rPr>
          <w:rFonts w:ascii="宋体" w:hAnsi="宋体" w:cs="宋体"/>
          <w:szCs w:val="21"/>
        </w:rPr>
      </w:pPr>
      <w:r>
        <w:rPr>
          <w:rFonts w:hint="eastAsia" w:ascii="宋体" w:hAnsi="宋体" w:cs="宋体"/>
          <w:szCs w:val="21"/>
        </w:rPr>
        <w:t>日     期：</w:t>
      </w:r>
      <w:r>
        <w:rPr>
          <w:rFonts w:hint="eastAsia" w:ascii="宋体" w:hAnsi="宋体" w:cs="宋体"/>
          <w:szCs w:val="21"/>
          <w:u w:val="single"/>
        </w:rPr>
        <w:t xml:space="preserve">       </w:t>
      </w:r>
      <w:r>
        <w:rPr>
          <w:rFonts w:hint="eastAsia" w:ascii="宋体" w:hAnsi="宋体" w:cs="宋体"/>
          <w:szCs w:val="21"/>
        </w:rPr>
        <w:t>年</w:t>
      </w:r>
      <w:r>
        <w:rPr>
          <w:rFonts w:hint="eastAsia" w:ascii="宋体" w:hAnsi="宋体" w:cs="宋体"/>
          <w:szCs w:val="21"/>
          <w:u w:val="single"/>
        </w:rPr>
        <w:t xml:space="preserve">    </w:t>
      </w:r>
      <w:r>
        <w:rPr>
          <w:rFonts w:hint="eastAsia" w:ascii="宋体" w:hAnsi="宋体" w:cs="宋体"/>
          <w:szCs w:val="21"/>
        </w:rPr>
        <w:t>月</w:t>
      </w:r>
      <w:r>
        <w:rPr>
          <w:rFonts w:hint="eastAsia" w:ascii="宋体" w:hAnsi="宋体" w:cs="宋体"/>
          <w:szCs w:val="21"/>
          <w:u w:val="single"/>
        </w:rPr>
        <w:t xml:space="preserve">    </w:t>
      </w:r>
      <w:r>
        <w:rPr>
          <w:rFonts w:hint="eastAsia" w:ascii="宋体" w:hAnsi="宋体" w:cs="宋体"/>
          <w:szCs w:val="21"/>
        </w:rPr>
        <w:t>日</w:t>
      </w:r>
    </w:p>
    <w:p w14:paraId="7B907014">
      <w:pPr>
        <w:rPr>
          <w:rFonts w:ascii="宋体" w:hAnsi="宋体" w:cs="宋体"/>
        </w:rPr>
      </w:pPr>
    </w:p>
    <w:p w14:paraId="158C8047">
      <w:pPr>
        <w:rPr>
          <w:rFonts w:ascii="宋体" w:hAnsi="宋体" w:cs="宋体"/>
        </w:rPr>
      </w:pPr>
    </w:p>
    <w:p w14:paraId="39A709D3">
      <w:pPr>
        <w:rPr>
          <w:rFonts w:ascii="宋体" w:hAnsi="宋体" w:cs="宋体"/>
        </w:rPr>
      </w:pPr>
    </w:p>
    <w:p w14:paraId="6D719481">
      <w:pPr>
        <w:rPr>
          <w:rFonts w:ascii="宋体" w:hAnsi="宋体" w:cs="宋体"/>
        </w:rPr>
      </w:pPr>
    </w:p>
    <w:p w14:paraId="664AE3B0">
      <w:pPr>
        <w:rPr>
          <w:rFonts w:ascii="宋体" w:hAnsi="宋体" w:cs="宋体"/>
        </w:rPr>
      </w:pPr>
    </w:p>
    <w:p w14:paraId="6FF44395">
      <w:pPr>
        <w:rPr>
          <w:rFonts w:ascii="宋体" w:hAnsi="宋体" w:cs="宋体"/>
        </w:rPr>
      </w:pPr>
    </w:p>
    <w:p w14:paraId="36D7C709">
      <w:pPr>
        <w:rPr>
          <w:rFonts w:ascii="宋体" w:hAnsi="宋体" w:cs="宋体"/>
        </w:rPr>
      </w:pPr>
    </w:p>
    <w:p w14:paraId="2A2C71DB">
      <w:pPr>
        <w:rPr>
          <w:rFonts w:ascii="宋体" w:hAnsi="宋体" w:cs="宋体"/>
        </w:rPr>
      </w:pPr>
    </w:p>
    <w:p w14:paraId="23C4526F">
      <w:pPr>
        <w:rPr>
          <w:rFonts w:ascii="宋体" w:hAnsi="宋体" w:cs="宋体"/>
        </w:rPr>
      </w:pPr>
    </w:p>
    <w:p w14:paraId="6052133E">
      <w:pPr>
        <w:rPr>
          <w:rFonts w:ascii="宋体" w:hAnsi="宋体" w:cs="宋体"/>
        </w:rPr>
      </w:pPr>
    </w:p>
    <w:p w14:paraId="717A3BCB">
      <w:pPr>
        <w:pStyle w:val="9"/>
        <w:rPr>
          <w:rFonts w:ascii="宋体" w:hAnsi="宋体" w:eastAsia="宋体" w:cs="宋体"/>
        </w:rPr>
      </w:pPr>
    </w:p>
    <w:p w14:paraId="52EF44B4">
      <w:pPr>
        <w:rPr>
          <w:rFonts w:ascii="宋体" w:hAnsi="宋体" w:cs="宋体"/>
        </w:rPr>
      </w:pPr>
    </w:p>
    <w:p w14:paraId="1DFD0480">
      <w:r>
        <w:rPr>
          <w:rFonts w:ascii="宋体" w:hAnsi="宋体" w:cs="宋体"/>
        </w:rPr>
        <w:br w:type="page"/>
      </w:r>
    </w:p>
    <w:bookmarkEnd w:id="304"/>
    <w:p w14:paraId="76AC249A">
      <w:pPr>
        <w:pStyle w:val="4"/>
        <w:spacing w:line="480" w:lineRule="auto"/>
        <w:jc w:val="center"/>
        <w:rPr>
          <w:rFonts w:ascii="宋体" w:hAnsi="宋体" w:cs="宋体"/>
          <w:kern w:val="0"/>
          <w:szCs w:val="21"/>
        </w:rPr>
      </w:pPr>
      <w:bookmarkStart w:id="387" w:name="_Toc1337"/>
      <w:bookmarkStart w:id="388" w:name="_Toc31565"/>
      <w:bookmarkStart w:id="389" w:name="_Toc6458"/>
      <w:bookmarkStart w:id="390" w:name="_Toc23362"/>
      <w:r>
        <w:rPr>
          <w:rFonts w:hint="eastAsia" w:ascii="宋体" w:hAnsi="宋体" w:cs="宋体"/>
          <w:kern w:val="0"/>
          <w:szCs w:val="21"/>
          <w:lang w:eastAsia="zh-CN"/>
        </w:rPr>
        <w:t>八</w:t>
      </w:r>
      <w:r>
        <w:rPr>
          <w:rFonts w:hint="eastAsia" w:ascii="宋体" w:hAnsi="宋体" w:cs="宋体"/>
          <w:kern w:val="0"/>
          <w:szCs w:val="21"/>
        </w:rPr>
        <w:t>、其他资料</w:t>
      </w:r>
      <w:bookmarkEnd w:id="387"/>
      <w:bookmarkEnd w:id="388"/>
      <w:bookmarkEnd w:id="389"/>
      <w:bookmarkEnd w:id="390"/>
    </w:p>
    <w:p w14:paraId="2C314A75">
      <w:pPr>
        <w:spacing w:line="560" w:lineRule="exact"/>
        <w:rPr>
          <w:rFonts w:ascii="宋体" w:hAnsi="宋体" w:cs="宋体"/>
          <w:b/>
          <w:bCs/>
          <w:szCs w:val="21"/>
        </w:rPr>
      </w:pPr>
    </w:p>
    <w:p w14:paraId="039F8A23">
      <w:pPr>
        <w:spacing w:line="560" w:lineRule="exact"/>
        <w:jc w:val="center"/>
        <w:rPr>
          <w:rFonts w:ascii="宋体" w:hAnsi="宋体" w:cs="宋体"/>
          <w:b/>
          <w:bCs/>
          <w:szCs w:val="21"/>
        </w:rPr>
      </w:pPr>
      <w:r>
        <w:rPr>
          <w:rFonts w:hint="eastAsia" w:ascii="宋体" w:hAnsi="宋体" w:cs="宋体"/>
          <w:b/>
          <w:bCs/>
          <w:szCs w:val="21"/>
          <w:lang w:eastAsia="zh-CN"/>
        </w:rPr>
        <w:t>（一）</w:t>
      </w:r>
      <w:r>
        <w:rPr>
          <w:rFonts w:hint="eastAsia" w:ascii="宋体" w:hAnsi="宋体" w:cs="宋体"/>
          <w:b/>
          <w:bCs/>
          <w:szCs w:val="21"/>
        </w:rPr>
        <w:t>资料真实性承诺函</w:t>
      </w:r>
    </w:p>
    <w:p w14:paraId="036A10F7">
      <w:pPr>
        <w:spacing w:line="560" w:lineRule="exact"/>
        <w:jc w:val="center"/>
        <w:rPr>
          <w:rFonts w:ascii="宋体" w:hAnsi="宋体" w:cs="宋体"/>
          <w:b/>
          <w:bCs/>
          <w:szCs w:val="21"/>
        </w:rPr>
      </w:pPr>
    </w:p>
    <w:p w14:paraId="61AB919A">
      <w:pPr>
        <w:spacing w:line="560" w:lineRule="exact"/>
        <w:ind w:firstLine="420" w:firstLineChars="200"/>
        <w:jc w:val="left"/>
        <w:rPr>
          <w:rFonts w:ascii="宋体" w:hAnsi="宋体" w:cs="宋体"/>
          <w:szCs w:val="21"/>
        </w:rPr>
      </w:pPr>
      <w:r>
        <w:rPr>
          <w:rFonts w:hint="eastAsia" w:ascii="宋体" w:hAnsi="宋体" w:cs="宋体"/>
          <w:szCs w:val="21"/>
        </w:rPr>
        <w:t>我公司保证提供的</w:t>
      </w:r>
      <w:r>
        <w:rPr>
          <w:rFonts w:hint="eastAsia" w:ascii="宋体" w:hAnsi="宋体" w:cs="宋体"/>
          <w:szCs w:val="21"/>
          <w:u w:val="single"/>
        </w:rPr>
        <w:t xml:space="preserve">        （项目名称）</w:t>
      </w:r>
      <w:r>
        <w:rPr>
          <w:rFonts w:hint="eastAsia" w:ascii="宋体" w:hAnsi="宋体" w:cs="宋体"/>
          <w:szCs w:val="21"/>
        </w:rPr>
        <w:t>投标资料真实有效，一经发现有造假或其他不实行为，将取消其投标资格并保留追究其相关责任的权利。</w:t>
      </w:r>
    </w:p>
    <w:p w14:paraId="330B4C30">
      <w:pPr>
        <w:spacing w:line="560" w:lineRule="exact"/>
        <w:jc w:val="center"/>
        <w:rPr>
          <w:rFonts w:ascii="宋体" w:hAnsi="宋体" w:cs="宋体"/>
          <w:b/>
          <w:bCs/>
          <w:szCs w:val="21"/>
        </w:rPr>
      </w:pPr>
    </w:p>
    <w:p w14:paraId="43DB6191">
      <w:pPr>
        <w:spacing w:line="480" w:lineRule="auto"/>
        <w:ind w:right="1440"/>
        <w:rPr>
          <w:rFonts w:ascii="宋体" w:hAnsi="宋体" w:cs="宋体"/>
          <w:szCs w:val="21"/>
        </w:rPr>
      </w:pPr>
      <w:r>
        <w:rPr>
          <w:rFonts w:hint="eastAsia" w:ascii="宋体" w:hAnsi="宋体" w:cs="宋体"/>
          <w:szCs w:val="21"/>
          <w:lang w:eastAsia="zh-CN"/>
        </w:rPr>
        <w:t>供应商名称</w:t>
      </w:r>
      <w:r>
        <w:rPr>
          <w:rFonts w:hint="eastAsia" w:ascii="宋体" w:hAnsi="宋体" w:cs="宋体"/>
          <w:szCs w:val="21"/>
        </w:rPr>
        <w:t>：</w:t>
      </w:r>
      <w:r>
        <w:rPr>
          <w:rFonts w:hint="eastAsia" w:ascii="宋体" w:hAnsi="宋体" w:cs="宋体"/>
          <w:szCs w:val="21"/>
          <w:u w:val="single"/>
        </w:rPr>
        <w:t xml:space="preserve">                       </w:t>
      </w:r>
      <w:r>
        <w:rPr>
          <w:rFonts w:hint="eastAsia" w:ascii="宋体" w:hAnsi="宋体" w:cs="宋体"/>
          <w:szCs w:val="21"/>
        </w:rPr>
        <w:t>（盖单位章）</w:t>
      </w:r>
    </w:p>
    <w:p w14:paraId="137EF3A1">
      <w:pPr>
        <w:spacing w:line="480" w:lineRule="auto"/>
        <w:ind w:right="1440"/>
        <w:rPr>
          <w:rFonts w:ascii="宋体" w:hAnsi="宋体" w:cs="宋体"/>
          <w:szCs w:val="21"/>
          <w:u w:val="single"/>
        </w:rPr>
      </w:pPr>
      <w:r>
        <w:rPr>
          <w:rFonts w:hint="eastAsia" w:ascii="宋体" w:hAnsi="宋体" w:cs="宋体"/>
          <w:szCs w:val="21"/>
        </w:rPr>
        <w:t>法定代表人或其委托代理人（签字）：</w:t>
      </w:r>
      <w:r>
        <w:rPr>
          <w:rFonts w:hint="eastAsia" w:ascii="宋体" w:hAnsi="宋体" w:cs="宋体"/>
          <w:szCs w:val="21"/>
          <w:u w:val="single"/>
        </w:rPr>
        <w:t xml:space="preserve">               </w:t>
      </w:r>
    </w:p>
    <w:p w14:paraId="77855EC7">
      <w:pPr>
        <w:spacing w:line="480" w:lineRule="auto"/>
        <w:ind w:right="1440"/>
        <w:rPr>
          <w:rFonts w:ascii="宋体" w:hAnsi="宋体" w:cs="宋体"/>
          <w:szCs w:val="21"/>
        </w:rPr>
      </w:pPr>
      <w:r>
        <w:rPr>
          <w:rFonts w:hint="eastAsia" w:ascii="宋体" w:hAnsi="宋体" w:cs="宋体"/>
          <w:szCs w:val="21"/>
        </w:rPr>
        <w:t>日     期：</w:t>
      </w:r>
      <w:r>
        <w:rPr>
          <w:rFonts w:hint="eastAsia" w:ascii="宋体" w:hAnsi="宋体" w:cs="宋体"/>
          <w:szCs w:val="21"/>
          <w:u w:val="single"/>
        </w:rPr>
        <w:t xml:space="preserve">       </w:t>
      </w:r>
      <w:r>
        <w:rPr>
          <w:rFonts w:hint="eastAsia" w:ascii="宋体" w:hAnsi="宋体" w:cs="宋体"/>
          <w:szCs w:val="21"/>
        </w:rPr>
        <w:t>年</w:t>
      </w:r>
      <w:r>
        <w:rPr>
          <w:rFonts w:hint="eastAsia" w:ascii="宋体" w:hAnsi="宋体" w:cs="宋体"/>
          <w:szCs w:val="21"/>
          <w:u w:val="single"/>
        </w:rPr>
        <w:t xml:space="preserve">    </w:t>
      </w:r>
      <w:r>
        <w:rPr>
          <w:rFonts w:hint="eastAsia" w:ascii="宋体" w:hAnsi="宋体" w:cs="宋体"/>
          <w:szCs w:val="21"/>
        </w:rPr>
        <w:t>月</w:t>
      </w:r>
      <w:r>
        <w:rPr>
          <w:rFonts w:hint="eastAsia" w:ascii="宋体" w:hAnsi="宋体" w:cs="宋体"/>
          <w:szCs w:val="21"/>
          <w:u w:val="single"/>
        </w:rPr>
        <w:t xml:space="preserve">    </w:t>
      </w:r>
      <w:r>
        <w:rPr>
          <w:rFonts w:hint="eastAsia" w:ascii="宋体" w:hAnsi="宋体" w:cs="宋体"/>
          <w:szCs w:val="21"/>
        </w:rPr>
        <w:t>日</w:t>
      </w:r>
    </w:p>
    <w:p w14:paraId="7177692F">
      <w:pPr>
        <w:spacing w:line="560" w:lineRule="exact"/>
        <w:jc w:val="center"/>
        <w:rPr>
          <w:rFonts w:ascii="宋体" w:hAnsi="宋体" w:cs="宋体"/>
          <w:b/>
          <w:bCs/>
          <w:szCs w:val="21"/>
        </w:rPr>
      </w:pPr>
    </w:p>
    <w:p w14:paraId="391CD5CB">
      <w:pPr>
        <w:spacing w:line="560" w:lineRule="exact"/>
        <w:jc w:val="center"/>
        <w:rPr>
          <w:rFonts w:ascii="宋体" w:hAnsi="宋体" w:cs="宋体"/>
          <w:b/>
          <w:bCs/>
          <w:szCs w:val="21"/>
        </w:rPr>
      </w:pPr>
    </w:p>
    <w:p w14:paraId="7158EA46">
      <w:pPr>
        <w:spacing w:line="560" w:lineRule="exact"/>
        <w:jc w:val="center"/>
        <w:rPr>
          <w:rFonts w:ascii="宋体" w:hAnsi="宋体" w:cs="宋体"/>
          <w:b/>
          <w:bCs/>
          <w:szCs w:val="21"/>
        </w:rPr>
      </w:pPr>
    </w:p>
    <w:p w14:paraId="1A603E37">
      <w:pPr>
        <w:spacing w:line="560" w:lineRule="exact"/>
        <w:jc w:val="center"/>
        <w:rPr>
          <w:rFonts w:ascii="宋体" w:hAnsi="宋体" w:cs="宋体"/>
          <w:b/>
          <w:bCs/>
          <w:szCs w:val="21"/>
        </w:rPr>
      </w:pPr>
    </w:p>
    <w:p w14:paraId="1851CD5F">
      <w:pPr>
        <w:spacing w:line="560" w:lineRule="exact"/>
        <w:jc w:val="center"/>
        <w:rPr>
          <w:rFonts w:ascii="宋体" w:hAnsi="宋体" w:cs="宋体"/>
          <w:b/>
          <w:bCs/>
          <w:szCs w:val="21"/>
        </w:rPr>
      </w:pPr>
    </w:p>
    <w:p w14:paraId="292C96F3">
      <w:pPr>
        <w:spacing w:line="560" w:lineRule="exact"/>
        <w:jc w:val="center"/>
        <w:rPr>
          <w:rFonts w:ascii="宋体" w:hAnsi="宋体" w:cs="宋体"/>
          <w:b/>
          <w:bCs/>
          <w:szCs w:val="21"/>
        </w:rPr>
      </w:pPr>
    </w:p>
    <w:p w14:paraId="3F2A88B6">
      <w:pPr>
        <w:spacing w:line="560" w:lineRule="exact"/>
        <w:jc w:val="center"/>
        <w:rPr>
          <w:rFonts w:ascii="宋体" w:hAnsi="宋体" w:cs="宋体"/>
          <w:b/>
          <w:bCs/>
          <w:szCs w:val="21"/>
        </w:rPr>
      </w:pPr>
    </w:p>
    <w:p w14:paraId="28182B79">
      <w:pPr>
        <w:spacing w:line="560" w:lineRule="exact"/>
        <w:jc w:val="center"/>
        <w:rPr>
          <w:rFonts w:ascii="宋体" w:hAnsi="宋体" w:cs="宋体"/>
          <w:b/>
          <w:bCs/>
          <w:szCs w:val="21"/>
        </w:rPr>
      </w:pPr>
    </w:p>
    <w:p w14:paraId="6E6E295E">
      <w:pPr>
        <w:spacing w:line="560" w:lineRule="exact"/>
        <w:jc w:val="center"/>
        <w:rPr>
          <w:rFonts w:ascii="宋体" w:hAnsi="宋体" w:cs="宋体"/>
          <w:b/>
          <w:bCs/>
          <w:szCs w:val="21"/>
        </w:rPr>
      </w:pPr>
    </w:p>
    <w:p w14:paraId="00BE78B9">
      <w:pPr>
        <w:spacing w:line="560" w:lineRule="exact"/>
        <w:jc w:val="center"/>
        <w:rPr>
          <w:rFonts w:ascii="宋体" w:hAnsi="宋体" w:cs="宋体"/>
          <w:b/>
          <w:bCs/>
          <w:szCs w:val="21"/>
        </w:rPr>
      </w:pPr>
    </w:p>
    <w:p w14:paraId="19783C61">
      <w:pPr>
        <w:spacing w:line="560" w:lineRule="exact"/>
        <w:jc w:val="center"/>
        <w:rPr>
          <w:rFonts w:ascii="宋体" w:hAnsi="宋体" w:cs="宋体"/>
          <w:b/>
          <w:bCs/>
          <w:szCs w:val="21"/>
        </w:rPr>
      </w:pPr>
    </w:p>
    <w:p w14:paraId="0BE61BB4">
      <w:pPr>
        <w:spacing w:line="560" w:lineRule="exact"/>
        <w:jc w:val="center"/>
        <w:rPr>
          <w:rFonts w:ascii="宋体" w:hAnsi="宋体" w:cs="宋体"/>
          <w:b/>
          <w:bCs/>
          <w:szCs w:val="21"/>
        </w:rPr>
      </w:pPr>
    </w:p>
    <w:p w14:paraId="543E8D42">
      <w:r>
        <w:br w:type="page"/>
      </w:r>
    </w:p>
    <w:p w14:paraId="3BC7EFA0">
      <w:pPr>
        <w:spacing w:line="360" w:lineRule="auto"/>
        <w:jc w:val="center"/>
        <w:rPr>
          <w:rFonts w:ascii="宋体" w:hAnsi="宋体" w:cs="宋体"/>
          <w:b/>
          <w:szCs w:val="21"/>
        </w:rPr>
      </w:pPr>
      <w:r>
        <w:rPr>
          <w:rFonts w:hint="eastAsia" w:ascii="宋体" w:hAnsi="宋体" w:cs="宋体"/>
          <w:b/>
          <w:szCs w:val="21"/>
          <w:lang w:eastAsia="zh-CN"/>
        </w:rPr>
        <w:t>（二）</w:t>
      </w:r>
      <w:r>
        <w:rPr>
          <w:rFonts w:hint="eastAsia" w:ascii="宋体" w:hAnsi="宋体" w:cs="宋体"/>
          <w:b/>
          <w:szCs w:val="21"/>
        </w:rPr>
        <w:t>中小企业声明函</w:t>
      </w:r>
    </w:p>
    <w:p w14:paraId="7DBACB21">
      <w:pPr>
        <w:pStyle w:val="10"/>
        <w:spacing w:line="360" w:lineRule="auto"/>
        <w:ind w:firstLine="420" w:firstLineChars="200"/>
        <w:rPr>
          <w:rFonts w:hAnsi="宋体"/>
          <w:color w:val="auto"/>
          <w:sz w:val="21"/>
          <w:szCs w:val="21"/>
        </w:rPr>
      </w:pPr>
      <w:r>
        <w:rPr>
          <w:rFonts w:hint="eastAsia" w:hAnsi="宋体"/>
          <w:color w:val="auto"/>
          <w:sz w:val="21"/>
          <w:szCs w:val="21"/>
        </w:rPr>
        <w:t xml:space="preserve">本公司（联合体）郑重声明，根据《政府采购促进中小企业发展管理办法》（财库﹝2020﹞ </w:t>
      </w:r>
    </w:p>
    <w:p w14:paraId="19844189">
      <w:pPr>
        <w:pStyle w:val="10"/>
        <w:spacing w:line="360" w:lineRule="auto"/>
        <w:rPr>
          <w:rFonts w:hAnsi="宋体"/>
          <w:color w:val="auto"/>
          <w:sz w:val="21"/>
          <w:szCs w:val="21"/>
        </w:rPr>
      </w:pPr>
      <w:r>
        <w:rPr>
          <w:rFonts w:hint="eastAsia" w:hAnsi="宋体"/>
          <w:color w:val="auto"/>
          <w:sz w:val="21"/>
          <w:szCs w:val="21"/>
        </w:rPr>
        <w:t>46 号）的规定，本公司（联合体）参加</w:t>
      </w:r>
      <w:r>
        <w:rPr>
          <w:rFonts w:hint="eastAsia" w:hAnsi="宋体"/>
          <w:color w:val="auto"/>
          <w:sz w:val="21"/>
          <w:szCs w:val="21"/>
          <w:u w:val="single"/>
        </w:rPr>
        <w:t>（单位名称）</w:t>
      </w:r>
      <w:r>
        <w:rPr>
          <w:rFonts w:hint="eastAsia" w:hAnsi="宋体"/>
          <w:color w:val="auto"/>
          <w:sz w:val="21"/>
          <w:szCs w:val="21"/>
        </w:rPr>
        <w:t>的</w:t>
      </w:r>
      <w:r>
        <w:rPr>
          <w:rFonts w:hint="eastAsia" w:hAnsi="宋体"/>
          <w:color w:val="auto"/>
          <w:sz w:val="21"/>
          <w:szCs w:val="21"/>
          <w:u w:val="single"/>
        </w:rPr>
        <w:t>（项目名称）</w:t>
      </w:r>
      <w:r>
        <w:rPr>
          <w:rFonts w:hint="eastAsia" w:hAnsi="宋体"/>
          <w:color w:val="auto"/>
          <w:sz w:val="21"/>
          <w:szCs w:val="21"/>
        </w:rPr>
        <w:t xml:space="preserve">采购活动，服务全部 </w:t>
      </w:r>
    </w:p>
    <w:p w14:paraId="7458603F">
      <w:pPr>
        <w:pStyle w:val="10"/>
        <w:spacing w:line="360" w:lineRule="auto"/>
        <w:rPr>
          <w:rFonts w:hAnsi="宋体"/>
          <w:color w:val="auto"/>
          <w:sz w:val="21"/>
          <w:szCs w:val="21"/>
        </w:rPr>
      </w:pPr>
      <w:r>
        <w:rPr>
          <w:rFonts w:hint="eastAsia" w:hAnsi="宋体"/>
          <w:color w:val="auto"/>
          <w:sz w:val="21"/>
          <w:szCs w:val="21"/>
        </w:rPr>
        <w:t xml:space="preserve">由符合政策要求的中小企业承接。相关企业（含联合体中的中小企业、签订分包意向协议的 </w:t>
      </w:r>
    </w:p>
    <w:p w14:paraId="57845E3F">
      <w:pPr>
        <w:pStyle w:val="10"/>
        <w:spacing w:line="360" w:lineRule="auto"/>
        <w:rPr>
          <w:rFonts w:hAnsi="宋体"/>
          <w:color w:val="auto"/>
          <w:sz w:val="21"/>
          <w:szCs w:val="21"/>
        </w:rPr>
      </w:pPr>
      <w:r>
        <w:rPr>
          <w:rFonts w:hint="eastAsia" w:hAnsi="宋体"/>
          <w:color w:val="auto"/>
          <w:sz w:val="21"/>
          <w:szCs w:val="21"/>
        </w:rPr>
        <w:t xml:space="preserve">中小企业）的具体情况如下： </w:t>
      </w:r>
    </w:p>
    <w:p w14:paraId="2F96F1EA">
      <w:pPr>
        <w:pStyle w:val="10"/>
        <w:spacing w:line="360" w:lineRule="auto"/>
        <w:ind w:firstLine="420" w:firstLineChars="200"/>
        <w:rPr>
          <w:rFonts w:hAnsi="宋体"/>
          <w:color w:val="auto"/>
          <w:sz w:val="21"/>
          <w:szCs w:val="21"/>
        </w:rPr>
      </w:pPr>
      <w:r>
        <w:rPr>
          <w:rFonts w:hint="eastAsia" w:hAnsi="宋体"/>
          <w:color w:val="auto"/>
          <w:sz w:val="21"/>
          <w:szCs w:val="21"/>
        </w:rPr>
        <w:t>1.</w:t>
      </w:r>
      <w:r>
        <w:rPr>
          <w:rFonts w:hint="eastAsia" w:hAnsi="宋体"/>
          <w:color w:val="auto"/>
          <w:sz w:val="21"/>
          <w:szCs w:val="21"/>
          <w:u w:val="single"/>
        </w:rPr>
        <w:t>（标的名称）</w:t>
      </w:r>
      <w:r>
        <w:rPr>
          <w:rFonts w:hint="eastAsia" w:hAnsi="宋体"/>
          <w:color w:val="auto"/>
          <w:sz w:val="21"/>
          <w:szCs w:val="21"/>
        </w:rPr>
        <w:t xml:space="preserve"> ，属于</w:t>
      </w:r>
      <w:r>
        <w:rPr>
          <w:rFonts w:hint="eastAsia" w:hAnsi="宋体"/>
          <w:color w:val="auto"/>
          <w:sz w:val="21"/>
          <w:szCs w:val="21"/>
          <w:u w:val="single"/>
        </w:rPr>
        <w:t>（采购文件中明确的所属行业）</w:t>
      </w:r>
      <w:r>
        <w:rPr>
          <w:rFonts w:hint="eastAsia" w:hAnsi="宋体"/>
          <w:color w:val="auto"/>
          <w:sz w:val="21"/>
          <w:szCs w:val="21"/>
        </w:rPr>
        <w:t>； 承建（承接）企业为</w:t>
      </w:r>
      <w:r>
        <w:rPr>
          <w:rFonts w:hint="eastAsia" w:hAnsi="宋体"/>
          <w:color w:val="auto"/>
          <w:sz w:val="21"/>
          <w:szCs w:val="21"/>
          <w:u w:val="single"/>
        </w:rPr>
        <w:t xml:space="preserve">（企业 </w:t>
      </w:r>
    </w:p>
    <w:p w14:paraId="20427403">
      <w:pPr>
        <w:pStyle w:val="10"/>
        <w:spacing w:line="360" w:lineRule="auto"/>
        <w:rPr>
          <w:rFonts w:hAnsi="宋体"/>
          <w:color w:val="auto"/>
          <w:sz w:val="21"/>
          <w:szCs w:val="21"/>
        </w:rPr>
      </w:pPr>
      <w:r>
        <w:rPr>
          <w:rFonts w:hint="eastAsia" w:hAnsi="宋体"/>
          <w:color w:val="auto"/>
          <w:sz w:val="21"/>
          <w:szCs w:val="21"/>
          <w:u w:val="single"/>
        </w:rPr>
        <w:t>名称）</w:t>
      </w:r>
      <w:r>
        <w:rPr>
          <w:rFonts w:hint="eastAsia" w:hAnsi="宋体"/>
          <w:color w:val="auto"/>
          <w:sz w:val="21"/>
          <w:szCs w:val="21"/>
        </w:rPr>
        <w:t xml:space="preserve">，从业人员 </w:t>
      </w:r>
      <w:r>
        <w:rPr>
          <w:rFonts w:hint="eastAsia" w:hAnsi="宋体"/>
          <w:color w:val="auto"/>
          <w:sz w:val="21"/>
          <w:szCs w:val="21"/>
          <w:u w:val="single"/>
        </w:rPr>
        <w:t xml:space="preserve">   </w:t>
      </w:r>
      <w:r>
        <w:rPr>
          <w:rFonts w:hint="eastAsia" w:hAnsi="宋体"/>
          <w:color w:val="auto"/>
          <w:sz w:val="21"/>
          <w:szCs w:val="21"/>
        </w:rPr>
        <w:t>人，营业收入为</w:t>
      </w:r>
      <w:r>
        <w:rPr>
          <w:rFonts w:hint="eastAsia" w:hAnsi="宋体"/>
          <w:color w:val="auto"/>
          <w:sz w:val="21"/>
          <w:szCs w:val="21"/>
          <w:u w:val="single"/>
        </w:rPr>
        <w:t xml:space="preserve">    </w:t>
      </w:r>
      <w:r>
        <w:rPr>
          <w:rFonts w:hint="eastAsia" w:hAnsi="宋体"/>
          <w:color w:val="auto"/>
          <w:sz w:val="21"/>
          <w:szCs w:val="21"/>
        </w:rPr>
        <w:t>万元，资产总额为</w:t>
      </w:r>
      <w:r>
        <w:rPr>
          <w:rFonts w:hint="eastAsia" w:hAnsi="宋体"/>
          <w:color w:val="auto"/>
          <w:sz w:val="21"/>
          <w:szCs w:val="21"/>
          <w:u w:val="single"/>
        </w:rPr>
        <w:t xml:space="preserve">    </w:t>
      </w:r>
      <w:r>
        <w:rPr>
          <w:rFonts w:hint="eastAsia" w:hAnsi="宋体"/>
          <w:color w:val="auto"/>
          <w:sz w:val="21"/>
          <w:szCs w:val="21"/>
        </w:rPr>
        <w:t xml:space="preserve">万元，属于（中型企业、 小 </w:t>
      </w:r>
    </w:p>
    <w:p w14:paraId="55DAEFF0">
      <w:pPr>
        <w:pStyle w:val="10"/>
        <w:spacing w:line="360" w:lineRule="auto"/>
        <w:rPr>
          <w:rFonts w:hAnsi="宋体"/>
          <w:color w:val="auto"/>
          <w:sz w:val="21"/>
          <w:szCs w:val="21"/>
        </w:rPr>
      </w:pPr>
      <w:r>
        <w:rPr>
          <w:rFonts w:hint="eastAsia" w:hAnsi="宋体"/>
          <w:color w:val="auto"/>
          <w:sz w:val="21"/>
          <w:szCs w:val="21"/>
        </w:rPr>
        <w:t xml:space="preserve">型企业、微型企业）； </w:t>
      </w:r>
    </w:p>
    <w:p w14:paraId="0D5AE560">
      <w:pPr>
        <w:pStyle w:val="10"/>
        <w:spacing w:line="360" w:lineRule="auto"/>
        <w:ind w:firstLine="420" w:firstLineChars="200"/>
        <w:rPr>
          <w:rFonts w:hAnsi="宋体"/>
          <w:color w:val="auto"/>
          <w:sz w:val="21"/>
          <w:szCs w:val="21"/>
        </w:rPr>
      </w:pPr>
      <w:r>
        <w:rPr>
          <w:rFonts w:hint="eastAsia" w:hAnsi="宋体"/>
          <w:color w:val="auto"/>
          <w:sz w:val="21"/>
          <w:szCs w:val="21"/>
        </w:rPr>
        <w:t>2.</w:t>
      </w:r>
      <w:r>
        <w:rPr>
          <w:rFonts w:hint="eastAsia" w:hAnsi="宋体"/>
          <w:color w:val="auto"/>
          <w:sz w:val="21"/>
          <w:szCs w:val="21"/>
          <w:u w:val="single"/>
        </w:rPr>
        <w:t xml:space="preserve">（标的名称） </w:t>
      </w:r>
      <w:r>
        <w:rPr>
          <w:rFonts w:hint="eastAsia" w:hAnsi="宋体"/>
          <w:color w:val="auto"/>
          <w:sz w:val="21"/>
          <w:szCs w:val="21"/>
        </w:rPr>
        <w:t>，属于</w:t>
      </w:r>
      <w:r>
        <w:rPr>
          <w:rFonts w:hint="eastAsia" w:hAnsi="宋体"/>
          <w:color w:val="auto"/>
          <w:sz w:val="21"/>
          <w:szCs w:val="21"/>
          <w:u w:val="single"/>
        </w:rPr>
        <w:t>（采购文件中明确的所属行业）；</w:t>
      </w:r>
      <w:r>
        <w:rPr>
          <w:rFonts w:hint="eastAsia" w:hAnsi="宋体"/>
          <w:color w:val="auto"/>
          <w:sz w:val="21"/>
          <w:szCs w:val="21"/>
        </w:rPr>
        <w:t xml:space="preserve"> 承建（承接）企业为</w:t>
      </w:r>
      <w:r>
        <w:rPr>
          <w:rFonts w:hint="eastAsia" w:hAnsi="宋体"/>
          <w:color w:val="auto"/>
          <w:sz w:val="21"/>
          <w:szCs w:val="21"/>
          <w:u w:val="single"/>
        </w:rPr>
        <w:t xml:space="preserve">（企业 </w:t>
      </w:r>
    </w:p>
    <w:p w14:paraId="2BDE916D">
      <w:pPr>
        <w:pStyle w:val="10"/>
        <w:spacing w:line="360" w:lineRule="auto"/>
        <w:rPr>
          <w:rFonts w:hAnsi="宋体"/>
          <w:color w:val="auto"/>
          <w:sz w:val="21"/>
          <w:szCs w:val="21"/>
        </w:rPr>
      </w:pPr>
      <w:r>
        <w:rPr>
          <w:rFonts w:hint="eastAsia" w:hAnsi="宋体"/>
          <w:color w:val="auto"/>
          <w:sz w:val="21"/>
          <w:szCs w:val="21"/>
          <w:u w:val="single"/>
        </w:rPr>
        <w:t>名称）</w:t>
      </w:r>
      <w:r>
        <w:rPr>
          <w:rFonts w:hint="eastAsia" w:hAnsi="宋体"/>
          <w:color w:val="auto"/>
          <w:sz w:val="21"/>
          <w:szCs w:val="21"/>
        </w:rPr>
        <w:t>，从业人员</w:t>
      </w:r>
      <w:r>
        <w:rPr>
          <w:rFonts w:hint="eastAsia" w:hAnsi="宋体"/>
          <w:color w:val="auto"/>
          <w:sz w:val="21"/>
          <w:szCs w:val="21"/>
          <w:u w:val="single"/>
        </w:rPr>
        <w:t xml:space="preserve">    </w:t>
      </w:r>
      <w:r>
        <w:rPr>
          <w:rFonts w:hint="eastAsia" w:hAnsi="宋体"/>
          <w:color w:val="auto"/>
          <w:sz w:val="21"/>
          <w:szCs w:val="21"/>
        </w:rPr>
        <w:t>人，营业收入为</w:t>
      </w:r>
      <w:r>
        <w:rPr>
          <w:rFonts w:hint="eastAsia" w:hAnsi="宋体"/>
          <w:color w:val="auto"/>
          <w:sz w:val="21"/>
          <w:szCs w:val="21"/>
          <w:u w:val="single"/>
        </w:rPr>
        <w:t xml:space="preserve">    </w:t>
      </w:r>
      <w:r>
        <w:rPr>
          <w:rFonts w:hint="eastAsia" w:hAnsi="宋体"/>
          <w:color w:val="auto"/>
          <w:sz w:val="21"/>
          <w:szCs w:val="21"/>
        </w:rPr>
        <w:t>万元，资产总额为</w:t>
      </w:r>
      <w:r>
        <w:rPr>
          <w:rFonts w:hint="eastAsia" w:hAnsi="宋体"/>
          <w:color w:val="auto"/>
          <w:sz w:val="21"/>
          <w:szCs w:val="21"/>
          <w:u w:val="single"/>
        </w:rPr>
        <w:t xml:space="preserve">    </w:t>
      </w:r>
      <w:r>
        <w:rPr>
          <w:rFonts w:hint="eastAsia" w:hAnsi="宋体"/>
          <w:color w:val="auto"/>
          <w:sz w:val="21"/>
          <w:szCs w:val="21"/>
        </w:rPr>
        <w:t xml:space="preserve">万元，属于（中型企业、 </w:t>
      </w:r>
    </w:p>
    <w:p w14:paraId="6BC99B21">
      <w:pPr>
        <w:pStyle w:val="10"/>
        <w:spacing w:line="360" w:lineRule="auto"/>
        <w:rPr>
          <w:rFonts w:hAnsi="宋体"/>
          <w:color w:val="auto"/>
          <w:sz w:val="21"/>
          <w:szCs w:val="21"/>
        </w:rPr>
      </w:pPr>
      <w:r>
        <w:rPr>
          <w:rFonts w:hint="eastAsia" w:hAnsi="宋体"/>
          <w:color w:val="auto"/>
          <w:sz w:val="21"/>
          <w:szCs w:val="21"/>
        </w:rPr>
        <w:t xml:space="preserve">小型企业、微型企业）； </w:t>
      </w:r>
    </w:p>
    <w:p w14:paraId="1936BC85">
      <w:pPr>
        <w:pStyle w:val="10"/>
        <w:spacing w:line="360" w:lineRule="auto"/>
        <w:rPr>
          <w:rFonts w:hAnsi="宋体"/>
          <w:color w:val="auto"/>
          <w:sz w:val="21"/>
          <w:szCs w:val="21"/>
        </w:rPr>
      </w:pPr>
      <w:r>
        <w:rPr>
          <w:rFonts w:hint="eastAsia" w:hAnsi="宋体"/>
          <w:color w:val="auto"/>
          <w:sz w:val="21"/>
          <w:szCs w:val="21"/>
        </w:rPr>
        <w:t>……</w:t>
      </w:r>
    </w:p>
    <w:p w14:paraId="17C235FD">
      <w:pPr>
        <w:pStyle w:val="10"/>
        <w:spacing w:line="360" w:lineRule="auto"/>
        <w:ind w:firstLine="420" w:firstLineChars="200"/>
        <w:rPr>
          <w:rFonts w:hAnsi="宋体"/>
          <w:color w:val="auto"/>
          <w:sz w:val="21"/>
          <w:szCs w:val="21"/>
        </w:rPr>
      </w:pPr>
      <w:r>
        <w:rPr>
          <w:rFonts w:hint="eastAsia" w:hAnsi="宋体"/>
          <w:color w:val="auto"/>
          <w:sz w:val="21"/>
          <w:szCs w:val="21"/>
        </w:rPr>
        <w:t xml:space="preserve">以上企业，不属于大企业的分支机构，不存在控股股东为大企业的情形，也不存在与 </w:t>
      </w:r>
    </w:p>
    <w:p w14:paraId="1BCC6527">
      <w:pPr>
        <w:pStyle w:val="10"/>
        <w:spacing w:line="360" w:lineRule="auto"/>
        <w:rPr>
          <w:rFonts w:hAnsi="宋体"/>
          <w:color w:val="auto"/>
          <w:sz w:val="21"/>
          <w:szCs w:val="21"/>
        </w:rPr>
      </w:pPr>
      <w:r>
        <w:rPr>
          <w:rFonts w:hint="eastAsia" w:hAnsi="宋体"/>
          <w:color w:val="auto"/>
          <w:sz w:val="21"/>
          <w:szCs w:val="21"/>
        </w:rPr>
        <w:t xml:space="preserve">大企业的负责人为同一人的情形。 </w:t>
      </w:r>
    </w:p>
    <w:p w14:paraId="78211CD4">
      <w:pPr>
        <w:pStyle w:val="10"/>
        <w:spacing w:line="360" w:lineRule="auto"/>
        <w:ind w:firstLine="420" w:firstLineChars="200"/>
      </w:pPr>
      <w:r>
        <w:rPr>
          <w:rFonts w:hint="eastAsia" w:hAnsi="宋体"/>
          <w:color w:val="auto"/>
          <w:sz w:val="21"/>
          <w:szCs w:val="21"/>
        </w:rPr>
        <w:t>本企业对上述声明内容的真实性负责。如有虚假，将依法承担相应责任</w:t>
      </w:r>
    </w:p>
    <w:p w14:paraId="4CB47174">
      <w:pPr>
        <w:pStyle w:val="10"/>
        <w:spacing w:line="360" w:lineRule="auto"/>
        <w:ind w:firstLine="420" w:firstLineChars="200"/>
        <w:jc w:val="right"/>
        <w:rPr>
          <w:rFonts w:hAnsi="宋体"/>
          <w:color w:val="auto"/>
          <w:sz w:val="21"/>
          <w:szCs w:val="21"/>
        </w:rPr>
      </w:pPr>
    </w:p>
    <w:p w14:paraId="4CF16DD1">
      <w:pPr>
        <w:pStyle w:val="10"/>
        <w:spacing w:line="360" w:lineRule="auto"/>
        <w:ind w:firstLine="420" w:firstLineChars="200"/>
        <w:jc w:val="center"/>
        <w:rPr>
          <w:rFonts w:hAnsi="宋体"/>
          <w:color w:val="auto"/>
          <w:sz w:val="21"/>
          <w:szCs w:val="21"/>
        </w:rPr>
      </w:pPr>
      <w:r>
        <w:rPr>
          <w:rFonts w:hint="eastAsia" w:hAnsi="宋体"/>
          <w:color w:val="auto"/>
          <w:sz w:val="21"/>
          <w:szCs w:val="21"/>
        </w:rPr>
        <w:t xml:space="preserve">                    企业名称（盖章）：</w:t>
      </w:r>
    </w:p>
    <w:p w14:paraId="7FF05979">
      <w:pPr>
        <w:pStyle w:val="10"/>
        <w:spacing w:line="360" w:lineRule="auto"/>
        <w:ind w:firstLine="420" w:firstLineChars="200"/>
        <w:jc w:val="center"/>
        <w:rPr>
          <w:rFonts w:hAnsi="宋体"/>
          <w:color w:val="auto"/>
          <w:sz w:val="21"/>
          <w:szCs w:val="21"/>
        </w:rPr>
      </w:pPr>
      <w:r>
        <w:rPr>
          <w:rFonts w:hint="eastAsia" w:hAnsi="宋体"/>
          <w:color w:val="auto"/>
          <w:sz w:val="21"/>
          <w:szCs w:val="21"/>
        </w:rPr>
        <w:t xml:space="preserve">          日 期：</w:t>
      </w:r>
    </w:p>
    <w:p w14:paraId="66005D1E"/>
    <w:p w14:paraId="03DC5C3D">
      <w:pPr>
        <w:widowControl/>
        <w:spacing w:line="372" w:lineRule="auto"/>
        <w:jc w:val="left"/>
        <w:rPr>
          <w:rFonts w:ascii="宋体" w:hAnsi="宋体" w:cs="宋体"/>
          <w:kern w:val="0"/>
          <w:szCs w:val="21"/>
        </w:rPr>
      </w:pPr>
      <w:r>
        <w:rPr>
          <w:rFonts w:hint="eastAsia" w:ascii="宋体" w:hAnsi="宋体" w:cs="宋体"/>
          <w:kern w:val="0"/>
          <w:szCs w:val="21"/>
        </w:rPr>
        <w:t xml:space="preserve">注：①从业人员、营业收入、资产总额填报上一年度数据，无上一年度数据的新成立企业可 </w:t>
      </w:r>
    </w:p>
    <w:p w14:paraId="64D2A655">
      <w:pPr>
        <w:widowControl/>
        <w:spacing w:line="372" w:lineRule="auto"/>
        <w:jc w:val="left"/>
        <w:rPr>
          <w:rFonts w:ascii="宋体" w:hAnsi="宋体" w:cs="宋体"/>
          <w:kern w:val="0"/>
          <w:szCs w:val="21"/>
        </w:rPr>
      </w:pPr>
      <w:r>
        <w:rPr>
          <w:rFonts w:hint="eastAsia" w:ascii="宋体" w:hAnsi="宋体" w:cs="宋体"/>
          <w:kern w:val="0"/>
          <w:szCs w:val="21"/>
        </w:rPr>
        <w:t>不填报。</w:t>
      </w:r>
    </w:p>
    <w:p w14:paraId="54078B06">
      <w:pPr>
        <w:widowControl/>
        <w:spacing w:line="372" w:lineRule="auto"/>
        <w:jc w:val="left"/>
        <w:rPr>
          <w:rFonts w:ascii="宋体" w:hAnsi="宋体" w:cs="宋体"/>
          <w:kern w:val="0"/>
          <w:szCs w:val="21"/>
        </w:rPr>
      </w:pPr>
      <w:r>
        <w:rPr>
          <w:rFonts w:hint="eastAsia" w:ascii="宋体" w:hAnsi="宋体" w:cs="宋体"/>
          <w:kern w:val="0"/>
          <w:szCs w:val="21"/>
        </w:rPr>
        <w:t xml:space="preserve">②以联合体形式参加政府采购活动，联合体各方均为中小企业的，联合体视同中小企业。 </w:t>
      </w:r>
    </w:p>
    <w:p w14:paraId="73472E1F">
      <w:pPr>
        <w:widowControl/>
        <w:spacing w:line="372" w:lineRule="auto"/>
        <w:jc w:val="left"/>
        <w:rPr>
          <w:rFonts w:ascii="宋体" w:hAnsi="宋体" w:cs="宋体"/>
          <w:kern w:val="0"/>
          <w:szCs w:val="21"/>
        </w:rPr>
      </w:pPr>
      <w:r>
        <w:rPr>
          <w:rFonts w:hint="eastAsia" w:ascii="宋体" w:hAnsi="宋体" w:cs="宋体"/>
          <w:kern w:val="0"/>
          <w:szCs w:val="21"/>
        </w:rPr>
        <w:t xml:space="preserve">其中，联合体各方均为小微企业的，联合体视同小微企业。 </w:t>
      </w:r>
    </w:p>
    <w:p w14:paraId="05997110">
      <w:pPr>
        <w:widowControl/>
        <w:spacing w:line="372" w:lineRule="auto"/>
        <w:jc w:val="left"/>
        <w:rPr>
          <w:rFonts w:ascii="宋体" w:hAnsi="宋体" w:cs="宋体"/>
          <w:kern w:val="0"/>
          <w:szCs w:val="21"/>
        </w:rPr>
      </w:pPr>
      <w:r>
        <w:rPr>
          <w:rFonts w:hint="eastAsia" w:ascii="宋体" w:hAnsi="宋体" w:cs="宋体"/>
          <w:kern w:val="0"/>
          <w:szCs w:val="21"/>
        </w:rPr>
        <w:t>③在政府采购活动中，</w:t>
      </w:r>
      <w:r>
        <w:rPr>
          <w:rFonts w:hint="eastAsia" w:ascii="宋体" w:hAnsi="宋体" w:cs="宋体"/>
          <w:kern w:val="0"/>
          <w:szCs w:val="21"/>
          <w:lang w:eastAsia="zh-CN"/>
        </w:rPr>
        <w:t>投标人</w:t>
      </w:r>
      <w:r>
        <w:rPr>
          <w:rFonts w:hint="eastAsia" w:ascii="宋体" w:hAnsi="宋体" w:cs="宋体"/>
          <w:kern w:val="0"/>
          <w:szCs w:val="21"/>
        </w:rPr>
        <w:t xml:space="preserve">提供的服务由中小企业承接，即提供服务的人员为中小企 </w:t>
      </w:r>
    </w:p>
    <w:p w14:paraId="34307B84">
      <w:pPr>
        <w:widowControl/>
        <w:spacing w:line="372" w:lineRule="auto"/>
        <w:jc w:val="left"/>
        <w:rPr>
          <w:rFonts w:ascii="宋体" w:hAnsi="宋体" w:cs="宋体"/>
          <w:kern w:val="0"/>
          <w:szCs w:val="21"/>
        </w:rPr>
      </w:pPr>
      <w:r>
        <w:rPr>
          <w:rFonts w:hint="eastAsia" w:ascii="宋体" w:hAnsi="宋体" w:cs="宋体"/>
          <w:kern w:val="0"/>
          <w:szCs w:val="21"/>
        </w:rPr>
        <w:t xml:space="preserve">业依照《中华人民共和国劳动合同法》订立劳动合同的从业人员的，才能享受本办法规定的 </w:t>
      </w:r>
    </w:p>
    <w:p w14:paraId="09BE5612">
      <w:pPr>
        <w:widowControl/>
        <w:spacing w:line="372" w:lineRule="auto"/>
        <w:jc w:val="left"/>
      </w:pPr>
      <w:r>
        <w:rPr>
          <w:rFonts w:hint="eastAsia" w:ascii="宋体" w:hAnsi="宋体" w:cs="宋体"/>
          <w:kern w:val="0"/>
          <w:szCs w:val="21"/>
        </w:rPr>
        <w:t>中小企业扶持政策</w:t>
      </w:r>
    </w:p>
    <w:p w14:paraId="0E37A677">
      <w:pPr>
        <w:pStyle w:val="10"/>
        <w:spacing w:line="360" w:lineRule="auto"/>
        <w:ind w:firstLine="420" w:firstLineChars="200"/>
        <w:rPr>
          <w:rFonts w:hint="eastAsia" w:ascii="宋体" w:hAnsi="宋体" w:eastAsia="宋体" w:cs="宋体"/>
          <w:color w:val="auto"/>
          <w:sz w:val="21"/>
          <w:szCs w:val="21"/>
          <w:lang w:val="en-US" w:eastAsia="zh-CN"/>
        </w:rPr>
      </w:pPr>
    </w:p>
    <w:p w14:paraId="53BBBC4C">
      <w:pPr>
        <w:pStyle w:val="10"/>
        <w:spacing w:line="360" w:lineRule="auto"/>
        <w:ind w:firstLine="420" w:firstLineChars="200"/>
        <w:rPr>
          <w:rFonts w:hint="eastAsia" w:ascii="宋体" w:hAnsi="宋体" w:eastAsia="宋体" w:cs="宋体"/>
          <w:color w:val="auto"/>
          <w:sz w:val="21"/>
          <w:szCs w:val="21"/>
          <w:lang w:val="en-US" w:eastAsia="zh-CN"/>
        </w:rPr>
      </w:pPr>
    </w:p>
    <w:p w14:paraId="551D6FCB">
      <w:pPr>
        <w:pStyle w:val="10"/>
        <w:spacing w:line="360" w:lineRule="auto"/>
        <w:ind w:firstLine="420" w:firstLineChars="200"/>
        <w:rPr>
          <w:rFonts w:hint="eastAsia" w:ascii="宋体" w:hAnsi="宋体" w:eastAsia="宋体" w:cs="宋体"/>
          <w:color w:val="auto"/>
          <w:sz w:val="21"/>
          <w:szCs w:val="21"/>
          <w:lang w:val="en-US" w:eastAsia="zh-CN"/>
        </w:rPr>
      </w:pPr>
    </w:p>
    <w:p w14:paraId="07242652">
      <w:pPr>
        <w:pStyle w:val="10"/>
        <w:spacing w:line="360" w:lineRule="auto"/>
        <w:ind w:firstLine="420" w:firstLineChars="200"/>
        <w:rPr>
          <w:rFonts w:hint="eastAsia" w:ascii="宋体" w:hAnsi="宋体" w:eastAsia="宋体" w:cs="宋体"/>
          <w:color w:val="auto"/>
          <w:sz w:val="21"/>
          <w:szCs w:val="21"/>
          <w:lang w:val="en-US" w:eastAsia="zh-CN"/>
        </w:rPr>
      </w:pPr>
    </w:p>
    <w:p w14:paraId="20FE6D92">
      <w:pPr>
        <w:pStyle w:val="10"/>
        <w:spacing w:line="360" w:lineRule="auto"/>
        <w:ind w:firstLine="420" w:firstLineChars="200"/>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3.统计以上大中小微企业划分标准</w:t>
      </w:r>
    </w:p>
    <w:p w14:paraId="17D772B8">
      <w:pPr>
        <w:pStyle w:val="10"/>
        <w:numPr>
          <w:ilvl w:val="0"/>
          <w:numId w:val="0"/>
        </w:numPr>
        <w:ind w:leftChars="0"/>
        <w:jc w:val="center"/>
      </w:pPr>
      <w:r>
        <w:drawing>
          <wp:inline distT="0" distB="0" distL="114300" distR="114300">
            <wp:extent cx="5394960" cy="6849745"/>
            <wp:effectExtent l="0" t="0" r="15240" b="8255"/>
            <wp:docPr id="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
                    <pic:cNvPicPr>
                      <a:picLocks noChangeAspect="1"/>
                    </pic:cNvPicPr>
                  </pic:nvPicPr>
                  <pic:blipFill>
                    <a:blip r:embed="rId14"/>
                    <a:stretch>
                      <a:fillRect/>
                    </a:stretch>
                  </pic:blipFill>
                  <pic:spPr>
                    <a:xfrm>
                      <a:off x="0" y="0"/>
                      <a:ext cx="5394960" cy="6849745"/>
                    </a:xfrm>
                    <a:prstGeom prst="rect">
                      <a:avLst/>
                    </a:prstGeom>
                    <a:noFill/>
                    <a:ln>
                      <a:noFill/>
                    </a:ln>
                  </pic:spPr>
                </pic:pic>
              </a:graphicData>
            </a:graphic>
          </wp:inline>
        </w:drawing>
      </w:r>
    </w:p>
    <w:p w14:paraId="74FC1D0B">
      <w:pPr>
        <w:jc w:val="center"/>
        <w:rPr>
          <w:rFonts w:hint="default"/>
          <w:lang w:val="en-US" w:eastAsia="zh-CN"/>
        </w:rPr>
      </w:pPr>
      <w:r>
        <w:drawing>
          <wp:inline distT="0" distB="0" distL="114300" distR="114300">
            <wp:extent cx="5396230" cy="907415"/>
            <wp:effectExtent l="0" t="0" r="13970" b="6985"/>
            <wp:docPr id="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2"/>
                    <pic:cNvPicPr>
                      <a:picLocks noChangeAspect="1"/>
                    </pic:cNvPicPr>
                  </pic:nvPicPr>
                  <pic:blipFill>
                    <a:blip r:embed="rId15"/>
                    <a:stretch>
                      <a:fillRect/>
                    </a:stretch>
                  </pic:blipFill>
                  <pic:spPr>
                    <a:xfrm>
                      <a:off x="0" y="0"/>
                      <a:ext cx="5396230" cy="907415"/>
                    </a:xfrm>
                    <a:prstGeom prst="rect">
                      <a:avLst/>
                    </a:prstGeom>
                    <a:noFill/>
                    <a:ln>
                      <a:noFill/>
                    </a:ln>
                  </pic:spPr>
                </pic:pic>
              </a:graphicData>
            </a:graphic>
          </wp:inline>
        </w:drawing>
      </w:r>
    </w:p>
    <w:p w14:paraId="149A755D">
      <w:pPr>
        <w:spacing w:line="360" w:lineRule="auto"/>
        <w:ind w:firstLine="420" w:firstLineChars="200"/>
        <w:rPr>
          <w:rFonts w:hint="default" w:ascii="宋体" w:hAnsi="宋体" w:cs="宋体"/>
          <w:szCs w:val="21"/>
          <w:lang w:val="en-US" w:eastAsia="zh-CN"/>
        </w:rPr>
      </w:pPr>
      <w:r>
        <w:rPr>
          <w:rFonts w:hint="default" w:ascii="宋体" w:hAnsi="宋体" w:cs="宋体"/>
          <w:szCs w:val="21"/>
          <w:lang w:val="en-US" w:eastAsia="zh-CN"/>
        </w:rPr>
        <w:t>说明：1.大型、中型和小型企业须同时满足所列指标的下限，否则下划一档；微型企业只须满足所列指标中的一项即可。</w:t>
      </w:r>
    </w:p>
    <w:p w14:paraId="500156B6">
      <w:pPr>
        <w:spacing w:line="360" w:lineRule="auto"/>
        <w:ind w:firstLine="420" w:firstLineChars="200"/>
        <w:rPr>
          <w:rFonts w:hint="default" w:ascii="宋体" w:hAnsi="宋体" w:cs="宋体"/>
          <w:szCs w:val="21"/>
          <w:lang w:val="en-US" w:eastAsia="zh-CN"/>
        </w:rPr>
      </w:pPr>
      <w:r>
        <w:rPr>
          <w:rFonts w:hint="default" w:ascii="宋体" w:hAnsi="宋体" w:cs="宋体"/>
          <w:szCs w:val="21"/>
          <w:lang w:val="en-US" w:eastAsia="zh-CN"/>
        </w:rPr>
        <w:t>附表中各行业的范围以《国民经济行业分类》（GB/T4754-2017）为准。带*的项为行业</w:t>
      </w:r>
    </w:p>
    <w:p w14:paraId="05768BB8">
      <w:pPr>
        <w:spacing w:line="360" w:lineRule="auto"/>
        <w:rPr>
          <w:rFonts w:hint="default" w:ascii="宋体" w:hAnsi="宋体" w:cs="宋体"/>
          <w:szCs w:val="21"/>
          <w:lang w:val="en-US" w:eastAsia="zh-CN"/>
        </w:rPr>
      </w:pPr>
      <w:r>
        <w:rPr>
          <w:rFonts w:hint="default" w:ascii="宋体" w:hAnsi="宋体" w:cs="宋体"/>
          <w:szCs w:val="21"/>
          <w:lang w:val="en-US" w:eastAsia="zh-CN"/>
        </w:rPr>
        <w:t>组合类别，其中，工业包括采矿业，制造业，电力、热力、燃气及水生产和供应业；交通运输业包括道路运输业，水上运输业，航空运输业，管道运输业，多式联运和运输代理业、装卸搬运，不包括铁路运输业；仓储业包括通用仓储，低温仓储，危险品仓储，谷物、棉花等农产品仓储，中药材仓储和其他仓储业；信息传输业包括电信、广播电视和卫星传输服务，互联网和相关服务；其他未列明行业包括科学研究和技术服务业，水利、环境和公共设施管理业，居民服务、修理和其他服务业，社会工作，文化、体育和娱乐业，以及房地产中介服务，其他房地产业等，不包括自有房地产经营活动。企业划分指标以现行统计制度为准。</w:t>
      </w:r>
    </w:p>
    <w:p w14:paraId="1F9C1C5A">
      <w:pPr>
        <w:spacing w:line="360" w:lineRule="auto"/>
        <w:ind w:firstLine="420" w:firstLineChars="200"/>
        <w:rPr>
          <w:rFonts w:hint="default" w:ascii="宋体" w:hAnsi="宋体" w:cs="宋体"/>
          <w:szCs w:val="21"/>
          <w:lang w:val="en-US" w:eastAsia="zh-CN"/>
        </w:rPr>
      </w:pPr>
      <w:r>
        <w:rPr>
          <w:rFonts w:hint="default" w:ascii="宋体" w:hAnsi="宋体" w:cs="宋体"/>
          <w:szCs w:val="21"/>
          <w:lang w:val="en-US" w:eastAsia="zh-CN"/>
        </w:rPr>
        <w:t>（1）从业人员，是指期末从业人员数，没有期末从业人员数的，采用全年平均人员数</w:t>
      </w:r>
    </w:p>
    <w:p w14:paraId="2928F5A5">
      <w:pPr>
        <w:spacing w:line="360" w:lineRule="auto"/>
        <w:ind w:firstLine="420" w:firstLineChars="200"/>
        <w:rPr>
          <w:rFonts w:hint="default" w:ascii="宋体" w:hAnsi="宋体" w:cs="宋体"/>
          <w:szCs w:val="21"/>
          <w:lang w:val="en-US" w:eastAsia="zh-CN"/>
        </w:rPr>
      </w:pPr>
      <w:r>
        <w:rPr>
          <w:rFonts w:hint="default" w:ascii="宋体" w:hAnsi="宋体" w:cs="宋体"/>
          <w:szCs w:val="21"/>
          <w:lang w:val="en-US" w:eastAsia="zh-CN"/>
        </w:rPr>
        <w:t>代替。</w:t>
      </w:r>
    </w:p>
    <w:p w14:paraId="58F767B7">
      <w:pPr>
        <w:spacing w:line="360" w:lineRule="auto"/>
        <w:ind w:firstLine="420" w:firstLineChars="200"/>
        <w:rPr>
          <w:rFonts w:hint="default" w:ascii="宋体" w:hAnsi="宋体" w:cs="宋体"/>
          <w:szCs w:val="21"/>
          <w:lang w:val="en-US" w:eastAsia="zh-CN"/>
        </w:rPr>
      </w:pPr>
      <w:r>
        <w:rPr>
          <w:rFonts w:hint="default" w:ascii="宋体" w:hAnsi="宋体" w:cs="宋体"/>
          <w:szCs w:val="21"/>
          <w:lang w:val="en-US" w:eastAsia="zh-CN"/>
        </w:rPr>
        <w:t>（2）营业收入，工业、建筑业、限额以上批发和零售业、限额以上住宿和餐饮业以及</w:t>
      </w:r>
    </w:p>
    <w:p w14:paraId="2CD16C77">
      <w:pPr>
        <w:spacing w:line="360" w:lineRule="auto"/>
        <w:ind w:firstLine="420" w:firstLineChars="200"/>
        <w:rPr>
          <w:rFonts w:hint="default" w:ascii="宋体" w:hAnsi="宋体" w:cs="宋体"/>
          <w:szCs w:val="21"/>
          <w:lang w:val="en-US" w:eastAsia="zh-CN"/>
        </w:rPr>
      </w:pPr>
      <w:r>
        <w:rPr>
          <w:rFonts w:hint="default" w:ascii="宋体" w:hAnsi="宋体" w:cs="宋体"/>
          <w:szCs w:val="21"/>
          <w:lang w:val="en-US" w:eastAsia="zh-CN"/>
        </w:rPr>
        <w:t>其他设置主营业务收入指标的行业，采用主营业务收入；限额以下批发与零售业企业采</w:t>
      </w:r>
    </w:p>
    <w:p w14:paraId="7E1F0AAA">
      <w:pPr>
        <w:spacing w:line="360" w:lineRule="auto"/>
        <w:ind w:firstLine="420" w:firstLineChars="200"/>
        <w:rPr>
          <w:rFonts w:hint="default" w:ascii="宋体" w:hAnsi="宋体" w:cs="宋体"/>
          <w:szCs w:val="21"/>
          <w:lang w:val="en-US" w:eastAsia="zh-CN"/>
        </w:rPr>
      </w:pPr>
      <w:r>
        <w:rPr>
          <w:rFonts w:hint="default" w:ascii="宋体" w:hAnsi="宋体" w:cs="宋体"/>
          <w:szCs w:val="21"/>
          <w:lang w:val="en-US" w:eastAsia="zh-CN"/>
        </w:rPr>
        <w:t>用商品销售额代替；限额以下住宿与餐饮业企业采用营业额代替；农、林、牧、渔业企</w:t>
      </w:r>
    </w:p>
    <w:p w14:paraId="06E95F14">
      <w:pPr>
        <w:spacing w:line="360" w:lineRule="auto"/>
        <w:ind w:firstLine="420" w:firstLineChars="200"/>
        <w:rPr>
          <w:rFonts w:hint="default" w:ascii="宋体" w:hAnsi="宋体" w:cs="宋体"/>
          <w:szCs w:val="21"/>
          <w:lang w:val="en-US" w:eastAsia="zh-CN"/>
        </w:rPr>
      </w:pPr>
      <w:r>
        <w:rPr>
          <w:rFonts w:hint="default" w:ascii="宋体" w:hAnsi="宋体" w:cs="宋体"/>
          <w:szCs w:val="21"/>
          <w:lang w:val="en-US" w:eastAsia="zh-CN"/>
        </w:rPr>
        <w:t>业采用营业总收入代替；其他未设置主营业务收入的行业，采用营业收入指标。</w:t>
      </w:r>
    </w:p>
    <w:p w14:paraId="4A29F44D">
      <w:pPr>
        <w:spacing w:line="360" w:lineRule="auto"/>
        <w:ind w:firstLine="420" w:firstLineChars="200"/>
        <w:rPr>
          <w:rFonts w:hint="default" w:ascii="宋体" w:hAnsi="宋体" w:cs="宋体"/>
          <w:szCs w:val="21"/>
          <w:lang w:val="en-US" w:eastAsia="zh-CN"/>
        </w:rPr>
      </w:pPr>
      <w:r>
        <w:rPr>
          <w:rFonts w:hint="default" w:ascii="宋体" w:hAnsi="宋体" w:cs="宋体"/>
          <w:szCs w:val="21"/>
          <w:lang w:val="en-US" w:eastAsia="zh-CN"/>
        </w:rPr>
        <w:t>（3）资产总额，采用资产总计代替。</w:t>
      </w:r>
    </w:p>
    <w:p w14:paraId="5CF4F087">
      <w:pPr>
        <w:pStyle w:val="20"/>
        <w:tabs>
          <w:tab w:val="left" w:pos="540"/>
        </w:tabs>
        <w:rPr>
          <w:rFonts w:hint="eastAsia" w:ascii="宋体" w:hAnsi="宋体"/>
          <w:snapToGrid w:val="0"/>
          <w:kern w:val="0"/>
          <w:szCs w:val="21"/>
          <w:lang w:bidi="en-US"/>
        </w:rPr>
      </w:pPr>
    </w:p>
    <w:p w14:paraId="41C1D21E">
      <w:pPr>
        <w:pStyle w:val="13"/>
        <w:jc w:val="both"/>
        <w:rPr>
          <w:rFonts w:hAnsi="宋体" w:eastAsia="宋体" w:cs="宋体"/>
          <w:sz w:val="21"/>
          <w:szCs w:val="21"/>
        </w:rPr>
      </w:pPr>
    </w:p>
    <w:p w14:paraId="4D66D8A7">
      <w:pPr>
        <w:rPr>
          <w:rFonts w:hAnsi="宋体" w:eastAsia="宋体" w:cs="宋体"/>
          <w:sz w:val="21"/>
          <w:szCs w:val="21"/>
        </w:rPr>
      </w:pPr>
      <w:r>
        <w:rPr>
          <w:rFonts w:hAnsi="宋体" w:eastAsia="宋体" w:cs="宋体"/>
          <w:sz w:val="21"/>
          <w:szCs w:val="21"/>
        </w:rPr>
        <w:br w:type="page"/>
      </w:r>
    </w:p>
    <w:p w14:paraId="17CBA7CE">
      <w:pPr>
        <w:spacing w:line="360" w:lineRule="auto"/>
        <w:jc w:val="center"/>
        <w:rPr>
          <w:rFonts w:hint="eastAsia" w:ascii="宋体" w:hAnsi="宋体" w:cs="宋体"/>
          <w:b/>
          <w:szCs w:val="21"/>
          <w:lang w:eastAsia="zh-CN"/>
        </w:rPr>
        <w:sectPr>
          <w:pgSz w:w="11906" w:h="16838"/>
          <w:pgMar w:top="1417" w:right="1701" w:bottom="1417" w:left="1701" w:header="851" w:footer="992" w:gutter="0"/>
          <w:pgNumType w:fmt="numberInDash"/>
          <w:cols w:space="720" w:num="1"/>
          <w:docGrid w:type="lines" w:linePitch="312" w:charSpace="0"/>
        </w:sectPr>
      </w:pPr>
      <w:bookmarkStart w:id="391" w:name="OLE_LINK13"/>
      <w:bookmarkStart w:id="392" w:name="OLE_LINK14"/>
    </w:p>
    <w:p w14:paraId="4C2777FC">
      <w:pPr>
        <w:spacing w:line="360" w:lineRule="auto"/>
        <w:jc w:val="center"/>
        <w:rPr>
          <w:rFonts w:hint="eastAsia" w:ascii="宋体" w:hAnsi="宋体" w:eastAsia="宋体" w:cs="宋体"/>
          <w:b/>
          <w:szCs w:val="21"/>
          <w:lang w:eastAsia="zh-CN"/>
        </w:rPr>
      </w:pPr>
      <w:r>
        <w:rPr>
          <w:rFonts w:hint="eastAsia" w:ascii="宋体" w:hAnsi="宋体" w:eastAsia="宋体" w:cs="宋体"/>
          <w:b/>
          <w:szCs w:val="21"/>
          <w:lang w:eastAsia="zh-CN"/>
        </w:rPr>
        <w:t>（三）</w:t>
      </w:r>
      <w:r>
        <w:rPr>
          <w:rFonts w:hint="eastAsia" w:ascii="宋体" w:hAnsi="宋体" w:eastAsia="宋体" w:cs="宋体"/>
          <w:b/>
          <w:szCs w:val="21"/>
        </w:rPr>
        <w:t>投标</w:t>
      </w:r>
      <w:r>
        <w:rPr>
          <w:rFonts w:hint="eastAsia" w:ascii="宋体" w:hAnsi="宋体" w:eastAsia="宋体" w:cs="宋体"/>
          <w:b/>
          <w:szCs w:val="21"/>
          <w:lang w:eastAsia="zh-CN"/>
        </w:rPr>
        <w:t>承诺函</w:t>
      </w:r>
    </w:p>
    <w:p w14:paraId="38556A44">
      <w:pPr>
        <w:keepNext w:val="0"/>
        <w:keepLines w:val="0"/>
        <w:pageBreakBefore w:val="0"/>
        <w:widowControl w:val="0"/>
        <w:kinsoku/>
        <w:overflowPunct/>
        <w:topLinePunct w:val="0"/>
        <w:bidi w:val="0"/>
        <w:spacing w:before="312" w:beforeLines="100" w:line="360" w:lineRule="auto"/>
        <w:rPr>
          <w:sz w:val="21"/>
          <w:szCs w:val="21"/>
          <w:highlight w:val="none"/>
          <w:u w:val="single"/>
        </w:rPr>
      </w:pPr>
      <w:r>
        <w:rPr>
          <w:rFonts w:hint="eastAsia"/>
          <w:sz w:val="21"/>
          <w:szCs w:val="21"/>
          <w:highlight w:val="none"/>
        </w:rPr>
        <w:t>致：</w:t>
      </w:r>
      <w:r>
        <w:rPr>
          <w:rFonts w:hint="eastAsia"/>
          <w:sz w:val="21"/>
          <w:szCs w:val="21"/>
          <w:highlight w:val="none"/>
          <w:u w:val="single"/>
        </w:rPr>
        <w:t xml:space="preserve">                      （采购人名称）</w:t>
      </w:r>
    </w:p>
    <w:p w14:paraId="7CD03B8F">
      <w:pPr>
        <w:keepNext w:val="0"/>
        <w:keepLines w:val="0"/>
        <w:pageBreakBefore w:val="0"/>
        <w:widowControl w:val="0"/>
        <w:kinsoku/>
        <w:overflowPunct/>
        <w:topLinePunct w:val="0"/>
        <w:bidi w:val="0"/>
        <w:spacing w:line="360" w:lineRule="auto"/>
        <w:ind w:firstLine="420" w:firstLineChars="200"/>
        <w:rPr>
          <w:sz w:val="21"/>
          <w:szCs w:val="21"/>
          <w:highlight w:val="none"/>
        </w:rPr>
      </w:pPr>
      <w:r>
        <w:rPr>
          <w:rFonts w:hint="eastAsia"/>
          <w:sz w:val="21"/>
          <w:szCs w:val="21"/>
          <w:highlight w:val="none"/>
        </w:rPr>
        <w:t>我们已仔细阅读</w:t>
      </w:r>
      <w:r>
        <w:rPr>
          <w:rFonts w:hint="eastAsia"/>
          <w:sz w:val="21"/>
          <w:szCs w:val="21"/>
          <w:highlight w:val="none"/>
          <w:u w:val="single"/>
        </w:rPr>
        <w:t xml:space="preserve">                </w:t>
      </w:r>
      <w:r>
        <w:rPr>
          <w:rFonts w:hint="eastAsia"/>
          <w:sz w:val="21"/>
          <w:szCs w:val="21"/>
          <w:highlight w:val="none"/>
          <w:u w:val="none"/>
        </w:rPr>
        <w:t>（项目名称）</w:t>
      </w:r>
      <w:r>
        <w:rPr>
          <w:rFonts w:hint="eastAsia" w:ascii="宋体" w:hAnsi="宋体"/>
          <w:color w:val="000000"/>
          <w:sz w:val="21"/>
          <w:szCs w:val="21"/>
          <w:highlight w:val="none"/>
          <w:u w:val="single"/>
          <w:lang w:val="en-US" w:eastAsia="zh-CN"/>
        </w:rPr>
        <w:t xml:space="preserve">     </w:t>
      </w:r>
      <w:r>
        <w:rPr>
          <w:rFonts w:hint="eastAsia" w:ascii="宋体" w:hAnsi="宋体"/>
          <w:color w:val="000000"/>
          <w:sz w:val="21"/>
          <w:szCs w:val="21"/>
          <w:highlight w:val="none"/>
          <w:u w:val="none"/>
          <w:lang w:val="en-US" w:eastAsia="zh-CN"/>
        </w:rPr>
        <w:t>(包)</w:t>
      </w:r>
      <w:r>
        <w:rPr>
          <w:rFonts w:hint="eastAsia"/>
          <w:sz w:val="21"/>
          <w:szCs w:val="21"/>
          <w:highlight w:val="none"/>
        </w:rPr>
        <w:t>招标文件，并完全理解。经认真研究，我们决定参加投标，并出以下承诺：</w:t>
      </w:r>
    </w:p>
    <w:p w14:paraId="2332EEB3">
      <w:pPr>
        <w:keepNext w:val="0"/>
        <w:keepLines w:val="0"/>
        <w:pageBreakBefore w:val="0"/>
        <w:widowControl w:val="0"/>
        <w:kinsoku/>
        <w:overflowPunct/>
        <w:topLinePunct w:val="0"/>
        <w:bidi w:val="0"/>
        <w:spacing w:line="360" w:lineRule="auto"/>
        <w:ind w:firstLine="420" w:firstLineChars="200"/>
        <w:rPr>
          <w:sz w:val="21"/>
          <w:szCs w:val="21"/>
          <w:highlight w:val="none"/>
        </w:rPr>
      </w:pPr>
      <w:r>
        <w:rPr>
          <w:rFonts w:hint="eastAsia"/>
          <w:sz w:val="21"/>
          <w:szCs w:val="21"/>
          <w:highlight w:val="none"/>
        </w:rPr>
        <w:t>1、我们愿意遵照招标文件中的相关内容和合同条款以及其它一切要求投标；</w:t>
      </w:r>
    </w:p>
    <w:p w14:paraId="277B5485">
      <w:pPr>
        <w:keepNext w:val="0"/>
        <w:keepLines w:val="0"/>
        <w:pageBreakBefore w:val="0"/>
        <w:widowControl w:val="0"/>
        <w:kinsoku/>
        <w:overflowPunct/>
        <w:topLinePunct w:val="0"/>
        <w:bidi w:val="0"/>
        <w:spacing w:line="360" w:lineRule="auto"/>
        <w:ind w:firstLine="420" w:firstLineChars="200"/>
        <w:rPr>
          <w:sz w:val="21"/>
          <w:szCs w:val="21"/>
          <w:highlight w:val="none"/>
        </w:rPr>
      </w:pPr>
      <w:r>
        <w:rPr>
          <w:rFonts w:hint="eastAsia"/>
          <w:sz w:val="21"/>
          <w:szCs w:val="21"/>
          <w:highlight w:val="none"/>
        </w:rPr>
        <w:t>2、我们愿意提供招标文件要求的所有文件资料，并保证这些资料均为真实、完整、有效和合法的；</w:t>
      </w:r>
    </w:p>
    <w:p w14:paraId="3ACA292F">
      <w:pPr>
        <w:keepNext w:val="0"/>
        <w:keepLines w:val="0"/>
        <w:pageBreakBefore w:val="0"/>
        <w:widowControl w:val="0"/>
        <w:kinsoku/>
        <w:overflowPunct/>
        <w:topLinePunct w:val="0"/>
        <w:bidi w:val="0"/>
        <w:spacing w:line="360" w:lineRule="auto"/>
        <w:ind w:firstLine="420" w:firstLineChars="200"/>
        <w:rPr>
          <w:sz w:val="21"/>
          <w:szCs w:val="21"/>
          <w:highlight w:val="none"/>
        </w:rPr>
      </w:pPr>
      <w:r>
        <w:rPr>
          <w:rFonts w:hint="eastAsia"/>
          <w:sz w:val="21"/>
          <w:szCs w:val="21"/>
          <w:highlight w:val="none"/>
        </w:rPr>
        <w:t>3、如果我方中标，我们将严格履行招标、投标文件及双方签订的合同中规定的各项要求；</w:t>
      </w:r>
    </w:p>
    <w:p w14:paraId="04FB05C7">
      <w:pPr>
        <w:keepNext w:val="0"/>
        <w:keepLines w:val="0"/>
        <w:pageBreakBefore w:val="0"/>
        <w:widowControl w:val="0"/>
        <w:kinsoku/>
        <w:overflowPunct/>
        <w:topLinePunct w:val="0"/>
        <w:bidi w:val="0"/>
        <w:spacing w:line="360" w:lineRule="auto"/>
        <w:ind w:firstLine="420" w:firstLineChars="200"/>
        <w:rPr>
          <w:sz w:val="21"/>
          <w:szCs w:val="21"/>
          <w:highlight w:val="none"/>
        </w:rPr>
      </w:pPr>
      <w:r>
        <w:rPr>
          <w:rFonts w:hint="eastAsia"/>
          <w:sz w:val="21"/>
          <w:szCs w:val="21"/>
          <w:highlight w:val="none"/>
        </w:rPr>
        <w:t>4、如果我方中标，我方保证在规定的时间内按招标文件规定的时间、金额向代理机构缴纳招标代理服务费；</w:t>
      </w:r>
    </w:p>
    <w:p w14:paraId="6ED869BA">
      <w:pPr>
        <w:pStyle w:val="83"/>
        <w:keepNext w:val="0"/>
        <w:keepLines w:val="0"/>
        <w:pageBreakBefore w:val="0"/>
        <w:widowControl w:val="0"/>
        <w:kinsoku/>
        <w:overflowPunct/>
        <w:topLinePunct w:val="0"/>
        <w:bidi w:val="0"/>
        <w:spacing w:line="360" w:lineRule="auto"/>
        <w:ind w:firstLine="420" w:firstLineChars="200"/>
        <w:rPr>
          <w:sz w:val="21"/>
          <w:szCs w:val="21"/>
          <w:highlight w:val="none"/>
        </w:rPr>
      </w:pPr>
      <w:r>
        <w:rPr>
          <w:rFonts w:hint="eastAsia"/>
          <w:sz w:val="21"/>
          <w:szCs w:val="21"/>
          <w:highlight w:val="none"/>
        </w:rPr>
        <w:t>5、在本次投标过程中，我公司如出现招标文件约定视为串通投标的，我公司愿接受相关处罚；</w:t>
      </w:r>
    </w:p>
    <w:p w14:paraId="4E240BE9">
      <w:pPr>
        <w:pStyle w:val="83"/>
        <w:keepNext w:val="0"/>
        <w:keepLines w:val="0"/>
        <w:pageBreakBefore w:val="0"/>
        <w:widowControl w:val="0"/>
        <w:kinsoku/>
        <w:overflowPunct/>
        <w:topLinePunct w:val="0"/>
        <w:bidi w:val="0"/>
        <w:spacing w:line="360" w:lineRule="auto"/>
        <w:ind w:firstLine="420" w:firstLineChars="200"/>
        <w:rPr>
          <w:sz w:val="21"/>
          <w:szCs w:val="21"/>
          <w:highlight w:val="none"/>
        </w:rPr>
      </w:pPr>
      <w:r>
        <w:rPr>
          <w:rFonts w:hint="eastAsia"/>
          <w:sz w:val="21"/>
          <w:szCs w:val="21"/>
          <w:highlight w:val="none"/>
        </w:rPr>
        <w:t>6、其他补充说明：</w:t>
      </w:r>
      <w:r>
        <w:rPr>
          <w:rFonts w:hint="eastAsia"/>
          <w:sz w:val="21"/>
          <w:szCs w:val="21"/>
          <w:highlight w:val="none"/>
          <w:u w:val="single"/>
        </w:rPr>
        <w:t xml:space="preserve">                      </w:t>
      </w:r>
      <w:r>
        <w:rPr>
          <w:rFonts w:hint="eastAsia"/>
          <w:sz w:val="21"/>
          <w:szCs w:val="21"/>
          <w:highlight w:val="none"/>
        </w:rPr>
        <w:t>。</w:t>
      </w:r>
    </w:p>
    <w:p w14:paraId="760DF604">
      <w:pPr>
        <w:keepNext w:val="0"/>
        <w:keepLines w:val="0"/>
        <w:pageBreakBefore w:val="0"/>
        <w:widowControl w:val="0"/>
        <w:kinsoku/>
        <w:overflowPunct/>
        <w:topLinePunct w:val="0"/>
        <w:bidi w:val="0"/>
        <w:spacing w:line="360" w:lineRule="auto"/>
        <w:ind w:firstLine="420" w:firstLineChars="200"/>
        <w:rPr>
          <w:sz w:val="21"/>
          <w:szCs w:val="21"/>
          <w:highlight w:val="none"/>
        </w:rPr>
      </w:pPr>
    </w:p>
    <w:p w14:paraId="307BFBBD">
      <w:pPr>
        <w:keepNext w:val="0"/>
        <w:keepLines w:val="0"/>
        <w:pageBreakBefore w:val="0"/>
        <w:widowControl w:val="0"/>
        <w:kinsoku/>
        <w:overflowPunct/>
        <w:topLinePunct w:val="0"/>
        <w:bidi w:val="0"/>
        <w:spacing w:line="360" w:lineRule="auto"/>
        <w:ind w:firstLine="420" w:firstLineChars="200"/>
        <w:rPr>
          <w:sz w:val="21"/>
          <w:szCs w:val="21"/>
          <w:highlight w:val="none"/>
        </w:rPr>
      </w:pPr>
      <w:r>
        <w:rPr>
          <w:rFonts w:hint="eastAsia"/>
          <w:sz w:val="21"/>
          <w:szCs w:val="21"/>
          <w:highlight w:val="none"/>
        </w:rPr>
        <w:t>特此承诺！</w:t>
      </w:r>
    </w:p>
    <w:p w14:paraId="6C5A54F8">
      <w:pPr>
        <w:keepNext w:val="0"/>
        <w:keepLines w:val="0"/>
        <w:pageBreakBefore w:val="0"/>
        <w:widowControl w:val="0"/>
        <w:kinsoku/>
        <w:overflowPunct/>
        <w:topLinePunct w:val="0"/>
        <w:bidi w:val="0"/>
        <w:spacing w:line="480" w:lineRule="auto"/>
        <w:ind w:firstLine="2940" w:firstLineChars="1400"/>
        <w:rPr>
          <w:rFonts w:ascii="宋体" w:hAnsi="宋体"/>
          <w:sz w:val="21"/>
          <w:szCs w:val="21"/>
          <w:highlight w:val="none"/>
        </w:rPr>
      </w:pPr>
      <w:r>
        <w:rPr>
          <w:rFonts w:hint="eastAsia" w:ascii="宋体" w:hAnsi="宋体"/>
          <w:sz w:val="21"/>
          <w:szCs w:val="21"/>
          <w:highlight w:val="none"/>
        </w:rPr>
        <w:t>供  应  商：</w:t>
      </w:r>
      <w:r>
        <w:rPr>
          <w:rFonts w:hint="eastAsia" w:ascii="宋体" w:hAnsi="宋体"/>
          <w:sz w:val="21"/>
          <w:szCs w:val="21"/>
          <w:highlight w:val="none"/>
          <w:u w:val="single"/>
        </w:rPr>
        <w:t xml:space="preserve">                   </w:t>
      </w:r>
      <w:r>
        <w:rPr>
          <w:rFonts w:hint="eastAsia" w:ascii="宋体" w:hAnsi="宋体"/>
          <w:sz w:val="21"/>
          <w:szCs w:val="21"/>
          <w:highlight w:val="none"/>
        </w:rPr>
        <w:t>（电子签章）</w:t>
      </w:r>
    </w:p>
    <w:p w14:paraId="039A62DE">
      <w:pPr>
        <w:keepNext w:val="0"/>
        <w:keepLines w:val="0"/>
        <w:pageBreakBefore w:val="0"/>
        <w:widowControl w:val="0"/>
        <w:kinsoku/>
        <w:overflowPunct/>
        <w:topLinePunct w:val="0"/>
        <w:bidi w:val="0"/>
        <w:spacing w:line="480" w:lineRule="auto"/>
        <w:ind w:firstLine="2940" w:firstLineChars="1400"/>
        <w:rPr>
          <w:rFonts w:ascii="宋体" w:hAnsi="宋体"/>
          <w:sz w:val="21"/>
          <w:szCs w:val="21"/>
          <w:highlight w:val="none"/>
        </w:rPr>
      </w:pPr>
      <w:r>
        <w:rPr>
          <w:rFonts w:hint="eastAsia" w:ascii="宋体" w:hAnsi="宋体"/>
          <w:sz w:val="21"/>
          <w:szCs w:val="21"/>
          <w:highlight w:val="none"/>
        </w:rPr>
        <w:t>法定代表人：</w:t>
      </w:r>
      <w:r>
        <w:rPr>
          <w:rFonts w:hint="eastAsia" w:ascii="宋体" w:hAnsi="宋体"/>
          <w:sz w:val="21"/>
          <w:szCs w:val="21"/>
          <w:highlight w:val="none"/>
          <w:u w:val="single"/>
        </w:rPr>
        <w:t xml:space="preserve">            </w:t>
      </w:r>
      <w:r>
        <w:rPr>
          <w:rFonts w:hint="eastAsia" w:ascii="宋体" w:hAnsi="宋体"/>
          <w:sz w:val="21"/>
          <w:szCs w:val="21"/>
          <w:highlight w:val="none"/>
          <w:u w:val="single"/>
          <w:lang w:val="en-US" w:eastAsia="zh-CN"/>
        </w:rPr>
        <w:t xml:space="preserve">    </w:t>
      </w:r>
      <w:r>
        <w:rPr>
          <w:rFonts w:hint="eastAsia" w:ascii="宋体" w:hAnsi="宋体"/>
          <w:sz w:val="21"/>
          <w:szCs w:val="21"/>
          <w:highlight w:val="none"/>
          <w:u w:val="single"/>
        </w:rPr>
        <w:t xml:space="preserve">       </w:t>
      </w:r>
      <w:r>
        <w:rPr>
          <w:rFonts w:hint="eastAsia" w:ascii="宋体" w:hAnsi="宋体"/>
          <w:sz w:val="21"/>
          <w:szCs w:val="21"/>
          <w:highlight w:val="none"/>
        </w:rPr>
        <w:t>（电子签章）</w:t>
      </w:r>
    </w:p>
    <w:p w14:paraId="4E7595EE">
      <w:pPr>
        <w:keepNext w:val="0"/>
        <w:keepLines w:val="0"/>
        <w:pageBreakBefore w:val="0"/>
        <w:widowControl w:val="0"/>
        <w:kinsoku/>
        <w:overflowPunct/>
        <w:topLinePunct w:val="0"/>
        <w:bidi w:val="0"/>
        <w:spacing w:line="480" w:lineRule="auto"/>
        <w:ind w:firstLine="2940" w:firstLineChars="1400"/>
        <w:rPr>
          <w:sz w:val="21"/>
          <w:szCs w:val="21"/>
          <w:highlight w:val="none"/>
        </w:rPr>
      </w:pPr>
      <w:r>
        <w:rPr>
          <w:rFonts w:hint="eastAsia"/>
          <w:sz w:val="21"/>
          <w:szCs w:val="21"/>
          <w:highlight w:val="none"/>
          <w:u w:val="single"/>
        </w:rPr>
        <w:t xml:space="preserve">      </w:t>
      </w:r>
      <w:r>
        <w:rPr>
          <w:rFonts w:hint="eastAsia"/>
          <w:sz w:val="21"/>
          <w:szCs w:val="21"/>
          <w:highlight w:val="none"/>
        </w:rPr>
        <w:t>年</w:t>
      </w:r>
      <w:r>
        <w:rPr>
          <w:rFonts w:hint="eastAsia"/>
          <w:sz w:val="21"/>
          <w:szCs w:val="21"/>
          <w:highlight w:val="none"/>
          <w:u w:val="single"/>
        </w:rPr>
        <w:t xml:space="preserve">     </w:t>
      </w:r>
      <w:r>
        <w:rPr>
          <w:rFonts w:hint="eastAsia"/>
          <w:sz w:val="21"/>
          <w:szCs w:val="21"/>
          <w:highlight w:val="none"/>
        </w:rPr>
        <w:t>月</w:t>
      </w:r>
      <w:r>
        <w:rPr>
          <w:rFonts w:hint="eastAsia"/>
          <w:sz w:val="21"/>
          <w:szCs w:val="21"/>
          <w:highlight w:val="none"/>
          <w:u w:val="single"/>
        </w:rPr>
        <w:t xml:space="preserve">     </w:t>
      </w:r>
      <w:r>
        <w:rPr>
          <w:rFonts w:hint="eastAsia"/>
          <w:sz w:val="21"/>
          <w:szCs w:val="21"/>
          <w:highlight w:val="none"/>
        </w:rPr>
        <w:t>日</w:t>
      </w:r>
    </w:p>
    <w:p w14:paraId="556DFDD9">
      <w:pPr>
        <w:spacing w:line="360" w:lineRule="auto"/>
        <w:jc w:val="center"/>
        <w:rPr>
          <w:rFonts w:hint="eastAsia" w:ascii="宋体" w:hAnsi="宋体" w:cs="宋体"/>
          <w:b/>
          <w:szCs w:val="21"/>
          <w:lang w:eastAsia="zh-CN"/>
        </w:rPr>
      </w:pPr>
    </w:p>
    <w:p w14:paraId="34AE4D3B">
      <w:pPr>
        <w:pStyle w:val="2"/>
        <w:rPr>
          <w:rFonts w:hint="eastAsia" w:ascii="宋体" w:hAnsi="宋体" w:cs="宋体"/>
          <w:b/>
          <w:szCs w:val="21"/>
          <w:lang w:eastAsia="zh-CN"/>
        </w:rPr>
      </w:pPr>
    </w:p>
    <w:p w14:paraId="1D8717A9">
      <w:pPr>
        <w:rPr>
          <w:rFonts w:hint="eastAsia"/>
          <w:lang w:eastAsia="zh-CN"/>
        </w:rPr>
        <w:sectPr>
          <w:pgSz w:w="11906" w:h="16838"/>
          <w:pgMar w:top="1417" w:right="1701" w:bottom="1417" w:left="1701" w:header="851" w:footer="992" w:gutter="0"/>
          <w:pgNumType w:fmt="numberInDash"/>
          <w:cols w:space="720" w:num="1"/>
          <w:docGrid w:type="lines" w:linePitch="312" w:charSpace="0"/>
        </w:sectPr>
      </w:pPr>
    </w:p>
    <w:p w14:paraId="5F4151B9">
      <w:pPr>
        <w:spacing w:line="360" w:lineRule="auto"/>
        <w:jc w:val="center"/>
        <w:rPr>
          <w:rFonts w:ascii="宋体" w:hAnsi="宋体" w:cs="宋体"/>
          <w:b/>
          <w:szCs w:val="21"/>
        </w:rPr>
      </w:pPr>
      <w:r>
        <w:rPr>
          <w:rFonts w:hint="eastAsia" w:ascii="宋体" w:hAnsi="宋体" w:cs="宋体"/>
          <w:b/>
          <w:szCs w:val="21"/>
          <w:lang w:eastAsia="zh-CN"/>
        </w:rPr>
        <w:t>（四）</w:t>
      </w:r>
      <w:r>
        <w:rPr>
          <w:rFonts w:hint="eastAsia" w:ascii="宋体" w:hAnsi="宋体" w:cs="宋体"/>
          <w:b/>
          <w:szCs w:val="21"/>
        </w:rPr>
        <w:t>残疾人福利性单位声明函（如有）</w:t>
      </w:r>
    </w:p>
    <w:bookmarkEnd w:id="391"/>
    <w:bookmarkEnd w:id="392"/>
    <w:p w14:paraId="553DC1F1">
      <w:pPr>
        <w:spacing w:line="360" w:lineRule="auto"/>
        <w:rPr>
          <w:rFonts w:ascii="宋体" w:hAnsi="宋体" w:cs="宋体"/>
          <w:b/>
          <w:spacing w:val="6"/>
          <w:szCs w:val="21"/>
        </w:rPr>
      </w:pPr>
    </w:p>
    <w:p w14:paraId="6F298E0B">
      <w:pPr>
        <w:spacing w:line="360" w:lineRule="auto"/>
        <w:ind w:firstLine="630" w:firstLineChars="300"/>
        <w:rPr>
          <w:rFonts w:ascii="宋体" w:hAnsi="宋体" w:cs="宋体"/>
          <w:szCs w:val="21"/>
        </w:rPr>
      </w:pPr>
      <w:r>
        <w:rPr>
          <w:rFonts w:hint="eastAsia" w:ascii="宋体" w:hAnsi="宋体" w:cs="宋体"/>
          <w:szCs w:val="21"/>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14:paraId="27E960A7">
      <w:pPr>
        <w:spacing w:line="360" w:lineRule="auto"/>
        <w:rPr>
          <w:rFonts w:ascii="宋体" w:hAnsi="宋体" w:cs="宋体"/>
          <w:szCs w:val="21"/>
        </w:rPr>
      </w:pPr>
      <w:r>
        <w:rPr>
          <w:rFonts w:hint="eastAsia" w:ascii="宋体" w:hAnsi="宋体" w:cs="宋体"/>
          <w:szCs w:val="21"/>
        </w:rPr>
        <w:t>本单位对上述声明的真实性负责。如有虚假，将依法承担相应责任。</w:t>
      </w:r>
    </w:p>
    <w:p w14:paraId="24242D5D">
      <w:pPr>
        <w:spacing w:line="360" w:lineRule="auto"/>
        <w:rPr>
          <w:rFonts w:ascii="宋体" w:hAnsi="宋体" w:cs="宋体"/>
          <w:szCs w:val="21"/>
        </w:rPr>
      </w:pPr>
    </w:p>
    <w:p w14:paraId="3DB1AFBF">
      <w:pPr>
        <w:spacing w:line="360" w:lineRule="auto"/>
        <w:jc w:val="right"/>
        <w:rPr>
          <w:rFonts w:ascii="宋体" w:hAnsi="宋体" w:cs="宋体"/>
          <w:szCs w:val="21"/>
        </w:rPr>
      </w:pPr>
    </w:p>
    <w:p w14:paraId="09094FA9">
      <w:pPr>
        <w:widowControl/>
        <w:spacing w:line="360" w:lineRule="auto"/>
        <w:ind w:firstLine="480"/>
        <w:jc w:val="right"/>
        <w:textAlignment w:val="baseline"/>
        <w:rPr>
          <w:rFonts w:ascii="宋体" w:hAnsi="宋体" w:cs="宋体"/>
          <w:szCs w:val="21"/>
        </w:rPr>
      </w:pPr>
      <w:r>
        <w:rPr>
          <w:rFonts w:hint="eastAsia" w:ascii="宋体" w:hAnsi="宋体" w:cs="宋体"/>
          <w:szCs w:val="21"/>
          <w:lang w:eastAsia="zh-CN"/>
        </w:rPr>
        <w:t>供应商名称</w:t>
      </w:r>
      <w:r>
        <w:rPr>
          <w:rFonts w:hint="eastAsia" w:ascii="宋体" w:hAnsi="宋体" w:cs="宋体"/>
          <w:szCs w:val="21"/>
        </w:rPr>
        <w:t>：</w:t>
      </w:r>
      <w:r>
        <w:rPr>
          <w:rFonts w:hint="eastAsia" w:ascii="宋体" w:hAnsi="宋体" w:cs="宋体"/>
          <w:szCs w:val="21"/>
          <w:u w:val="single"/>
        </w:rPr>
        <w:t xml:space="preserve">                       </w:t>
      </w:r>
      <w:r>
        <w:rPr>
          <w:rFonts w:hint="eastAsia" w:ascii="宋体" w:hAnsi="宋体" w:cs="宋体"/>
          <w:szCs w:val="21"/>
        </w:rPr>
        <w:t>（盖单位章）</w:t>
      </w:r>
    </w:p>
    <w:p w14:paraId="32EA1CD7">
      <w:pPr>
        <w:wordWrap w:val="0"/>
        <w:spacing w:line="360" w:lineRule="auto"/>
        <w:jc w:val="right"/>
        <w:rPr>
          <w:rFonts w:ascii="宋体" w:hAnsi="宋体" w:cs="宋体"/>
          <w:szCs w:val="21"/>
        </w:rPr>
      </w:pPr>
      <w:r>
        <w:rPr>
          <w:rFonts w:hint="eastAsia" w:ascii="宋体" w:hAnsi="宋体" w:cs="宋体"/>
          <w:szCs w:val="21"/>
        </w:rPr>
        <w:t xml:space="preserve">日  期：                   </w:t>
      </w:r>
    </w:p>
    <w:p w14:paraId="27849F4F">
      <w:pPr>
        <w:pStyle w:val="13"/>
        <w:jc w:val="right"/>
        <w:rPr>
          <w:rFonts w:hAnsi="宋体" w:eastAsia="宋体" w:cs="宋体"/>
          <w:sz w:val="21"/>
          <w:szCs w:val="21"/>
        </w:rPr>
      </w:pPr>
    </w:p>
    <w:p w14:paraId="6F5BC158">
      <w:pPr>
        <w:pStyle w:val="13"/>
        <w:jc w:val="right"/>
        <w:rPr>
          <w:rFonts w:hAnsi="宋体" w:eastAsia="宋体" w:cs="宋体"/>
          <w:sz w:val="21"/>
          <w:szCs w:val="21"/>
        </w:rPr>
      </w:pPr>
    </w:p>
    <w:p w14:paraId="0F6AD363">
      <w:pPr>
        <w:pStyle w:val="13"/>
        <w:rPr>
          <w:rFonts w:hAnsi="宋体" w:eastAsia="宋体" w:cs="宋体"/>
          <w:sz w:val="21"/>
          <w:szCs w:val="21"/>
        </w:rPr>
      </w:pPr>
    </w:p>
    <w:p w14:paraId="2BB43BB9">
      <w:pPr>
        <w:pStyle w:val="13"/>
        <w:rPr>
          <w:rFonts w:hAnsi="宋体" w:eastAsia="宋体" w:cs="宋体"/>
          <w:sz w:val="21"/>
          <w:szCs w:val="21"/>
        </w:rPr>
      </w:pPr>
    </w:p>
    <w:p w14:paraId="1EB5D204">
      <w:pPr>
        <w:pStyle w:val="13"/>
        <w:rPr>
          <w:rFonts w:hAnsi="宋体" w:eastAsia="宋体" w:cs="宋体"/>
          <w:sz w:val="21"/>
          <w:szCs w:val="21"/>
        </w:rPr>
      </w:pPr>
    </w:p>
    <w:p w14:paraId="1BAC46B1">
      <w:pPr>
        <w:pStyle w:val="13"/>
        <w:rPr>
          <w:rFonts w:hAnsi="宋体" w:eastAsia="宋体" w:cs="宋体"/>
          <w:sz w:val="21"/>
          <w:szCs w:val="21"/>
        </w:rPr>
      </w:pPr>
    </w:p>
    <w:p w14:paraId="0AA92487">
      <w:pPr>
        <w:pStyle w:val="13"/>
        <w:rPr>
          <w:rFonts w:hAnsi="宋体" w:eastAsia="宋体" w:cs="宋体"/>
          <w:sz w:val="21"/>
          <w:szCs w:val="21"/>
        </w:rPr>
      </w:pPr>
    </w:p>
    <w:p w14:paraId="0148ACFF">
      <w:pPr>
        <w:pStyle w:val="13"/>
        <w:rPr>
          <w:rFonts w:hAnsi="宋体" w:eastAsia="宋体" w:cs="宋体"/>
          <w:sz w:val="21"/>
          <w:szCs w:val="21"/>
        </w:rPr>
      </w:pPr>
    </w:p>
    <w:p w14:paraId="70297B5D">
      <w:pPr>
        <w:pStyle w:val="13"/>
        <w:rPr>
          <w:rFonts w:hAnsi="宋体" w:eastAsia="宋体" w:cs="宋体"/>
          <w:sz w:val="21"/>
          <w:szCs w:val="21"/>
        </w:rPr>
      </w:pPr>
    </w:p>
    <w:p w14:paraId="41CB500F">
      <w:pPr>
        <w:pStyle w:val="13"/>
        <w:rPr>
          <w:rFonts w:hAnsi="宋体" w:eastAsia="宋体" w:cs="宋体"/>
          <w:sz w:val="21"/>
          <w:szCs w:val="21"/>
        </w:rPr>
      </w:pPr>
    </w:p>
    <w:p w14:paraId="098BF06E">
      <w:pPr>
        <w:pStyle w:val="13"/>
        <w:rPr>
          <w:rFonts w:hAnsi="宋体" w:eastAsia="宋体" w:cs="宋体"/>
          <w:sz w:val="21"/>
          <w:szCs w:val="21"/>
        </w:rPr>
      </w:pPr>
    </w:p>
    <w:p w14:paraId="366EA303">
      <w:pPr>
        <w:pStyle w:val="13"/>
        <w:rPr>
          <w:rFonts w:hAnsi="宋体" w:eastAsia="宋体" w:cs="宋体"/>
          <w:sz w:val="21"/>
          <w:szCs w:val="21"/>
        </w:rPr>
      </w:pPr>
    </w:p>
    <w:p w14:paraId="0A618179">
      <w:pPr>
        <w:pStyle w:val="13"/>
        <w:rPr>
          <w:rFonts w:hAnsi="宋体" w:eastAsia="宋体" w:cs="宋体"/>
          <w:sz w:val="21"/>
          <w:szCs w:val="21"/>
        </w:rPr>
      </w:pPr>
    </w:p>
    <w:p w14:paraId="1830456F">
      <w:pPr>
        <w:pStyle w:val="13"/>
        <w:rPr>
          <w:rFonts w:hAnsi="宋体" w:eastAsia="宋体" w:cs="宋体"/>
          <w:sz w:val="21"/>
          <w:szCs w:val="21"/>
        </w:rPr>
      </w:pPr>
    </w:p>
    <w:p w14:paraId="4EAAB7F5">
      <w:pPr>
        <w:pStyle w:val="13"/>
        <w:rPr>
          <w:rFonts w:hAnsi="宋体" w:eastAsia="宋体" w:cs="宋体"/>
          <w:sz w:val="21"/>
          <w:szCs w:val="21"/>
        </w:rPr>
        <w:sectPr>
          <w:pgSz w:w="11906" w:h="16838"/>
          <w:pgMar w:top="1417" w:right="1701" w:bottom="1417" w:left="1701" w:header="851" w:footer="992" w:gutter="0"/>
          <w:pgNumType w:fmt="numberInDash"/>
          <w:cols w:space="720" w:num="1"/>
          <w:docGrid w:type="lines" w:linePitch="312" w:charSpace="0"/>
        </w:sectPr>
      </w:pPr>
    </w:p>
    <w:p w14:paraId="68B81DBE">
      <w:pPr>
        <w:keepNext w:val="0"/>
        <w:keepLines w:val="0"/>
        <w:pageBreakBefore w:val="0"/>
        <w:widowControl w:val="0"/>
        <w:kinsoku/>
        <w:wordWrap/>
        <w:overflowPunct/>
        <w:topLinePunct w:val="0"/>
        <w:autoSpaceDE/>
        <w:autoSpaceDN/>
        <w:bidi w:val="0"/>
        <w:adjustRightInd/>
        <w:snapToGrid/>
        <w:spacing w:line="416" w:lineRule="auto"/>
        <w:jc w:val="center"/>
        <w:textAlignment w:val="auto"/>
        <w:outlineLvl w:val="1"/>
        <w:rPr>
          <w:rFonts w:hint="eastAsia" w:ascii="宋体" w:hAnsi="宋体" w:eastAsia="宋体" w:cs="Times New Roman"/>
          <w:b/>
          <w:bCs w:val="0"/>
          <w:color w:val="000000"/>
          <w:kern w:val="2"/>
          <w:sz w:val="32"/>
          <w:szCs w:val="32"/>
          <w:highlight w:val="none"/>
          <w:lang w:val="en-US" w:eastAsia="zh-CN" w:bidi="ar-SA"/>
        </w:rPr>
      </w:pPr>
      <w:r>
        <w:rPr>
          <w:rFonts w:hint="eastAsia" w:ascii="宋体" w:hAnsi="宋体" w:cs="宋体"/>
          <w:b/>
          <w:szCs w:val="21"/>
          <w:lang w:eastAsia="zh-CN"/>
        </w:rPr>
        <w:t>（五）</w:t>
      </w:r>
      <w:r>
        <w:rPr>
          <w:rFonts w:hint="eastAsia" w:ascii="宋体" w:hAnsi="宋体" w:eastAsia="宋体" w:cs="宋体"/>
          <w:b/>
          <w:szCs w:val="21"/>
          <w:lang w:val="en-US" w:eastAsia="zh-CN"/>
        </w:rPr>
        <w:t>供应商联系方式</w:t>
      </w:r>
    </w:p>
    <w:p w14:paraId="3D056970">
      <w:pPr>
        <w:pStyle w:val="10"/>
        <w:rPr>
          <w:color w:val="auto"/>
          <w:highlight w:val="none"/>
        </w:rPr>
      </w:pPr>
    </w:p>
    <w:tbl>
      <w:tblPr>
        <w:tblStyle w:val="26"/>
        <w:tblW w:w="946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04"/>
        <w:gridCol w:w="1904"/>
        <w:gridCol w:w="1905"/>
        <w:gridCol w:w="1905"/>
        <w:gridCol w:w="1847"/>
      </w:tblGrid>
      <w:tr w14:paraId="130164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4" w:hRule="atLeast"/>
        </w:trPr>
        <w:tc>
          <w:tcPr>
            <w:tcW w:w="1904" w:type="dxa"/>
            <w:noWrap w:val="0"/>
            <w:vAlign w:val="center"/>
          </w:tcPr>
          <w:p w14:paraId="75DE1328">
            <w:pPr>
              <w:pStyle w:val="10"/>
              <w:jc w:val="center"/>
              <w:rPr>
                <w:color w:val="auto"/>
                <w:sz w:val="21"/>
                <w:szCs w:val="21"/>
                <w:highlight w:val="none"/>
              </w:rPr>
            </w:pPr>
            <w:r>
              <w:rPr>
                <w:rFonts w:hint="eastAsia"/>
                <w:color w:val="auto"/>
                <w:sz w:val="21"/>
                <w:szCs w:val="21"/>
                <w:highlight w:val="none"/>
              </w:rPr>
              <w:t>联系人</w:t>
            </w:r>
          </w:p>
        </w:tc>
        <w:tc>
          <w:tcPr>
            <w:tcW w:w="1904" w:type="dxa"/>
            <w:noWrap w:val="0"/>
            <w:vAlign w:val="center"/>
          </w:tcPr>
          <w:p w14:paraId="7A62854D">
            <w:pPr>
              <w:pStyle w:val="10"/>
              <w:jc w:val="center"/>
              <w:rPr>
                <w:color w:val="auto"/>
                <w:sz w:val="21"/>
                <w:szCs w:val="21"/>
                <w:highlight w:val="none"/>
              </w:rPr>
            </w:pPr>
            <w:r>
              <w:rPr>
                <w:rFonts w:hint="eastAsia"/>
                <w:color w:val="auto"/>
                <w:sz w:val="21"/>
                <w:szCs w:val="21"/>
                <w:highlight w:val="none"/>
              </w:rPr>
              <w:t>姓名</w:t>
            </w:r>
          </w:p>
        </w:tc>
        <w:tc>
          <w:tcPr>
            <w:tcW w:w="1905" w:type="dxa"/>
            <w:noWrap w:val="0"/>
            <w:vAlign w:val="center"/>
          </w:tcPr>
          <w:p w14:paraId="6E20D9F5">
            <w:pPr>
              <w:pStyle w:val="10"/>
              <w:jc w:val="center"/>
              <w:rPr>
                <w:color w:val="auto"/>
                <w:sz w:val="21"/>
                <w:szCs w:val="21"/>
                <w:highlight w:val="none"/>
              </w:rPr>
            </w:pPr>
            <w:r>
              <w:rPr>
                <w:rFonts w:hint="eastAsia"/>
                <w:color w:val="auto"/>
                <w:sz w:val="21"/>
                <w:szCs w:val="21"/>
                <w:highlight w:val="none"/>
              </w:rPr>
              <w:t>办公室电话</w:t>
            </w:r>
          </w:p>
        </w:tc>
        <w:tc>
          <w:tcPr>
            <w:tcW w:w="1905" w:type="dxa"/>
            <w:noWrap w:val="0"/>
            <w:vAlign w:val="center"/>
          </w:tcPr>
          <w:p w14:paraId="321BF24F">
            <w:pPr>
              <w:pStyle w:val="10"/>
              <w:jc w:val="center"/>
              <w:rPr>
                <w:color w:val="auto"/>
                <w:sz w:val="21"/>
                <w:szCs w:val="21"/>
                <w:highlight w:val="none"/>
              </w:rPr>
            </w:pPr>
            <w:r>
              <w:rPr>
                <w:rFonts w:hint="eastAsia"/>
                <w:color w:val="auto"/>
                <w:sz w:val="21"/>
                <w:szCs w:val="21"/>
                <w:highlight w:val="none"/>
              </w:rPr>
              <w:t>手机</w:t>
            </w:r>
          </w:p>
        </w:tc>
        <w:tc>
          <w:tcPr>
            <w:tcW w:w="1847" w:type="dxa"/>
            <w:noWrap w:val="0"/>
            <w:vAlign w:val="center"/>
          </w:tcPr>
          <w:p w14:paraId="7D31EED4">
            <w:pPr>
              <w:pStyle w:val="10"/>
              <w:jc w:val="center"/>
              <w:rPr>
                <w:color w:val="auto"/>
                <w:sz w:val="21"/>
                <w:szCs w:val="21"/>
                <w:highlight w:val="none"/>
              </w:rPr>
            </w:pPr>
            <w:r>
              <w:rPr>
                <w:rFonts w:hint="eastAsia"/>
                <w:color w:val="auto"/>
                <w:sz w:val="21"/>
                <w:szCs w:val="21"/>
                <w:highlight w:val="none"/>
              </w:rPr>
              <w:t>邮箱</w:t>
            </w:r>
          </w:p>
        </w:tc>
      </w:tr>
      <w:tr w14:paraId="29343B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4" w:hRule="atLeast"/>
        </w:trPr>
        <w:tc>
          <w:tcPr>
            <w:tcW w:w="1904" w:type="dxa"/>
            <w:noWrap w:val="0"/>
            <w:vAlign w:val="center"/>
          </w:tcPr>
          <w:p w14:paraId="4E65F748">
            <w:pPr>
              <w:pStyle w:val="10"/>
              <w:jc w:val="center"/>
              <w:rPr>
                <w:color w:val="auto"/>
                <w:sz w:val="21"/>
                <w:szCs w:val="21"/>
                <w:highlight w:val="none"/>
              </w:rPr>
            </w:pPr>
            <w:r>
              <w:rPr>
                <w:rFonts w:hint="eastAsia"/>
                <w:color w:val="auto"/>
                <w:sz w:val="21"/>
                <w:szCs w:val="21"/>
                <w:highlight w:val="none"/>
                <w:lang w:eastAsia="zh-CN"/>
              </w:rPr>
              <w:t>供应商</w:t>
            </w:r>
            <w:r>
              <w:rPr>
                <w:rFonts w:hint="eastAsia"/>
                <w:color w:val="auto"/>
                <w:sz w:val="21"/>
                <w:szCs w:val="21"/>
                <w:highlight w:val="none"/>
              </w:rPr>
              <w:t>办公室</w:t>
            </w:r>
          </w:p>
        </w:tc>
        <w:tc>
          <w:tcPr>
            <w:tcW w:w="1904" w:type="dxa"/>
            <w:noWrap w:val="0"/>
            <w:vAlign w:val="center"/>
          </w:tcPr>
          <w:p w14:paraId="443DAC04">
            <w:pPr>
              <w:pStyle w:val="10"/>
              <w:jc w:val="center"/>
              <w:rPr>
                <w:color w:val="auto"/>
                <w:sz w:val="21"/>
                <w:szCs w:val="21"/>
                <w:highlight w:val="none"/>
              </w:rPr>
            </w:pPr>
          </w:p>
        </w:tc>
        <w:tc>
          <w:tcPr>
            <w:tcW w:w="1905" w:type="dxa"/>
            <w:noWrap w:val="0"/>
            <w:vAlign w:val="center"/>
          </w:tcPr>
          <w:p w14:paraId="4C61B1A6">
            <w:pPr>
              <w:pStyle w:val="10"/>
              <w:jc w:val="center"/>
              <w:rPr>
                <w:color w:val="auto"/>
                <w:sz w:val="21"/>
                <w:szCs w:val="21"/>
                <w:highlight w:val="none"/>
              </w:rPr>
            </w:pPr>
          </w:p>
        </w:tc>
        <w:tc>
          <w:tcPr>
            <w:tcW w:w="1905" w:type="dxa"/>
            <w:noWrap w:val="0"/>
            <w:vAlign w:val="center"/>
          </w:tcPr>
          <w:p w14:paraId="47A533E6">
            <w:pPr>
              <w:pStyle w:val="10"/>
              <w:jc w:val="center"/>
              <w:rPr>
                <w:color w:val="auto"/>
                <w:sz w:val="21"/>
                <w:szCs w:val="21"/>
                <w:highlight w:val="none"/>
              </w:rPr>
            </w:pPr>
          </w:p>
        </w:tc>
        <w:tc>
          <w:tcPr>
            <w:tcW w:w="1847" w:type="dxa"/>
            <w:noWrap w:val="0"/>
            <w:vAlign w:val="center"/>
          </w:tcPr>
          <w:p w14:paraId="4DF3C159">
            <w:pPr>
              <w:pStyle w:val="10"/>
              <w:jc w:val="center"/>
              <w:rPr>
                <w:color w:val="auto"/>
                <w:sz w:val="21"/>
                <w:szCs w:val="21"/>
                <w:highlight w:val="none"/>
              </w:rPr>
            </w:pPr>
          </w:p>
        </w:tc>
      </w:tr>
      <w:tr w14:paraId="163608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4" w:hRule="atLeast"/>
        </w:trPr>
        <w:tc>
          <w:tcPr>
            <w:tcW w:w="1904" w:type="dxa"/>
            <w:noWrap w:val="0"/>
            <w:vAlign w:val="center"/>
          </w:tcPr>
          <w:p w14:paraId="5C750F8B">
            <w:pPr>
              <w:pStyle w:val="10"/>
              <w:jc w:val="center"/>
              <w:rPr>
                <w:color w:val="auto"/>
                <w:sz w:val="21"/>
                <w:szCs w:val="21"/>
                <w:highlight w:val="none"/>
              </w:rPr>
            </w:pPr>
            <w:r>
              <w:rPr>
                <w:rFonts w:hint="eastAsia"/>
                <w:color w:val="auto"/>
                <w:sz w:val="21"/>
                <w:szCs w:val="21"/>
                <w:highlight w:val="none"/>
              </w:rPr>
              <w:t>委托代理人</w:t>
            </w:r>
          </w:p>
        </w:tc>
        <w:tc>
          <w:tcPr>
            <w:tcW w:w="1904" w:type="dxa"/>
            <w:noWrap w:val="0"/>
            <w:vAlign w:val="center"/>
          </w:tcPr>
          <w:p w14:paraId="28372FB0">
            <w:pPr>
              <w:pStyle w:val="10"/>
              <w:jc w:val="center"/>
              <w:rPr>
                <w:color w:val="auto"/>
                <w:sz w:val="21"/>
                <w:szCs w:val="21"/>
                <w:highlight w:val="none"/>
              </w:rPr>
            </w:pPr>
          </w:p>
        </w:tc>
        <w:tc>
          <w:tcPr>
            <w:tcW w:w="1905" w:type="dxa"/>
            <w:noWrap w:val="0"/>
            <w:vAlign w:val="center"/>
          </w:tcPr>
          <w:p w14:paraId="359DB483">
            <w:pPr>
              <w:pStyle w:val="10"/>
              <w:jc w:val="center"/>
              <w:rPr>
                <w:color w:val="auto"/>
                <w:sz w:val="21"/>
                <w:szCs w:val="21"/>
                <w:highlight w:val="none"/>
              </w:rPr>
            </w:pPr>
          </w:p>
        </w:tc>
        <w:tc>
          <w:tcPr>
            <w:tcW w:w="1905" w:type="dxa"/>
            <w:noWrap w:val="0"/>
            <w:vAlign w:val="center"/>
          </w:tcPr>
          <w:p w14:paraId="1E0A301E">
            <w:pPr>
              <w:pStyle w:val="10"/>
              <w:jc w:val="center"/>
              <w:rPr>
                <w:color w:val="auto"/>
                <w:sz w:val="21"/>
                <w:szCs w:val="21"/>
                <w:highlight w:val="none"/>
              </w:rPr>
            </w:pPr>
          </w:p>
        </w:tc>
        <w:tc>
          <w:tcPr>
            <w:tcW w:w="1847" w:type="dxa"/>
            <w:noWrap w:val="0"/>
            <w:vAlign w:val="center"/>
          </w:tcPr>
          <w:p w14:paraId="11134847">
            <w:pPr>
              <w:pStyle w:val="10"/>
              <w:jc w:val="center"/>
              <w:rPr>
                <w:color w:val="auto"/>
                <w:sz w:val="21"/>
                <w:szCs w:val="21"/>
                <w:highlight w:val="none"/>
              </w:rPr>
            </w:pPr>
          </w:p>
        </w:tc>
      </w:tr>
      <w:tr w14:paraId="7DB4A5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4" w:hRule="atLeast"/>
        </w:trPr>
        <w:tc>
          <w:tcPr>
            <w:tcW w:w="1904" w:type="dxa"/>
            <w:noWrap w:val="0"/>
            <w:vAlign w:val="center"/>
          </w:tcPr>
          <w:p w14:paraId="41A1ACFC">
            <w:pPr>
              <w:pStyle w:val="10"/>
              <w:jc w:val="center"/>
              <w:rPr>
                <w:color w:val="auto"/>
                <w:sz w:val="21"/>
                <w:szCs w:val="21"/>
                <w:highlight w:val="none"/>
              </w:rPr>
            </w:pPr>
            <w:r>
              <w:rPr>
                <w:rFonts w:hint="eastAsia"/>
                <w:color w:val="auto"/>
                <w:sz w:val="21"/>
                <w:szCs w:val="21"/>
                <w:highlight w:val="none"/>
              </w:rPr>
              <w:t>本项目联系人</w:t>
            </w:r>
          </w:p>
        </w:tc>
        <w:tc>
          <w:tcPr>
            <w:tcW w:w="1904" w:type="dxa"/>
            <w:noWrap w:val="0"/>
            <w:vAlign w:val="center"/>
          </w:tcPr>
          <w:p w14:paraId="1705EB85">
            <w:pPr>
              <w:pStyle w:val="10"/>
              <w:jc w:val="center"/>
              <w:rPr>
                <w:color w:val="auto"/>
                <w:sz w:val="21"/>
                <w:szCs w:val="21"/>
                <w:highlight w:val="none"/>
              </w:rPr>
            </w:pPr>
          </w:p>
        </w:tc>
        <w:tc>
          <w:tcPr>
            <w:tcW w:w="1905" w:type="dxa"/>
            <w:noWrap w:val="0"/>
            <w:vAlign w:val="center"/>
          </w:tcPr>
          <w:p w14:paraId="689791D0">
            <w:pPr>
              <w:pStyle w:val="10"/>
              <w:jc w:val="center"/>
              <w:rPr>
                <w:color w:val="auto"/>
                <w:sz w:val="21"/>
                <w:szCs w:val="21"/>
                <w:highlight w:val="none"/>
              </w:rPr>
            </w:pPr>
          </w:p>
        </w:tc>
        <w:tc>
          <w:tcPr>
            <w:tcW w:w="1905" w:type="dxa"/>
            <w:noWrap w:val="0"/>
            <w:vAlign w:val="center"/>
          </w:tcPr>
          <w:p w14:paraId="4D7DAAA6">
            <w:pPr>
              <w:pStyle w:val="10"/>
              <w:jc w:val="center"/>
              <w:rPr>
                <w:color w:val="auto"/>
                <w:sz w:val="21"/>
                <w:szCs w:val="21"/>
                <w:highlight w:val="none"/>
              </w:rPr>
            </w:pPr>
          </w:p>
        </w:tc>
        <w:tc>
          <w:tcPr>
            <w:tcW w:w="1847" w:type="dxa"/>
            <w:noWrap w:val="0"/>
            <w:vAlign w:val="center"/>
          </w:tcPr>
          <w:p w14:paraId="18508A4F">
            <w:pPr>
              <w:pStyle w:val="10"/>
              <w:jc w:val="center"/>
              <w:rPr>
                <w:color w:val="auto"/>
                <w:sz w:val="21"/>
                <w:szCs w:val="21"/>
                <w:highlight w:val="none"/>
              </w:rPr>
            </w:pPr>
          </w:p>
        </w:tc>
      </w:tr>
      <w:tr w14:paraId="365E49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4" w:hRule="atLeast"/>
        </w:trPr>
        <w:tc>
          <w:tcPr>
            <w:tcW w:w="1904" w:type="dxa"/>
            <w:noWrap w:val="0"/>
            <w:vAlign w:val="center"/>
          </w:tcPr>
          <w:p w14:paraId="43F71C44">
            <w:pPr>
              <w:pStyle w:val="10"/>
              <w:jc w:val="center"/>
              <w:rPr>
                <w:color w:val="auto"/>
                <w:sz w:val="21"/>
                <w:szCs w:val="21"/>
                <w:highlight w:val="none"/>
              </w:rPr>
            </w:pPr>
            <w:r>
              <w:rPr>
                <w:rFonts w:hint="eastAsia"/>
                <w:color w:val="auto"/>
                <w:sz w:val="21"/>
                <w:szCs w:val="21"/>
                <w:highlight w:val="none"/>
              </w:rPr>
              <w:t>拟派项目负责人</w:t>
            </w:r>
          </w:p>
        </w:tc>
        <w:tc>
          <w:tcPr>
            <w:tcW w:w="1904" w:type="dxa"/>
            <w:noWrap w:val="0"/>
            <w:vAlign w:val="center"/>
          </w:tcPr>
          <w:p w14:paraId="17AE10FC">
            <w:pPr>
              <w:pStyle w:val="10"/>
              <w:jc w:val="center"/>
              <w:rPr>
                <w:color w:val="auto"/>
                <w:sz w:val="21"/>
                <w:szCs w:val="21"/>
                <w:highlight w:val="none"/>
              </w:rPr>
            </w:pPr>
          </w:p>
        </w:tc>
        <w:tc>
          <w:tcPr>
            <w:tcW w:w="1905" w:type="dxa"/>
            <w:noWrap w:val="0"/>
            <w:vAlign w:val="center"/>
          </w:tcPr>
          <w:p w14:paraId="2A18E872">
            <w:pPr>
              <w:pStyle w:val="10"/>
              <w:jc w:val="center"/>
              <w:rPr>
                <w:color w:val="auto"/>
                <w:sz w:val="21"/>
                <w:szCs w:val="21"/>
                <w:highlight w:val="none"/>
              </w:rPr>
            </w:pPr>
          </w:p>
        </w:tc>
        <w:tc>
          <w:tcPr>
            <w:tcW w:w="1905" w:type="dxa"/>
            <w:noWrap w:val="0"/>
            <w:vAlign w:val="center"/>
          </w:tcPr>
          <w:p w14:paraId="40846641">
            <w:pPr>
              <w:pStyle w:val="10"/>
              <w:jc w:val="center"/>
              <w:rPr>
                <w:color w:val="auto"/>
                <w:sz w:val="21"/>
                <w:szCs w:val="21"/>
                <w:highlight w:val="none"/>
              </w:rPr>
            </w:pPr>
          </w:p>
        </w:tc>
        <w:tc>
          <w:tcPr>
            <w:tcW w:w="1847" w:type="dxa"/>
            <w:noWrap w:val="0"/>
            <w:vAlign w:val="center"/>
          </w:tcPr>
          <w:p w14:paraId="23AD5D8E">
            <w:pPr>
              <w:pStyle w:val="10"/>
              <w:jc w:val="center"/>
              <w:rPr>
                <w:color w:val="auto"/>
                <w:sz w:val="21"/>
                <w:szCs w:val="21"/>
                <w:highlight w:val="none"/>
              </w:rPr>
            </w:pPr>
          </w:p>
        </w:tc>
      </w:tr>
    </w:tbl>
    <w:p w14:paraId="479F295F">
      <w:pPr>
        <w:rPr>
          <w:rFonts w:hint="eastAsia" w:ascii="宋体" w:hAnsi="宋体" w:cs="宋体"/>
          <w:b/>
          <w:szCs w:val="21"/>
          <w:lang w:eastAsia="zh-CN"/>
        </w:rPr>
      </w:pPr>
      <w:r>
        <w:rPr>
          <w:rFonts w:hint="eastAsia" w:ascii="宋体" w:hAnsi="宋体" w:cs="宋体"/>
          <w:b/>
          <w:szCs w:val="21"/>
          <w:lang w:eastAsia="zh-CN"/>
        </w:rPr>
        <w:br w:type="page"/>
      </w:r>
    </w:p>
    <w:p w14:paraId="0E15B85B">
      <w:pPr>
        <w:pStyle w:val="2"/>
        <w:rPr>
          <w:rFonts w:hint="eastAsia"/>
          <w:lang w:eastAsia="zh-CN"/>
        </w:rPr>
      </w:pPr>
    </w:p>
    <w:p w14:paraId="4844A88B">
      <w:pPr>
        <w:numPr>
          <w:ilvl w:val="0"/>
          <w:numId w:val="0"/>
        </w:numPr>
        <w:spacing w:line="360" w:lineRule="auto"/>
        <w:jc w:val="center"/>
        <w:rPr>
          <w:rFonts w:hint="eastAsia" w:ascii="宋体" w:hAnsi="宋体" w:cs="宋体"/>
          <w:b/>
          <w:szCs w:val="21"/>
          <w:lang w:eastAsia="zh-CN"/>
        </w:rPr>
      </w:pPr>
      <w:r>
        <w:rPr>
          <w:rFonts w:hint="eastAsia" w:ascii="宋体" w:hAnsi="宋体" w:cs="宋体"/>
          <w:b/>
          <w:szCs w:val="21"/>
          <w:lang w:eastAsia="zh-CN"/>
        </w:rPr>
        <w:t>（六）其他资料</w:t>
      </w:r>
    </w:p>
    <w:p w14:paraId="1AB1ECA5">
      <w:pPr>
        <w:pStyle w:val="13"/>
        <w:numPr>
          <w:ilvl w:val="0"/>
          <w:numId w:val="0"/>
        </w:numPr>
        <w:ind w:leftChars="0" w:firstLine="444" w:firstLineChars="200"/>
        <w:jc w:val="both"/>
        <w:rPr>
          <w:rFonts w:hint="eastAsia" w:ascii="宋体" w:hAnsi="宋体" w:eastAsia="宋体" w:cs="宋体"/>
          <w:b/>
          <w:bCs/>
          <w:kern w:val="2"/>
          <w:sz w:val="21"/>
          <w:szCs w:val="21"/>
          <w:lang w:val="en-US" w:eastAsia="zh-CN" w:bidi="ar-SA"/>
        </w:rPr>
      </w:pPr>
      <w:r>
        <w:rPr>
          <w:rFonts w:hint="eastAsia" w:ascii="宋体" w:hAnsi="宋体" w:eastAsia="宋体" w:cs="宋体"/>
          <w:b w:val="0"/>
          <w:bCs/>
          <w:spacing w:val="6"/>
          <w:kern w:val="2"/>
          <w:sz w:val="21"/>
          <w:szCs w:val="21"/>
          <w:lang w:val="en-US" w:eastAsia="zh-CN" w:bidi="ar-SA"/>
        </w:rPr>
        <w:t>供应商认为需要附在投标文件中的材料。</w:t>
      </w:r>
    </w:p>
    <w:p w14:paraId="04BCEE24">
      <w:pPr>
        <w:pStyle w:val="13"/>
        <w:rPr>
          <w:rFonts w:hAnsi="宋体" w:eastAsia="宋体" w:cs="宋体"/>
          <w:sz w:val="21"/>
          <w:szCs w:val="21"/>
        </w:rPr>
        <w:sectPr>
          <w:pgSz w:w="11906" w:h="16838"/>
          <w:pgMar w:top="1417" w:right="1701" w:bottom="1417" w:left="1701" w:header="851" w:footer="992" w:gutter="0"/>
          <w:pgNumType w:fmt="numberInDash"/>
          <w:cols w:space="720" w:num="1"/>
          <w:docGrid w:type="lines" w:linePitch="312" w:charSpace="0"/>
        </w:sectPr>
      </w:pPr>
    </w:p>
    <w:p w14:paraId="5D31D021">
      <w:pPr>
        <w:widowControl/>
        <w:spacing w:after="312" w:afterLines="100"/>
        <w:jc w:val="center"/>
        <w:rPr>
          <w:szCs w:val="21"/>
        </w:rPr>
      </w:pPr>
      <w:r>
        <w:rPr>
          <w:rFonts w:hint="eastAsia" w:ascii="宋体" w:hAnsi="宋体" w:cs="宋体"/>
          <w:b/>
          <w:bCs/>
          <w:color w:val="000000"/>
          <w:kern w:val="0"/>
          <w:sz w:val="24"/>
          <w:lang w:bidi="ar"/>
        </w:rPr>
        <w:t>河南省政府采购合同融资政策告知函</w:t>
      </w:r>
    </w:p>
    <w:p w14:paraId="74FBB931">
      <w:pPr>
        <w:widowControl/>
        <w:spacing w:line="360" w:lineRule="auto"/>
        <w:ind w:right="420" w:rightChars="200" w:firstLine="420" w:firstLineChars="200"/>
        <w:jc w:val="left"/>
        <w:rPr>
          <w:szCs w:val="21"/>
        </w:rPr>
      </w:pPr>
      <w:r>
        <w:rPr>
          <w:rFonts w:hint="eastAsia" w:ascii="宋体" w:hAnsi="宋体" w:cs="宋体"/>
          <w:color w:val="000000"/>
          <w:kern w:val="0"/>
          <w:szCs w:val="21"/>
          <w:lang w:bidi="ar"/>
        </w:rPr>
        <w:t>各</w:t>
      </w:r>
      <w:r>
        <w:rPr>
          <w:rFonts w:hint="eastAsia" w:ascii="宋体" w:hAnsi="宋体" w:cs="宋体"/>
          <w:color w:val="000000"/>
          <w:kern w:val="0"/>
          <w:szCs w:val="21"/>
          <w:lang w:eastAsia="zh-CN" w:bidi="ar"/>
        </w:rPr>
        <w:t>投标人</w:t>
      </w:r>
      <w:r>
        <w:rPr>
          <w:rFonts w:hint="eastAsia" w:ascii="宋体" w:hAnsi="宋体" w:cs="宋体"/>
          <w:color w:val="000000"/>
          <w:kern w:val="0"/>
          <w:szCs w:val="21"/>
          <w:lang w:bidi="ar"/>
        </w:rPr>
        <w:t xml:space="preserve">： </w:t>
      </w:r>
    </w:p>
    <w:p w14:paraId="395B7588">
      <w:pPr>
        <w:widowControl/>
        <w:spacing w:line="360" w:lineRule="auto"/>
        <w:ind w:right="420" w:rightChars="200" w:firstLine="420" w:firstLineChars="200"/>
        <w:jc w:val="left"/>
        <w:rPr>
          <w:szCs w:val="21"/>
        </w:rPr>
      </w:pPr>
      <w:r>
        <w:rPr>
          <w:rFonts w:hint="eastAsia" w:ascii="宋体" w:hAnsi="宋体" w:cs="宋体"/>
          <w:color w:val="000000"/>
          <w:kern w:val="0"/>
          <w:szCs w:val="21"/>
          <w:lang w:bidi="ar"/>
        </w:rPr>
        <w:t>欢迎贵公司参与</w:t>
      </w:r>
      <w:r>
        <w:rPr>
          <w:rFonts w:hint="eastAsia" w:ascii="宋体" w:hAnsi="宋体" w:eastAsia="宋体" w:cs="宋体"/>
          <w:color w:val="000000"/>
          <w:sz w:val="21"/>
          <w:szCs w:val="21"/>
          <w:lang w:val="en-US" w:eastAsia="zh-CN"/>
        </w:rPr>
        <w:t>郑东新区</w:t>
      </w:r>
      <w:r>
        <w:rPr>
          <w:rFonts w:hint="eastAsia" w:ascii="宋体" w:hAnsi="宋体" w:cs="宋体"/>
          <w:color w:val="000000"/>
          <w:kern w:val="0"/>
          <w:szCs w:val="21"/>
          <w:lang w:bidi="ar"/>
        </w:rPr>
        <w:t xml:space="preserve">政府采购活动！ </w:t>
      </w:r>
    </w:p>
    <w:p w14:paraId="6D2EA068">
      <w:pPr>
        <w:widowControl/>
        <w:spacing w:line="360" w:lineRule="auto"/>
        <w:ind w:right="420" w:rightChars="200" w:firstLine="420" w:firstLineChars="200"/>
        <w:jc w:val="left"/>
        <w:rPr>
          <w:szCs w:val="21"/>
        </w:rPr>
      </w:pPr>
      <w:r>
        <w:rPr>
          <w:rFonts w:hint="eastAsia" w:ascii="宋体" w:hAnsi="宋体" w:cs="宋体"/>
          <w:color w:val="000000"/>
          <w:kern w:val="0"/>
          <w:szCs w:val="21"/>
          <w:lang w:bidi="ar"/>
        </w:rPr>
        <w:t>政府采购合同融资是河南省财政厅支持中小微企业发展，针对参与政府采购活动的</w:t>
      </w:r>
      <w:r>
        <w:rPr>
          <w:rFonts w:hint="eastAsia" w:ascii="宋体" w:hAnsi="宋体" w:cs="宋体"/>
          <w:color w:val="000000"/>
          <w:kern w:val="0"/>
          <w:szCs w:val="21"/>
          <w:lang w:eastAsia="zh-CN" w:bidi="ar"/>
        </w:rPr>
        <w:t>投标人</w:t>
      </w:r>
      <w:r>
        <w:rPr>
          <w:rFonts w:hint="eastAsia" w:ascii="宋体" w:hAnsi="宋体" w:cs="宋体"/>
          <w:color w:val="000000"/>
          <w:kern w:val="0"/>
          <w:szCs w:val="21"/>
          <w:lang w:bidi="ar"/>
        </w:rPr>
        <w:t>融资难、融资贵问题推出的一项融资政策。贵公司若成为本次政府项目的中标成交</w:t>
      </w:r>
      <w:r>
        <w:rPr>
          <w:rFonts w:hint="eastAsia" w:ascii="宋体" w:hAnsi="宋体" w:cs="宋体"/>
          <w:color w:val="000000"/>
          <w:kern w:val="0"/>
          <w:szCs w:val="21"/>
          <w:lang w:eastAsia="zh-CN" w:bidi="ar"/>
        </w:rPr>
        <w:t>投标人</w:t>
      </w:r>
      <w:r>
        <w:rPr>
          <w:rFonts w:hint="eastAsia" w:ascii="宋体" w:hAnsi="宋体" w:cs="宋体"/>
          <w:color w:val="000000"/>
          <w:kern w:val="0"/>
          <w:szCs w:val="21"/>
          <w:lang w:bidi="ar"/>
        </w:rPr>
        <w:t>，可持政府采购合同向金融机构申请贷款，无需抵押、担保，融资机构将根据《河南省政府采购合同融资工作实施方案》（豫财购〔2017〕10 号），按照双方自愿的原则提供便捷、优惠的贷款服务。</w:t>
      </w:r>
    </w:p>
    <w:p w14:paraId="1C88F118">
      <w:pPr>
        <w:widowControl/>
        <w:spacing w:line="360" w:lineRule="auto"/>
        <w:ind w:right="420" w:rightChars="200" w:firstLine="420" w:firstLineChars="200"/>
        <w:jc w:val="left"/>
        <w:rPr>
          <w:szCs w:val="21"/>
        </w:rPr>
      </w:pPr>
      <w:r>
        <w:rPr>
          <w:rFonts w:hint="eastAsia" w:ascii="宋体" w:hAnsi="宋体" w:cs="宋体"/>
          <w:color w:val="000000"/>
          <w:kern w:val="0"/>
          <w:szCs w:val="21"/>
          <w:lang w:bidi="ar"/>
        </w:rPr>
        <w:t>贷款渠道和提供贷款的金融机构，可在“</w:t>
      </w:r>
      <w:r>
        <w:rPr>
          <w:rFonts w:hint="eastAsia" w:ascii="宋体" w:hAnsi="宋体" w:cs="宋体"/>
          <w:color w:val="000000"/>
          <w:kern w:val="0"/>
          <w:szCs w:val="21"/>
          <w:lang w:eastAsia="zh-CN" w:bidi="ar"/>
        </w:rPr>
        <w:t>郑东新区</w:t>
      </w:r>
      <w:r>
        <w:rPr>
          <w:rFonts w:hint="eastAsia" w:ascii="宋体" w:hAnsi="宋体" w:cs="宋体"/>
          <w:color w:val="000000"/>
          <w:kern w:val="0"/>
          <w:szCs w:val="21"/>
          <w:lang w:bidi="ar"/>
        </w:rPr>
        <w:t>政府采购网”“河南省政府采购合同融资平台”中查询联系。</w:t>
      </w:r>
    </w:p>
    <w:p w14:paraId="257F0E5D"/>
    <w:sectPr>
      <w:pgSz w:w="11906" w:h="16838"/>
      <w:pgMar w:top="1417" w:right="1701" w:bottom="1417" w:left="1701" w:header="851" w:footer="992" w:gutter="0"/>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63"/>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 w:name="仿宋_GB2312">
    <w:altName w:val="仿宋"/>
    <w:panose1 w:val="02010609030101010101"/>
    <w:charset w:val="86"/>
    <w:family w:val="modern"/>
    <w:pitch w:val="default"/>
    <w:sig w:usb0="00000000" w:usb1="00000000" w:usb2="00000010" w:usb3="00000000" w:csb0="00040000" w:csb1="00000000"/>
  </w:font>
  <w:font w:name="monospace">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等线">
    <w:altName w:val="微软雅黑"/>
    <w:panose1 w:val="02010600030101010101"/>
    <w:charset w:val="86"/>
    <w:family w:val="auto"/>
    <w:pitch w:val="default"/>
    <w:sig w:usb0="00000000" w:usb1="00000000" w:usb2="00000016" w:usb3="00000000" w:csb0="0004000F" w:csb1="00000000"/>
  </w:font>
  <w:font w:name="TimesNewRomanPSMT">
    <w:altName w:val="Times New Roman"/>
    <w:panose1 w:val="00000000000000000000"/>
    <w:charset w:val="00"/>
    <w:family w:val="roman"/>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EC4C1F">
    <w:pPr>
      <w:pStyle w:val="15"/>
      <w:tabs>
        <w:tab w:val="center" w:pos="4252"/>
        <w:tab w:val="clear" w:pos="4153"/>
      </w:tabs>
      <w:jc w:val="both"/>
    </w:pPr>
    <w:r>
      <w:rPr>
        <w:rFonts w:hint="eastAsia"/>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69F14C">
    <w:pPr>
      <w:pStyle w:val="15"/>
      <w:tabs>
        <w:tab w:val="center" w:pos="4252"/>
        <w:tab w:val="clear" w:pos="4153"/>
      </w:tabs>
      <w:jc w:val="both"/>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B087A3C">
                          <w:pPr>
                            <w:pStyle w:val="15"/>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KVIPQyAgAAYQQAAA4AAABkcnMvZTJvRG9jLnhtbK1UzY7TMBC+I/EO&#10;lu80aRGrbt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ApUg9DICAABhBAAADgAAAAAAAAABACAAAAAfAQAAZHJzL2Uyb0RvYy54bWxQSwUG&#10;AAAAAAYABgBZAQAAwwUAAAAA&#10;">
              <v:fill on="f" focussize="0,0"/>
              <v:stroke on="f" weight="0.5pt"/>
              <v:imagedata o:title=""/>
              <o:lock v:ext="edit" aspectratio="f"/>
              <v:textbox inset="0mm,0mm,0mm,0mm" style="mso-fit-shape-to-text:t;">
                <w:txbxContent>
                  <w:p w14:paraId="0B087A3C">
                    <w:pPr>
                      <w:pStyle w:val="15"/>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E16076">
    <w:pPr>
      <w:pStyle w:val="15"/>
      <w:jc w:val="right"/>
      <w:rPr>
        <w:rFonts w:ascii="宋体" w:hAnsi="宋体"/>
        <w:sz w:val="28"/>
        <w:szCs w:val="28"/>
      </w:rPr>
    </w:pPr>
    <w:r>
      <w:rPr>
        <w:sz w:val="2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80A0E46">
                          <w:pPr>
                            <w:pStyle w:val="15"/>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AOHoxAgAAYwQAAA4AAABkcnMvZTJvRG9jLnhtbK1US44TMRDdI3EH&#10;y3vSSRCjKEpnFCYKQoqYkQJi7bjdaUv+yXbSHQ4AN2DFhj3nyjl47k8GDSxmwcZddpVf1XtV7sVt&#10;oxU5CR+kNTmdjMaUCMNtIc0hp58+bl7NKAmRmYIpa0ROzyLQ2+XLF4vazcXUVlYVwhOAmDCvXU6r&#10;GN08ywKvhGZhZJ0wcJbWaxax9Yes8KwGulbZdDy+yWrrC+ctFyHgdN05aY/onwNoy1Jysbb8qIWJ&#10;HaoXikVQCpV0gS7bastS8HhflkFEonIKprFdkQT2Pq3ZcsHmB89cJXlfAntOCU84aSYNkl6h1iwy&#10;cvTyLygtubfBlnHErc46Iq0iYDEZP9FmVzEnWi6QOrir6OH/wfIPpwdPZIFJmFBimEbHL9+/XX78&#10;uvz8SnAGgWoX5ojbOUTG5q1tEDycBxwm3k3pdfqCEYEf8p6v8oomEp4uzaaz2RguDt+wAX72eN35&#10;EN8Jq0kycurRv1ZWdtqG2IUOISmbsRupVNtDZUid05vXb8bthasH4MogRyLRFZus2OybntneFmcQ&#10;87abjeD4RiL5loX4wDyGAQXjucR7LKWySGJ7i5LK+i//Ok/x6BG8lNQYrpwavCVK1HuD3gEwDoYf&#10;jP1gmKO+s5hWtAO1tCYu+KgGs/RWf8YbWqUccDHDkSmncTDvYjfgeINcrFZt0NF5eai6C5g8x+LW&#10;7BxPaZKQwa2OEWK2GieBOlV63TB7bZf6d5KG+899G/X4b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rADh6MQIAAGMEAAAOAAAAAAAAAAEAIAAAAB8BAABkcnMvZTJvRG9jLnhtbFBLBQYA&#10;AAAABgAGAFkBAADCBQAAAAA=&#10;">
              <v:fill on="f" focussize="0,0"/>
              <v:stroke on="f" weight="0.5pt"/>
              <v:imagedata o:title=""/>
              <o:lock v:ext="edit" aspectratio="f"/>
              <v:textbox inset="0mm,0mm,0mm,0mm" style="mso-fit-shape-to-text:t;">
                <w:txbxContent>
                  <w:p w14:paraId="180A0E46">
                    <w:pPr>
                      <w:pStyle w:val="15"/>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51AAC5">
    <w:pPr>
      <w:pStyle w:val="15"/>
      <w:jc w:val="right"/>
      <w:rPr>
        <w:rFonts w:ascii="宋体" w:hAnsi="宋体"/>
        <w:sz w:val="28"/>
        <w:szCs w:val="28"/>
      </w:rPr>
    </w:pPr>
    <w:r>
      <w:rPr>
        <w:sz w:val="2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C81EF59">
                          <w:pPr>
                            <w:pStyle w:val="15"/>
                          </w:pPr>
                          <w:r>
                            <w:fldChar w:fldCharType="begin"/>
                          </w:r>
                          <w:r>
                            <w:instrText xml:space="preserve"> PAGE  \* MERGEFORMAT </w:instrText>
                          </w:r>
                          <w:r>
                            <w:fldChar w:fldCharType="separate"/>
                          </w:r>
                          <w:r>
                            <w:t>35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z+8ZE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wpQSwzQqfvn+7fLj&#10;1+XnV4IzCFS7MEfcziEyNm9tg+DhPOAw8W5Kr9MXjAj8kPd8lVc0kfB0aTadzcZwcfiGDfCzx+vO&#10;h/hOWE2SkVOP+rWystM2xC50CEnZjN1IpdoaKkPqnN68fjNuL1w9AFcGORKJ7rHJis2+6ZntbXEG&#10;MW+73giObySSb1mID8yjGfBgjEu8x1IqiyS2tyiprP/yr/MUjxrBS0mN5sqpwSxRot4b1A6AcTD8&#10;YOwHwxz1nUW3TjCGjrcmLvioBrP0Vn/GDK1SDriY4ciU0ziYd7FrcMwgF6tVG3R0Xh6q7gI6z7G4&#10;NTvHU5okZHCrY4SYrcZJoE6VXjf0Xlulfk5Sc/+5b6Me/w3L3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s/vGRMQIAAGMEAAAOAAAAAAAAAAEAIAAAAB8BAABkcnMvZTJvRG9jLnhtbFBLBQYA&#10;AAAABgAGAFkBAADCBQAAAAA=&#10;">
              <v:fill on="f" focussize="0,0"/>
              <v:stroke on="f" weight="0.5pt"/>
              <v:imagedata o:title=""/>
              <o:lock v:ext="edit" aspectratio="f"/>
              <v:textbox inset="0mm,0mm,0mm,0mm" style="mso-fit-shape-to-text:t;">
                <w:txbxContent>
                  <w:p w14:paraId="2C81EF59">
                    <w:pPr>
                      <w:pStyle w:val="15"/>
                    </w:pPr>
                    <w:r>
                      <w:fldChar w:fldCharType="begin"/>
                    </w:r>
                    <w:r>
                      <w:instrText xml:space="preserve"> PAGE  \* MERGEFORMAT </w:instrText>
                    </w:r>
                    <w:r>
                      <w:fldChar w:fldCharType="separate"/>
                    </w:r>
                    <w:r>
                      <w:t>35</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DC4BF6">
    <w:pPr>
      <w:pStyle w:val="15"/>
      <w:jc w:val="center"/>
    </w:pPr>
    <w:r>
      <w:rPr>
        <w:sz w:val="18"/>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13" name="文本框 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25E44B6">
                          <w:pPr>
                            <w:pStyle w:val="15"/>
                          </w:pPr>
                          <w:r>
                            <w:fldChar w:fldCharType="begin"/>
                          </w:r>
                          <w:r>
                            <w:instrText xml:space="preserve"> PAGE  \* MERGEFORMAT </w:instrText>
                          </w:r>
                          <w:r>
                            <w:fldChar w:fldCharType="separate"/>
                          </w:r>
                          <w:r>
                            <w:t>36</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5WZn4yAgAAYw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CnXBFiWEaFT//+H7+&#10;+fv86xvBGQSqXZgj7sEhMjbvbIPg4TzgMPFuSq/TF4wI/JD3dJFXNJHwdGk2nc3GcHH4hg3ws6fr&#10;zof4XlhNkpFTj/q1srLjNsQudAhJ2YzdSKXaGipD6pxeX70dtxcuHoArgxyJRPfYZMVm1/TMdrY4&#10;gZi3XW8ExzcSybcsxHvm0Qx4MMYl3mEplUUS21uUVNZ//dd5ikeN4KWkRnPl1GCWKFEfDGoHwDgY&#10;fjB2g2EO+taiWycYQ8dbExd8VINZequ/YIZWKQdczHBkymkczNvYNThmkIvVqg06OC/3VXcBnedY&#10;3JoHx1OaJGRwq0OEmK3GSaBOlV439F5bpX5OUnP/uW+jnv4Ny0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LlZmfjICAABjBAAADgAAAAAAAAABACAAAAAfAQAAZHJzL2Uyb0RvYy54bWxQSwUG&#10;AAAAAAYABgBZAQAAwwUAAAAA&#10;">
              <v:fill on="f" focussize="0,0"/>
              <v:stroke on="f" weight="0.5pt"/>
              <v:imagedata o:title=""/>
              <o:lock v:ext="edit" aspectratio="f"/>
              <v:textbox inset="0mm,0mm,0mm,0mm" style="mso-fit-shape-to-text:t;">
                <w:txbxContent>
                  <w:p w14:paraId="325E44B6">
                    <w:pPr>
                      <w:pStyle w:val="15"/>
                    </w:pPr>
                    <w:r>
                      <w:fldChar w:fldCharType="begin"/>
                    </w:r>
                    <w:r>
                      <w:instrText xml:space="preserve"> PAGE  \* MERGEFORMAT </w:instrText>
                    </w:r>
                    <w:r>
                      <w:fldChar w:fldCharType="separate"/>
                    </w:r>
                    <w:r>
                      <w:t>36</w:t>
                    </w:r>
                    <w:r>
                      <w:fldChar w:fldCharType="end"/>
                    </w:r>
                  </w:p>
                </w:txbxContent>
              </v:textbox>
            </v:shape>
          </w:pict>
        </mc:Fallback>
      </mc:AlternateContent>
    </w:r>
  </w:p>
  <w:p w14:paraId="2FE7B5F6">
    <w:pPr>
      <w:pStyle w:val="15"/>
      <w:ind w:right="360"/>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B64DEE">
    <w:pPr>
      <w:pStyle w:val="15"/>
    </w:pPr>
    <w:r>
      <w:rPr>
        <w:sz w:val="18"/>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14" name="文本框 1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47E7CE8">
                          <w:pPr>
                            <w:pStyle w:val="15"/>
                          </w:pPr>
                          <w:r>
                            <w:fldChar w:fldCharType="begin"/>
                          </w:r>
                          <w:r>
                            <w:instrText xml:space="preserve"> PAGE  \* MERGEFORMAT </w:instrText>
                          </w:r>
                          <w:r>
                            <w:fldChar w:fldCharType="separate"/>
                          </w:r>
                          <w:r>
                            <w:t>55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MFE50yAgAAYwQAAA4AAABkcnMvZTJvRG9jLnhtbK1UzY7TMBC+I/EO&#10;lu80aYFV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5QYphGxU8/vp9+&#10;Ppx+fSM4g0CNCzPE3TtExvadbRE8nAccJt5t5XX6ghGBH/IeL/KKNhKeLk0n02kOF4dv2AA/e7zu&#10;fIjvhdUkGQX1qF8nKztsQuxDh5CUzdi1VKqroTKkKejV67d5d+HiAbgyyJFI9I9NVmy37ZnZ1pZH&#10;EPO2743g+Foi+YaFeMc8mgEPxrjEWyyVskhizxYltfVf/3We4lEjeClp0FwFNZglStQHg9oBMA6G&#10;H4ztYJi9vrHo1jHG0PHOxAUf1WBW3uovmKFlygEXMxyZChoH8yb2DY4Z5GK57IL2zstd3V9A5zkW&#10;N+be8ZQmCRncch8hZqdxEqhX5awbeq+r0nlOUnP/ue+iHv8Ni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IwUTnTICAABjBAAADgAAAAAAAAABACAAAAAfAQAAZHJzL2Uyb0RvYy54bWxQSwUG&#10;AAAAAAYABgBZAQAAwwUAAAAA&#10;">
              <v:fill on="f" focussize="0,0"/>
              <v:stroke on="f" weight="0.5pt"/>
              <v:imagedata o:title=""/>
              <o:lock v:ext="edit" aspectratio="f"/>
              <v:textbox inset="0mm,0mm,0mm,0mm" style="mso-fit-shape-to-text:t;">
                <w:txbxContent>
                  <w:p w14:paraId="747E7CE8">
                    <w:pPr>
                      <w:pStyle w:val="15"/>
                    </w:pPr>
                    <w:r>
                      <w:fldChar w:fldCharType="begin"/>
                    </w:r>
                    <w:r>
                      <w:instrText xml:space="preserve"> PAGE  \* MERGEFORMAT </w:instrText>
                    </w:r>
                    <w:r>
                      <w:fldChar w:fldCharType="separate"/>
                    </w:r>
                    <w:r>
                      <w:t>55</w:t>
                    </w:r>
                    <w:r>
                      <w:fldChar w:fldCharType="end"/>
                    </w:r>
                  </w:p>
                </w:txbxContent>
              </v:textbox>
            </v:shape>
          </w:pict>
        </mc:Fallback>
      </mc:AlternateContent>
    </w: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14:paraId="46A80DEF">
                          <w:pPr>
                            <w:pStyle w:val="15"/>
                            <w:rPr>
                              <w:rStyle w:val="30"/>
                            </w:rPr>
                          </w:pP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ylk1nRAQAAogMAAA4AAABkcnMvZTJvRG9jLnhtbK1TS27bMBDdF+gd&#10;CO5rKS4aCILlIIWRIEDRFkhzAJoiLQL8gUNb8gXaG3TVTfc9l8/RISU5QbLJIhtqhjN8M+/NaHU1&#10;GE0OIoBytqEXi5ISYblrld019OHHzYeKEojMtkw7Kxp6FECv1u/frXpfi6XrnG5FIAhioe59Q7sY&#10;fV0UwDthGCycFxaD0gXDIrphV7SB9YhudLEsy8uid6H1wXEBgLebMUgnxPAaQCel4mLj+N4IG0fU&#10;IDSLSAk65YGuc7dSCh6/SQkiEt1QZBrziUXQ3qazWK9YvQvMd4pPLbDXtPCMk2HKYtEz1IZFRvZB&#10;vYAyigcHTsYFd6YYiWRFkMVF+Uyb+455kbmg1ODPosPbwfKvh++BqLahOHbLDA789PvX6c+/09+f&#10;pEry9B5qzLr3mBeHz27ApZnvAS8T60EGk77Ih2AcxT2exRVDJDw9qpZVVWKIY2x2EL94fO4DxFvh&#10;DElGQwNOL4vKDl8gjqlzSqpm3Y3SOk9QW9I39PLjpzI/OEcQXFuskUiMzSYrDtthYrZ17RGJ9bgB&#10;DbW48JToO4sCp2WZjTAb29nY+6B2Xd6m1An4633EbnKTqcIIOxXG0WWa05ql3Xjq56zHX2v9H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LNJWO7QAAAABQEAAA8AAAAAAAAAAQAgAAAAIgAAAGRycy9k&#10;b3ducmV2LnhtbFBLAQIUABQAAAAIAIdO4kB8pZNZ0QEAAKIDAAAOAAAAAAAAAAEAIAAAAB8BAABk&#10;cnMvZTJvRG9jLnhtbFBLBQYAAAAABgAGAFkBAABiBQAAAAA=&#10;">
              <v:fill on="f" focussize="0,0"/>
              <v:stroke on="f" weight="0.5pt"/>
              <v:imagedata o:title=""/>
              <o:lock v:ext="edit" aspectratio="f"/>
              <v:textbox inset="0mm,0mm,0mm,0mm" style="mso-fit-shape-to-text:t;">
                <w:txbxContent>
                  <w:p w14:paraId="46A80DEF">
                    <w:pPr>
                      <w:pStyle w:val="15"/>
                      <w:rPr>
                        <w:rStyle w:val="30"/>
                      </w:rPr>
                    </w:pP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ACD334">
    <w:pPr>
      <w:pStyle w:val="15"/>
    </w:pPr>
    <w:r>
      <w:rPr>
        <w:sz w:val="18"/>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15" name="文本框 1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1DE947C">
                          <w:pPr>
                            <w:pStyle w:val="15"/>
                          </w:pPr>
                          <w:r>
                            <w:fldChar w:fldCharType="begin"/>
                          </w:r>
                          <w:r>
                            <w:instrText xml:space="preserve"> PAGE  \* MERGEFORMAT </w:instrText>
                          </w:r>
                          <w:r>
                            <w:fldChar w:fldCharType="separate"/>
                          </w:r>
                          <w:r>
                            <w:t>56</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GthHIzAgAAYwQAAA4AAABkcnMvZTJvRG9jLnhtbK1UzY7TMBC+I/EO&#10;lu80bdGu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gU64okQzhYqff3w/&#10;//x9/vWN4AwCNdbPEfdgERnad6ZF8HDucRh5t6VT8QtGBH7Ie7rIK9pAeLw0m85mY7g4fMMG+NnT&#10;det8eC+MItHIqUP9kqzsuPWhCx1CYjZtNrWUqYZSkyan12+vxunCxQNwqZEjkugeG63Q7tqe2c4U&#10;JxBzpusNb/mmRvIt8+GeOTQDHoxxCXdYSmmQxPQWJZVxX/91HuNRI3gpadBcOdWYJUrkB43aATAM&#10;hhuM3WDog7o16NYJxtDyZOKCC3IwS2fUF8zQKuaAi2mOTDkNg3kbugbHDHKxWqWgg3X1vuouoPMs&#10;C1v9YHlME4X0dnUIEDNpHAXqVOl1Q++lKvVzEpv7z32Kevo3LB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GGthHIzAgAAYwQAAA4AAAAAAAAAAQAgAAAAHwEAAGRycy9lMm9Eb2MueG1sUEsF&#10;BgAAAAAGAAYAWQEAAMQFAAAAAA==&#10;">
              <v:fill on="f" focussize="0,0"/>
              <v:stroke on="f" weight="0.5pt"/>
              <v:imagedata o:title=""/>
              <o:lock v:ext="edit" aspectratio="f"/>
              <v:textbox inset="0mm,0mm,0mm,0mm" style="mso-fit-shape-to-text:t;">
                <w:txbxContent>
                  <w:p w14:paraId="71DE947C">
                    <w:pPr>
                      <w:pStyle w:val="15"/>
                    </w:pPr>
                    <w:r>
                      <w:fldChar w:fldCharType="begin"/>
                    </w:r>
                    <w:r>
                      <w:instrText xml:space="preserve"> PAGE  \* MERGEFORMAT </w:instrText>
                    </w:r>
                    <w:r>
                      <w:fldChar w:fldCharType="separate"/>
                    </w:r>
                    <w:r>
                      <w:t>56</w:t>
                    </w:r>
                    <w:r>
                      <w:fldChar w:fldCharType="end"/>
                    </w:r>
                  </w:p>
                </w:txbxContent>
              </v:textbox>
            </v:shape>
          </w:pict>
        </mc:Fallback>
      </mc:AlternateContent>
    </w: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14:paraId="49A6FE8D">
                          <w:pPr>
                            <w:pStyle w:val="15"/>
                            <w:rPr>
                              <w:rStyle w:val="30"/>
                            </w:rPr>
                          </w:pP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kUAJXRAQAApAMAAA4AAABkcnMvZTJvRG9jLnhtbK1TzW7bMAy+D9g7&#10;CLovdjOsCIw4RYegw4BhG9D1ARRZjgXoDyITOy+wvcFOu+y+58pzjJLtdOguPfQiUyT1kd9Hen0z&#10;WMOOKoL2ruZXi5Iz5aRvtNvX/OHb3ZsVZ4DCNcJ4p2p+UsBvNq9frftQqaXvvGlUZATioOpDzTvE&#10;UBUFyE5ZAQsflKNg66MVSNe4L5ooekK3pliW5XXR+9iE6KUCIO92DPIJMT4H0Letlmrr5cEqhyNq&#10;VEYgUYJOB+Cb3G3bKolf2hYUMlNzYor5pCJk79JZbNai2kcROi2nFsRzWnjCyQrtqOgFaitQsEPU&#10;/0FZLaMH3+JCeluMRLIixOKqfKLNfSeCylxIaggX0eHlYOXn49fIdEObQJI4YWni558/zr/+nH9/&#10;Z+QjgfoAFeXdB8rE4b0fKHn2AzkT76GNNn2JEaM4YZ0u8qoBmUyPVsvVqqSQpNh8Ifzi8XmIgB+U&#10;tywZNY80vyyrOH4CHFPnlFTN+TttTJ6hcayv+fXbd2V+cIkQuHFUI5EYm00WDrthYrbzzYmI9bQD&#10;NXe08pyZj44kpkZxNuJs7GbjEKLed3mfUicQbg9I3eQmU4URdipMw8s0p0VL2/HvPWc9/lybv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LNJWO7QAAAABQEAAA8AAAAAAAAAAQAgAAAAIgAAAGRycy9k&#10;b3ducmV2LnhtbFBLAQIUABQAAAAIAIdO4kCZFACV0QEAAKQDAAAOAAAAAAAAAAEAIAAAAB8BAABk&#10;cnMvZTJvRG9jLnhtbFBLBQYAAAAABgAGAFkBAABiBQAAAAA=&#10;">
              <v:fill on="f" focussize="0,0"/>
              <v:stroke on="f" weight="0.5pt"/>
              <v:imagedata o:title=""/>
              <o:lock v:ext="edit" aspectratio="f"/>
              <v:textbox inset="0mm,0mm,0mm,0mm" style="mso-fit-shape-to-text:t;">
                <w:txbxContent>
                  <w:p w14:paraId="49A6FE8D">
                    <w:pPr>
                      <w:pStyle w:val="15"/>
                      <w:rPr>
                        <w:rStyle w:val="30"/>
                      </w:rPr>
                    </w:pP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487A59">
    <w:pPr>
      <w:pStyle w:val="1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39BFCF">
    <w:pPr>
      <w:pStyle w:val="17"/>
      <w:pBdr>
        <w:bottom w:val="none" w:color="auto" w:sz="0" w:space="1"/>
      </w:pBdr>
      <w:spacing w:before="120" w:after="120"/>
      <w:ind w:firstLine="360"/>
      <w:jc w:val="both"/>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3AE7E5">
    <w:pPr>
      <w:pStyle w:val="1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1C73B42"/>
    <w:multiLevelType w:val="singleLevel"/>
    <w:tmpl w:val="E1C73B42"/>
    <w:lvl w:ilvl="0" w:tentative="0">
      <w:start w:val="4"/>
      <w:numFmt w:val="chineseCounting"/>
      <w:suff w:val="nothing"/>
      <w:lvlText w:val="（%1）"/>
      <w:lvlJc w:val="left"/>
      <w:rPr>
        <w:rFonts w:hint="eastAsia"/>
      </w:rPr>
    </w:lvl>
  </w:abstractNum>
  <w:abstractNum w:abstractNumId="1">
    <w:nsid w:val="0A7D8384"/>
    <w:multiLevelType w:val="singleLevel"/>
    <w:tmpl w:val="0A7D8384"/>
    <w:lvl w:ilvl="0" w:tentative="0">
      <w:start w:val="3"/>
      <w:numFmt w:val="chineseCounting"/>
      <w:suff w:val="nothing"/>
      <w:lvlText w:val="（%1）"/>
      <w:lvlJc w:val="left"/>
      <w:rPr>
        <w:rFonts w:hint="eastAsia"/>
      </w:rPr>
    </w:lvl>
  </w:abstractNum>
  <w:abstractNum w:abstractNumId="2">
    <w:nsid w:val="0F46E77E"/>
    <w:multiLevelType w:val="singleLevel"/>
    <w:tmpl w:val="0F46E77E"/>
    <w:lvl w:ilvl="0" w:tentative="0">
      <w:start w:val="3"/>
      <w:numFmt w:val="decimal"/>
      <w:suff w:val="nothing"/>
      <w:lvlText w:val="（%1）"/>
      <w:lvlJc w:val="left"/>
    </w:lvl>
  </w:abstractNum>
  <w:abstractNum w:abstractNumId="3">
    <w:nsid w:val="55FE203D"/>
    <w:multiLevelType w:val="singleLevel"/>
    <w:tmpl w:val="55FE203D"/>
    <w:lvl w:ilvl="0" w:tentative="0">
      <w:start w:val="1"/>
      <w:numFmt w:val="decimal"/>
      <w:suff w:val="nothing"/>
      <w:lvlText w:val="%1."/>
      <w:lvlJc w:val="left"/>
    </w:lvl>
  </w:abstractNum>
  <w:abstractNum w:abstractNumId="4">
    <w:nsid w:val="55FE262F"/>
    <w:multiLevelType w:val="singleLevel"/>
    <w:tmpl w:val="55FE262F"/>
    <w:lvl w:ilvl="0" w:tentative="0">
      <w:start w:val="1"/>
      <w:numFmt w:val="decimal"/>
      <w:suff w:val="nothing"/>
      <w:lvlText w:val="%1."/>
      <w:lvlJc w:val="left"/>
    </w:lvl>
  </w:abstractNum>
  <w:abstractNum w:abstractNumId="5">
    <w:nsid w:val="55FE2750"/>
    <w:multiLevelType w:val="singleLevel"/>
    <w:tmpl w:val="55FE2750"/>
    <w:lvl w:ilvl="0" w:tentative="0">
      <w:start w:val="1"/>
      <w:numFmt w:val="decimal"/>
      <w:suff w:val="nothing"/>
      <w:lvlText w:val="%1."/>
      <w:lvlJc w:val="left"/>
    </w:lvl>
  </w:abstractNum>
  <w:abstractNum w:abstractNumId="6">
    <w:nsid w:val="55FE27A7"/>
    <w:multiLevelType w:val="singleLevel"/>
    <w:tmpl w:val="55FE27A7"/>
    <w:lvl w:ilvl="0" w:tentative="0">
      <w:start w:val="1"/>
      <w:numFmt w:val="decimal"/>
      <w:suff w:val="nothing"/>
      <w:lvlText w:val="（%1）"/>
      <w:lvlJc w:val="left"/>
    </w:lvl>
  </w:abstractNum>
  <w:abstractNum w:abstractNumId="7">
    <w:nsid w:val="55FE290F"/>
    <w:multiLevelType w:val="singleLevel"/>
    <w:tmpl w:val="55FE290F"/>
    <w:lvl w:ilvl="0" w:tentative="0">
      <w:start w:val="2"/>
      <w:numFmt w:val="decimal"/>
      <w:suff w:val="nothing"/>
      <w:lvlText w:val="%1."/>
      <w:lvlJc w:val="left"/>
    </w:lvl>
  </w:abstractNum>
  <w:abstractNum w:abstractNumId="8">
    <w:nsid w:val="55FE2947"/>
    <w:multiLevelType w:val="singleLevel"/>
    <w:tmpl w:val="55FE2947"/>
    <w:lvl w:ilvl="0" w:tentative="0">
      <w:start w:val="1"/>
      <w:numFmt w:val="decimal"/>
      <w:suff w:val="nothing"/>
      <w:lvlText w:val="（%1）"/>
      <w:lvlJc w:val="left"/>
    </w:lvl>
  </w:abstractNum>
  <w:abstractNum w:abstractNumId="9">
    <w:nsid w:val="55FE2ACD"/>
    <w:multiLevelType w:val="singleLevel"/>
    <w:tmpl w:val="55FE2ACD"/>
    <w:lvl w:ilvl="0" w:tentative="0">
      <w:start w:val="1"/>
      <w:numFmt w:val="decimal"/>
      <w:suff w:val="nothing"/>
      <w:lvlText w:val="%1."/>
      <w:lvlJc w:val="left"/>
    </w:lvl>
  </w:abstractNum>
  <w:abstractNum w:abstractNumId="10">
    <w:nsid w:val="55FE4F25"/>
    <w:multiLevelType w:val="singleLevel"/>
    <w:tmpl w:val="55FE4F25"/>
    <w:lvl w:ilvl="0" w:tentative="0">
      <w:start w:val="1"/>
      <w:numFmt w:val="decimal"/>
      <w:suff w:val="nothing"/>
      <w:lvlText w:val="%1."/>
      <w:lvlJc w:val="left"/>
    </w:lvl>
  </w:abstractNum>
  <w:abstractNum w:abstractNumId="11">
    <w:nsid w:val="55FE4F88"/>
    <w:multiLevelType w:val="singleLevel"/>
    <w:tmpl w:val="55FE4F88"/>
    <w:lvl w:ilvl="0" w:tentative="0">
      <w:start w:val="1"/>
      <w:numFmt w:val="decimal"/>
      <w:suff w:val="nothing"/>
      <w:lvlText w:val="%1."/>
      <w:lvlJc w:val="left"/>
    </w:lvl>
  </w:abstractNum>
  <w:abstractNum w:abstractNumId="12">
    <w:nsid w:val="55FE5B70"/>
    <w:multiLevelType w:val="singleLevel"/>
    <w:tmpl w:val="55FE5B70"/>
    <w:lvl w:ilvl="0" w:tentative="0">
      <w:start w:val="2"/>
      <w:numFmt w:val="decimal"/>
      <w:suff w:val="nothing"/>
      <w:lvlText w:val="%1."/>
      <w:lvlJc w:val="left"/>
    </w:lvl>
  </w:abstractNum>
  <w:abstractNum w:abstractNumId="13">
    <w:nsid w:val="55FE5CF0"/>
    <w:multiLevelType w:val="singleLevel"/>
    <w:tmpl w:val="55FE5CF0"/>
    <w:lvl w:ilvl="0" w:tentative="0">
      <w:start w:val="4"/>
      <w:numFmt w:val="decimal"/>
      <w:suff w:val="nothing"/>
      <w:lvlText w:val="%1."/>
      <w:lvlJc w:val="left"/>
    </w:lvl>
  </w:abstractNum>
  <w:abstractNum w:abstractNumId="14">
    <w:nsid w:val="55FE5E20"/>
    <w:multiLevelType w:val="singleLevel"/>
    <w:tmpl w:val="55FE5E20"/>
    <w:lvl w:ilvl="0" w:tentative="0">
      <w:start w:val="1"/>
      <w:numFmt w:val="decimal"/>
      <w:suff w:val="nothing"/>
      <w:lvlText w:val="（%1）"/>
      <w:lvlJc w:val="left"/>
    </w:lvl>
  </w:abstractNum>
  <w:abstractNum w:abstractNumId="15">
    <w:nsid w:val="55FE5F0F"/>
    <w:multiLevelType w:val="singleLevel"/>
    <w:tmpl w:val="55FE5F0F"/>
    <w:lvl w:ilvl="0" w:tentative="0">
      <w:start w:val="1"/>
      <w:numFmt w:val="decimal"/>
      <w:suff w:val="nothing"/>
      <w:lvlText w:val="%1."/>
      <w:lvlJc w:val="left"/>
    </w:lvl>
  </w:abstractNum>
  <w:abstractNum w:abstractNumId="16">
    <w:nsid w:val="55FE6053"/>
    <w:multiLevelType w:val="singleLevel"/>
    <w:tmpl w:val="55FE6053"/>
    <w:lvl w:ilvl="0" w:tentative="0">
      <w:start w:val="1"/>
      <w:numFmt w:val="decimal"/>
      <w:suff w:val="nothing"/>
      <w:lvlText w:val="%1."/>
      <w:lvlJc w:val="left"/>
    </w:lvl>
  </w:abstractNum>
  <w:abstractNum w:abstractNumId="17">
    <w:nsid w:val="5B6748BE"/>
    <w:multiLevelType w:val="singleLevel"/>
    <w:tmpl w:val="5B6748BE"/>
    <w:lvl w:ilvl="0" w:tentative="0">
      <w:start w:val="5"/>
      <w:numFmt w:val="decimal"/>
      <w:lvlText w:val="%1."/>
      <w:lvlJc w:val="left"/>
      <w:pPr>
        <w:tabs>
          <w:tab w:val="left" w:pos="312"/>
        </w:tabs>
      </w:pPr>
    </w:lvl>
  </w:abstractNum>
  <w:abstractNum w:abstractNumId="18">
    <w:nsid w:val="627E3D88"/>
    <w:multiLevelType w:val="singleLevel"/>
    <w:tmpl w:val="627E3D88"/>
    <w:lvl w:ilvl="0" w:tentative="0">
      <w:start w:val="1"/>
      <w:numFmt w:val="decimal"/>
      <w:lvlText w:val="%1."/>
      <w:lvlJc w:val="left"/>
      <w:pPr>
        <w:tabs>
          <w:tab w:val="left" w:pos="312"/>
        </w:tabs>
      </w:pPr>
    </w:lvl>
  </w:abstractNum>
  <w:abstractNum w:abstractNumId="19">
    <w:nsid w:val="69C07A89"/>
    <w:multiLevelType w:val="singleLevel"/>
    <w:tmpl w:val="69C07A89"/>
    <w:lvl w:ilvl="0" w:tentative="0">
      <w:start w:val="6"/>
      <w:numFmt w:val="decimal"/>
      <w:suff w:val="nothing"/>
      <w:lvlText w:val="%1、"/>
      <w:lvlJc w:val="left"/>
    </w:lvl>
  </w:abstractNum>
  <w:num w:numId="1">
    <w:abstractNumId w:val="19"/>
  </w:num>
  <w:num w:numId="2">
    <w:abstractNumId w:val="3"/>
  </w:num>
  <w:num w:numId="3">
    <w:abstractNumId w:val="4"/>
  </w:num>
  <w:num w:numId="4">
    <w:abstractNumId w:val="5"/>
  </w:num>
  <w:num w:numId="5">
    <w:abstractNumId w:val="6"/>
  </w:num>
  <w:num w:numId="6">
    <w:abstractNumId w:val="7"/>
  </w:num>
  <w:num w:numId="7">
    <w:abstractNumId w:val="8"/>
  </w:num>
  <w:num w:numId="8">
    <w:abstractNumId w:val="9"/>
  </w:num>
  <w:num w:numId="9">
    <w:abstractNumId w:val="10"/>
  </w:num>
  <w:num w:numId="10">
    <w:abstractNumId w:val="11"/>
  </w:num>
  <w:num w:numId="11">
    <w:abstractNumId w:val="12"/>
  </w:num>
  <w:num w:numId="12">
    <w:abstractNumId w:val="13"/>
  </w:num>
  <w:num w:numId="13">
    <w:abstractNumId w:val="14"/>
  </w:num>
  <w:num w:numId="14">
    <w:abstractNumId w:val="15"/>
  </w:num>
  <w:num w:numId="15">
    <w:abstractNumId w:val="16"/>
  </w:num>
  <w:num w:numId="16">
    <w:abstractNumId w:val="18"/>
  </w:num>
  <w:num w:numId="17">
    <w:abstractNumId w:val="2"/>
  </w:num>
  <w:num w:numId="18">
    <w:abstractNumId w:val="1"/>
  </w:num>
  <w:num w:numId="19">
    <w:abstractNumId w:val="17"/>
  </w:num>
  <w:num w:numId="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jAxMjIwNTk1OTQ0ZTEwNWQ3N2QwMWI3MzIyZjc3ZTEifQ=="/>
  </w:docVars>
  <w:rsids>
    <w:rsidRoot w:val="00172A27"/>
    <w:rsid w:val="000B7456"/>
    <w:rsid w:val="00172A27"/>
    <w:rsid w:val="001A4716"/>
    <w:rsid w:val="002462F2"/>
    <w:rsid w:val="002674B6"/>
    <w:rsid w:val="002B5179"/>
    <w:rsid w:val="00303F39"/>
    <w:rsid w:val="00311A5F"/>
    <w:rsid w:val="004D4AEB"/>
    <w:rsid w:val="00520240"/>
    <w:rsid w:val="00534831"/>
    <w:rsid w:val="00646551"/>
    <w:rsid w:val="006D2ACE"/>
    <w:rsid w:val="0078632A"/>
    <w:rsid w:val="00963FA8"/>
    <w:rsid w:val="00AA1979"/>
    <w:rsid w:val="00B03A02"/>
    <w:rsid w:val="00B0770D"/>
    <w:rsid w:val="00B1062D"/>
    <w:rsid w:val="00B143C5"/>
    <w:rsid w:val="00BB0BE0"/>
    <w:rsid w:val="00C141BB"/>
    <w:rsid w:val="00C201E6"/>
    <w:rsid w:val="00C97EB8"/>
    <w:rsid w:val="00D16D4E"/>
    <w:rsid w:val="00E4075A"/>
    <w:rsid w:val="00E61452"/>
    <w:rsid w:val="00ED5FBA"/>
    <w:rsid w:val="00F3531A"/>
    <w:rsid w:val="01042E7A"/>
    <w:rsid w:val="01297B2E"/>
    <w:rsid w:val="016320EC"/>
    <w:rsid w:val="01695392"/>
    <w:rsid w:val="0175333F"/>
    <w:rsid w:val="017D7E5A"/>
    <w:rsid w:val="01A67902"/>
    <w:rsid w:val="01E15672"/>
    <w:rsid w:val="01E46CBB"/>
    <w:rsid w:val="01E70628"/>
    <w:rsid w:val="020D52E3"/>
    <w:rsid w:val="02443753"/>
    <w:rsid w:val="0257525A"/>
    <w:rsid w:val="02824764"/>
    <w:rsid w:val="028916DF"/>
    <w:rsid w:val="02B00021"/>
    <w:rsid w:val="02D71F68"/>
    <w:rsid w:val="02D85A6A"/>
    <w:rsid w:val="02DE4F63"/>
    <w:rsid w:val="03140E6E"/>
    <w:rsid w:val="03203CAF"/>
    <w:rsid w:val="034B6651"/>
    <w:rsid w:val="03632CBB"/>
    <w:rsid w:val="03655CA8"/>
    <w:rsid w:val="03C62F2C"/>
    <w:rsid w:val="04093F50"/>
    <w:rsid w:val="043769F9"/>
    <w:rsid w:val="04CC57D8"/>
    <w:rsid w:val="05143E2A"/>
    <w:rsid w:val="06A6181F"/>
    <w:rsid w:val="06DC7FC4"/>
    <w:rsid w:val="06E627FA"/>
    <w:rsid w:val="07A92999"/>
    <w:rsid w:val="07B90005"/>
    <w:rsid w:val="07F70EBC"/>
    <w:rsid w:val="084048F2"/>
    <w:rsid w:val="084367D4"/>
    <w:rsid w:val="08894F13"/>
    <w:rsid w:val="096F5CD0"/>
    <w:rsid w:val="09880942"/>
    <w:rsid w:val="098D41AA"/>
    <w:rsid w:val="0A232419"/>
    <w:rsid w:val="0A3B59B5"/>
    <w:rsid w:val="0A476905"/>
    <w:rsid w:val="0A6962CC"/>
    <w:rsid w:val="0A8152E1"/>
    <w:rsid w:val="0A943317"/>
    <w:rsid w:val="0AB67731"/>
    <w:rsid w:val="0AC96452"/>
    <w:rsid w:val="0AD06FAD"/>
    <w:rsid w:val="0AE15433"/>
    <w:rsid w:val="0B6C7DF0"/>
    <w:rsid w:val="0B835994"/>
    <w:rsid w:val="0BC1638D"/>
    <w:rsid w:val="0C0342C8"/>
    <w:rsid w:val="0C97639D"/>
    <w:rsid w:val="0CAA5FED"/>
    <w:rsid w:val="0D101598"/>
    <w:rsid w:val="0D782A7C"/>
    <w:rsid w:val="0E781BBB"/>
    <w:rsid w:val="0EAB5560"/>
    <w:rsid w:val="0ED1708D"/>
    <w:rsid w:val="0F3155D8"/>
    <w:rsid w:val="0F6C4280"/>
    <w:rsid w:val="0FC72F10"/>
    <w:rsid w:val="0FDB2697"/>
    <w:rsid w:val="10303AE2"/>
    <w:rsid w:val="104826D7"/>
    <w:rsid w:val="115D5C46"/>
    <w:rsid w:val="11612B7E"/>
    <w:rsid w:val="11DB0BD4"/>
    <w:rsid w:val="12015736"/>
    <w:rsid w:val="120725A1"/>
    <w:rsid w:val="127169A9"/>
    <w:rsid w:val="127B750D"/>
    <w:rsid w:val="128D521B"/>
    <w:rsid w:val="1317627E"/>
    <w:rsid w:val="133236CD"/>
    <w:rsid w:val="13CE119B"/>
    <w:rsid w:val="13CE1647"/>
    <w:rsid w:val="144E2788"/>
    <w:rsid w:val="146D061F"/>
    <w:rsid w:val="147738A1"/>
    <w:rsid w:val="14A74D33"/>
    <w:rsid w:val="14CF7E97"/>
    <w:rsid w:val="151662C5"/>
    <w:rsid w:val="15205DC2"/>
    <w:rsid w:val="1546253D"/>
    <w:rsid w:val="155438E7"/>
    <w:rsid w:val="15707694"/>
    <w:rsid w:val="15722E61"/>
    <w:rsid w:val="15907FB3"/>
    <w:rsid w:val="159579DE"/>
    <w:rsid w:val="15A92A66"/>
    <w:rsid w:val="1602382A"/>
    <w:rsid w:val="169E3089"/>
    <w:rsid w:val="16C31547"/>
    <w:rsid w:val="16D5721C"/>
    <w:rsid w:val="17255A22"/>
    <w:rsid w:val="175E7186"/>
    <w:rsid w:val="1767428D"/>
    <w:rsid w:val="17872239"/>
    <w:rsid w:val="17E51656"/>
    <w:rsid w:val="17EE5FD9"/>
    <w:rsid w:val="17FD65D9"/>
    <w:rsid w:val="181037C1"/>
    <w:rsid w:val="1818352B"/>
    <w:rsid w:val="181D2B9D"/>
    <w:rsid w:val="1820443C"/>
    <w:rsid w:val="18246085"/>
    <w:rsid w:val="18E93222"/>
    <w:rsid w:val="18EF3691"/>
    <w:rsid w:val="19064EF7"/>
    <w:rsid w:val="19095EF6"/>
    <w:rsid w:val="19643A34"/>
    <w:rsid w:val="19934667"/>
    <w:rsid w:val="19A82700"/>
    <w:rsid w:val="19B0616D"/>
    <w:rsid w:val="19DE010A"/>
    <w:rsid w:val="1A1205DC"/>
    <w:rsid w:val="1A180F96"/>
    <w:rsid w:val="1A2F6BB8"/>
    <w:rsid w:val="1A320248"/>
    <w:rsid w:val="1AA2382E"/>
    <w:rsid w:val="1AA72BF2"/>
    <w:rsid w:val="1AE101ED"/>
    <w:rsid w:val="1B076C5A"/>
    <w:rsid w:val="1B1F09DB"/>
    <w:rsid w:val="1B3B0B71"/>
    <w:rsid w:val="1B976A5B"/>
    <w:rsid w:val="1C024299"/>
    <w:rsid w:val="1C1F071A"/>
    <w:rsid w:val="1C6B7BE7"/>
    <w:rsid w:val="1C8431EB"/>
    <w:rsid w:val="1CE24646"/>
    <w:rsid w:val="1CE819CC"/>
    <w:rsid w:val="1D322C47"/>
    <w:rsid w:val="1E470974"/>
    <w:rsid w:val="1E502639"/>
    <w:rsid w:val="1E9A4533"/>
    <w:rsid w:val="1EAB0F03"/>
    <w:rsid w:val="1EC177F9"/>
    <w:rsid w:val="1EC73863"/>
    <w:rsid w:val="1EC75611"/>
    <w:rsid w:val="1ECD4154"/>
    <w:rsid w:val="1EFB1828"/>
    <w:rsid w:val="1F040613"/>
    <w:rsid w:val="1F4D46FF"/>
    <w:rsid w:val="1F585CE6"/>
    <w:rsid w:val="1F9219E2"/>
    <w:rsid w:val="1FE81CE3"/>
    <w:rsid w:val="1FF82E76"/>
    <w:rsid w:val="201421D3"/>
    <w:rsid w:val="20315438"/>
    <w:rsid w:val="204038CD"/>
    <w:rsid w:val="207B2B57"/>
    <w:rsid w:val="208D63E6"/>
    <w:rsid w:val="20F15032"/>
    <w:rsid w:val="21924AF9"/>
    <w:rsid w:val="21DD2351"/>
    <w:rsid w:val="220B551F"/>
    <w:rsid w:val="22123047"/>
    <w:rsid w:val="222300D5"/>
    <w:rsid w:val="222A7EAE"/>
    <w:rsid w:val="22407EA0"/>
    <w:rsid w:val="228552ED"/>
    <w:rsid w:val="228D0920"/>
    <w:rsid w:val="22EE3EF6"/>
    <w:rsid w:val="230576E1"/>
    <w:rsid w:val="2341350F"/>
    <w:rsid w:val="23745AA0"/>
    <w:rsid w:val="23B32608"/>
    <w:rsid w:val="241C165F"/>
    <w:rsid w:val="243A2BFD"/>
    <w:rsid w:val="245F2C93"/>
    <w:rsid w:val="24AA2C5C"/>
    <w:rsid w:val="24BB4C9A"/>
    <w:rsid w:val="24CE5E2C"/>
    <w:rsid w:val="24F14B6F"/>
    <w:rsid w:val="25065626"/>
    <w:rsid w:val="255A4B83"/>
    <w:rsid w:val="25663209"/>
    <w:rsid w:val="25C66622"/>
    <w:rsid w:val="2657273D"/>
    <w:rsid w:val="267918E7"/>
    <w:rsid w:val="26966FC6"/>
    <w:rsid w:val="271368F1"/>
    <w:rsid w:val="271766FB"/>
    <w:rsid w:val="27833447"/>
    <w:rsid w:val="278F2AF9"/>
    <w:rsid w:val="27962024"/>
    <w:rsid w:val="27B506FD"/>
    <w:rsid w:val="281806AE"/>
    <w:rsid w:val="282C2B34"/>
    <w:rsid w:val="285717B4"/>
    <w:rsid w:val="28C63984"/>
    <w:rsid w:val="29143B49"/>
    <w:rsid w:val="292A0DB5"/>
    <w:rsid w:val="2983335E"/>
    <w:rsid w:val="299A22A0"/>
    <w:rsid w:val="2A97768B"/>
    <w:rsid w:val="2AC812FC"/>
    <w:rsid w:val="2AF30CAB"/>
    <w:rsid w:val="2B4723F2"/>
    <w:rsid w:val="2B7E0310"/>
    <w:rsid w:val="2BA5553A"/>
    <w:rsid w:val="2BA614FE"/>
    <w:rsid w:val="2C243D0B"/>
    <w:rsid w:val="2C436636"/>
    <w:rsid w:val="2C7D2C3A"/>
    <w:rsid w:val="2CB35427"/>
    <w:rsid w:val="2CF55493"/>
    <w:rsid w:val="2D4D1B57"/>
    <w:rsid w:val="2D6A3D37"/>
    <w:rsid w:val="2DB812CB"/>
    <w:rsid w:val="2DF45CF7"/>
    <w:rsid w:val="2E062054"/>
    <w:rsid w:val="2E1A76D7"/>
    <w:rsid w:val="2E1D7459"/>
    <w:rsid w:val="2E463C38"/>
    <w:rsid w:val="2E651A4F"/>
    <w:rsid w:val="2E7F5594"/>
    <w:rsid w:val="2EA96AE1"/>
    <w:rsid w:val="2F415966"/>
    <w:rsid w:val="2FB40E24"/>
    <w:rsid w:val="2FE55DDB"/>
    <w:rsid w:val="3038636F"/>
    <w:rsid w:val="304A7E50"/>
    <w:rsid w:val="3106021B"/>
    <w:rsid w:val="31745184"/>
    <w:rsid w:val="31DC1829"/>
    <w:rsid w:val="320651BA"/>
    <w:rsid w:val="322A7F39"/>
    <w:rsid w:val="32364AD9"/>
    <w:rsid w:val="32410F4D"/>
    <w:rsid w:val="32560D2E"/>
    <w:rsid w:val="326B1F1B"/>
    <w:rsid w:val="32892EB1"/>
    <w:rsid w:val="32B176C0"/>
    <w:rsid w:val="32DA0D3B"/>
    <w:rsid w:val="33A80F0B"/>
    <w:rsid w:val="34575326"/>
    <w:rsid w:val="34915550"/>
    <w:rsid w:val="34B40DC4"/>
    <w:rsid w:val="34B55F89"/>
    <w:rsid w:val="34C75075"/>
    <w:rsid w:val="35817A7E"/>
    <w:rsid w:val="358F413E"/>
    <w:rsid w:val="35F44AE6"/>
    <w:rsid w:val="35F9636D"/>
    <w:rsid w:val="36435846"/>
    <w:rsid w:val="36C43083"/>
    <w:rsid w:val="37074CED"/>
    <w:rsid w:val="370C5E5F"/>
    <w:rsid w:val="371A0D1F"/>
    <w:rsid w:val="37307DA0"/>
    <w:rsid w:val="374857F5"/>
    <w:rsid w:val="37932E24"/>
    <w:rsid w:val="37F47148"/>
    <w:rsid w:val="37FF7772"/>
    <w:rsid w:val="380C4A6C"/>
    <w:rsid w:val="38186EA1"/>
    <w:rsid w:val="385E1940"/>
    <w:rsid w:val="390C1770"/>
    <w:rsid w:val="39893797"/>
    <w:rsid w:val="39EB1833"/>
    <w:rsid w:val="3A172CDE"/>
    <w:rsid w:val="3A2F6167"/>
    <w:rsid w:val="3AC5681F"/>
    <w:rsid w:val="3B621599"/>
    <w:rsid w:val="3B65531A"/>
    <w:rsid w:val="3BC56212"/>
    <w:rsid w:val="3C3B79FE"/>
    <w:rsid w:val="3C4C157C"/>
    <w:rsid w:val="3C9734E2"/>
    <w:rsid w:val="3CC72A17"/>
    <w:rsid w:val="3D1A5084"/>
    <w:rsid w:val="3D3516D4"/>
    <w:rsid w:val="3DAB4624"/>
    <w:rsid w:val="3DD0408A"/>
    <w:rsid w:val="3E295549"/>
    <w:rsid w:val="3E2B12C1"/>
    <w:rsid w:val="3E4A038A"/>
    <w:rsid w:val="3E5C147A"/>
    <w:rsid w:val="3E73382A"/>
    <w:rsid w:val="3EEA2F2A"/>
    <w:rsid w:val="3F2200AB"/>
    <w:rsid w:val="3F2226C4"/>
    <w:rsid w:val="3F956756"/>
    <w:rsid w:val="3F956D3E"/>
    <w:rsid w:val="3FDD2DA4"/>
    <w:rsid w:val="3FE21E53"/>
    <w:rsid w:val="400224F5"/>
    <w:rsid w:val="404C3CC5"/>
    <w:rsid w:val="40921891"/>
    <w:rsid w:val="40994C08"/>
    <w:rsid w:val="409A0060"/>
    <w:rsid w:val="41546D80"/>
    <w:rsid w:val="41B41CBD"/>
    <w:rsid w:val="41BF1713"/>
    <w:rsid w:val="41C3326C"/>
    <w:rsid w:val="41E813E6"/>
    <w:rsid w:val="41F665E3"/>
    <w:rsid w:val="422B40FE"/>
    <w:rsid w:val="422C37BC"/>
    <w:rsid w:val="423A0699"/>
    <w:rsid w:val="436332AB"/>
    <w:rsid w:val="43CA2D1E"/>
    <w:rsid w:val="43E4237B"/>
    <w:rsid w:val="443469F5"/>
    <w:rsid w:val="4435640C"/>
    <w:rsid w:val="44D31FE5"/>
    <w:rsid w:val="45221FE9"/>
    <w:rsid w:val="45356453"/>
    <w:rsid w:val="474F2AC7"/>
    <w:rsid w:val="479F5C10"/>
    <w:rsid w:val="47A376C8"/>
    <w:rsid w:val="47A67C0A"/>
    <w:rsid w:val="482860FA"/>
    <w:rsid w:val="48823A88"/>
    <w:rsid w:val="488C6E00"/>
    <w:rsid w:val="48A405ED"/>
    <w:rsid w:val="490C7F41"/>
    <w:rsid w:val="49902920"/>
    <w:rsid w:val="49954ACC"/>
    <w:rsid w:val="49AD339F"/>
    <w:rsid w:val="49BC1967"/>
    <w:rsid w:val="4A39289E"/>
    <w:rsid w:val="4A527BD5"/>
    <w:rsid w:val="4A8677E5"/>
    <w:rsid w:val="4B6B3B97"/>
    <w:rsid w:val="4B6C4CC7"/>
    <w:rsid w:val="4C1A7543"/>
    <w:rsid w:val="4C2721A5"/>
    <w:rsid w:val="4C29071A"/>
    <w:rsid w:val="4C655699"/>
    <w:rsid w:val="4CB94011"/>
    <w:rsid w:val="4CC25B81"/>
    <w:rsid w:val="4CE517E1"/>
    <w:rsid w:val="4D00724B"/>
    <w:rsid w:val="4D7E265E"/>
    <w:rsid w:val="4D826CEA"/>
    <w:rsid w:val="4D87403A"/>
    <w:rsid w:val="4DE31916"/>
    <w:rsid w:val="4E1F24C4"/>
    <w:rsid w:val="4E2D2E33"/>
    <w:rsid w:val="4E3F0F51"/>
    <w:rsid w:val="4E4E0D19"/>
    <w:rsid w:val="4E632D78"/>
    <w:rsid w:val="4E957181"/>
    <w:rsid w:val="4EC310A1"/>
    <w:rsid w:val="4EF72831"/>
    <w:rsid w:val="4F0D556C"/>
    <w:rsid w:val="4FAB61EB"/>
    <w:rsid w:val="4FD16410"/>
    <w:rsid w:val="50107D89"/>
    <w:rsid w:val="50386B21"/>
    <w:rsid w:val="50632B3C"/>
    <w:rsid w:val="513B38C8"/>
    <w:rsid w:val="51DA5080"/>
    <w:rsid w:val="521C57F7"/>
    <w:rsid w:val="524B7D2C"/>
    <w:rsid w:val="5273228C"/>
    <w:rsid w:val="52937168"/>
    <w:rsid w:val="52C02B7A"/>
    <w:rsid w:val="52D75281"/>
    <w:rsid w:val="52EA4E4F"/>
    <w:rsid w:val="53035F10"/>
    <w:rsid w:val="534D0F13"/>
    <w:rsid w:val="53550B1A"/>
    <w:rsid w:val="53663AF1"/>
    <w:rsid w:val="53690469"/>
    <w:rsid w:val="53727BAA"/>
    <w:rsid w:val="537312E8"/>
    <w:rsid w:val="538E1672"/>
    <w:rsid w:val="53D31D87"/>
    <w:rsid w:val="53EB70D0"/>
    <w:rsid w:val="54326970"/>
    <w:rsid w:val="54391432"/>
    <w:rsid w:val="543A50EC"/>
    <w:rsid w:val="547E76FB"/>
    <w:rsid w:val="5495742B"/>
    <w:rsid w:val="54C67298"/>
    <w:rsid w:val="54CF2CF4"/>
    <w:rsid w:val="54F86B18"/>
    <w:rsid w:val="550C77D6"/>
    <w:rsid w:val="552E155E"/>
    <w:rsid w:val="5531145B"/>
    <w:rsid w:val="55542449"/>
    <w:rsid w:val="55591B32"/>
    <w:rsid w:val="55AC68B7"/>
    <w:rsid w:val="55B36DAA"/>
    <w:rsid w:val="55EA390D"/>
    <w:rsid w:val="55F52D3D"/>
    <w:rsid w:val="55F84A68"/>
    <w:rsid w:val="56232CF2"/>
    <w:rsid w:val="56597DD6"/>
    <w:rsid w:val="57437304"/>
    <w:rsid w:val="576D50FB"/>
    <w:rsid w:val="57CC0FC7"/>
    <w:rsid w:val="57F3662F"/>
    <w:rsid w:val="57FC0C53"/>
    <w:rsid w:val="590C6974"/>
    <w:rsid w:val="591E3AA4"/>
    <w:rsid w:val="59C87282"/>
    <w:rsid w:val="59EF71EF"/>
    <w:rsid w:val="59F546BA"/>
    <w:rsid w:val="5A3C3F0A"/>
    <w:rsid w:val="5A437FB8"/>
    <w:rsid w:val="5A785436"/>
    <w:rsid w:val="5A8770F5"/>
    <w:rsid w:val="5ABC3575"/>
    <w:rsid w:val="5AD649D6"/>
    <w:rsid w:val="5B302AC5"/>
    <w:rsid w:val="5B780343"/>
    <w:rsid w:val="5BB445E0"/>
    <w:rsid w:val="5CFB1082"/>
    <w:rsid w:val="5D83481E"/>
    <w:rsid w:val="5D902A73"/>
    <w:rsid w:val="5D9033ED"/>
    <w:rsid w:val="5DBD1FB0"/>
    <w:rsid w:val="5E2B5E07"/>
    <w:rsid w:val="5E2F7AC6"/>
    <w:rsid w:val="5E347267"/>
    <w:rsid w:val="5E3A120F"/>
    <w:rsid w:val="5E9B53B9"/>
    <w:rsid w:val="5EA303F6"/>
    <w:rsid w:val="5EC1333C"/>
    <w:rsid w:val="5F053010"/>
    <w:rsid w:val="5F190718"/>
    <w:rsid w:val="5F345A2E"/>
    <w:rsid w:val="5F775CBC"/>
    <w:rsid w:val="5F7A57AC"/>
    <w:rsid w:val="5FD52022"/>
    <w:rsid w:val="61BC41C8"/>
    <w:rsid w:val="61E361EA"/>
    <w:rsid w:val="61F93300"/>
    <w:rsid w:val="628F27F2"/>
    <w:rsid w:val="6390559E"/>
    <w:rsid w:val="63C95B10"/>
    <w:rsid w:val="641F7451"/>
    <w:rsid w:val="646E2440"/>
    <w:rsid w:val="647924D6"/>
    <w:rsid w:val="647D2DD2"/>
    <w:rsid w:val="64AD443E"/>
    <w:rsid w:val="64F03411"/>
    <w:rsid w:val="650359BB"/>
    <w:rsid w:val="655B1BDC"/>
    <w:rsid w:val="65893811"/>
    <w:rsid w:val="65905D2A"/>
    <w:rsid w:val="662F69CB"/>
    <w:rsid w:val="6670737D"/>
    <w:rsid w:val="66794A10"/>
    <w:rsid w:val="668B016C"/>
    <w:rsid w:val="66911D59"/>
    <w:rsid w:val="66C23319"/>
    <w:rsid w:val="67346307"/>
    <w:rsid w:val="677B3DA4"/>
    <w:rsid w:val="67902786"/>
    <w:rsid w:val="67AB0BF9"/>
    <w:rsid w:val="682002EE"/>
    <w:rsid w:val="68682AFD"/>
    <w:rsid w:val="687F5BE1"/>
    <w:rsid w:val="688E21FA"/>
    <w:rsid w:val="698E2580"/>
    <w:rsid w:val="69913E1E"/>
    <w:rsid w:val="69F719AF"/>
    <w:rsid w:val="6A1B443E"/>
    <w:rsid w:val="6A742BE7"/>
    <w:rsid w:val="6A8210EA"/>
    <w:rsid w:val="6ABD6A04"/>
    <w:rsid w:val="6B1065FC"/>
    <w:rsid w:val="6B107080"/>
    <w:rsid w:val="6B1F3EC4"/>
    <w:rsid w:val="6B29790C"/>
    <w:rsid w:val="6B8005EE"/>
    <w:rsid w:val="6B8638D8"/>
    <w:rsid w:val="6BBD5A7F"/>
    <w:rsid w:val="6C0375F2"/>
    <w:rsid w:val="6C6F04F5"/>
    <w:rsid w:val="6CD97FB6"/>
    <w:rsid w:val="6D006E56"/>
    <w:rsid w:val="6D154D66"/>
    <w:rsid w:val="6D1D5595"/>
    <w:rsid w:val="6DB30697"/>
    <w:rsid w:val="6DB52810"/>
    <w:rsid w:val="6DE57468"/>
    <w:rsid w:val="6E2251F9"/>
    <w:rsid w:val="6EAB3BE9"/>
    <w:rsid w:val="6EB33BCC"/>
    <w:rsid w:val="6EE90259"/>
    <w:rsid w:val="6F094457"/>
    <w:rsid w:val="6F0A455E"/>
    <w:rsid w:val="6F0F7987"/>
    <w:rsid w:val="6F17750E"/>
    <w:rsid w:val="6F4656AB"/>
    <w:rsid w:val="6FC54C55"/>
    <w:rsid w:val="7044013C"/>
    <w:rsid w:val="705B5186"/>
    <w:rsid w:val="70687184"/>
    <w:rsid w:val="707F0E4B"/>
    <w:rsid w:val="716342F2"/>
    <w:rsid w:val="71752277"/>
    <w:rsid w:val="71AA2449"/>
    <w:rsid w:val="72374BF5"/>
    <w:rsid w:val="72760726"/>
    <w:rsid w:val="73153277"/>
    <w:rsid w:val="732058A6"/>
    <w:rsid w:val="735C2475"/>
    <w:rsid w:val="73845C52"/>
    <w:rsid w:val="73AA6208"/>
    <w:rsid w:val="73AD4489"/>
    <w:rsid w:val="73C54A91"/>
    <w:rsid w:val="73D22DBB"/>
    <w:rsid w:val="73E775A3"/>
    <w:rsid w:val="744D65B2"/>
    <w:rsid w:val="74B310ED"/>
    <w:rsid w:val="74DE68B1"/>
    <w:rsid w:val="74F51705"/>
    <w:rsid w:val="750B779E"/>
    <w:rsid w:val="752F68D0"/>
    <w:rsid w:val="75322DE5"/>
    <w:rsid w:val="75B66EEB"/>
    <w:rsid w:val="76641338"/>
    <w:rsid w:val="77230A61"/>
    <w:rsid w:val="775646F9"/>
    <w:rsid w:val="7763043E"/>
    <w:rsid w:val="77794B23"/>
    <w:rsid w:val="77882D05"/>
    <w:rsid w:val="77F07394"/>
    <w:rsid w:val="78724B4E"/>
    <w:rsid w:val="78846073"/>
    <w:rsid w:val="78C53AE4"/>
    <w:rsid w:val="78F11412"/>
    <w:rsid w:val="790C1713"/>
    <w:rsid w:val="79217FF2"/>
    <w:rsid w:val="79CD4FB8"/>
    <w:rsid w:val="7A1E7244"/>
    <w:rsid w:val="7A221477"/>
    <w:rsid w:val="7A2539B8"/>
    <w:rsid w:val="7A402979"/>
    <w:rsid w:val="7A8A28F0"/>
    <w:rsid w:val="7B152B59"/>
    <w:rsid w:val="7B446F7D"/>
    <w:rsid w:val="7B9C6BAB"/>
    <w:rsid w:val="7BDB0159"/>
    <w:rsid w:val="7C036DFE"/>
    <w:rsid w:val="7C2823C0"/>
    <w:rsid w:val="7C831E35"/>
    <w:rsid w:val="7CDB1C52"/>
    <w:rsid w:val="7CEF54E6"/>
    <w:rsid w:val="7D3E0D74"/>
    <w:rsid w:val="7D4C4895"/>
    <w:rsid w:val="7D594108"/>
    <w:rsid w:val="7DA42404"/>
    <w:rsid w:val="7DBB54B6"/>
    <w:rsid w:val="7E874E3F"/>
    <w:rsid w:val="7E941F8F"/>
    <w:rsid w:val="7FB64F23"/>
    <w:rsid w:val="7FE74E67"/>
    <w:rsid w:val="7FF411D7"/>
    <w:rsid w:val="7FF749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nhideWhenUsed="0" w:uiPriority="1" w:semiHidden="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0" w:semiHidden="0" w:name="toc 2"/>
    <w:lsdException w:qFormat="1" w:unhideWhenUsed="0" w:uiPriority="39"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iPriority="99"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iPriority="9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0"/>
    <w:pPr>
      <w:keepNext/>
      <w:keepLines/>
      <w:spacing w:line="360" w:lineRule="auto"/>
      <w:outlineLvl w:val="0"/>
    </w:pPr>
    <w:rPr>
      <w:b/>
      <w:bCs/>
      <w:kern w:val="44"/>
      <w:sz w:val="32"/>
      <w:szCs w:val="44"/>
    </w:rPr>
  </w:style>
  <w:style w:type="paragraph" w:styleId="2">
    <w:name w:val="heading 2"/>
    <w:basedOn w:val="1"/>
    <w:next w:val="1"/>
    <w:qFormat/>
    <w:uiPriority w:val="0"/>
    <w:pPr>
      <w:keepNext/>
      <w:spacing w:line="600" w:lineRule="exact"/>
      <w:outlineLvl w:val="1"/>
    </w:pPr>
    <w:rPr>
      <w:rFonts w:ascii="宋体" w:hAnsi="宋体"/>
      <w:b/>
      <w:sz w:val="28"/>
      <w:szCs w:val="20"/>
    </w:rPr>
  </w:style>
  <w:style w:type="paragraph" w:styleId="4">
    <w:name w:val="heading 3"/>
    <w:basedOn w:val="1"/>
    <w:next w:val="1"/>
    <w:qFormat/>
    <w:uiPriority w:val="0"/>
    <w:pPr>
      <w:keepNext/>
      <w:keepLines/>
      <w:spacing w:line="360" w:lineRule="auto"/>
      <w:outlineLvl w:val="2"/>
    </w:pPr>
    <w:rPr>
      <w:b/>
      <w:bCs/>
      <w:sz w:val="24"/>
      <w:szCs w:val="32"/>
    </w:rPr>
  </w:style>
  <w:style w:type="paragraph" w:styleId="5">
    <w:name w:val="heading 4"/>
    <w:basedOn w:val="1"/>
    <w:next w:val="1"/>
    <w:qFormat/>
    <w:uiPriority w:val="0"/>
    <w:pPr>
      <w:keepNext/>
      <w:keepLines/>
      <w:spacing w:before="280" w:after="290" w:line="374" w:lineRule="auto"/>
      <w:outlineLvl w:val="3"/>
    </w:pPr>
    <w:rPr>
      <w:rFonts w:ascii="Arial" w:hAnsi="Arial" w:eastAsia="黑体"/>
      <w:b/>
      <w:bCs/>
      <w:sz w:val="28"/>
      <w:szCs w:val="28"/>
    </w:rPr>
  </w:style>
  <w:style w:type="paragraph" w:styleId="6">
    <w:name w:val="heading 8"/>
    <w:basedOn w:val="1"/>
    <w:next w:val="1"/>
    <w:qFormat/>
    <w:uiPriority w:val="1"/>
    <w:pPr>
      <w:spacing w:before="34"/>
      <w:ind w:left="999"/>
      <w:outlineLvl w:val="7"/>
    </w:pPr>
    <w:rPr>
      <w:rFonts w:ascii="微软雅黑" w:hAnsi="微软雅黑" w:eastAsia="微软雅黑" w:cs="微软雅黑"/>
      <w:sz w:val="22"/>
      <w:szCs w:val="22"/>
    </w:r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7">
    <w:name w:val="Normal Indent"/>
    <w:basedOn w:val="1"/>
    <w:qFormat/>
    <w:uiPriority w:val="0"/>
    <w:pPr>
      <w:ind w:firstLine="420" w:firstLineChars="200"/>
    </w:pPr>
  </w:style>
  <w:style w:type="paragraph" w:styleId="8">
    <w:name w:val="annotation text"/>
    <w:basedOn w:val="1"/>
    <w:link w:val="54"/>
    <w:qFormat/>
    <w:uiPriority w:val="0"/>
    <w:pPr>
      <w:jc w:val="left"/>
    </w:pPr>
  </w:style>
  <w:style w:type="paragraph" w:styleId="9">
    <w:name w:val="Body Text"/>
    <w:basedOn w:val="1"/>
    <w:next w:val="10"/>
    <w:qFormat/>
    <w:uiPriority w:val="0"/>
    <w:pPr>
      <w:spacing w:line="360" w:lineRule="auto"/>
      <w:jc w:val="left"/>
    </w:pPr>
    <w:rPr>
      <w:rFonts w:eastAsia="仿宋_GB2312"/>
      <w:kern w:val="0"/>
      <w:sz w:val="28"/>
      <w:szCs w:val="28"/>
    </w:rPr>
  </w:style>
  <w:style w:type="paragraph" w:customStyle="1" w:styleId="10">
    <w:name w:val="Default"/>
    <w:next w:val="1"/>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styleId="11">
    <w:name w:val="Body Text Indent"/>
    <w:basedOn w:val="1"/>
    <w:qFormat/>
    <w:uiPriority w:val="0"/>
    <w:pPr>
      <w:widowControl/>
      <w:ind w:firstLine="567"/>
    </w:pPr>
    <w:rPr>
      <w:kern w:val="0"/>
      <w:sz w:val="24"/>
      <w:szCs w:val="20"/>
    </w:rPr>
  </w:style>
  <w:style w:type="paragraph" w:styleId="12">
    <w:name w:val="toc 3"/>
    <w:basedOn w:val="1"/>
    <w:next w:val="1"/>
    <w:qFormat/>
    <w:uiPriority w:val="39"/>
    <w:pPr>
      <w:ind w:left="420"/>
      <w:jc w:val="left"/>
    </w:pPr>
    <w:rPr>
      <w:i/>
      <w:iCs/>
      <w:sz w:val="20"/>
      <w:szCs w:val="20"/>
    </w:rPr>
  </w:style>
  <w:style w:type="paragraph" w:styleId="13">
    <w:name w:val="Plain Text"/>
    <w:basedOn w:val="1"/>
    <w:link w:val="51"/>
    <w:qFormat/>
    <w:uiPriority w:val="0"/>
    <w:pPr>
      <w:spacing w:line="360" w:lineRule="auto"/>
      <w:ind w:left="120" w:hanging="120"/>
      <w:jc w:val="center"/>
    </w:pPr>
    <w:rPr>
      <w:rFonts w:ascii="宋体" w:hAnsi="Courier New" w:eastAsia="仿宋_GB2312"/>
      <w:kern w:val="0"/>
      <w:sz w:val="28"/>
      <w:szCs w:val="28"/>
    </w:rPr>
  </w:style>
  <w:style w:type="paragraph" w:styleId="14">
    <w:name w:val="Body Text Indent 2"/>
    <w:basedOn w:val="1"/>
    <w:qFormat/>
    <w:uiPriority w:val="0"/>
    <w:pPr>
      <w:spacing w:after="120" w:line="480" w:lineRule="auto"/>
      <w:ind w:left="420"/>
    </w:pPr>
    <w:rPr>
      <w:szCs w:val="20"/>
    </w:rPr>
  </w:style>
  <w:style w:type="paragraph" w:styleId="15">
    <w:name w:val="footer"/>
    <w:basedOn w:val="1"/>
    <w:qFormat/>
    <w:uiPriority w:val="0"/>
    <w:pPr>
      <w:tabs>
        <w:tab w:val="center" w:pos="4153"/>
        <w:tab w:val="right" w:pos="8306"/>
      </w:tabs>
      <w:snapToGrid w:val="0"/>
      <w:jc w:val="left"/>
    </w:pPr>
    <w:rPr>
      <w:sz w:val="18"/>
      <w:szCs w:val="18"/>
    </w:rPr>
  </w:style>
  <w:style w:type="paragraph" w:styleId="16">
    <w:name w:val="envelope return"/>
    <w:basedOn w:val="1"/>
    <w:qFormat/>
    <w:uiPriority w:val="0"/>
    <w:pPr>
      <w:snapToGrid w:val="0"/>
    </w:pPr>
    <w:rPr>
      <w:rFonts w:ascii="Arial" w:hAnsi="Arial"/>
    </w:rPr>
  </w:style>
  <w:style w:type="paragraph" w:styleId="17">
    <w:name w:val="header"/>
    <w:basedOn w:val="1"/>
    <w:next w:val="9"/>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8">
    <w:name w:val="toc 1"/>
    <w:basedOn w:val="1"/>
    <w:next w:val="1"/>
    <w:qFormat/>
    <w:uiPriority w:val="39"/>
    <w:pPr>
      <w:spacing w:before="120" w:after="120"/>
      <w:jc w:val="left"/>
    </w:pPr>
    <w:rPr>
      <w:b/>
      <w:bCs/>
      <w:caps/>
      <w:sz w:val="20"/>
      <w:szCs w:val="20"/>
    </w:rPr>
  </w:style>
  <w:style w:type="paragraph" w:styleId="19">
    <w:name w:val="toc 2"/>
    <w:basedOn w:val="1"/>
    <w:next w:val="1"/>
    <w:qFormat/>
    <w:uiPriority w:val="0"/>
    <w:pPr>
      <w:ind w:left="420" w:leftChars="200"/>
    </w:pPr>
  </w:style>
  <w:style w:type="paragraph" w:styleId="20">
    <w:name w:val="Body Text 2"/>
    <w:basedOn w:val="1"/>
    <w:next w:val="9"/>
    <w:qFormat/>
    <w:uiPriority w:val="0"/>
    <w:pPr>
      <w:spacing w:line="360" w:lineRule="auto"/>
      <w:ind w:firstLine="480" w:firstLineChars="200"/>
    </w:pPr>
    <w:rPr>
      <w:rFonts w:ascii="仿宋_GB2312" w:hAnsi="宋体" w:eastAsia="仿宋_GB2312"/>
      <w:sz w:val="24"/>
      <w:szCs w:val="20"/>
    </w:rPr>
  </w:style>
  <w:style w:type="paragraph" w:styleId="21">
    <w:name w:val="Normal (Web)"/>
    <w:basedOn w:val="1"/>
    <w:qFormat/>
    <w:uiPriority w:val="99"/>
    <w:pPr>
      <w:widowControl/>
      <w:spacing w:before="100" w:after="100"/>
      <w:jc w:val="left"/>
    </w:pPr>
    <w:rPr>
      <w:rFonts w:ascii="宋体" w:hAnsi="宋体"/>
      <w:kern w:val="0"/>
      <w:sz w:val="24"/>
      <w:szCs w:val="20"/>
    </w:rPr>
  </w:style>
  <w:style w:type="paragraph" w:styleId="22">
    <w:name w:val="Title"/>
    <w:basedOn w:val="1"/>
    <w:next w:val="1"/>
    <w:qFormat/>
    <w:uiPriority w:val="0"/>
    <w:pPr>
      <w:jc w:val="center"/>
      <w:outlineLvl w:val="0"/>
    </w:pPr>
    <w:rPr>
      <w:b/>
      <w:sz w:val="32"/>
      <w:szCs w:val="20"/>
    </w:rPr>
  </w:style>
  <w:style w:type="paragraph" w:styleId="23">
    <w:name w:val="annotation subject"/>
    <w:basedOn w:val="8"/>
    <w:next w:val="8"/>
    <w:link w:val="55"/>
    <w:qFormat/>
    <w:uiPriority w:val="0"/>
    <w:rPr>
      <w:b/>
      <w:bCs/>
    </w:rPr>
  </w:style>
  <w:style w:type="paragraph" w:styleId="24">
    <w:name w:val="Body Text First Indent"/>
    <w:basedOn w:val="9"/>
    <w:next w:val="25"/>
    <w:unhideWhenUsed/>
    <w:qFormat/>
    <w:uiPriority w:val="99"/>
    <w:pPr>
      <w:ind w:firstLine="420" w:firstLineChars="100"/>
    </w:pPr>
  </w:style>
  <w:style w:type="paragraph" w:styleId="25">
    <w:name w:val="Body Text First Indent 2"/>
    <w:basedOn w:val="11"/>
    <w:next w:val="9"/>
    <w:unhideWhenUsed/>
    <w:qFormat/>
    <w:uiPriority w:val="99"/>
    <w:pPr>
      <w:ind w:firstLine="420" w:firstLineChars="200"/>
    </w:pPr>
  </w:style>
  <w:style w:type="table" w:styleId="27">
    <w:name w:val="Table Grid"/>
    <w:basedOn w:val="26"/>
    <w:unhideWhenUsed/>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basedOn w:val="28"/>
    <w:qFormat/>
    <w:uiPriority w:val="0"/>
    <w:rPr>
      <w:b/>
      <w:bCs/>
    </w:rPr>
  </w:style>
  <w:style w:type="character" w:styleId="30">
    <w:name w:val="page number"/>
    <w:basedOn w:val="28"/>
    <w:qFormat/>
    <w:uiPriority w:val="0"/>
  </w:style>
  <w:style w:type="character" w:styleId="31">
    <w:name w:val="FollowedHyperlink"/>
    <w:basedOn w:val="28"/>
    <w:qFormat/>
    <w:uiPriority w:val="0"/>
    <w:rPr>
      <w:color w:val="444444"/>
      <w:sz w:val="21"/>
      <w:szCs w:val="21"/>
      <w:u w:val="none"/>
    </w:rPr>
  </w:style>
  <w:style w:type="character" w:styleId="32">
    <w:name w:val="Emphasis"/>
    <w:basedOn w:val="28"/>
    <w:qFormat/>
    <w:uiPriority w:val="0"/>
    <w:rPr>
      <w:b/>
      <w:bCs/>
    </w:rPr>
  </w:style>
  <w:style w:type="character" w:styleId="33">
    <w:name w:val="HTML Definition"/>
    <w:basedOn w:val="28"/>
    <w:qFormat/>
    <w:uiPriority w:val="0"/>
  </w:style>
  <w:style w:type="character" w:styleId="34">
    <w:name w:val="HTML Typewriter"/>
    <w:basedOn w:val="28"/>
    <w:qFormat/>
    <w:uiPriority w:val="0"/>
    <w:rPr>
      <w:rFonts w:hint="default" w:ascii="monospace" w:hAnsi="monospace" w:eastAsia="monospace" w:cs="monospace"/>
      <w:sz w:val="20"/>
    </w:rPr>
  </w:style>
  <w:style w:type="character" w:styleId="35">
    <w:name w:val="HTML Acronym"/>
    <w:basedOn w:val="28"/>
    <w:qFormat/>
    <w:uiPriority w:val="0"/>
  </w:style>
  <w:style w:type="character" w:styleId="36">
    <w:name w:val="HTML Variable"/>
    <w:basedOn w:val="28"/>
    <w:qFormat/>
    <w:uiPriority w:val="0"/>
  </w:style>
  <w:style w:type="character" w:styleId="37">
    <w:name w:val="Hyperlink"/>
    <w:basedOn w:val="28"/>
    <w:qFormat/>
    <w:uiPriority w:val="0"/>
    <w:rPr>
      <w:color w:val="444444"/>
      <w:sz w:val="21"/>
      <w:szCs w:val="21"/>
      <w:u w:val="none"/>
    </w:rPr>
  </w:style>
  <w:style w:type="character" w:styleId="38">
    <w:name w:val="HTML Code"/>
    <w:basedOn w:val="28"/>
    <w:qFormat/>
    <w:uiPriority w:val="0"/>
    <w:rPr>
      <w:rFonts w:ascii="monospace" w:hAnsi="monospace" w:eastAsia="monospace" w:cs="monospace"/>
      <w:sz w:val="20"/>
    </w:rPr>
  </w:style>
  <w:style w:type="character" w:styleId="39">
    <w:name w:val="annotation reference"/>
    <w:basedOn w:val="28"/>
    <w:qFormat/>
    <w:uiPriority w:val="0"/>
    <w:rPr>
      <w:sz w:val="21"/>
      <w:szCs w:val="21"/>
    </w:rPr>
  </w:style>
  <w:style w:type="character" w:styleId="40">
    <w:name w:val="HTML Cite"/>
    <w:basedOn w:val="28"/>
    <w:qFormat/>
    <w:uiPriority w:val="0"/>
  </w:style>
  <w:style w:type="character" w:styleId="41">
    <w:name w:val="HTML Keyboard"/>
    <w:basedOn w:val="28"/>
    <w:qFormat/>
    <w:uiPriority w:val="0"/>
    <w:rPr>
      <w:rFonts w:hint="default" w:ascii="monospace" w:hAnsi="monospace" w:eastAsia="monospace" w:cs="monospace"/>
      <w:color w:val="FFFFFF"/>
      <w:sz w:val="19"/>
      <w:szCs w:val="19"/>
      <w:bdr w:val="single" w:color="auto" w:sz="2" w:space="0"/>
      <w:shd w:val="clear" w:color="auto" w:fill="F6F6F6"/>
    </w:rPr>
  </w:style>
  <w:style w:type="character" w:styleId="42">
    <w:name w:val="HTML Sample"/>
    <w:basedOn w:val="28"/>
    <w:qFormat/>
    <w:uiPriority w:val="0"/>
    <w:rPr>
      <w:rFonts w:hint="default" w:ascii="monospace" w:hAnsi="monospace" w:eastAsia="monospace" w:cs="monospace"/>
    </w:rPr>
  </w:style>
  <w:style w:type="paragraph" w:customStyle="1" w:styleId="43">
    <w:name w:val="style4"/>
    <w:basedOn w:val="1"/>
    <w:next w:val="44"/>
    <w:qFormat/>
    <w:uiPriority w:val="0"/>
    <w:pPr>
      <w:widowControl/>
      <w:spacing w:before="280" w:after="280"/>
    </w:pPr>
    <w:rPr>
      <w:sz w:val="18"/>
    </w:rPr>
  </w:style>
  <w:style w:type="paragraph" w:customStyle="1" w:styleId="44">
    <w:name w:val="2"/>
    <w:next w:val="1"/>
    <w:qFormat/>
    <w:uiPriority w:val="0"/>
    <w:pPr>
      <w:widowControl w:val="0"/>
      <w:jc w:val="both"/>
    </w:pPr>
    <w:rPr>
      <w:rFonts w:ascii="Times New Roman" w:hAnsi="Times New Roman" w:eastAsia="宋体" w:cs="Times New Roman"/>
      <w:sz w:val="21"/>
      <w:szCs w:val="22"/>
      <w:lang w:val="en-US" w:eastAsia="zh-CN" w:bidi="ar-SA"/>
    </w:rPr>
  </w:style>
  <w:style w:type="paragraph" w:customStyle="1" w:styleId="45">
    <w:name w:val="无间隔1"/>
    <w:basedOn w:val="1"/>
    <w:qFormat/>
    <w:uiPriority w:val="1"/>
    <w:pPr>
      <w:spacing w:line="400" w:lineRule="exact"/>
    </w:pPr>
    <w:rPr>
      <w:sz w:val="24"/>
    </w:rPr>
  </w:style>
  <w:style w:type="paragraph" w:customStyle="1" w:styleId="46">
    <w:name w:val="样式 标题 2 + Times New Roman 四号 非加粗 段前: 5 磅 段后: 0 磅 行距: 固定值 20..."/>
    <w:basedOn w:val="2"/>
    <w:qFormat/>
    <w:uiPriority w:val="0"/>
    <w:pPr>
      <w:keepLines/>
      <w:spacing w:before="100" w:line="400" w:lineRule="exact"/>
    </w:pPr>
    <w:rPr>
      <w:rFonts w:ascii="Times New Roman" w:hAnsi="Times New Roman" w:eastAsia="黑体" w:cs="宋体"/>
      <w:b w:val="0"/>
    </w:rPr>
  </w:style>
  <w:style w:type="paragraph" w:customStyle="1" w:styleId="47">
    <w:name w:val="表格文字样式"/>
    <w:basedOn w:val="1"/>
    <w:qFormat/>
    <w:uiPriority w:val="99"/>
    <w:rPr>
      <w:rFonts w:eastAsia="仿宋"/>
      <w:sz w:val="24"/>
      <w:szCs w:val="21"/>
    </w:rPr>
  </w:style>
  <w:style w:type="paragraph" w:styleId="48">
    <w:name w:val="List Paragraph"/>
    <w:basedOn w:val="1"/>
    <w:qFormat/>
    <w:uiPriority w:val="0"/>
    <w:pPr>
      <w:adjustRightInd w:val="0"/>
      <w:snapToGrid w:val="0"/>
      <w:spacing w:line="360" w:lineRule="auto"/>
      <w:ind w:firstLine="420" w:firstLineChars="200"/>
    </w:pPr>
    <w:rPr>
      <w:color w:val="000000"/>
      <w:szCs w:val="21"/>
    </w:rPr>
  </w:style>
  <w:style w:type="paragraph" w:customStyle="1" w:styleId="49">
    <w:name w:val="列出段落1"/>
    <w:basedOn w:val="1"/>
    <w:qFormat/>
    <w:uiPriority w:val="34"/>
    <w:pPr>
      <w:ind w:firstLine="420" w:firstLineChars="200"/>
    </w:pPr>
  </w:style>
  <w:style w:type="paragraph" w:customStyle="1" w:styleId="50">
    <w:name w:val="正文_5_0"/>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51">
    <w:name w:val="纯文本 字符"/>
    <w:link w:val="13"/>
    <w:qFormat/>
    <w:uiPriority w:val="0"/>
    <w:rPr>
      <w:rFonts w:ascii="宋体" w:hAnsi="Courier New" w:eastAsia="仿宋_GB2312"/>
      <w:kern w:val="0"/>
      <w:sz w:val="28"/>
      <w:szCs w:val="28"/>
    </w:rPr>
  </w:style>
  <w:style w:type="paragraph" w:customStyle="1" w:styleId="52">
    <w:name w:val="正文_13_0"/>
    <w:qFormat/>
    <w:uiPriority w:val="0"/>
    <w:pPr>
      <w:widowControl w:val="0"/>
      <w:jc w:val="both"/>
    </w:pPr>
    <w:rPr>
      <w:rFonts w:ascii="Times New Roman" w:hAnsi="Times New Roman" w:eastAsia="宋体" w:cs="Times New Roman"/>
      <w:kern w:val="2"/>
      <w:sz w:val="21"/>
      <w:szCs w:val="21"/>
      <w:lang w:val="en-US" w:eastAsia="zh-CN" w:bidi="ar-SA"/>
    </w:rPr>
  </w:style>
  <w:style w:type="paragraph" w:customStyle="1" w:styleId="53">
    <w:name w:val="表格"/>
    <w:basedOn w:val="1"/>
    <w:qFormat/>
    <w:uiPriority w:val="0"/>
    <w:rPr>
      <w:szCs w:val="21"/>
    </w:rPr>
  </w:style>
  <w:style w:type="character" w:customStyle="1" w:styleId="54">
    <w:name w:val="批注文字 字符"/>
    <w:basedOn w:val="28"/>
    <w:link w:val="8"/>
    <w:qFormat/>
    <w:uiPriority w:val="0"/>
    <w:rPr>
      <w:rFonts w:eastAsia="宋体"/>
      <w:kern w:val="2"/>
      <w:sz w:val="21"/>
      <w:szCs w:val="24"/>
    </w:rPr>
  </w:style>
  <w:style w:type="character" w:customStyle="1" w:styleId="55">
    <w:name w:val="批注主题 字符"/>
    <w:basedOn w:val="54"/>
    <w:link w:val="23"/>
    <w:qFormat/>
    <w:uiPriority w:val="0"/>
    <w:rPr>
      <w:rFonts w:eastAsia="宋体"/>
      <w:b/>
      <w:bCs/>
      <w:kern w:val="2"/>
      <w:sz w:val="21"/>
      <w:szCs w:val="24"/>
    </w:rPr>
  </w:style>
  <w:style w:type="paragraph" w:customStyle="1" w:styleId="56">
    <w:name w:val="列表段落1"/>
    <w:basedOn w:val="1"/>
    <w:qFormat/>
    <w:uiPriority w:val="99"/>
    <w:pPr>
      <w:spacing w:line="400" w:lineRule="exact"/>
      <w:ind w:firstLine="200" w:firstLineChars="200"/>
    </w:pPr>
    <w:rPr>
      <w:rFonts w:asciiTheme="minorHAnsi" w:hAnsiTheme="minorHAnsi" w:eastAsiaTheme="minorEastAsia" w:cstheme="minorBidi"/>
      <w:szCs w:val="22"/>
    </w:rPr>
  </w:style>
  <w:style w:type="paragraph" w:customStyle="1" w:styleId="57">
    <w:name w:val="Table Paragraph"/>
    <w:basedOn w:val="1"/>
    <w:qFormat/>
    <w:uiPriority w:val="1"/>
    <w:rPr>
      <w:rFonts w:ascii="宋体" w:hAnsi="宋体" w:cs="宋体"/>
    </w:rPr>
  </w:style>
  <w:style w:type="character" w:customStyle="1" w:styleId="58">
    <w:name w:val="hover17"/>
    <w:basedOn w:val="28"/>
    <w:qFormat/>
    <w:uiPriority w:val="0"/>
  </w:style>
  <w:style w:type="character" w:customStyle="1" w:styleId="59">
    <w:name w:val="hover15"/>
    <w:basedOn w:val="28"/>
    <w:qFormat/>
    <w:uiPriority w:val="0"/>
  </w:style>
  <w:style w:type="character" w:customStyle="1" w:styleId="60">
    <w:name w:val="mini-outputtext1"/>
    <w:basedOn w:val="28"/>
    <w:qFormat/>
    <w:uiPriority w:val="0"/>
  </w:style>
  <w:style w:type="paragraph" w:customStyle="1" w:styleId="61">
    <w:name w:val="_Style 35"/>
    <w:basedOn w:val="1"/>
    <w:next w:val="48"/>
    <w:qFormat/>
    <w:uiPriority w:val="34"/>
    <w:pPr>
      <w:widowControl/>
      <w:ind w:firstLine="420" w:firstLineChars="200"/>
      <w:jc w:val="left"/>
    </w:pPr>
    <w:rPr>
      <w:kern w:val="0"/>
      <w:sz w:val="24"/>
    </w:rPr>
  </w:style>
  <w:style w:type="character" w:customStyle="1" w:styleId="62">
    <w:name w:val="hover18"/>
    <w:basedOn w:val="28"/>
    <w:qFormat/>
    <w:uiPriority w:val="0"/>
  </w:style>
  <w:style w:type="character" w:customStyle="1" w:styleId="63">
    <w:name w:val="NormalCharacter"/>
    <w:semiHidden/>
    <w:qFormat/>
    <w:uiPriority w:val="0"/>
  </w:style>
  <w:style w:type="character" w:customStyle="1" w:styleId="64">
    <w:name w:val="hover16"/>
    <w:basedOn w:val="28"/>
    <w:qFormat/>
    <w:uiPriority w:val="0"/>
  </w:style>
  <w:style w:type="character" w:customStyle="1" w:styleId="65">
    <w:name w:val="hover"/>
    <w:basedOn w:val="28"/>
    <w:qFormat/>
    <w:uiPriority w:val="0"/>
  </w:style>
  <w:style w:type="character" w:customStyle="1" w:styleId="66">
    <w:name w:val="icon_ds"/>
    <w:basedOn w:val="28"/>
    <w:qFormat/>
    <w:uiPriority w:val="0"/>
  </w:style>
  <w:style w:type="character" w:customStyle="1" w:styleId="67">
    <w:name w:val="fr"/>
    <w:basedOn w:val="28"/>
    <w:qFormat/>
    <w:uiPriority w:val="0"/>
  </w:style>
  <w:style w:type="character" w:customStyle="1" w:styleId="68">
    <w:name w:val="xiadan"/>
    <w:basedOn w:val="28"/>
    <w:qFormat/>
    <w:uiPriority w:val="0"/>
    <w:rPr>
      <w:shd w:val="clear" w:fill="E4393C"/>
    </w:rPr>
  </w:style>
  <w:style w:type="character" w:customStyle="1" w:styleId="69">
    <w:name w:val="first-child"/>
    <w:basedOn w:val="28"/>
    <w:qFormat/>
    <w:uiPriority w:val="0"/>
    <w:rPr>
      <w:color w:val="1F3149"/>
      <w:sz w:val="24"/>
      <w:szCs w:val="24"/>
    </w:rPr>
  </w:style>
  <w:style w:type="character" w:customStyle="1" w:styleId="70">
    <w:name w:val="first-child1"/>
    <w:basedOn w:val="28"/>
    <w:qFormat/>
    <w:uiPriority w:val="0"/>
    <w:rPr>
      <w:color w:val="1F3149"/>
      <w:sz w:val="24"/>
      <w:szCs w:val="24"/>
    </w:rPr>
  </w:style>
  <w:style w:type="character" w:customStyle="1" w:styleId="71">
    <w:name w:val="first-child2"/>
    <w:basedOn w:val="28"/>
    <w:qFormat/>
    <w:uiPriority w:val="0"/>
  </w:style>
  <w:style w:type="character" w:customStyle="1" w:styleId="72">
    <w:name w:val="first-child3"/>
    <w:basedOn w:val="28"/>
    <w:qFormat/>
    <w:uiPriority w:val="0"/>
  </w:style>
  <w:style w:type="character" w:customStyle="1" w:styleId="73">
    <w:name w:val="icon_gys"/>
    <w:basedOn w:val="28"/>
    <w:qFormat/>
    <w:uiPriority w:val="0"/>
    <w:rPr>
      <w:sz w:val="21"/>
      <w:szCs w:val="21"/>
    </w:rPr>
  </w:style>
  <w:style w:type="character" w:customStyle="1" w:styleId="74">
    <w:name w:val="color-blue"/>
    <w:basedOn w:val="28"/>
    <w:qFormat/>
    <w:uiPriority w:val="0"/>
    <w:rPr>
      <w:color w:val="3F88CA"/>
      <w:sz w:val="18"/>
      <w:szCs w:val="18"/>
      <w:bdr w:val="single" w:color="3F88CA" w:sz="6" w:space="0"/>
    </w:rPr>
  </w:style>
  <w:style w:type="character" w:customStyle="1" w:styleId="75">
    <w:name w:val="color-yellow"/>
    <w:basedOn w:val="28"/>
    <w:qFormat/>
    <w:uiPriority w:val="0"/>
    <w:rPr>
      <w:color w:val="FAAD14"/>
      <w:sz w:val="18"/>
      <w:szCs w:val="18"/>
      <w:bdr w:val="single" w:color="FAAD14" w:sz="6" w:space="0"/>
    </w:rPr>
  </w:style>
  <w:style w:type="character" w:customStyle="1" w:styleId="76">
    <w:name w:val="color-yellow1"/>
    <w:basedOn w:val="28"/>
    <w:qFormat/>
    <w:uiPriority w:val="0"/>
    <w:rPr>
      <w:color w:val="FAAD14"/>
      <w:sz w:val="18"/>
      <w:szCs w:val="18"/>
      <w:bdr w:val="single" w:color="FAAD14" w:sz="6" w:space="0"/>
    </w:rPr>
  </w:style>
  <w:style w:type="character" w:customStyle="1" w:styleId="77">
    <w:name w:val="icon_ds1"/>
    <w:basedOn w:val="28"/>
    <w:qFormat/>
    <w:uiPriority w:val="0"/>
    <w:rPr>
      <w:sz w:val="21"/>
      <w:szCs w:val="21"/>
    </w:rPr>
  </w:style>
  <w:style w:type="character" w:customStyle="1" w:styleId="78">
    <w:name w:val="first-child4"/>
    <w:basedOn w:val="28"/>
    <w:qFormat/>
    <w:uiPriority w:val="0"/>
  </w:style>
  <w:style w:type="paragraph" w:customStyle="1" w:styleId="79">
    <w:name w:val="样式1"/>
    <w:basedOn w:val="17"/>
    <w:next w:val="1"/>
    <w:qFormat/>
    <w:uiPriority w:val="0"/>
    <w:pPr>
      <w:widowControl w:val="0"/>
      <w:pBdr>
        <w:bottom w:val="none" w:color="auto" w:sz="0" w:space="0"/>
      </w:pBdr>
      <w:snapToGrid w:val="0"/>
      <w:jc w:val="center"/>
    </w:pPr>
    <w:rPr>
      <w:rFonts w:ascii="Times New Roman" w:hAnsi="Times New Roman" w:eastAsia="宋体" w:cs="Times New Roman"/>
      <w:kern w:val="2"/>
      <w:sz w:val="18"/>
      <w:szCs w:val="18"/>
      <w:lang w:val="en-US" w:eastAsia="zh-CN" w:bidi="ar-SA"/>
    </w:rPr>
  </w:style>
  <w:style w:type="character" w:customStyle="1" w:styleId="80">
    <w:name w:val="font31"/>
    <w:basedOn w:val="28"/>
    <w:qFormat/>
    <w:uiPriority w:val="0"/>
    <w:rPr>
      <w:rFonts w:hint="eastAsia" w:ascii="宋体" w:hAnsi="宋体" w:eastAsia="宋体" w:cs="宋体"/>
      <w:color w:val="000000"/>
      <w:sz w:val="18"/>
      <w:szCs w:val="18"/>
      <w:u w:val="none"/>
    </w:rPr>
  </w:style>
  <w:style w:type="character" w:customStyle="1" w:styleId="81">
    <w:name w:val="font21"/>
    <w:basedOn w:val="28"/>
    <w:qFormat/>
    <w:uiPriority w:val="0"/>
    <w:rPr>
      <w:rFonts w:hint="eastAsia" w:ascii="微软雅黑" w:hAnsi="微软雅黑" w:eastAsia="微软雅黑" w:cs="微软雅黑"/>
      <w:color w:val="000000"/>
      <w:sz w:val="18"/>
      <w:szCs w:val="18"/>
      <w:u w:val="none"/>
    </w:rPr>
  </w:style>
  <w:style w:type="paragraph" w:customStyle="1" w:styleId="82">
    <w:name w:val="正文1"/>
    <w:basedOn w:val="1"/>
    <w:qFormat/>
    <w:uiPriority w:val="0"/>
    <w:pPr>
      <w:widowControl/>
    </w:pPr>
    <w:rPr>
      <w:rFonts w:ascii="Calibri" w:hAnsi="Calibri" w:eastAsia="Times New Roman" w:cs="Times New Roman"/>
      <w:kern w:val="0"/>
      <w:szCs w:val="20"/>
      <w:lang w:val="zh-CN"/>
    </w:rPr>
  </w:style>
  <w:style w:type="paragraph" w:customStyle="1" w:styleId="83">
    <w:name w:val="无间隔2"/>
    <w:basedOn w:val="1"/>
    <w:qFormat/>
    <w:uiPriority w:val="1"/>
    <w:pPr>
      <w:spacing w:line="400" w:lineRule="exact"/>
    </w:pPr>
    <w:rPr>
      <w:sz w:val="24"/>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header" Target="header2.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image" Target="media/image2.png"/><Relationship Id="rId14" Type="http://schemas.openxmlformats.org/officeDocument/2006/relationships/image" Target="media/image1.png"/><Relationship Id="rId13" Type="http://schemas.openxmlformats.org/officeDocument/2006/relationships/theme" Target="theme/theme1.xml"/><Relationship Id="rId12" Type="http://schemas.openxmlformats.org/officeDocument/2006/relationships/footer" Target="footer7.xml"/><Relationship Id="rId11" Type="http://schemas.openxmlformats.org/officeDocument/2006/relationships/header" Target="header3.xml"/><Relationship Id="rId10" Type="http://schemas.openxmlformats.org/officeDocument/2006/relationships/footer" Target="footer6.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83</Pages>
  <Words>36679</Words>
  <Characters>38930</Characters>
  <Lines>232</Lines>
  <Paragraphs>65</Paragraphs>
  <TotalTime>72</TotalTime>
  <ScaleCrop>false</ScaleCrop>
  <LinksUpToDate>false</LinksUpToDate>
  <CharactersWithSpaces>41380</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2022-03-30T08:34:00Z</dcterms:created>
  <dc:creator>Administrator</dc:creator>
  <cp:lastModifiedBy>WPS_255901834</cp:lastModifiedBy>
  <cp:lastPrinted>2023-09-27T07:22:00Z</cp:lastPrinted>
  <dcterms:modified xsi:type="dcterms:W3CDTF">2024-09-20T09:10:11Z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ED300EA7DB2347A394B484BDE202913D_13</vt:lpwstr>
  </property>
  <property fmtid="{D5CDD505-2E9C-101B-9397-08002B2CF9AE}" pid="4" name="commondata">
    <vt:lpwstr>eyJoZGlkIjoiNzYwNTk3NTZhMWQ0ZjYyNGU1YTczOTg4YTI2ZTM2MGQifQ==</vt:lpwstr>
  </property>
</Properties>
</file>