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bookmarkStart w:id="382" w:name="_GoBack"/>
      <w:bookmarkEnd w:id="382"/>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河南省儿童医院郑州儿童医院</w:t>
      </w:r>
      <w:r>
        <w:rPr>
          <w:rFonts w:hint="eastAsia" w:ascii="Times New Roman" w:hAnsi="Times New Roman" w:eastAsia="宋体" w:cs="Times New Roman"/>
          <w:b/>
          <w:bCs/>
          <w:color w:val="000000" w:themeColor="text1"/>
          <w:kern w:val="0"/>
          <w:sz w:val="48"/>
          <w:szCs w:val="48"/>
          <w:lang w:val="en-US" w:eastAsia="zh-CN"/>
          <w14:textFill>
            <w14:solidFill>
              <w14:schemeClr w14:val="tx1"/>
            </w14:solidFill>
          </w14:textFill>
        </w:rPr>
        <w:t>2021年度第十四批医疗设备</w:t>
      </w: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spacing w:val="0"/>
          <w:kern w:val="0"/>
          <w:sz w:val="84"/>
          <w:szCs w:val="84"/>
          <w:vertAlign w:val="baseline"/>
          <w:lang w:val="en-US" w:eastAsia="zh-CN"/>
          <w14:textFill>
            <w14:solidFill>
              <w14:schemeClr w14:val="tx1"/>
            </w14:solidFill>
          </w14:textFill>
        </w:rPr>
        <w:t>D包</w:t>
      </w: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left="1862" w:right="843" w:firstLine="665"/>
        <w:jc w:val="left"/>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r>
        <w:rPr>
          <w:rFonts w:hint="eastAsia" w:ascii="Times New Roman" w:hAnsi="Times New Roman" w:eastAsia="宋体" w:cs="Times New Roman"/>
          <w:b/>
          <w:bCs/>
          <w:color w:val="000000" w:themeColor="text1"/>
          <w:kern w:val="0"/>
          <w:sz w:val="28"/>
          <w:szCs w:val="28"/>
          <w:lang w:eastAsia="zh-CN"/>
          <w14:textFill>
            <w14:solidFill>
              <w14:schemeClr w14:val="tx1"/>
            </w14:solidFill>
          </w14:textFill>
        </w:rPr>
        <w:t>郑财招标采购-2022</w:t>
      </w:r>
      <w:r>
        <w:rPr>
          <w:rFonts w:hint="eastAsia" w:ascii="Times New Roman" w:hAnsi="Times New Roman" w:eastAsia="宋体" w:cs="Times New Roman"/>
          <w:b/>
          <w:bCs/>
          <w:color w:val="000000" w:themeColor="text1"/>
          <w:kern w:val="0"/>
          <w:sz w:val="28"/>
          <w:szCs w:val="28"/>
          <w:lang w:val="en-US" w:eastAsia="zh-CN"/>
          <w14:textFill>
            <w14:solidFill>
              <w14:schemeClr w14:val="tx1"/>
            </w14:solidFill>
          </w14:textFill>
        </w:rPr>
        <w:t>-101</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pStyle w:val="10"/>
        <w:ind w:firstLine="562"/>
        <w:rPr>
          <w:b/>
          <w:bCs/>
          <w:color w:val="000000" w:themeColor="text1"/>
          <w:sz w:val="28"/>
          <w:szCs w:val="28"/>
          <w14:textFill>
            <w14:solidFill>
              <w14:schemeClr w14:val="tx1"/>
            </w14:solidFill>
          </w14:textFill>
        </w:rPr>
      </w:pPr>
    </w:p>
    <w:p>
      <w:pPr>
        <w:pStyle w:val="21"/>
        <w:ind w:firstLine="562"/>
        <w:rPr>
          <w:rFonts w:ascii="Times New Roman" w:hAnsi="Times New Roman"/>
          <w:b/>
          <w:bCs/>
          <w:color w:val="000000" w:themeColor="text1"/>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0"/>
        <w:ind w:firstLine="562"/>
        <w:rPr>
          <w:b/>
          <w:bCs/>
          <w:color w:val="000000" w:themeColor="text1"/>
          <w:sz w:val="28"/>
          <w:szCs w:val="28"/>
          <w14:textFill>
            <w14:solidFill>
              <w14:schemeClr w14:val="tx1"/>
            </w14:solidFill>
          </w14:textFill>
        </w:rPr>
      </w:pPr>
    </w:p>
    <w:p>
      <w:pPr>
        <w:pStyle w:val="21"/>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人：河南省儿童医院郑州儿童医院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w:t>
      </w:r>
      <w:r>
        <w:rPr>
          <w:rFonts w:ascii="Times New Roman" w:hAnsi="Times New Roman" w:eastAsia="宋体" w:cs="Times New Roman"/>
          <w:b/>
          <w:bCs/>
          <w:color w:val="000000" w:themeColor="text1"/>
          <w:spacing w:val="103"/>
          <w:kern w:val="0"/>
          <w:sz w:val="30"/>
          <w:szCs w:val="30"/>
          <w14:textFill>
            <w14:solidFill>
              <w14:schemeClr w14:val="tx1"/>
            </w14:solidFill>
          </w14:textFill>
        </w:rPr>
        <w:t xml:space="preserve"> </w:t>
      </w:r>
      <w:r>
        <w:rPr>
          <w:rFonts w:hint="eastAsia" w:ascii="Times New Roman" w:hAnsi="Times New Roman" w:eastAsia="宋体" w:cs="Times New Roman"/>
          <w:b/>
          <w:bCs/>
          <w:color w:val="000000" w:themeColor="text1"/>
          <w:kern w:val="0"/>
          <w:sz w:val="30"/>
          <w:szCs w:val="30"/>
          <w14:textFill>
            <w14:solidFill>
              <w14:schemeClr w14:val="tx1"/>
            </w14:solidFill>
          </w14:textFill>
        </w:rPr>
        <w:t>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八</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tabs>
          <w:tab w:val="right" w:leader="dot" w:pos="9720"/>
        </w:tabs>
        <w:kinsoku w:val="0"/>
        <w:overflowPunct w:val="0"/>
        <w:autoSpaceDE w:val="0"/>
        <w:autoSpaceDN w:val="0"/>
        <w:adjustRightInd w:val="0"/>
        <w:spacing w:after="240" w:afterLines="100" w:line="360" w:lineRule="auto"/>
        <w:ind w:left="3583" w:right="3720"/>
        <w:jc w:val="center"/>
        <w:rPr>
          <w:rFonts w:ascii="Times New Roman" w:hAnsi="宋体" w:eastAsia="宋体" w:cs="Times New Roman"/>
          <w:color w:val="000000" w:themeColor="text1"/>
          <w:w w:val="98"/>
          <w:kern w:val="0"/>
          <w:sz w:val="32"/>
          <w:szCs w:val="32"/>
          <w14:textFill>
            <w14:solidFill>
              <w14:schemeClr w14:val="tx1"/>
            </w14:solidFill>
          </w14:textFill>
        </w:rPr>
      </w:pPr>
      <w:r>
        <w:rPr>
          <w:rFonts w:hint="eastAsia" w:ascii="Times New Roman" w:hAnsi="宋体" w:eastAsia="宋体" w:cs="Times New Roman"/>
          <w:color w:val="000000" w:themeColor="text1"/>
          <w:kern w:val="0"/>
          <w:sz w:val="32"/>
          <w:szCs w:val="32"/>
          <w14:textFill>
            <w14:solidFill>
              <w14:schemeClr w14:val="tx1"/>
            </w14:solidFill>
          </w14:textFill>
        </w:rPr>
        <w:t>目</w:t>
      </w:r>
      <w:r>
        <w:rPr>
          <w:rFonts w:ascii="Times New Roman" w:hAnsi="宋体" w:eastAsia="宋体" w:cs="Times New Roman"/>
          <w:color w:val="000000" w:themeColor="text1"/>
          <w:spacing w:val="159"/>
          <w:kern w:val="0"/>
          <w:sz w:val="32"/>
          <w:szCs w:val="32"/>
          <w14:textFill>
            <w14:solidFill>
              <w14:schemeClr w14:val="tx1"/>
            </w14:solidFill>
          </w14:textFill>
        </w:rPr>
        <w:t xml:space="preserve"> </w:t>
      </w:r>
      <w:r>
        <w:rPr>
          <w:rFonts w:hint="eastAsia" w:ascii="Times New Roman" w:hAnsi="宋体" w:eastAsia="宋体" w:cs="Times New Roman"/>
          <w:color w:val="000000" w:themeColor="text1"/>
          <w:kern w:val="0"/>
          <w:sz w:val="32"/>
          <w:szCs w:val="32"/>
          <w14:textFill>
            <w14:solidFill>
              <w14:schemeClr w14:val="tx1"/>
            </w14:solidFill>
          </w14:textFill>
        </w:rPr>
        <w:t>录</w:t>
      </w:r>
      <w:r>
        <w:rPr>
          <w:rFonts w:ascii="Times New Roman" w:hAnsi="宋体" w:eastAsia="宋体" w:cs="Times New Roman"/>
          <w:color w:val="000000" w:themeColor="text1"/>
          <w:w w:val="98"/>
          <w:kern w:val="0"/>
          <w:sz w:val="32"/>
          <w:szCs w:val="3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TOC \o "1-1" \h \u </w:instrText>
          </w:r>
          <w:r>
            <w:rPr>
              <w:sz w:val="21"/>
              <w:szCs w:val="21"/>
            </w:rPr>
            <w:fldChar w:fldCharType="separate"/>
          </w:r>
          <w:r>
            <w:rPr>
              <w:sz w:val="21"/>
              <w:szCs w:val="21"/>
            </w:rPr>
            <w:fldChar w:fldCharType="begin"/>
          </w:r>
          <w:r>
            <w:rPr>
              <w:sz w:val="21"/>
              <w:szCs w:val="21"/>
            </w:rPr>
            <w:instrText xml:space="preserve"> HYPERLINK \l _Toc7555 </w:instrText>
          </w:r>
          <w:r>
            <w:rPr>
              <w:sz w:val="21"/>
              <w:szCs w:val="21"/>
            </w:rPr>
            <w:fldChar w:fldCharType="separate"/>
          </w:r>
          <w:r>
            <w:rPr>
              <w:rFonts w:hint="eastAsia" w:ascii="宋体" w:hAnsi="Times New Roman" w:eastAsia="宋体" w:cs="宋体"/>
              <w:bCs/>
              <w:spacing w:val="-9"/>
              <w:kern w:val="0"/>
              <w:sz w:val="21"/>
              <w:szCs w:val="21"/>
            </w:rPr>
            <w:t xml:space="preserve">第一章 </w:t>
          </w:r>
          <w:r>
            <w:rPr>
              <w:rFonts w:hint="eastAsia" w:ascii="宋体" w:hAnsi="Times New Roman" w:eastAsia="宋体" w:cs="宋体"/>
              <w:bCs/>
              <w:kern w:val="0"/>
              <w:sz w:val="21"/>
              <w:szCs w:val="21"/>
            </w:rPr>
            <w:t>招标公告</w:t>
          </w:r>
          <w:r>
            <w:rPr>
              <w:sz w:val="21"/>
              <w:szCs w:val="21"/>
            </w:rPr>
            <w:tab/>
          </w:r>
          <w:r>
            <w:rPr>
              <w:sz w:val="21"/>
              <w:szCs w:val="21"/>
            </w:rPr>
            <w:fldChar w:fldCharType="begin"/>
          </w:r>
          <w:r>
            <w:rPr>
              <w:sz w:val="21"/>
              <w:szCs w:val="21"/>
            </w:rPr>
            <w:instrText xml:space="preserve"> PAGEREF _Toc7555 \h </w:instrText>
          </w:r>
          <w:r>
            <w:rPr>
              <w:sz w:val="21"/>
              <w:szCs w:val="21"/>
            </w:rPr>
            <w:fldChar w:fldCharType="separate"/>
          </w:r>
          <w:r>
            <w:rPr>
              <w:sz w:val="21"/>
              <w:szCs w:val="21"/>
            </w:rPr>
            <w:t>- 2 -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_Toc32573 </w:instrText>
          </w:r>
          <w:r>
            <w:rPr>
              <w:sz w:val="21"/>
              <w:szCs w:val="21"/>
            </w:rPr>
            <w:fldChar w:fldCharType="separate"/>
          </w:r>
          <w:r>
            <w:rPr>
              <w:rFonts w:hint="eastAsia" w:ascii="宋体" w:hAnsi="Times New Roman" w:eastAsia="宋体" w:cs="宋体"/>
              <w:bCs/>
              <w:spacing w:val="2"/>
              <w:kern w:val="0"/>
              <w:sz w:val="21"/>
              <w:szCs w:val="21"/>
            </w:rPr>
            <w:t>第二章</w:t>
          </w:r>
          <w:r>
            <w:rPr>
              <w:rFonts w:ascii="宋体" w:hAnsi="Times New Roman" w:eastAsia="宋体" w:cs="宋体"/>
              <w:bCs/>
              <w:spacing w:val="-11"/>
              <w:kern w:val="0"/>
              <w:sz w:val="21"/>
              <w:szCs w:val="21"/>
            </w:rPr>
            <w:t xml:space="preserve"> </w:t>
          </w:r>
          <w:r>
            <w:rPr>
              <w:rFonts w:hint="eastAsia" w:ascii="宋体" w:hAnsi="Times New Roman" w:eastAsia="宋体" w:cs="宋体"/>
              <w:bCs/>
              <w:kern w:val="0"/>
              <w:sz w:val="21"/>
              <w:szCs w:val="21"/>
            </w:rPr>
            <w:t>供应商须知供应商须知前附表</w:t>
          </w:r>
          <w:r>
            <w:rPr>
              <w:sz w:val="21"/>
              <w:szCs w:val="21"/>
            </w:rPr>
            <w:tab/>
          </w:r>
          <w:r>
            <w:rPr>
              <w:sz w:val="21"/>
              <w:szCs w:val="21"/>
            </w:rPr>
            <w:fldChar w:fldCharType="begin"/>
          </w:r>
          <w:r>
            <w:rPr>
              <w:sz w:val="21"/>
              <w:szCs w:val="21"/>
            </w:rPr>
            <w:instrText xml:space="preserve"> PAGEREF _Toc32573 \h </w:instrText>
          </w:r>
          <w:r>
            <w:rPr>
              <w:sz w:val="21"/>
              <w:szCs w:val="21"/>
            </w:rPr>
            <w:fldChar w:fldCharType="separate"/>
          </w:r>
          <w:r>
            <w:rPr>
              <w:sz w:val="21"/>
              <w:szCs w:val="21"/>
            </w:rPr>
            <w:t>- 6 -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_Toc14825 </w:instrText>
          </w:r>
          <w:r>
            <w:rPr>
              <w:sz w:val="21"/>
              <w:szCs w:val="21"/>
            </w:rPr>
            <w:fldChar w:fldCharType="separate"/>
          </w:r>
          <w:r>
            <w:rPr>
              <w:rFonts w:hint="eastAsia" w:ascii="宋体" w:hAnsi="Times New Roman" w:eastAsia="宋体" w:cs="宋体"/>
              <w:bCs/>
              <w:spacing w:val="2"/>
              <w:kern w:val="0"/>
              <w:sz w:val="21"/>
              <w:szCs w:val="21"/>
            </w:rPr>
            <w:t>第三章</w:t>
          </w:r>
          <w:r>
            <w:rPr>
              <w:rFonts w:ascii="宋体" w:hAnsi="Times New Roman" w:eastAsia="宋体" w:cs="宋体"/>
              <w:bCs/>
              <w:spacing w:val="-8"/>
              <w:kern w:val="0"/>
              <w:sz w:val="21"/>
              <w:szCs w:val="21"/>
            </w:rPr>
            <w:t xml:space="preserve"> </w:t>
          </w:r>
          <w:r>
            <w:rPr>
              <w:rFonts w:hint="eastAsia" w:ascii="宋体" w:hAnsi="Times New Roman" w:eastAsia="宋体" w:cs="宋体"/>
              <w:bCs/>
              <w:kern w:val="0"/>
              <w:sz w:val="21"/>
              <w:szCs w:val="21"/>
            </w:rPr>
            <w:t>评标方法和标准</w:t>
          </w:r>
          <w:r>
            <w:rPr>
              <w:sz w:val="21"/>
              <w:szCs w:val="21"/>
            </w:rPr>
            <w:tab/>
          </w:r>
          <w:r>
            <w:rPr>
              <w:sz w:val="21"/>
              <w:szCs w:val="21"/>
            </w:rPr>
            <w:fldChar w:fldCharType="begin"/>
          </w:r>
          <w:r>
            <w:rPr>
              <w:sz w:val="21"/>
              <w:szCs w:val="21"/>
            </w:rPr>
            <w:instrText xml:space="preserve"> PAGEREF _Toc14825 \h </w:instrText>
          </w:r>
          <w:r>
            <w:rPr>
              <w:sz w:val="21"/>
              <w:szCs w:val="21"/>
            </w:rPr>
            <w:fldChar w:fldCharType="separate"/>
          </w:r>
          <w:r>
            <w:rPr>
              <w:sz w:val="21"/>
              <w:szCs w:val="21"/>
            </w:rPr>
            <w:t>- 27 -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_Toc16846 </w:instrText>
          </w:r>
          <w:r>
            <w:rPr>
              <w:sz w:val="21"/>
              <w:szCs w:val="21"/>
            </w:rPr>
            <w:fldChar w:fldCharType="separate"/>
          </w:r>
          <w:r>
            <w:rPr>
              <w:rFonts w:hint="eastAsia" w:ascii="宋体" w:hAnsi="宋体" w:eastAsia="宋体" w:cs="宋体"/>
              <w:bCs/>
              <w:spacing w:val="2"/>
              <w:kern w:val="0"/>
              <w:sz w:val="21"/>
              <w:szCs w:val="21"/>
            </w:rPr>
            <w:t>第四章</w:t>
          </w:r>
          <w:r>
            <w:rPr>
              <w:rFonts w:hint="eastAsia" w:ascii="宋体" w:hAnsi="宋体" w:cs="宋体"/>
              <w:bCs/>
              <w:spacing w:val="2"/>
              <w:kern w:val="0"/>
              <w:sz w:val="21"/>
              <w:szCs w:val="21"/>
              <w:lang w:val="en-US" w:eastAsia="zh-CN"/>
            </w:rPr>
            <w:t xml:space="preserve"> </w:t>
          </w:r>
          <w:r>
            <w:rPr>
              <w:rFonts w:hint="eastAsia" w:ascii="宋体" w:hAnsi="宋体" w:eastAsia="宋体" w:cs="宋体"/>
              <w:bCs/>
              <w:kern w:val="0"/>
              <w:sz w:val="21"/>
              <w:szCs w:val="21"/>
            </w:rPr>
            <w:t>合同条款</w:t>
          </w:r>
          <w:r>
            <w:rPr>
              <w:sz w:val="21"/>
              <w:szCs w:val="21"/>
            </w:rPr>
            <w:tab/>
          </w:r>
          <w:r>
            <w:rPr>
              <w:sz w:val="21"/>
              <w:szCs w:val="21"/>
            </w:rPr>
            <w:fldChar w:fldCharType="begin"/>
          </w:r>
          <w:r>
            <w:rPr>
              <w:sz w:val="21"/>
              <w:szCs w:val="21"/>
            </w:rPr>
            <w:instrText xml:space="preserve"> PAGEREF _Toc16846 \h </w:instrText>
          </w:r>
          <w:r>
            <w:rPr>
              <w:sz w:val="21"/>
              <w:szCs w:val="21"/>
            </w:rPr>
            <w:fldChar w:fldCharType="separate"/>
          </w:r>
          <w:r>
            <w:rPr>
              <w:sz w:val="21"/>
              <w:szCs w:val="21"/>
            </w:rPr>
            <w:t>- 32 -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rFonts w:hint="eastAsia"/>
              <w:sz w:val="21"/>
              <w:szCs w:val="21"/>
              <w:lang w:eastAsia="zh-CN"/>
            </w:rPr>
            <w:t>第五章</w:t>
          </w:r>
          <w:r>
            <w:rPr>
              <w:rFonts w:hint="eastAsia"/>
              <w:sz w:val="21"/>
              <w:szCs w:val="21"/>
              <w:lang w:val="en-US" w:eastAsia="zh-CN"/>
            </w:rPr>
            <w:t xml:space="preserve"> </w:t>
          </w:r>
          <w:r>
            <w:rPr>
              <w:sz w:val="21"/>
              <w:szCs w:val="21"/>
            </w:rPr>
            <w:fldChar w:fldCharType="begin"/>
          </w:r>
          <w:r>
            <w:rPr>
              <w:sz w:val="21"/>
              <w:szCs w:val="21"/>
            </w:rPr>
            <w:instrText xml:space="preserve"> HYPERLINK \l _Toc7311 </w:instrText>
          </w:r>
          <w:r>
            <w:rPr>
              <w:sz w:val="21"/>
              <w:szCs w:val="21"/>
            </w:rPr>
            <w:fldChar w:fldCharType="separate"/>
          </w:r>
          <w:r>
            <w:rPr>
              <w:rFonts w:hint="eastAsia" w:ascii="宋体" w:hAnsi="宋体" w:eastAsia="宋体" w:cs="宋体"/>
              <w:bCs/>
              <w:kern w:val="44"/>
              <w:sz w:val="21"/>
              <w:szCs w:val="21"/>
            </w:rPr>
            <w:t>购销合同</w:t>
          </w:r>
          <w:r>
            <w:rPr>
              <w:sz w:val="21"/>
              <w:szCs w:val="21"/>
            </w:rPr>
            <w:tab/>
          </w:r>
          <w:r>
            <w:rPr>
              <w:sz w:val="21"/>
              <w:szCs w:val="21"/>
            </w:rPr>
            <w:fldChar w:fldCharType="begin"/>
          </w:r>
          <w:r>
            <w:rPr>
              <w:sz w:val="21"/>
              <w:szCs w:val="21"/>
            </w:rPr>
            <w:instrText xml:space="preserve"> PAGEREF _Toc16846 \h </w:instrText>
          </w:r>
          <w:r>
            <w:rPr>
              <w:sz w:val="21"/>
              <w:szCs w:val="21"/>
            </w:rPr>
            <w:fldChar w:fldCharType="separate"/>
          </w:r>
          <w:r>
            <w:rPr>
              <w:sz w:val="21"/>
              <w:szCs w:val="21"/>
            </w:rPr>
            <w:t>- 32 -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_Toc3459 </w:instrText>
          </w:r>
          <w:r>
            <w:rPr>
              <w:sz w:val="21"/>
              <w:szCs w:val="21"/>
            </w:rPr>
            <w:fldChar w:fldCharType="separate"/>
          </w:r>
          <w:r>
            <w:rPr>
              <w:rFonts w:hint="eastAsia" w:ascii="Times New Roman" w:hAnsi="Times New Roman" w:eastAsia="宋体" w:cs="Times New Roman"/>
              <w:bCs/>
              <w:spacing w:val="2"/>
              <w:kern w:val="0"/>
              <w:sz w:val="21"/>
              <w:szCs w:val="21"/>
            </w:rPr>
            <w:t>第六章</w:t>
          </w:r>
          <w:r>
            <w:rPr>
              <w:rFonts w:ascii="Times New Roman" w:hAnsi="Times New Roman" w:eastAsia="宋体" w:cs="Times New Roman"/>
              <w:bCs/>
              <w:spacing w:val="-9"/>
              <w:kern w:val="0"/>
              <w:sz w:val="21"/>
              <w:szCs w:val="21"/>
            </w:rPr>
            <w:t xml:space="preserve"> </w:t>
          </w:r>
          <w:r>
            <w:rPr>
              <w:rFonts w:hint="eastAsia" w:ascii="Times New Roman" w:hAnsi="Times New Roman" w:eastAsia="宋体" w:cs="Times New Roman"/>
              <w:bCs/>
              <w:kern w:val="0"/>
              <w:sz w:val="21"/>
              <w:szCs w:val="21"/>
            </w:rPr>
            <w:t>投标文件格式</w:t>
          </w:r>
          <w:r>
            <w:rPr>
              <w:sz w:val="21"/>
              <w:szCs w:val="21"/>
            </w:rPr>
            <w:tab/>
          </w:r>
          <w:r>
            <w:rPr>
              <w:sz w:val="21"/>
              <w:szCs w:val="21"/>
            </w:rPr>
            <w:fldChar w:fldCharType="begin"/>
          </w:r>
          <w:r>
            <w:rPr>
              <w:sz w:val="21"/>
              <w:szCs w:val="21"/>
            </w:rPr>
            <w:instrText xml:space="preserve"> PAGEREF _Toc3459 \h </w:instrText>
          </w:r>
          <w:r>
            <w:rPr>
              <w:sz w:val="21"/>
              <w:szCs w:val="21"/>
            </w:rPr>
            <w:fldChar w:fldCharType="separate"/>
          </w:r>
          <w:r>
            <w:rPr>
              <w:sz w:val="21"/>
              <w:szCs w:val="21"/>
            </w:rPr>
            <w:t>- 44 -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_Toc14575 </w:instrText>
          </w:r>
          <w:r>
            <w:rPr>
              <w:sz w:val="21"/>
              <w:szCs w:val="21"/>
            </w:rPr>
            <w:fldChar w:fldCharType="separate"/>
          </w:r>
          <w:r>
            <w:rPr>
              <w:rFonts w:hint="eastAsia" w:ascii="Times New Roman" w:hAnsi="Times New Roman" w:eastAsia="宋体" w:cs="Times New Roman"/>
              <w:bCs/>
              <w:kern w:val="0"/>
              <w:sz w:val="21"/>
              <w:szCs w:val="21"/>
              <w:lang w:eastAsia="zh-CN"/>
            </w:rPr>
            <w:t>包</w:t>
          </w:r>
          <w:r>
            <w:rPr>
              <w:rFonts w:hint="eastAsia" w:ascii="Times New Roman" w:hAnsi="Times New Roman" w:eastAsia="宋体" w:cs="Times New Roman"/>
              <w:bCs/>
              <w:kern w:val="0"/>
              <w:sz w:val="21"/>
              <w:szCs w:val="21"/>
            </w:rPr>
            <w:t>投标文</w:t>
          </w:r>
          <w:r>
            <w:rPr>
              <w:rFonts w:hint="eastAsia" w:ascii="Times New Roman" w:hAnsi="Times New Roman" w:eastAsia="宋体" w:cs="Times New Roman"/>
              <w:bCs/>
              <w:spacing w:val="5"/>
              <w:kern w:val="0"/>
              <w:sz w:val="21"/>
              <w:szCs w:val="21"/>
            </w:rPr>
            <w:t>件</w:t>
          </w:r>
          <w:r>
            <w:rPr>
              <w:sz w:val="21"/>
              <w:szCs w:val="21"/>
            </w:rPr>
            <w:tab/>
          </w:r>
          <w:r>
            <w:rPr>
              <w:sz w:val="21"/>
              <w:szCs w:val="21"/>
            </w:rPr>
            <w:fldChar w:fldCharType="begin"/>
          </w:r>
          <w:r>
            <w:rPr>
              <w:sz w:val="21"/>
              <w:szCs w:val="21"/>
            </w:rPr>
            <w:instrText xml:space="preserve"> PAGEREF _Toc14575 \h </w:instrText>
          </w:r>
          <w:r>
            <w:rPr>
              <w:sz w:val="21"/>
              <w:szCs w:val="21"/>
            </w:rPr>
            <w:fldChar w:fldCharType="separate"/>
          </w:r>
          <w:r>
            <w:rPr>
              <w:sz w:val="21"/>
              <w:szCs w:val="21"/>
            </w:rPr>
            <w:t>- 44 -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_Toc30210 </w:instrText>
          </w:r>
          <w:r>
            <w:rPr>
              <w:sz w:val="21"/>
              <w:szCs w:val="21"/>
            </w:rPr>
            <w:fldChar w:fldCharType="separate"/>
          </w:r>
          <w:r>
            <w:rPr>
              <w:rFonts w:hint="eastAsia" w:ascii="宋体" w:hAnsi="Times New Roman" w:eastAsia="宋体" w:cs="宋体"/>
              <w:kern w:val="0"/>
              <w:sz w:val="21"/>
              <w:szCs w:val="21"/>
            </w:rPr>
            <w:t>一、法定代表人身份证明</w:t>
          </w:r>
          <w:r>
            <w:rPr>
              <w:sz w:val="21"/>
              <w:szCs w:val="21"/>
            </w:rPr>
            <w:tab/>
          </w:r>
          <w:r>
            <w:rPr>
              <w:sz w:val="21"/>
              <w:szCs w:val="21"/>
            </w:rPr>
            <w:fldChar w:fldCharType="begin"/>
          </w:r>
          <w:r>
            <w:rPr>
              <w:sz w:val="21"/>
              <w:szCs w:val="21"/>
            </w:rPr>
            <w:instrText xml:space="preserve"> PAGEREF _Toc30210 \h </w:instrText>
          </w:r>
          <w:r>
            <w:rPr>
              <w:sz w:val="21"/>
              <w:szCs w:val="21"/>
            </w:rPr>
            <w:fldChar w:fldCharType="separate"/>
          </w:r>
          <w:r>
            <w:rPr>
              <w:sz w:val="21"/>
              <w:szCs w:val="21"/>
            </w:rPr>
            <w:t>- 45 -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_Toc4662 </w:instrText>
          </w:r>
          <w:r>
            <w:rPr>
              <w:sz w:val="21"/>
              <w:szCs w:val="21"/>
            </w:rPr>
            <w:fldChar w:fldCharType="separate"/>
          </w:r>
          <w:r>
            <w:rPr>
              <w:rFonts w:hint="eastAsia" w:ascii="宋体" w:hAnsi="Times New Roman" w:eastAsia="宋体" w:cs="宋体"/>
              <w:kern w:val="0"/>
              <w:sz w:val="21"/>
              <w:szCs w:val="21"/>
            </w:rPr>
            <w:t>二、授权委托书</w:t>
          </w:r>
          <w:r>
            <w:rPr>
              <w:sz w:val="21"/>
              <w:szCs w:val="21"/>
            </w:rPr>
            <w:tab/>
          </w:r>
          <w:r>
            <w:rPr>
              <w:sz w:val="21"/>
              <w:szCs w:val="21"/>
            </w:rPr>
            <w:fldChar w:fldCharType="begin"/>
          </w:r>
          <w:r>
            <w:rPr>
              <w:sz w:val="21"/>
              <w:szCs w:val="21"/>
            </w:rPr>
            <w:instrText xml:space="preserve"> PAGEREF _Toc4662 \h </w:instrText>
          </w:r>
          <w:r>
            <w:rPr>
              <w:sz w:val="21"/>
              <w:szCs w:val="21"/>
            </w:rPr>
            <w:fldChar w:fldCharType="separate"/>
          </w:r>
          <w:r>
            <w:rPr>
              <w:sz w:val="21"/>
              <w:szCs w:val="21"/>
            </w:rPr>
            <w:t>- 46 -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_Toc20222 </w:instrText>
          </w:r>
          <w:r>
            <w:rPr>
              <w:sz w:val="21"/>
              <w:szCs w:val="21"/>
            </w:rPr>
            <w:fldChar w:fldCharType="separate"/>
          </w:r>
          <w:r>
            <w:rPr>
              <w:rFonts w:hint="eastAsia" w:ascii="宋体" w:hAnsi="Times New Roman" w:eastAsia="宋体" w:cs="宋体"/>
              <w:kern w:val="0"/>
              <w:sz w:val="21"/>
              <w:szCs w:val="21"/>
            </w:rPr>
            <w:t>三、投标函及投标函附录</w:t>
          </w:r>
          <w:r>
            <w:rPr>
              <w:sz w:val="21"/>
              <w:szCs w:val="21"/>
            </w:rPr>
            <w:tab/>
          </w:r>
          <w:r>
            <w:rPr>
              <w:sz w:val="21"/>
              <w:szCs w:val="21"/>
            </w:rPr>
            <w:fldChar w:fldCharType="begin"/>
          </w:r>
          <w:r>
            <w:rPr>
              <w:sz w:val="21"/>
              <w:szCs w:val="21"/>
            </w:rPr>
            <w:instrText xml:space="preserve"> PAGEREF _Toc20222 \h </w:instrText>
          </w:r>
          <w:r>
            <w:rPr>
              <w:sz w:val="21"/>
              <w:szCs w:val="21"/>
            </w:rPr>
            <w:fldChar w:fldCharType="separate"/>
          </w:r>
          <w:r>
            <w:rPr>
              <w:sz w:val="21"/>
              <w:szCs w:val="21"/>
            </w:rPr>
            <w:t>- 47 -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_Toc19033 </w:instrText>
          </w:r>
          <w:r>
            <w:rPr>
              <w:sz w:val="21"/>
              <w:szCs w:val="21"/>
            </w:rPr>
            <w:fldChar w:fldCharType="separate"/>
          </w:r>
          <w:r>
            <w:rPr>
              <w:rFonts w:hint="eastAsia" w:ascii="宋体" w:hAnsi="Times New Roman" w:eastAsia="宋体" w:cs="宋体"/>
              <w:kern w:val="0"/>
              <w:sz w:val="21"/>
              <w:szCs w:val="21"/>
            </w:rPr>
            <w:t>四、投标报价明细表</w:t>
          </w:r>
          <w:r>
            <w:rPr>
              <w:sz w:val="21"/>
              <w:szCs w:val="21"/>
            </w:rPr>
            <w:tab/>
          </w:r>
          <w:r>
            <w:rPr>
              <w:sz w:val="21"/>
              <w:szCs w:val="21"/>
            </w:rPr>
            <w:fldChar w:fldCharType="begin"/>
          </w:r>
          <w:r>
            <w:rPr>
              <w:sz w:val="21"/>
              <w:szCs w:val="21"/>
            </w:rPr>
            <w:instrText xml:space="preserve"> PAGEREF _Toc19033 \h </w:instrText>
          </w:r>
          <w:r>
            <w:rPr>
              <w:sz w:val="21"/>
              <w:szCs w:val="21"/>
            </w:rPr>
            <w:fldChar w:fldCharType="separate"/>
          </w:r>
          <w:r>
            <w:rPr>
              <w:sz w:val="21"/>
              <w:szCs w:val="21"/>
            </w:rPr>
            <w:t>- 49 -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_Toc264 </w:instrText>
          </w:r>
          <w:r>
            <w:rPr>
              <w:sz w:val="21"/>
              <w:szCs w:val="21"/>
            </w:rPr>
            <w:fldChar w:fldCharType="separate"/>
          </w:r>
          <w:r>
            <w:rPr>
              <w:rFonts w:hint="eastAsia" w:ascii="宋体" w:hAnsi="Times New Roman" w:eastAsia="宋体" w:cs="宋体"/>
              <w:kern w:val="0"/>
              <w:sz w:val="21"/>
              <w:szCs w:val="21"/>
            </w:rPr>
            <w:t>五、商务条款偏差表</w:t>
          </w:r>
          <w:r>
            <w:rPr>
              <w:sz w:val="21"/>
              <w:szCs w:val="21"/>
            </w:rPr>
            <w:tab/>
          </w:r>
          <w:r>
            <w:rPr>
              <w:sz w:val="21"/>
              <w:szCs w:val="21"/>
            </w:rPr>
            <w:fldChar w:fldCharType="begin"/>
          </w:r>
          <w:r>
            <w:rPr>
              <w:sz w:val="21"/>
              <w:szCs w:val="21"/>
            </w:rPr>
            <w:instrText xml:space="preserve"> PAGEREF _Toc264 \h </w:instrText>
          </w:r>
          <w:r>
            <w:rPr>
              <w:sz w:val="21"/>
              <w:szCs w:val="21"/>
            </w:rPr>
            <w:fldChar w:fldCharType="separate"/>
          </w:r>
          <w:r>
            <w:rPr>
              <w:sz w:val="21"/>
              <w:szCs w:val="21"/>
            </w:rPr>
            <w:t>- 50 -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_Toc9264 </w:instrText>
          </w:r>
          <w:r>
            <w:rPr>
              <w:sz w:val="21"/>
              <w:szCs w:val="21"/>
            </w:rPr>
            <w:fldChar w:fldCharType="separate"/>
          </w:r>
          <w:r>
            <w:rPr>
              <w:rFonts w:hint="eastAsia" w:ascii="宋体" w:hAnsi="Times New Roman" w:eastAsia="宋体" w:cs="宋体"/>
              <w:kern w:val="0"/>
              <w:sz w:val="21"/>
              <w:szCs w:val="21"/>
            </w:rPr>
            <w:t>六、技术条款偏差表</w:t>
          </w:r>
          <w:r>
            <w:rPr>
              <w:sz w:val="21"/>
              <w:szCs w:val="21"/>
            </w:rPr>
            <w:tab/>
          </w:r>
          <w:r>
            <w:rPr>
              <w:sz w:val="21"/>
              <w:szCs w:val="21"/>
            </w:rPr>
            <w:fldChar w:fldCharType="begin"/>
          </w:r>
          <w:r>
            <w:rPr>
              <w:sz w:val="21"/>
              <w:szCs w:val="21"/>
            </w:rPr>
            <w:instrText xml:space="preserve"> PAGEREF _Toc9264 \h </w:instrText>
          </w:r>
          <w:r>
            <w:rPr>
              <w:sz w:val="21"/>
              <w:szCs w:val="21"/>
            </w:rPr>
            <w:fldChar w:fldCharType="separate"/>
          </w:r>
          <w:r>
            <w:rPr>
              <w:sz w:val="21"/>
              <w:szCs w:val="21"/>
            </w:rPr>
            <w:t>- 51 -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_Toc11595 </w:instrText>
          </w:r>
          <w:r>
            <w:rPr>
              <w:sz w:val="21"/>
              <w:szCs w:val="21"/>
            </w:rPr>
            <w:fldChar w:fldCharType="separate"/>
          </w:r>
          <w:r>
            <w:rPr>
              <w:rFonts w:hint="eastAsia" w:ascii="宋体" w:hAnsi="Times New Roman" w:eastAsia="宋体" w:cs="宋体"/>
              <w:kern w:val="0"/>
              <w:sz w:val="21"/>
              <w:szCs w:val="21"/>
            </w:rPr>
            <w:t>七、资格证明文件</w:t>
          </w:r>
          <w:r>
            <w:rPr>
              <w:sz w:val="21"/>
              <w:szCs w:val="21"/>
            </w:rPr>
            <w:tab/>
          </w:r>
          <w:r>
            <w:rPr>
              <w:sz w:val="21"/>
              <w:szCs w:val="21"/>
            </w:rPr>
            <w:fldChar w:fldCharType="begin"/>
          </w:r>
          <w:r>
            <w:rPr>
              <w:sz w:val="21"/>
              <w:szCs w:val="21"/>
            </w:rPr>
            <w:instrText xml:space="preserve"> PAGEREF _Toc11595 \h </w:instrText>
          </w:r>
          <w:r>
            <w:rPr>
              <w:sz w:val="21"/>
              <w:szCs w:val="21"/>
            </w:rPr>
            <w:fldChar w:fldCharType="separate"/>
          </w:r>
          <w:r>
            <w:rPr>
              <w:sz w:val="21"/>
              <w:szCs w:val="21"/>
            </w:rPr>
            <w:t>- 52 -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_Toc14914 </w:instrText>
          </w:r>
          <w:r>
            <w:rPr>
              <w:sz w:val="21"/>
              <w:szCs w:val="21"/>
            </w:rPr>
            <w:fldChar w:fldCharType="separate"/>
          </w:r>
          <w:r>
            <w:rPr>
              <w:rFonts w:hint="eastAsia" w:ascii="宋体" w:hAnsi="Times New Roman" w:eastAsia="宋体" w:cs="宋体"/>
              <w:kern w:val="0"/>
              <w:sz w:val="21"/>
              <w:szCs w:val="21"/>
            </w:rPr>
            <w:t>八、供应商综合能力证明文件</w:t>
          </w:r>
          <w:r>
            <w:rPr>
              <w:sz w:val="21"/>
              <w:szCs w:val="21"/>
            </w:rPr>
            <w:tab/>
          </w:r>
          <w:r>
            <w:rPr>
              <w:sz w:val="21"/>
              <w:szCs w:val="21"/>
            </w:rPr>
            <w:fldChar w:fldCharType="begin"/>
          </w:r>
          <w:r>
            <w:rPr>
              <w:sz w:val="21"/>
              <w:szCs w:val="21"/>
            </w:rPr>
            <w:instrText xml:space="preserve"> PAGEREF _Toc14914 \h </w:instrText>
          </w:r>
          <w:r>
            <w:rPr>
              <w:sz w:val="21"/>
              <w:szCs w:val="21"/>
            </w:rPr>
            <w:fldChar w:fldCharType="separate"/>
          </w:r>
          <w:r>
            <w:rPr>
              <w:sz w:val="21"/>
              <w:szCs w:val="21"/>
            </w:rPr>
            <w:t>- 54 -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_Toc1389 </w:instrText>
          </w:r>
          <w:r>
            <w:rPr>
              <w:sz w:val="21"/>
              <w:szCs w:val="21"/>
            </w:rPr>
            <w:fldChar w:fldCharType="separate"/>
          </w:r>
          <w:r>
            <w:rPr>
              <w:rFonts w:hint="eastAsia" w:ascii="Times New Roman" w:hAnsi="Times New Roman" w:eastAsia="宋体" w:cs="Times New Roman"/>
              <w:kern w:val="0"/>
              <w:sz w:val="21"/>
              <w:szCs w:val="21"/>
            </w:rPr>
            <w:t>九、供应商反商业贿赂承诺书</w:t>
          </w:r>
          <w:r>
            <w:rPr>
              <w:sz w:val="21"/>
              <w:szCs w:val="21"/>
            </w:rPr>
            <w:tab/>
          </w:r>
          <w:r>
            <w:rPr>
              <w:sz w:val="21"/>
              <w:szCs w:val="21"/>
            </w:rPr>
            <w:fldChar w:fldCharType="begin"/>
          </w:r>
          <w:r>
            <w:rPr>
              <w:sz w:val="21"/>
              <w:szCs w:val="21"/>
            </w:rPr>
            <w:instrText xml:space="preserve"> PAGEREF _Toc1389 \h </w:instrText>
          </w:r>
          <w:r>
            <w:rPr>
              <w:sz w:val="21"/>
              <w:szCs w:val="21"/>
            </w:rPr>
            <w:fldChar w:fldCharType="separate"/>
          </w:r>
          <w:r>
            <w:rPr>
              <w:sz w:val="21"/>
              <w:szCs w:val="21"/>
            </w:rPr>
            <w:t>- 55 -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_Toc28679 </w:instrText>
          </w:r>
          <w:r>
            <w:rPr>
              <w:sz w:val="21"/>
              <w:szCs w:val="21"/>
            </w:rPr>
            <w:fldChar w:fldCharType="separate"/>
          </w:r>
          <w:r>
            <w:rPr>
              <w:rFonts w:hint="eastAsia" w:ascii="Times New Roman" w:hAnsi="Times New Roman" w:eastAsia="宋体" w:cs="Times New Roman"/>
              <w:kern w:val="0"/>
              <w:sz w:val="21"/>
              <w:szCs w:val="21"/>
            </w:rPr>
            <w:t>十、中小企业声明函</w:t>
          </w:r>
          <w:r>
            <w:rPr>
              <w:sz w:val="21"/>
              <w:szCs w:val="21"/>
            </w:rPr>
            <w:tab/>
          </w:r>
          <w:r>
            <w:rPr>
              <w:sz w:val="21"/>
              <w:szCs w:val="21"/>
            </w:rPr>
            <w:fldChar w:fldCharType="begin"/>
          </w:r>
          <w:r>
            <w:rPr>
              <w:sz w:val="21"/>
              <w:szCs w:val="21"/>
            </w:rPr>
            <w:instrText xml:space="preserve"> PAGEREF _Toc16846 \h </w:instrText>
          </w:r>
          <w:r>
            <w:rPr>
              <w:sz w:val="21"/>
              <w:szCs w:val="21"/>
            </w:rPr>
            <w:fldChar w:fldCharType="separate"/>
          </w:r>
          <w:r>
            <w:rPr>
              <w:sz w:val="21"/>
              <w:szCs w:val="21"/>
            </w:rPr>
            <w:t>- 32 -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_Toc26564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一</w:t>
          </w:r>
          <w:r>
            <w:rPr>
              <w:rFonts w:hint="eastAsia" w:ascii="宋体" w:hAnsi="Times New Roman" w:eastAsia="宋体" w:cs="宋体"/>
              <w:kern w:val="0"/>
              <w:sz w:val="21"/>
              <w:szCs w:val="21"/>
            </w:rPr>
            <w:t>、监狱企业证明材料（如有）</w:t>
          </w:r>
          <w:r>
            <w:rPr>
              <w:sz w:val="21"/>
              <w:szCs w:val="21"/>
            </w:rPr>
            <w:tab/>
          </w:r>
          <w:r>
            <w:rPr>
              <w:sz w:val="21"/>
              <w:szCs w:val="21"/>
            </w:rPr>
            <w:fldChar w:fldCharType="begin"/>
          </w:r>
          <w:r>
            <w:rPr>
              <w:sz w:val="21"/>
              <w:szCs w:val="21"/>
            </w:rPr>
            <w:instrText xml:space="preserve"> PAGEREF _Toc26564 \h </w:instrText>
          </w:r>
          <w:r>
            <w:rPr>
              <w:sz w:val="21"/>
              <w:szCs w:val="21"/>
            </w:rPr>
            <w:fldChar w:fldCharType="separate"/>
          </w:r>
          <w:r>
            <w:rPr>
              <w:sz w:val="21"/>
              <w:szCs w:val="21"/>
            </w:rPr>
            <w:t>- 57 -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_Toc24001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二</w:t>
          </w:r>
          <w:r>
            <w:rPr>
              <w:rFonts w:hint="eastAsia" w:ascii="宋体" w:hAnsi="Times New Roman" w:eastAsia="宋体" w:cs="宋体"/>
              <w:kern w:val="0"/>
              <w:sz w:val="21"/>
              <w:szCs w:val="21"/>
            </w:rPr>
            <w:t>、残疾人福利性单位声明函（如有）</w:t>
          </w:r>
          <w:r>
            <w:rPr>
              <w:sz w:val="21"/>
              <w:szCs w:val="21"/>
            </w:rPr>
            <w:tab/>
          </w:r>
          <w:r>
            <w:rPr>
              <w:sz w:val="21"/>
              <w:szCs w:val="21"/>
            </w:rPr>
            <w:fldChar w:fldCharType="begin"/>
          </w:r>
          <w:r>
            <w:rPr>
              <w:sz w:val="21"/>
              <w:szCs w:val="21"/>
            </w:rPr>
            <w:instrText xml:space="preserve"> PAGEREF _Toc24001 \h </w:instrText>
          </w:r>
          <w:r>
            <w:rPr>
              <w:sz w:val="21"/>
              <w:szCs w:val="21"/>
            </w:rPr>
            <w:fldChar w:fldCharType="separate"/>
          </w:r>
          <w:r>
            <w:rPr>
              <w:sz w:val="21"/>
              <w:szCs w:val="21"/>
            </w:rPr>
            <w:t>- 58 -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_Toc22255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三</w:t>
          </w:r>
          <w:r>
            <w:rPr>
              <w:rFonts w:hint="eastAsia" w:ascii="宋体" w:hAnsi="Times New Roman" w:eastAsia="宋体" w:cs="宋体"/>
              <w:kern w:val="0"/>
              <w:sz w:val="21"/>
              <w:szCs w:val="21"/>
            </w:rPr>
            <w:t>、节能产品、环境标志产品明细表</w:t>
          </w:r>
          <w:r>
            <w:rPr>
              <w:sz w:val="21"/>
              <w:szCs w:val="21"/>
            </w:rPr>
            <w:tab/>
          </w:r>
          <w:r>
            <w:rPr>
              <w:sz w:val="21"/>
              <w:szCs w:val="21"/>
            </w:rPr>
            <w:fldChar w:fldCharType="begin"/>
          </w:r>
          <w:r>
            <w:rPr>
              <w:sz w:val="21"/>
              <w:szCs w:val="21"/>
            </w:rPr>
            <w:instrText xml:space="preserve"> PAGEREF _Toc22255 \h </w:instrText>
          </w:r>
          <w:r>
            <w:rPr>
              <w:sz w:val="21"/>
              <w:szCs w:val="21"/>
            </w:rPr>
            <w:fldChar w:fldCharType="separate"/>
          </w:r>
          <w:r>
            <w:rPr>
              <w:sz w:val="21"/>
              <w:szCs w:val="21"/>
            </w:rPr>
            <w:t>- 59 -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_Toc17125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四</w:t>
          </w:r>
          <w:r>
            <w:rPr>
              <w:rFonts w:hint="eastAsia" w:ascii="宋体" w:hAnsi="Times New Roman" w:eastAsia="宋体" w:cs="宋体"/>
              <w:kern w:val="0"/>
              <w:sz w:val="21"/>
              <w:szCs w:val="21"/>
            </w:rPr>
            <w:t>、技术支持资料</w:t>
          </w:r>
          <w:r>
            <w:rPr>
              <w:sz w:val="21"/>
              <w:szCs w:val="21"/>
            </w:rPr>
            <w:tab/>
          </w:r>
          <w:r>
            <w:rPr>
              <w:sz w:val="21"/>
              <w:szCs w:val="21"/>
            </w:rPr>
            <w:fldChar w:fldCharType="begin"/>
          </w:r>
          <w:r>
            <w:rPr>
              <w:sz w:val="21"/>
              <w:szCs w:val="21"/>
            </w:rPr>
            <w:instrText xml:space="preserve"> PAGEREF _Toc17125 \h </w:instrText>
          </w:r>
          <w:r>
            <w:rPr>
              <w:sz w:val="21"/>
              <w:szCs w:val="21"/>
            </w:rPr>
            <w:fldChar w:fldCharType="separate"/>
          </w:r>
          <w:r>
            <w:rPr>
              <w:sz w:val="21"/>
              <w:szCs w:val="21"/>
            </w:rPr>
            <w:t>- 60 -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_Toc417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五</w:t>
          </w:r>
          <w:r>
            <w:rPr>
              <w:rFonts w:hint="eastAsia" w:ascii="宋体" w:hAnsi="Times New Roman" w:eastAsia="宋体" w:cs="宋体"/>
              <w:kern w:val="0"/>
              <w:sz w:val="21"/>
              <w:szCs w:val="21"/>
            </w:rPr>
            <w:t>、供应商认为需要加以说明的其他内容</w:t>
          </w:r>
          <w:r>
            <w:rPr>
              <w:sz w:val="21"/>
              <w:szCs w:val="21"/>
            </w:rPr>
            <w:tab/>
          </w:r>
          <w:r>
            <w:rPr>
              <w:sz w:val="21"/>
              <w:szCs w:val="21"/>
            </w:rPr>
            <w:fldChar w:fldCharType="begin"/>
          </w:r>
          <w:r>
            <w:rPr>
              <w:sz w:val="21"/>
              <w:szCs w:val="21"/>
            </w:rPr>
            <w:instrText xml:space="preserve"> PAGEREF _Toc417 \h </w:instrText>
          </w:r>
          <w:r>
            <w:rPr>
              <w:sz w:val="21"/>
              <w:szCs w:val="21"/>
            </w:rPr>
            <w:fldChar w:fldCharType="separate"/>
          </w:r>
          <w:r>
            <w:rPr>
              <w:sz w:val="21"/>
              <w:szCs w:val="21"/>
            </w:rPr>
            <w:t>- 61 -</w:t>
          </w:r>
          <w:r>
            <w:rPr>
              <w:sz w:val="21"/>
              <w:szCs w:val="21"/>
            </w:rPr>
            <w:fldChar w:fldCharType="end"/>
          </w:r>
          <w:r>
            <w:rPr>
              <w:sz w:val="21"/>
              <w:szCs w:val="21"/>
            </w:rPr>
            <w:fldChar w:fldCharType="end"/>
          </w:r>
        </w:p>
        <w:p>
          <w:pPr>
            <w:spacing w:line="360" w:lineRule="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4"/>
      </w:pPr>
    </w:p>
    <w:p/>
    <w:p>
      <w:pPr>
        <w:pStyle w:val="4"/>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7555"/>
      <w:bookmarkStart w:id="2" w:name="_Toc16554"/>
      <w:bookmarkStart w:id="3" w:name="_Toc5982"/>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14926"/>
      <w:bookmarkStart w:id="5" w:name="_Toc21804"/>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bookmarkStart w:id="6"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招标项目的潜在投标人应在登录“郑州市公共资源交易中心网（http://zzggzy.zhengzhou.gov.cn/）”，凭企业身份认证锁下载招标文件。获取招标文件，并于2023年</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月</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06</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日10时00分（北京时间）前递交投标文件</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7" w:name="_Toc5257"/>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6"/>
      <w:bookmarkEnd w:id="7"/>
    </w:p>
    <w:p>
      <w:pPr>
        <w:spacing w:line="360" w:lineRule="auto"/>
        <w:ind w:firstLine="444" w:firstLineChars="200"/>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1、项目编号：</w:t>
      </w: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1332" w:firstLineChars="6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最高限价：3400000.00元</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94"/>
        <w:gridCol w:w="2829"/>
        <w:gridCol w:w="984"/>
        <w:gridCol w:w="900"/>
        <w:gridCol w:w="1326"/>
        <w:gridCol w:w="1326"/>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28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质保期</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数量</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单价（元）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b w:val="0"/>
                <w:sz w:val="21"/>
                <w:szCs w:val="22"/>
              </w:rPr>
              <w:t>医用分子筛制氧机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1700000.00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Theme="minorHAnsi" w:hAnsiTheme="minorHAnsi" w:eastAsiaTheme="minorEastAsia"/>
          <w:b w:val="0"/>
          <w:sz w:val="21"/>
          <w:szCs w:val="22"/>
        </w:rPr>
        <w:t>医用分子筛制氧机</w:t>
      </w:r>
      <w:r>
        <w:rPr>
          <w:rFonts w:hint="eastAsia"/>
          <w:b w:val="0"/>
          <w:sz w:val="21"/>
          <w:szCs w:val="22"/>
          <w:lang w:val="en-US" w:eastAsia="zh-CN"/>
        </w:rPr>
        <w:t>2套</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本项目共划分五个包段，本次采购为D包</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auto"/>
          <w:spacing w:val="6"/>
          <w:kern w:val="0"/>
          <w:szCs w:val="21"/>
        </w:rPr>
        <w:t>5.3交货期：</w:t>
      </w:r>
      <w:r>
        <w:rPr>
          <w:rFonts w:hint="eastAsia" w:ascii="宋体" w:hAnsi="宋体" w:eastAsia="宋体" w:cs="宋体"/>
          <w:color w:val="auto"/>
          <w:spacing w:val="6"/>
          <w:kern w:val="0"/>
          <w:szCs w:val="21"/>
          <w:lang w:val="en-US" w:eastAsia="zh-CN"/>
        </w:rPr>
        <w:t>合同签订后90日历天内</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b w:val="0"/>
          <w:bCs w:val="0"/>
          <w:color w:val="auto"/>
          <w:spacing w:val="6"/>
          <w:kern w:val="0"/>
          <w:szCs w:val="21"/>
        </w:rPr>
        <w:t>5.4质保期：</w:t>
      </w:r>
      <w:r>
        <w:rPr>
          <w:rFonts w:hint="eastAsia" w:ascii="宋体" w:hAnsi="宋体" w:eastAsia="宋体" w:cs="宋体"/>
          <w:b w:val="0"/>
          <w:color w:val="auto"/>
          <w:spacing w:val="6"/>
          <w:kern w:val="0"/>
          <w:sz w:val="21"/>
          <w:szCs w:val="21"/>
          <w:lang w:eastAsia="zh-CN"/>
        </w:rPr>
        <w:t>详见上表</w:t>
      </w:r>
      <w:r>
        <w:rPr>
          <w:rFonts w:hint="eastAsia" w:ascii="宋体" w:hAnsi="宋体" w:eastAsia="宋体" w:cs="宋体"/>
          <w:b w:val="0"/>
          <w:bCs w:val="0"/>
          <w:color w:val="auto"/>
          <w:spacing w:val="6"/>
          <w:kern w:val="0"/>
          <w:szCs w:val="21"/>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5.5质量要求：符合国家规范、行业标准、合格工程。</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val="en-US" w:eastAsia="zh-CN"/>
          <w14:textFill>
            <w14:solidFill>
              <w14:schemeClr w14:val="tx1"/>
            </w14:solidFill>
          </w14:textFill>
        </w:rPr>
        <w:t>否</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否</w:t>
      </w:r>
      <w:r>
        <w:rPr>
          <w:rFonts w:hint="eastAsia"/>
          <w:b w:val="0"/>
          <w:bCs w:val="0"/>
          <w:sz w:val="21"/>
          <w:szCs w:val="22"/>
          <w:lang w:val="en-US"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8" w:name="_Toc2324"/>
      <w:bookmarkStart w:id="9" w:name="_Toc10869"/>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8"/>
      <w:bookmarkEnd w:id="9"/>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3.2、国内产品的制造商须具有医疗器械生产许可证；代理商（经销商）须具有医疗器械经营许可证或医疗器械经营备案凭证。</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wordWrap w:val="0"/>
        <w:spacing w:line="360" w:lineRule="auto"/>
        <w:ind w:firstLine="444" w:firstLineChars="200"/>
        <w:jc w:val="left"/>
        <w:rPr>
          <w:rFonts w:hint="default" w:eastAsia="宋体"/>
          <w:lang w:val="en-US"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3.6、</w:t>
      </w:r>
      <w:r>
        <w:rPr>
          <w:rFonts w:hint="eastAsia" w:ascii="宋体" w:hAnsi="宋体" w:eastAsia="宋体" w:cs="宋体"/>
          <w:color w:val="000000" w:themeColor="text1"/>
          <w:spacing w:val="6"/>
          <w:kern w:val="0"/>
          <w:sz w:val="21"/>
          <w:szCs w:val="21"/>
          <w:lang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换/领证的企业，可提供符合要求的新</w:t>
      </w:r>
      <w:r>
        <w:rPr>
          <w:rFonts w:hint="eastAsia" w:ascii="宋体" w:hAnsi="宋体" w:eastAsia="宋体" w:cs="宋体"/>
          <w:i w:val="0"/>
          <w:iCs w:val="0"/>
          <w:caps w:val="0"/>
          <w:color w:val="000000" w:themeColor="text1"/>
          <w:spacing w:val="6"/>
          <w:kern w:val="0"/>
          <w:sz w:val="21"/>
          <w:szCs w:val="21"/>
          <w:lang w:eastAsia="zh-CN"/>
          <w14:textFill>
            <w14:solidFill>
              <w14:schemeClr w14:val="tx1"/>
            </w14:solidFill>
          </w14:textFill>
        </w:rPr>
        <w:t>的许可</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证书</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 w:val="21"/>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 w:val="21"/>
          <w:szCs w:val="21"/>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0" w:name="_Toc10746"/>
      <w:bookmarkStart w:id="11" w:name="_Toc6020"/>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0"/>
      <w:bookmarkEnd w:id="11"/>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08</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17</w:t>
      </w:r>
      <w:r>
        <w:rPr>
          <w:rFonts w:hint="eastAsia" w:ascii="宋体" w:hAnsi="宋体" w:eastAsia="宋体" w:cs="宋体"/>
          <w:color w:val="auto"/>
          <w:spacing w:val="6"/>
          <w:kern w:val="0"/>
          <w:szCs w:val="21"/>
        </w:rPr>
        <w:t>日至202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08</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23</w:t>
      </w:r>
      <w:r>
        <w:rPr>
          <w:rFonts w:hint="eastAsia" w:ascii="宋体" w:hAnsi="宋体" w:eastAsia="宋体" w:cs="宋体"/>
          <w:color w:val="auto"/>
          <w:spacing w:val="6"/>
          <w:kern w:val="0"/>
          <w:szCs w:val="21"/>
        </w:rPr>
        <w:t>日，每天上午00:00至12:00，下午12:00至23:59（北京时间，法定节假日除外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郑州市公共资源交易中心电子交易平台（http://zzggzy.zhengzhou.gov.cn/TPBidder/）”，凭企业CA数字证书直接下载招标文件。尚未办理企业CA数字证书的，请登录郑州市公共资源交易中心网站（http://zzggzy.zhengzhou.gov.cn/），查阅网站首页“通知公告”或“CA及签章办理流程”中《关于数字证书(CA)互认功能上线试运行的通知》（http://zzggzy.zhengzhou.gov.cn/tzgg/20200612/9db87633-2aec-4d6f-b692-a167ec8c11d6.html），及时办理CA数字证书及电子签章，并完成市场主体库相关信息。</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3.3、方式：各潜在供应商可通过本项目公告自行获取查阅采购（招标）文件。如有参与意向，可凭CA密钥登录“郑州市公共资源交易中心网”进行报名、投标（响应）等相关线上操作。</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11731"/>
      <w:bookmarkStart w:id="13" w:name="_Toc18550"/>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12"/>
      <w:bookmarkEnd w:id="13"/>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auto"/>
          <w:spacing w:val="6"/>
          <w:kern w:val="0"/>
          <w:szCs w:val="21"/>
        </w:rPr>
        <w:t>4.1、时间：202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09</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06</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4.2、地点：郑州市公共资源交易中心电子交易平台（http://zzggzy.zhengzhou.gov.cn/TPBidder/）加密上传；</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无需到交易中心现场参加开标会议，评标委员会不再对投标文件中涉及的相关资料原件进行验证。所有投标单位不需提供证书原件。</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4" w:name="_Toc30633"/>
      <w:bookmarkStart w:id="15" w:name="_Toc21670"/>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14"/>
      <w:bookmarkEnd w:id="15"/>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5.1、时间：2023年09月06日10时00分（北京时间）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5.2、地点：郑州市公共资源交易中心门户网站远程开标大厅（http://zzggzy.zhengzhou.gov.cn/BidOpening）</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6" w:name="_Toc24460"/>
      <w:bookmarkStart w:id="17" w:name="_Toc23646"/>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16"/>
      <w:bookmarkEnd w:id="17"/>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本次招标公告在《河南省政府采购网》、《郑州市政府采购网》、《郑州市公共资源交易中心网》、《中国招标投标公共服务平台》、《河南省电子招标投标公共服务平台》上发布。招标公告期限为五个工作日。</w:t>
      </w:r>
    </w:p>
    <w:p>
      <w:pPr>
        <w:widowControl/>
        <w:numPr>
          <w:ilvl w:val="0"/>
          <w:numId w:val="1"/>
        </w:numPr>
        <w:shd w:val="clear" w:color="auto" w:fill="FFFFFF"/>
        <w:autoSpaceDE w:val="0"/>
        <w:autoSpaceDN w:val="0"/>
        <w:adjustRightInd w:val="0"/>
        <w:spacing w:before="96" w:after="96" w:line="360" w:lineRule="auto"/>
        <w:ind w:left="446" w:hanging="446" w:hangingChars="20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8" w:name="_Toc25683"/>
      <w:bookmarkStart w:id="19" w:name="_Toc18206"/>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18"/>
      <w:bookmarkEnd w:id="19"/>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备注：</w:t>
      </w:r>
    </w:p>
    <w:p>
      <w:pPr>
        <w:numPr>
          <w:ilvl w:val="0"/>
          <w:numId w:val="2"/>
        </w:num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所有</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应提前30分钟，登录“郑州市公共资源交易中心门户网站远程开标大厅”进行远程开标准备工作。登录后，须先进行签到，其后应一直保持在线状态，保证能准时参加开标大会、投标文件的解密、现场答疑澄清等活动。</w:t>
      </w:r>
    </w:p>
    <w:p>
      <w:pPr>
        <w:numPr>
          <w:ilvl w:val="-1"/>
          <w:numId w:val="0"/>
        </w:numPr>
        <w:wordWrap w:val="0"/>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w:t>
      </w:r>
      <w:r>
        <w:rPr>
          <w:rFonts w:hint="eastAsia" w:ascii="宋体" w:hAnsi="宋体" w:eastAsia="宋体" w:cs="宋体"/>
          <w:color w:val="000000" w:themeColor="text1"/>
          <w:spacing w:val="6"/>
          <w:kern w:val="0"/>
          <w:szCs w:val="21"/>
          <w14:textFill>
            <w14:solidFill>
              <w14:schemeClr w14:val="tx1"/>
            </w14:solidFill>
          </w14:textFill>
        </w:rPr>
        <w:t>投标人应认真学习郑州市公共资源交易中心通知公告栏发布的《郑州市公共资源交易中心关于不见面开标大厅系统升级的通知》（网址：</w:t>
      </w:r>
      <w:r>
        <w:rPr>
          <w:rFonts w:hint="eastAsia" w:ascii="宋体" w:hAnsi="宋体" w:eastAsia="宋体" w:cs="宋体"/>
          <w:color w:val="000000" w:themeColor="text1"/>
          <w:spacing w:val="6"/>
          <w:kern w:val="0"/>
          <w:szCs w:val="21"/>
          <w14:textFill>
            <w14:solidFill>
              <w14:schemeClr w14:val="tx1"/>
            </w14:solidFill>
          </w14:textFill>
        </w:rPr>
        <w:fldChar w:fldCharType="begin"/>
      </w:r>
      <w:r>
        <w:rPr>
          <w:rFonts w:hint="eastAsia" w:ascii="宋体" w:hAnsi="宋体" w:eastAsia="宋体" w:cs="宋体"/>
          <w:color w:val="000000" w:themeColor="text1"/>
          <w:spacing w:val="6"/>
          <w:kern w:val="0"/>
          <w:szCs w:val="21"/>
          <w14:textFill>
            <w14:solidFill>
              <w14:schemeClr w14:val="tx1"/>
            </w14:solidFill>
          </w14:textFill>
        </w:rPr>
        <w:instrText xml:space="preserve"> HYPERLINK "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 </w:instrText>
      </w:r>
      <w:r>
        <w:rPr>
          <w:rFonts w:hint="eastAsia" w:ascii="宋体" w:hAnsi="宋体" w:eastAsia="宋体" w:cs="宋体"/>
          <w:color w:val="000000" w:themeColor="text1"/>
          <w:spacing w:val="6"/>
          <w:kern w:val="0"/>
          <w:szCs w:val="21"/>
          <w14:textFill>
            <w14:solidFill>
              <w14:schemeClr w14:val="tx1"/>
            </w14:solidFill>
          </w14:textFill>
        </w:rPr>
        <w:fldChar w:fldCharType="separate"/>
      </w:r>
      <w:r>
        <w:rPr>
          <w:rFonts w:hint="eastAsia" w:ascii="宋体" w:hAnsi="宋体" w:eastAsia="宋体" w:cs="宋体"/>
          <w:color w:val="000000" w:themeColor="text1"/>
          <w:spacing w:val="6"/>
          <w:kern w:val="0"/>
          <w:szCs w:val="21"/>
          <w14:textFill>
            <w14:solidFill>
              <w14:schemeClr w14:val="tx1"/>
            </w14:solidFill>
          </w14:textFill>
        </w:rPr>
        <w:t>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w:t>
      </w:r>
      <w:r>
        <w:rPr>
          <w:rFonts w:hint="eastAsia" w:ascii="宋体" w:hAnsi="宋体" w:eastAsia="宋体" w:cs="宋体"/>
          <w:color w:val="000000" w:themeColor="text1"/>
          <w:spacing w:val="6"/>
          <w:kern w:val="0"/>
          <w:szCs w:val="21"/>
          <w14:textFill>
            <w14:solidFill>
              <w14:schemeClr w14:val="tx1"/>
            </w14:solidFill>
          </w14:textFill>
        </w:rPr>
        <w:fldChar w:fldCharType="end"/>
      </w:r>
    </w:p>
    <w:p>
      <w:pPr>
        <w:widowControl/>
        <w:shd w:val="clear" w:color="auto" w:fill="FFFFFF"/>
        <w:autoSpaceDE w:val="0"/>
        <w:autoSpaceDN w:val="0"/>
        <w:adjustRightInd w:val="0"/>
        <w:spacing w:before="96" w:after="96" w:line="360" w:lineRule="auto"/>
        <w:ind w:firstLine="444" w:firstLineChars="200"/>
        <w:jc w:val="left"/>
        <w:outlineLvl w:val="0"/>
        <w:rPr>
          <w:rFonts w:hint="eastAsia"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i w:val="0"/>
          <w:iCs w:val="0"/>
          <w:caps w:val="0"/>
          <w:color w:val="000000" w:themeColor="text1"/>
          <w:spacing w:val="6"/>
          <w:kern w:val="0"/>
          <w:sz w:val="21"/>
          <w:szCs w:val="21"/>
          <w:shd w:val="clear"/>
          <w:lang w:val="en-US" w:eastAsia="zh-CN"/>
          <w14:textFill>
            <w14:solidFill>
              <w14:schemeClr w14:val="tx1"/>
            </w14:solidFill>
          </w14:textFill>
        </w:rPr>
        <w:t>3）</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本项目执行政府采购应当有助于实现国家的经济和社会发展政策目标，包括优先采购节能环保、环境标志性产品，优先采购自主创新产品，扶持不发达地区和少数民族地区，网络安全，促进中小企业发展等。</w:t>
      </w:r>
      <w:bookmarkStart w:id="20" w:name="_Toc29606"/>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是否专门面向中小企业：否。</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1" w:name="_Toc29710"/>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20"/>
      <w:bookmarkEnd w:id="21"/>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采购人：河南省儿童医院郑州儿童医院</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址：郑州市金水区郑东新区农业东路与龙湖外环东路交叉口</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联系人：刘刚</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话：0371-85515732</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地址：河南省郑州市东明路187号金成大厦B座10层招标一部</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联系人：王富祯 李金泽</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电话：0371-65528803</w:t>
      </w:r>
    </w:p>
    <w:p>
      <w:pPr>
        <w:pStyle w:val="10"/>
        <w:ind w:left="0" w:leftChars="0" w:firstLine="444" w:firstLineChars="200"/>
        <w:rPr>
          <w:rFonts w:hint="default" w:eastAsia="宋体"/>
          <w:lang w:val="en-US" w:eastAsia="zh-CN"/>
        </w:rPr>
      </w:pPr>
      <w:r>
        <w:rPr>
          <w:rFonts w:hint="eastAsia" w:ascii="宋体" w:hAnsi="宋体" w:cs="宋体"/>
          <w:color w:val="000000" w:themeColor="text1"/>
          <w:spacing w:val="6"/>
          <w:kern w:val="0"/>
          <w:szCs w:val="21"/>
          <w:lang w:val="en-US" w:eastAsia="zh-CN"/>
          <w14:textFill>
            <w14:solidFill>
              <w14:schemeClr w14:val="tx1"/>
            </w14:solidFill>
          </w14:textFill>
        </w:rPr>
        <w:t>电子邮箱：zhaobiao0001@126.com</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项目联系人：王富祯 李金泽</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话：0371-65528803</w:t>
      </w:r>
    </w:p>
    <w:p>
      <w:pPr>
        <w:kinsoku w:val="0"/>
        <w:overflowPunct w:val="0"/>
        <w:autoSpaceDE w:val="0"/>
        <w:autoSpaceDN w:val="0"/>
        <w:adjustRightInd w:val="0"/>
        <w:spacing w:before="36" w:line="360" w:lineRule="auto"/>
        <w:ind w:left="602" w:right="5874" w:hanging="483"/>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22" w:name="_Toc32573"/>
      <w:bookmarkStart w:id="23" w:name="_Toc6169"/>
      <w:bookmarkStart w:id="24" w:name="_Toc16773"/>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22"/>
      <w:bookmarkEnd w:id="23"/>
      <w:bookmarkEnd w:id="24"/>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7"/>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 购 人：河南省儿童医院郑州儿童医院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址：郑州市金水区郑东新区农业东路与龙湖外环东路交叉口</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人：刘刚</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话：0371-85515732</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eastAsia="宋体" w:cs="宋体"/>
              </w:rPr>
              <w:fldChar w:fldCharType="begin"/>
            </w:r>
            <w:r>
              <w:rPr>
                <w:rFonts w:hint="eastAsia" w:ascii="宋体" w:hAnsi="宋体" w:eastAsia="宋体" w:cs="宋体"/>
              </w:rPr>
              <w:instrText xml:space="preserve"> HYPERLINK "mailto:zhaobiao01@163.com"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zhaobiao0001@126.com</w:t>
            </w:r>
            <w:r>
              <w:rPr>
                <w:rFonts w:hint="eastAsia" w:ascii="宋体" w:hAnsi="宋体" w:eastAsia="宋体" w:cs="宋体"/>
                <w:color w:val="000000" w:themeColor="text1"/>
                <w:kern w:val="0"/>
                <w:szCs w:val="21"/>
                <w14:textFill>
                  <w14:solidFill>
                    <w14:schemeClr w14:val="tx1"/>
                  </w14:solidFill>
                </w14:textFill>
              </w:rPr>
              <w:fldChar w:fldCharType="end"/>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auto"/>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lang w:val="en-US"/>
                <w14:textFill>
                  <w14:solidFill>
                    <w14:schemeClr w14:val="tx1"/>
                  </w14:solidFill>
                </w14:textFill>
              </w:rPr>
              <w:t>河南省儿童医院郑州儿童医院所需的设备采购、安装、调试、运行及相关伴随服务和质保服务。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河南省儿童医院郑州儿童医院指定地点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D包</w:t>
            </w:r>
          </w:p>
        </w:tc>
      </w:tr>
      <w:tr>
        <w:tblPrEx>
          <w:tblCellMar>
            <w:top w:w="0" w:type="dxa"/>
            <w:left w:w="0" w:type="dxa"/>
            <w:bottom w:w="0" w:type="dxa"/>
            <w:right w:w="0" w:type="dxa"/>
          </w:tblCellMar>
        </w:tblPrEx>
        <w:trPr>
          <w:trHeight w:val="6665"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3.2、国内产品的制造商须具有医疗器械生产许可证；代理商（经销商）须具有医疗器械经营许可证或医疗器械经营备案凭证。</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3.6、</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换/领证的企业，可提供符合要求的新</w:t>
            </w:r>
            <w:r>
              <w:rPr>
                <w:rFonts w:hint="eastAsia" w:ascii="宋体" w:hAnsi="宋体" w:eastAsia="宋体" w:cs="宋体"/>
                <w:color w:val="000000" w:themeColor="text1"/>
                <w:spacing w:val="6"/>
                <w:kern w:val="0"/>
                <w:szCs w:val="21"/>
                <w:lang w:eastAsia="zh-CN"/>
                <w14:textFill>
                  <w14:solidFill>
                    <w14:schemeClr w14:val="tx1"/>
                  </w14:solidFill>
                </w14:textFill>
              </w:rPr>
              <w:t>的许可</w:t>
            </w:r>
            <w:r>
              <w:rPr>
                <w:rFonts w:hint="eastAsia" w:ascii="宋体" w:hAnsi="宋体" w:eastAsia="宋体" w:cs="宋体"/>
                <w:color w:val="000000" w:themeColor="text1"/>
                <w:spacing w:val="6"/>
                <w:kern w:val="0"/>
                <w:szCs w:val="21"/>
                <w14:textFill>
                  <w14:solidFill>
                    <w14:schemeClr w14:val="tx1"/>
                  </w14:solidFill>
                </w14:textFill>
              </w:rPr>
              <w:t>证书</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Cs w:val="21"/>
                <w14:textFill>
                  <w14:solidFill>
                    <w14:schemeClr w14:val="tx1"/>
                  </w14:solidFill>
                </w14:textFill>
              </w:rPr>
              <w:t>。</w:t>
            </w: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lang w:val="en-US" w:eastAsia="zh-CN"/>
                <w14:textFill>
                  <w14:solidFill>
                    <w14:schemeClr w14:val="tx1"/>
                  </w14:solidFill>
                </w14:textFill>
              </w:rPr>
              <w:t>1</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 xml:space="preserve">本项目非专门面向中小企业、监狱企业及残疾人福利性单位采购项目。根据《关于进一步加大政府采购支持中小企业力度的通知》（财库〔2022〕19号）、财政部、司法部关于政府采购支持监狱企业发展有关问题的通知（财库[2014]68 号）、《三部门联合发布关于促进残疾人就业政府采购政策的通知》（财库[2017]141 号）的要求，对小型、微型企业、监狱企业及残疾人福利性单位产品的价格给予10%～20%的扣除，用扣除后的价格参与评审，本项目的扣除比例为：小型企业扣除 10%，微型企业扣除10%，监狱企业扣除10%，残疾人福利性单位扣除10%。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 </w:t>
            </w:r>
          </w:p>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（2）节能产品、环境标志产品政府采购政策</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①根据财政部 发展改革委 生态环境部 市场监管总局《关于调整优化节能产品、环境标志产品政府采购执行机制的通知》（财库〔2019〕9号）要求，本项目若含有节能产品政府采购品目清单内政府强制采购产品，供应商须选用国家公布的认证机构认证的处于有效期之内的政府强制采购节能产品。本项目若含有节能产品、环境标志产品政府采购品目清单内政府优先采购产品，在性能、技术、服务等指标同等条件下，优先采购国家公布的认证机构认证的处于有效期之内的节能产品（政府强制采购产品除外）、环境标志产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供应商应提供国家公布的认证机构出具的处于有效期之内的节能产品、环境标志产品认证证书。</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②对于同时获得节能产品和环境标志产品认证证书产品，只给予其中一种认证证书产品优先采购。</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③按品目清单内的政府优先采购节能产品和环境标志产品金额之和占其总价的比例，比例高的优先。</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w:t>
            </w:r>
            <w:r>
              <w:rPr>
                <w:rFonts w:hint="eastAsia" w:ascii="宋体" w:hAnsi="宋体" w:eastAsia="宋体" w:cs="宋体"/>
                <w:color w:val="000000" w:themeColor="text1"/>
                <w:spacing w:val="2"/>
                <w:kern w:val="0"/>
                <w:szCs w:val="21"/>
                <w:lang w:eastAsia="zh-CN"/>
                <w14:textFill>
                  <w14:solidFill>
                    <w14:schemeClr w14:val="tx1"/>
                  </w14:solidFill>
                </w14:textFill>
              </w:rPr>
              <w:t>采购</w:t>
            </w:r>
            <w:r>
              <w:rPr>
                <w:rFonts w:hint="eastAsia" w:ascii="宋体" w:hAnsi="宋体" w:eastAsia="宋体" w:cs="宋体"/>
                <w:color w:val="000000" w:themeColor="text1"/>
                <w:spacing w:val="2"/>
                <w:kern w:val="0"/>
                <w:szCs w:val="21"/>
                <w14:textFill>
                  <w14:solidFill>
                    <w14:schemeClr w14:val="tx1"/>
                  </w14:solidFill>
                </w14:textFill>
              </w:rPr>
              <w:t>文件中凡有进入国家强制认证（CCC 认证）产品目录中的产品，供应商所投产品必须通过 CCC 认证。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 根据《财政部 工业和信息化部 国家质检总局 国家认监委关于信息安全产品实施政府采购的通知》财库〔2010〕48 号文件要求，各潜在供应商在本次投标活动中投标货物中，如有涉及到安全操作系统产品、安全隔离与信息交换产品、安全路由器产品、反垃圾邮件产品、防火墙产品、入侵检测系统产品、数据备份与恢复产品、网络安全隔离卡与线路选择器产品、网站恢复产品、智能卡 cos 产品时，则所投涉及上述货物的产品必须提供由中国信息安全认证中心颁发的有效认证证书。</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质量保证期不满足采购文件要求的；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autoSpaceDE w:val="0"/>
              <w:autoSpaceDN w:val="0"/>
              <w:adjustRightInd w:val="0"/>
              <w:snapToGri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Theme="minorHAnsi" w:hAnsiTheme="minorHAnsi" w:eastAsiaTheme="minorEastAsia"/>
                <w:b w:val="0"/>
                <w:sz w:val="21"/>
                <w:szCs w:val="22"/>
              </w:rPr>
              <w:t>医用分子筛制氧机</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r>
              <w:rPr>
                <w:rFonts w:hint="eastAsia" w:ascii="宋体" w:hAnsi="宋体" w:eastAsia="宋体" w:cs="宋体"/>
                <w:color w:val="000000" w:themeColor="text1"/>
                <w:kern w:val="0"/>
                <w:szCs w:val="21"/>
                <w:lang w:val="en-US" w:eastAsia="zh-CN"/>
                <w14:textFill>
                  <w14:solidFill>
                    <w14:schemeClr w14:val="tx1"/>
                  </w14:solidFill>
                </w14:textFill>
              </w:rPr>
              <w:t>元；</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供应商投标报价超出预算价及招标控制价的按无效标处理。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90 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rPr>
            </w:pPr>
            <w:r>
              <w:rPr>
                <w:rFonts w:hint="eastAsia"/>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一、</w:t>
            </w:r>
            <w:r>
              <w:rPr>
                <w:rFonts w:hint="eastAsia"/>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wordWrap w:val="0"/>
              <w:spacing w:line="360" w:lineRule="auto"/>
              <w:jc w:val="left"/>
              <w:rPr>
                <w:rFonts w:hint="eastAsia"/>
              </w:rPr>
            </w:pPr>
            <w:r>
              <w:rPr>
                <w:rFonts w:hint="eastAsia"/>
                <w:lang w:eastAsia="zh-CN"/>
              </w:rPr>
              <w:t>三、</w:t>
            </w: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p>
          <w:p>
            <w:pPr>
              <w:wordWrap w:val="0"/>
              <w:spacing w:line="360" w:lineRule="auto"/>
              <w:jc w:val="left"/>
              <w:rPr>
                <w:rFonts w:hint="eastAsia"/>
                <w:lang w:eastAsia="zh-CN"/>
              </w:rPr>
            </w:pPr>
            <w:r>
              <w:rPr>
                <w:rFonts w:hint="eastAsia"/>
                <w:lang w:val="en-US" w:eastAsia="zh-CN"/>
              </w:rPr>
              <w:t>四、</w:t>
            </w:r>
            <w:r>
              <w:rPr>
                <w:rFonts w:hint="eastAsia"/>
              </w:rPr>
              <w:t>国内产品的制造商须具有医疗器械生产许可证；代理商（经销商）须具有医疗器械经营许可证或医疗器械经营备案凭证。</w:t>
            </w:r>
          </w:p>
          <w:p>
            <w:pPr>
              <w:numPr>
                <w:ilvl w:val="0"/>
                <w:numId w:val="0"/>
              </w:numPr>
              <w:kinsoku/>
              <w:wordWrap w:val="0"/>
              <w:overflowPunct/>
              <w:autoSpaceDE w:val="0"/>
              <w:autoSpaceDN w:val="0"/>
              <w:adjustRightInd w:val="0"/>
              <w:spacing w:line="360" w:lineRule="auto"/>
              <w:ind w:left="0" w:leftChars="0"/>
              <w:jc w:val="left"/>
              <w:rPr>
                <w:rFonts w:hint="eastAsia"/>
                <w:lang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lang w:eastAsia="zh-CN"/>
              </w:rPr>
              <w:t>供应商</w:t>
            </w:r>
            <w:r>
              <w:rPr>
                <w:rFonts w:hint="eastAsia"/>
              </w:rPr>
              <w:t>提供资格声明</w:t>
            </w:r>
            <w:r>
              <w:rPr>
                <w:rFonts w:hint="eastAsia"/>
                <w:lang w:eastAsia="zh-CN"/>
              </w:rPr>
              <w:t>，</w:t>
            </w:r>
            <w:r>
              <w:rPr>
                <w:rFonts w:hint="eastAsia"/>
              </w:rPr>
              <w:t>开标当天</w:t>
            </w:r>
            <w:r>
              <w:rPr>
                <w:rFonts w:hint="eastAsia"/>
                <w:lang w:eastAsia="zh-CN"/>
              </w:rPr>
              <w:t>，代理机构</w:t>
            </w:r>
            <w:r>
              <w:rPr>
                <w:rFonts w:hint="eastAsia"/>
              </w:rPr>
              <w:t xml:space="preserve">通过“ 国家企业信用信息公示系统” </w:t>
            </w:r>
            <w:r>
              <w:rPr>
                <w:rFonts w:hint="eastAsia"/>
              </w:rPr>
              <w:fldChar w:fldCharType="begin"/>
            </w:r>
            <w:r>
              <w:rPr>
                <w:rFonts w:hint="eastAsia"/>
              </w:rPr>
              <w:instrText xml:space="preserve"> HYPERLINK "http://www.gsxt.gov.cn/corp-query-homepage.html" </w:instrText>
            </w:r>
            <w:r>
              <w:rPr>
                <w:rFonts w:hint="eastAsia"/>
              </w:rPr>
              <w:fldChar w:fldCharType="separate"/>
            </w:r>
            <w:r>
              <w:rPr>
                <w:rFonts w:hint="eastAsia"/>
              </w:rPr>
              <w:t>（www.gsxt.gov.cn/corp-query-homepage.html</w:t>
            </w:r>
            <w:r>
              <w:rPr>
                <w:rFonts w:hint="eastAsia"/>
              </w:rPr>
              <w:fldChar w:fldCharType="end"/>
            </w:r>
            <w:r>
              <w:rPr>
                <w:rFonts w:hint="eastAsia"/>
              </w:rPr>
              <w:t>）查询股东信息】 【以上各项要求中，如有供应商成立时限不足要求时限的，由供应商根据自身成立时间提供证明资料】</w:t>
            </w:r>
            <w:r>
              <w:rPr>
                <w:rFonts w:hint="eastAsia"/>
                <w:lang w:eastAsia="zh-CN"/>
              </w:rPr>
              <w:t>。</w:t>
            </w:r>
          </w:p>
          <w:p>
            <w:pPr>
              <w:numPr>
                <w:ilvl w:val="0"/>
                <w:numId w:val="0"/>
              </w:numPr>
              <w:wordWrap w:val="0"/>
              <w:autoSpaceDE w:val="0"/>
              <w:autoSpaceDN w:val="0"/>
              <w:adjustRightInd w:val="0"/>
              <w:spacing w:line="360" w:lineRule="auto"/>
              <w:jc w:val="left"/>
              <w:rPr>
                <w:rFonts w:hint="eastAsia"/>
                <w:lang w:eastAsia="zh-CN"/>
              </w:rPr>
            </w:pPr>
            <w:r>
              <w:rPr>
                <w:rFonts w:hint="eastAsia"/>
                <w:lang w:eastAsia="zh-CN"/>
              </w:rPr>
              <w:t>六、</w:t>
            </w:r>
            <w:r>
              <w:rPr>
                <w:rFonts w:hint="eastAsia" w:ascii="宋体" w:hAnsi="宋体" w:eastAsia="宋体" w:cs="宋体"/>
                <w:color w:val="000000" w:themeColor="text1"/>
                <w:spacing w:val="6"/>
                <w:kern w:val="0"/>
                <w:sz w:val="21"/>
                <w:szCs w:val="21"/>
                <w:lang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换/领证的企业，可提供符合要求的新</w:t>
            </w:r>
            <w:r>
              <w:rPr>
                <w:rFonts w:hint="eastAsia" w:ascii="宋体" w:hAnsi="宋体" w:eastAsia="宋体" w:cs="宋体"/>
                <w:i w:val="0"/>
                <w:iCs w:val="0"/>
                <w:caps w:val="0"/>
                <w:color w:val="000000" w:themeColor="text1"/>
                <w:spacing w:val="6"/>
                <w:kern w:val="0"/>
                <w:sz w:val="21"/>
                <w:szCs w:val="21"/>
                <w:lang w:eastAsia="zh-CN"/>
                <w14:textFill>
                  <w14:solidFill>
                    <w14:schemeClr w14:val="tx1"/>
                  </w14:solidFill>
                </w14:textFill>
              </w:rPr>
              <w:t>的许可</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证书</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 w:val="21"/>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 w:val="21"/>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②加密的电子投标文件1份（*.ZZTF 格式）。加密的电子投标文件是指通过郑州市公共资源交易中心网站（http：//www.zzsggzy.com/）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w w:val="99"/>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b/>
                <w:bCs/>
                <w:color w:val="auto"/>
                <w:kern w:val="0"/>
                <w:szCs w:val="21"/>
              </w:rPr>
              <w:t>202</w:t>
            </w:r>
            <w:r>
              <w:rPr>
                <w:rFonts w:hint="eastAsia" w:ascii="宋体" w:hAnsi="宋体" w:eastAsia="宋体" w:cs="宋体"/>
                <w:b/>
                <w:bCs/>
                <w:color w:val="auto"/>
                <w:kern w:val="0"/>
                <w:szCs w:val="21"/>
                <w:lang w:val="en-US" w:eastAsia="zh-CN"/>
              </w:rPr>
              <w:t>3</w:t>
            </w:r>
            <w:r>
              <w:rPr>
                <w:rFonts w:hint="eastAsia" w:ascii="宋体" w:hAnsi="宋体" w:eastAsia="宋体" w:cs="宋体"/>
                <w:b/>
                <w:bCs/>
                <w:color w:val="auto"/>
                <w:kern w:val="0"/>
                <w:szCs w:val="21"/>
              </w:rPr>
              <w:t>年</w:t>
            </w:r>
            <w:r>
              <w:rPr>
                <w:rFonts w:hint="eastAsia" w:ascii="宋体" w:hAnsi="宋体" w:eastAsia="宋体" w:cs="宋体"/>
                <w:b/>
                <w:bCs/>
                <w:color w:val="auto"/>
                <w:kern w:val="0"/>
                <w:szCs w:val="21"/>
                <w:lang w:val="en-US" w:eastAsia="zh-CN"/>
              </w:rPr>
              <w:t>09</w:t>
            </w:r>
            <w:r>
              <w:rPr>
                <w:rFonts w:hint="eastAsia" w:ascii="宋体" w:hAnsi="宋体" w:eastAsia="宋体" w:cs="宋体"/>
                <w:b/>
                <w:bCs/>
                <w:color w:val="auto"/>
                <w:kern w:val="0"/>
                <w:szCs w:val="21"/>
              </w:rPr>
              <w:t>月</w:t>
            </w:r>
            <w:r>
              <w:rPr>
                <w:rFonts w:hint="eastAsia" w:ascii="宋体" w:hAnsi="宋体" w:eastAsia="宋体" w:cs="宋体"/>
                <w:b/>
                <w:bCs/>
                <w:color w:val="auto"/>
                <w:kern w:val="0"/>
                <w:szCs w:val="21"/>
                <w:lang w:val="en-US" w:eastAsia="zh-CN"/>
              </w:rPr>
              <w:t>06</w:t>
            </w:r>
            <w:r>
              <w:rPr>
                <w:rFonts w:hint="eastAsia" w:ascii="宋体" w:hAnsi="宋体" w:eastAsia="宋体" w:cs="宋体"/>
                <w:b/>
                <w:bCs/>
                <w:color w:val="auto"/>
                <w:kern w:val="0"/>
                <w:szCs w:val="21"/>
              </w:rPr>
              <w:t>日10:00（北京时间）</w:t>
            </w:r>
            <w:r>
              <w:rPr>
                <w:rFonts w:hint="eastAsia" w:ascii="宋体" w:hAnsi="宋体" w:eastAsia="宋体" w:cs="宋体"/>
                <w:b/>
                <w:bCs/>
                <w:color w:val="auto"/>
                <w:w w:val="99"/>
                <w:kern w:val="0"/>
                <w:szCs w:val="21"/>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开标地点：郑州市公共资源交易中心门户网站远程开标大厅（http://zzggzy.zhengzhou.gov.cn/BidOpening）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4"/>
                <w:kern w:val="0"/>
                <w:szCs w:val="21"/>
                <w14:textFill>
                  <w14:solidFill>
                    <w14:schemeClr w14:val="tx1"/>
                  </w14:solidFill>
                </w14:textFill>
              </w:rPr>
              <w:t>采购人将根据招标采购设备的特点依法组建</w:t>
            </w:r>
            <w:r>
              <w:rPr>
                <w:rFonts w:hint="eastAsia" w:ascii="宋体" w:hAnsi="宋体" w:eastAsia="宋体" w:cs="宋体"/>
                <w:color w:val="000000" w:themeColor="text1"/>
                <w:spacing w:val="-4"/>
                <w:kern w:val="0"/>
                <w:szCs w:val="21"/>
                <w:lang w:val="en-US" w:eastAsia="zh-CN"/>
                <w14:textFill>
                  <w14:solidFill>
                    <w14:schemeClr w14:val="tx1"/>
                  </w14:solidFill>
                </w14:textFill>
              </w:rPr>
              <w:t>5</w:t>
            </w:r>
            <w:r>
              <w:rPr>
                <w:rFonts w:hint="eastAsia" w:ascii="宋体" w:hAnsi="宋体" w:eastAsia="宋体" w:cs="宋体"/>
                <w:color w:val="000000" w:themeColor="text1"/>
                <w:spacing w:val="-4"/>
                <w:kern w:val="0"/>
                <w:szCs w:val="21"/>
                <w14:textFill>
                  <w14:solidFill>
                    <w14:schemeClr w14:val="tx1"/>
                  </w14:solidFill>
                </w14:textFill>
              </w:rPr>
              <w:t>人评标委员会，</w:t>
            </w:r>
            <w:r>
              <w:rPr>
                <w:rFonts w:hint="eastAsia" w:ascii="宋体" w:hAnsi="宋体" w:eastAsia="宋体" w:cs="宋体"/>
                <w:color w:val="000000" w:themeColor="text1"/>
                <w:kern w:val="0"/>
                <w:szCs w:val="21"/>
                <w14:textFill>
                  <w14:solidFill>
                    <w14:schemeClr w14:val="tx1"/>
                  </w14:solidFill>
                </w14:textFill>
              </w:rPr>
              <w:t>其中</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val="en-US" w:eastAsia="zh-CN"/>
                <w14:textFill>
                  <w14:solidFill>
                    <w14:schemeClr w14:val="tx1"/>
                  </w14:solidFill>
                </w14:textFill>
              </w:rPr>
              <w:t>4人，采购人代表1人，</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eastAsia="zh-CN"/>
                <w14:textFill>
                  <w14:solidFill>
                    <w14:schemeClr w14:val="tx1"/>
                  </w14:solidFill>
                </w14:textFill>
              </w:rPr>
              <w:t>由河南省政府采购评审专家库中随机抽取</w:t>
            </w:r>
            <w:r>
              <w:rPr>
                <w:rFonts w:hint="eastAsia" w:ascii="宋体" w:hAnsi="宋体" w:eastAsia="宋体" w:cs="宋体"/>
                <w:color w:val="000000" w:themeColor="text1"/>
                <w:kern w:val="0"/>
                <w:szCs w:val="21"/>
                <w:lang w:val="en-US" w:eastAsia="zh-CN"/>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《河南省政府采购网》、《郑州市政府采购网》、《郑州市公共资源交易中心网》、《中国招标投标公共服务平台》、《河南省电子招标投标公共服务平台》</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w:t>
            </w:r>
            <w:r>
              <w:rPr>
                <w:rFonts w:hint="eastAsia" w:ascii="宋体" w:hAnsi="宋体" w:eastAsia="宋体" w:cs="宋体"/>
              </w:rPr>
              <w:fldChar w:fldCharType="begin"/>
            </w:r>
            <w:r>
              <w:rPr>
                <w:rFonts w:hint="eastAsia" w:ascii="宋体" w:hAnsi="宋体" w:eastAsia="宋体" w:cs="宋体"/>
              </w:rPr>
              <w:instrText xml:space="preserve"> HYPERLINK "mailto:zhaobiao01@126.com"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zhaobiao01@126.com</w:t>
            </w:r>
            <w:r>
              <w:rPr>
                <w:rFonts w:hint="eastAsia" w:ascii="宋体" w:hAnsi="宋体" w:eastAsia="宋体" w:cs="宋体"/>
                <w:color w:val="000000" w:themeColor="text1"/>
                <w:kern w:val="0"/>
                <w:szCs w:val="21"/>
                <w14:textFill>
                  <w14:solidFill>
                    <w14:schemeClr w14:val="tx1"/>
                  </w14:solidFill>
                </w14:textFill>
              </w:rPr>
              <w:fldChar w:fldCharType="end"/>
            </w:r>
          </w:p>
        </w:tc>
      </w:tr>
      <w:tr>
        <w:tblPrEx>
          <w:tblCellMar>
            <w:top w:w="0" w:type="dxa"/>
            <w:left w:w="0" w:type="dxa"/>
            <w:bottom w:w="0" w:type="dxa"/>
            <w:right w:w="0" w:type="dxa"/>
          </w:tblCellMar>
        </w:tblPrEx>
        <w:trPr>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vMerge w:val="restart"/>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开户名称：河南省机电设备国际招标有限公司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开户账户：建设银行郑州直属支行</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开户账号：41001526010059688888</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vMerge w:val="continue"/>
            <w:tcBorders>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本项目招标代理服务费参考原国家计委《招标代理服务收费管理暂行办法（计价格【2002】1980号）》和《国家发展和改革委员会办公厅关于招标代理服务费有关问题的通知》（发改办价格【2003】857号）和《国家发展改革委关于降低部分建设项目收费标准规范收费行为等有关问题的通知》（发改价格【2011】534号）中相关收费规定，由中标人</w:t>
            </w:r>
            <w:r>
              <w:rPr>
                <w:rFonts w:hint="eastAsia" w:ascii="宋体" w:hAnsi="宋体" w:eastAsia="宋体" w:cs="宋体"/>
                <w:i w:val="0"/>
                <w:iCs w:val="0"/>
                <w:caps w:val="0"/>
                <w:color w:val="000000" w:themeColor="text1"/>
                <w:spacing w:val="0"/>
                <w:kern w:val="0"/>
                <w:sz w:val="21"/>
                <w:szCs w:val="21"/>
                <w:shd w:val="clear"/>
                <w:lang w:eastAsia="zh-CN"/>
                <w14:textFill>
                  <w14:solidFill>
                    <w14:schemeClr w14:val="tx1"/>
                  </w14:solidFill>
                </w14:textFill>
              </w:rPr>
              <w:t>向代理机构</w:t>
            </w: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支付。</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25" w:name="_Toc9716"/>
      <w:bookmarkStart w:id="26" w:name="_Toc17887121"/>
      <w:bookmarkStart w:id="27" w:name="_Toc28774"/>
      <w:bookmarkStart w:id="28" w:name="_Toc5960094"/>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9" w:name="_Toc23294"/>
      <w:r>
        <w:rPr>
          <w:rFonts w:hint="eastAsia" w:ascii="Times New Roman" w:hAnsi="宋体" w:eastAsia="宋体" w:cs="Times New Roman"/>
          <w:color w:val="000000" w:themeColor="text1"/>
          <w:kern w:val="0"/>
          <w:szCs w:val="21"/>
          <w14:textFill>
            <w14:solidFill>
              <w14:schemeClr w14:val="tx1"/>
            </w14:solidFill>
          </w14:textFill>
        </w:rPr>
        <w:t>附件 1：</w:t>
      </w:r>
      <w:bookmarkEnd w:id="25"/>
      <w:bookmarkEnd w:id="29"/>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 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 融资工作的通知》（郑财购〔2018〕4 号），按照双方自愿的原则提供便捷、优惠的贷款服务。贷款渠道和提供贷款的金融机构，可在郑州市政府采购网“郑州市政府采购合同融资入口”查询联系。</w:t>
      </w:r>
    </w:p>
    <w:p>
      <w:pPr>
        <w:pStyle w:val="6"/>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30" w:name="_Toc30008"/>
    </w:p>
    <w:p>
      <w:pPr>
        <w:pStyle w:val="2"/>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31" w:name="_Toc2686"/>
      <w:r>
        <w:rPr>
          <w:rFonts w:hint="eastAsia" w:ascii="Times New Roman" w:hAnsi="宋体" w:eastAsia="宋体" w:cs="Times New Roman"/>
          <w:color w:val="000000" w:themeColor="text1"/>
          <w:kern w:val="0"/>
          <w:szCs w:val="21"/>
          <w14:textFill>
            <w14:solidFill>
              <w14:schemeClr w14:val="tx1"/>
            </w14:solidFill>
          </w14:textFill>
        </w:rPr>
        <w:t>附件2</w:t>
      </w:r>
      <w:bookmarkEnd w:id="30"/>
      <w:bookmarkEnd w:id="31"/>
    </w:p>
    <w:p>
      <w:pPr>
        <w:pStyle w:val="15"/>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0"/>
        <w:rPr>
          <w:color w:val="000000" w:themeColor="text1"/>
          <w14:textFill>
            <w14:solidFill>
              <w14:schemeClr w14:val="tx1"/>
            </w14:solidFill>
          </w14:textFill>
        </w:rPr>
      </w:pPr>
    </w:p>
    <w:p>
      <w:pPr>
        <w:pStyle w:val="21"/>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pPr>
    </w:p>
    <w:p>
      <w:pPr>
        <w:rPr>
          <w:color w:val="000000" w:themeColor="text1"/>
          <w14:textFill>
            <w14:solidFill>
              <w14:schemeClr w14:val="tx1"/>
            </w14:solidFill>
          </w14:textFill>
        </w:rPr>
      </w:pPr>
    </w:p>
    <w:p>
      <w:pPr>
        <w:pStyle w:val="5"/>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26"/>
      <w:bookmarkEnd w:id="27"/>
      <w:bookmarkEnd w:id="28"/>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质量保证期：见供应商须知前附表。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2" w:name="_Toc21907"/>
      <w:bookmarkStart w:id="33" w:name="_Toc17887122"/>
      <w:bookmarkStart w:id="34" w:name="_Toc5960095"/>
      <w:r>
        <w:rPr>
          <w:rFonts w:hint="eastAsia" w:ascii="宋体" w:hAnsi="宋体" w:eastAsia="宋体" w:cs="宋体"/>
          <w:b/>
          <w:bCs/>
          <w:color w:val="000000" w:themeColor="text1"/>
          <w:kern w:val="0"/>
          <w:szCs w:val="21"/>
          <w14:textFill>
            <w14:solidFill>
              <w14:schemeClr w14:val="tx1"/>
            </w14:solidFill>
          </w14:textFill>
        </w:rPr>
        <w:t>二、采购文件</w:t>
      </w:r>
      <w:bookmarkEnd w:id="32"/>
      <w:bookmarkEnd w:id="33"/>
      <w:bookmarkEnd w:id="34"/>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5" w:name="_Toc17887123"/>
      <w:bookmarkStart w:id="36" w:name="_Toc5960096"/>
      <w:bookmarkStart w:id="37" w:name="_Toc28143"/>
      <w:r>
        <w:rPr>
          <w:rFonts w:hint="eastAsia" w:ascii="宋体" w:hAnsi="宋体" w:eastAsia="宋体" w:cs="宋体"/>
          <w:b/>
          <w:bCs/>
          <w:color w:val="000000" w:themeColor="text1"/>
          <w:kern w:val="0"/>
          <w:szCs w:val="21"/>
          <w14:textFill>
            <w14:solidFill>
              <w14:schemeClr w14:val="tx1"/>
            </w14:solidFill>
          </w14:textFill>
        </w:rPr>
        <w:t>三、投标文件的编制</w:t>
      </w:r>
      <w:bookmarkEnd w:id="35"/>
      <w:bookmarkEnd w:id="36"/>
      <w:bookmarkEnd w:id="3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38"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38"/>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39" w:name="_Toc26529"/>
      <w:bookmarkStart w:id="40" w:name="_Toc5960099"/>
      <w:bookmarkStart w:id="41" w:name="_Toc17887124"/>
      <w:r>
        <w:rPr>
          <w:rFonts w:hint="eastAsia" w:ascii="宋体" w:hAnsi="宋体" w:eastAsia="宋体" w:cs="宋体"/>
          <w:b/>
          <w:bCs/>
          <w:color w:val="000000" w:themeColor="text1"/>
          <w:kern w:val="0"/>
          <w:szCs w:val="21"/>
          <w14:textFill>
            <w14:solidFill>
              <w14:schemeClr w14:val="tx1"/>
            </w14:solidFill>
          </w14:textFill>
        </w:rPr>
        <w:t>四、投标文件的递交</w:t>
      </w:r>
      <w:bookmarkEnd w:id="39"/>
      <w:bookmarkEnd w:id="40"/>
      <w:bookmarkEnd w:id="41"/>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42" w:name="_Toc5960100"/>
      <w:bookmarkStart w:id="43" w:name="_Toc5946372"/>
      <w:bookmarkStart w:id="44" w:name="_Toc5955989"/>
      <w:bookmarkStart w:id="45" w:name="_Toc17887125"/>
      <w:bookmarkStart w:id="46" w:name="_Toc8940"/>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42"/>
      <w:bookmarkEnd w:id="43"/>
      <w:bookmarkEnd w:id="44"/>
      <w:bookmarkEnd w:id="45"/>
      <w:bookmarkEnd w:id="46"/>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47" w:name="_Toc5960101"/>
      <w:bookmarkStart w:id="48" w:name="_Toc26069"/>
      <w:bookmarkStart w:id="49" w:name="_Toc5955990"/>
      <w:bookmarkStart w:id="50" w:name="_Toc17887126"/>
      <w:bookmarkStart w:id="51" w:name="_Toc5946373"/>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47"/>
      <w:bookmarkEnd w:id="48"/>
      <w:bookmarkEnd w:id="49"/>
      <w:bookmarkEnd w:id="50"/>
      <w:bookmarkEnd w:id="51"/>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6"/>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52" w:name="_Toc5960102"/>
      <w:bookmarkStart w:id="53" w:name="_Toc17887127"/>
      <w:bookmarkStart w:id="54" w:name="_Toc13553"/>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6"/>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6"/>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52"/>
      <w:bookmarkEnd w:id="53"/>
      <w:bookmarkEnd w:id="54"/>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55" w:name="_Toc5946375"/>
      <w:bookmarkStart w:id="56" w:name="_Toc23939"/>
      <w:bookmarkStart w:id="57" w:name="_Toc5960103"/>
      <w:bookmarkStart w:id="58" w:name="_Toc5955992"/>
      <w:bookmarkStart w:id="59" w:name="_Toc17887128"/>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55"/>
      <w:bookmarkEnd w:id="56"/>
      <w:bookmarkEnd w:id="57"/>
      <w:bookmarkEnd w:id="58"/>
      <w:bookmarkEnd w:id="5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资格审查的内容及标准见附件1：资格审查表。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60" w:name="_Toc17887129"/>
      <w:bookmarkStart w:id="61" w:name="_Toc5960104"/>
      <w:bookmarkStart w:id="62" w:name="_Toc5946376"/>
      <w:bookmarkStart w:id="63" w:name="_Toc18891"/>
      <w:bookmarkStart w:id="64" w:name="_Toc5955993"/>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60"/>
      <w:bookmarkEnd w:id="61"/>
      <w:bookmarkEnd w:id="62"/>
      <w:bookmarkEnd w:id="63"/>
      <w:bookmarkEnd w:id="6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（1）采购人将根据招标采购设备的特点依法组建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人的评标委员会，</w:t>
      </w:r>
      <w:r>
        <w:rPr>
          <w:rFonts w:hint="eastAsia" w:ascii="Times New Roman" w:hAnsi="宋体" w:eastAsia="宋体" w:cs="Times New Roman"/>
          <w:color w:val="000000" w:themeColor="text1"/>
          <w:spacing w:val="-10"/>
          <w:kern w:val="0"/>
          <w:szCs w:val="21"/>
          <w14:textFill>
            <w14:solidFill>
              <w14:schemeClr w14:val="tx1"/>
            </w14:solidFill>
          </w14:textFill>
        </w:rPr>
        <w:t>其成员由政府</w:t>
      </w:r>
      <w:r>
        <w:rPr>
          <w:rFonts w:hint="eastAsia" w:ascii="Times New Roman" w:hAnsi="宋体" w:eastAsia="宋体" w:cs="Times New Roman"/>
          <w:color w:val="000000" w:themeColor="text1"/>
          <w:spacing w:val="-10"/>
          <w:kern w:val="0"/>
          <w:szCs w:val="21"/>
          <w:lang w:eastAsia="zh-CN"/>
          <w14:textFill>
            <w14:solidFill>
              <w14:schemeClr w14:val="tx1"/>
            </w14:solidFill>
          </w14:textFill>
        </w:rPr>
        <w:t>组件的</w:t>
      </w:r>
      <w:r>
        <w:rPr>
          <w:rFonts w:hint="eastAsia" w:ascii="Times New Roman" w:hAnsi="宋体" w:eastAsia="宋体" w:cs="Times New Roman"/>
          <w:color w:val="000000" w:themeColor="text1"/>
          <w:spacing w:val="-10"/>
          <w:kern w:val="0"/>
          <w:szCs w:val="21"/>
          <w14:textFill>
            <w14:solidFill>
              <w14:schemeClr w14:val="tx1"/>
            </w14:solidFill>
          </w14:textFill>
        </w:rPr>
        <w:t>专家库中随机抽取的评审专家和采购人代表</w:t>
      </w:r>
      <w:r>
        <w:rPr>
          <w:rFonts w:hint="eastAsia" w:ascii="Times New Roman" w:hAnsi="宋体" w:eastAsia="宋体" w:cs="Times New Roman"/>
          <w:color w:val="000000" w:themeColor="text1"/>
          <w:spacing w:val="-5"/>
          <w:kern w:val="0"/>
          <w:szCs w:val="21"/>
          <w14:textFill>
            <w14:solidFill>
              <w14:schemeClr w14:val="tx1"/>
            </w14:solidFill>
          </w14:textFill>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65" w:name="_Toc7148"/>
      <w:bookmarkStart w:id="66" w:name="_Toc17887130"/>
      <w:bookmarkStart w:id="67" w:name="_Toc5960105"/>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65"/>
      <w:bookmarkEnd w:id="66"/>
      <w:bookmarkEnd w:id="67"/>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个工作日内，将在供应商须知前附表规定的媒体上公告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结果，供应商可通过相关发布媒体查询</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结果。公告期限为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3</w:t>
      </w:r>
      <w:r>
        <w:rPr>
          <w:rFonts w:hint="eastAsia" w:ascii="Times New Roman" w:hAnsi="宋体" w:eastAsia="宋体" w:cs="Times New Roman"/>
          <w:color w:val="000000" w:themeColor="text1"/>
          <w:spacing w:val="3"/>
          <w:kern w:val="0"/>
          <w:szCs w:val="21"/>
          <w14:textFill>
            <w14:solidFill>
              <w14:schemeClr w14:val="tx1"/>
            </w14:solidFill>
          </w14:textFill>
        </w:rPr>
        <w:t>日。在公告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结果的同时，采购人或者采购代理机构对未通过资格审查的供应商，将告知其未通过的原因；采用综合评分法评审的，还将告知未中标人本人的评审得分与排序。供应商对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68" w:name="_Toc5946378"/>
      <w:bookmarkStart w:id="69" w:name="_Toc17873"/>
      <w:bookmarkStart w:id="70" w:name="_Toc17887131"/>
      <w:bookmarkStart w:id="71" w:name="_Toc5960106"/>
      <w:bookmarkStart w:id="72" w:name="_Toc5955995"/>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68"/>
      <w:bookmarkEnd w:id="69"/>
      <w:bookmarkEnd w:id="70"/>
      <w:bookmarkEnd w:id="71"/>
      <w:bookmarkEnd w:id="7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73" w:name="_Toc30646"/>
      <w:bookmarkStart w:id="74" w:name="_Toc17887132"/>
      <w:bookmarkStart w:id="75" w:name="_Toc5955996"/>
      <w:bookmarkStart w:id="76" w:name="_Toc5960107"/>
      <w:bookmarkStart w:id="77" w:name="_Toc5946379"/>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73"/>
      <w:bookmarkEnd w:id="74"/>
      <w:bookmarkEnd w:id="75"/>
      <w:bookmarkEnd w:id="76"/>
      <w:bookmarkEnd w:id="7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78" w:name="_Toc14140"/>
      <w:bookmarkStart w:id="79" w:name="_Toc5955998"/>
      <w:bookmarkStart w:id="80" w:name="_Toc17887134"/>
      <w:bookmarkStart w:id="81" w:name="_Toc5946381"/>
      <w:bookmarkStart w:id="82" w:name="_Toc5960109"/>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78"/>
      <w:bookmarkEnd w:id="79"/>
      <w:bookmarkEnd w:id="80"/>
      <w:bookmarkEnd w:id="81"/>
      <w:bookmarkEnd w:id="8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3" w:name="_Toc17887135"/>
      <w:bookmarkStart w:id="84" w:name="_Toc5955999"/>
      <w:bookmarkStart w:id="85" w:name="_Toc5946382"/>
      <w:bookmarkStart w:id="86" w:name="_Toc5960110"/>
      <w:bookmarkStart w:id="87" w:name="_Toc32626"/>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83"/>
      <w:bookmarkEnd w:id="84"/>
      <w:bookmarkEnd w:id="85"/>
      <w:bookmarkEnd w:id="86"/>
      <w:bookmarkEnd w:id="8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8" w:name="_Toc605"/>
      <w:bookmarkStart w:id="89" w:name="_Toc5956000"/>
      <w:bookmarkStart w:id="90" w:name="_Toc5960111"/>
      <w:bookmarkStart w:id="91" w:name="_Toc17887136"/>
      <w:bookmarkStart w:id="92" w:name="_Toc5946383"/>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88"/>
      <w:bookmarkEnd w:id="89"/>
      <w:bookmarkEnd w:id="90"/>
      <w:bookmarkEnd w:id="91"/>
      <w:bookmarkEnd w:id="9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93" w:name="_Toc939"/>
      <w:bookmarkStart w:id="94" w:name="_Toc17887138"/>
      <w:bookmarkStart w:id="95" w:name="_Toc5960114"/>
      <w:r>
        <w:rPr>
          <w:rFonts w:hint="eastAsia" w:ascii="宋体" w:hAnsi="宋体" w:eastAsia="宋体" w:cs="宋体"/>
          <w:b/>
          <w:bCs/>
          <w:color w:val="000000" w:themeColor="text1"/>
          <w:kern w:val="0"/>
          <w:szCs w:val="21"/>
          <w14:textFill>
            <w14:solidFill>
              <w14:schemeClr w14:val="tx1"/>
            </w14:solidFill>
          </w14:textFill>
        </w:rPr>
        <w:t>七、质疑和投诉</w:t>
      </w:r>
      <w:bookmarkEnd w:id="93"/>
      <w:bookmarkEnd w:id="94"/>
      <w:bookmarkEnd w:id="9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6" w:name="_Toc5956004"/>
      <w:bookmarkStart w:id="97" w:name="_Toc5946387"/>
      <w:bookmarkStart w:id="98" w:name="_Toc5960115"/>
      <w:bookmarkStart w:id="99" w:name="_Toc17887139"/>
      <w:bookmarkStart w:id="100" w:name="_Toc12341"/>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96"/>
      <w:bookmarkEnd w:id="97"/>
      <w:bookmarkEnd w:id="98"/>
      <w:bookmarkEnd w:id="99"/>
      <w:bookmarkEnd w:id="100"/>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质疑函格式详见附件2。</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1" w:name="_Toc17887140"/>
      <w:bookmarkStart w:id="102" w:name="_Toc15401"/>
      <w:bookmarkStart w:id="103" w:name="_Toc5960116"/>
      <w:bookmarkStart w:id="104" w:name="_Toc5946388"/>
      <w:bookmarkStart w:id="105" w:name="_Toc5956005"/>
      <w:r>
        <w:rPr>
          <w:rFonts w:hint="eastAsia" w:ascii="Times New Roman" w:hAnsi="宋体" w:eastAsia="宋体" w:cs="Times New Roman"/>
          <w:color w:val="000000" w:themeColor="text1"/>
          <w:kern w:val="0"/>
          <w:szCs w:val="21"/>
          <w14:textFill>
            <w14:solidFill>
              <w14:schemeClr w14:val="tx1"/>
            </w14:solidFill>
          </w14:textFill>
        </w:rPr>
        <w:t>（一）捏造事实</w:t>
      </w:r>
      <w:bookmarkEnd w:id="101"/>
      <w:bookmarkEnd w:id="102"/>
      <w:bookmarkEnd w:id="103"/>
      <w:bookmarkEnd w:id="104"/>
      <w:bookmarkEnd w:id="105"/>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6" w:name="_Toc5960117"/>
      <w:bookmarkStart w:id="107" w:name="_Toc20548"/>
      <w:bookmarkStart w:id="108" w:name="_Toc5956006"/>
      <w:bookmarkStart w:id="109" w:name="_Toc5946389"/>
      <w:bookmarkStart w:id="110" w:name="_Toc17887141"/>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06"/>
      <w:bookmarkEnd w:id="107"/>
      <w:bookmarkEnd w:id="108"/>
      <w:bookmarkEnd w:id="109"/>
      <w:bookmarkEnd w:id="110"/>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11" w:name="_Toc5956007"/>
      <w:bookmarkStart w:id="112" w:name="_Toc17887142"/>
      <w:bookmarkStart w:id="113" w:name="_Toc5960118"/>
      <w:bookmarkStart w:id="114" w:name="_Toc26114"/>
      <w:bookmarkStart w:id="115" w:name="_Toc5946390"/>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11"/>
      <w:bookmarkEnd w:id="112"/>
      <w:bookmarkEnd w:id="113"/>
      <w:bookmarkEnd w:id="114"/>
      <w:bookmarkEnd w:id="115"/>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line="310" w:lineRule="exact"/>
        <w:ind w:left="601"/>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16" w:name="_Toc88272929"/>
      <w:bookmarkStart w:id="117" w:name="_Toc7587"/>
      <w:bookmarkStart w:id="118" w:name="_Toc18397"/>
      <w:bookmarkStart w:id="119" w:name="_Toc88446335"/>
      <w:bookmarkStart w:id="120" w:name="_Toc17316"/>
      <w:bookmarkStart w:id="121" w:name="_Toc15634"/>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1</w:t>
      </w:r>
      <w:r>
        <w:rPr>
          <w:rFonts w:hint="eastAsia" w:ascii="Times New Roman" w:hAnsi="Times New Roman" w:eastAsia="宋体" w:cs="Times New Roman"/>
          <w:color w:val="000000" w:themeColor="text1"/>
          <w:kern w:val="0"/>
          <w:sz w:val="24"/>
          <w:szCs w:val="24"/>
          <w14:textFill>
            <w14:solidFill>
              <w14:schemeClr w14:val="tx1"/>
            </w14:solidFill>
          </w14:textFill>
        </w:rPr>
        <w:t>：资格审查表</w:t>
      </w:r>
      <w:bookmarkEnd w:id="116"/>
      <w:bookmarkEnd w:id="117"/>
      <w:bookmarkEnd w:id="118"/>
      <w:bookmarkEnd w:id="119"/>
      <w:bookmarkEnd w:id="120"/>
      <w:bookmarkEnd w:id="121"/>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Cs w:val="21"/>
          <w14:textFill>
            <w14:solidFill>
              <w14:schemeClr w14:val="tx1"/>
            </w14:solidFill>
          </w14:textFill>
        </w:rPr>
      </w:pPr>
      <w:r>
        <w:rPr>
          <w:rFonts w:hint="eastAsia" w:ascii="Times New Roman" w:hAnsi="Times New Roman" w:eastAsia="宋体" w:cs="Times New Roman"/>
          <w:b/>
          <w:bCs/>
          <w:color w:val="000000" w:themeColor="text1"/>
          <w:kern w:val="0"/>
          <w:szCs w:val="21"/>
          <w14:textFill>
            <w14:solidFill>
              <w14:schemeClr w14:val="tx1"/>
            </w14:solidFill>
          </w14:textFill>
        </w:rPr>
        <w:t>资格审查表</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 w:val="9"/>
          <w:szCs w:val="9"/>
          <w14:textFill>
            <w14:solidFill>
              <w14:schemeClr w14:val="tx1"/>
            </w14:solidFill>
          </w14:textFill>
        </w:rPr>
      </w:pPr>
    </w:p>
    <w:p>
      <w:pPr>
        <w:kinsoku w:val="0"/>
        <w:overflowPunct w:val="0"/>
        <w:autoSpaceDE w:val="0"/>
        <w:autoSpaceDN w:val="0"/>
        <w:adjustRightInd w:val="0"/>
        <w:spacing w:line="300" w:lineRule="auto"/>
        <w:ind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spacing w:before="36" w:line="300" w:lineRule="auto"/>
        <w:ind w:right="5138" w:firstLine="48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mc:AlternateContent>
          <mc:Choice Requires="wps">
            <w:drawing>
              <wp:anchor distT="0" distB="0" distL="114300" distR="114300" simplePos="0" relativeHeight="251660288" behindDoc="1" locked="0" layoutInCell="0" allowOverlap="1">
                <wp:simplePos x="0" y="0"/>
                <wp:positionH relativeFrom="page">
                  <wp:posOffset>744855</wp:posOffset>
                </wp:positionH>
                <wp:positionV relativeFrom="paragraph">
                  <wp:posOffset>211455</wp:posOffset>
                </wp:positionV>
                <wp:extent cx="6189345" cy="7442835"/>
                <wp:effectExtent l="0" t="0" r="0" b="0"/>
                <wp:wrapNone/>
                <wp:docPr id="24" name="文本框 5"/>
                <wp:cNvGraphicFramePr/>
                <a:graphic xmlns:a="http://schemas.openxmlformats.org/drawingml/2006/main">
                  <a:graphicData uri="http://schemas.microsoft.com/office/word/2010/wordprocessingShape">
                    <wps:wsp>
                      <wps:cNvSpPr txBox="1">
                        <a:spLocks noChangeArrowheads="1"/>
                      </wps:cNvSpPr>
                      <wps:spPr bwMode="auto">
                        <a:xfrm>
                          <a:off x="0" y="0"/>
                          <a:ext cx="6189345" cy="7442835"/>
                        </a:xfrm>
                        <a:prstGeom prst="rect">
                          <a:avLst/>
                        </a:prstGeom>
                        <a:noFill/>
                        <a:ln>
                          <a:noFill/>
                        </a:ln>
                      </wps:spPr>
                      <wps:txbx>
                        <w:txbxContent>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15"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p>
                                <w:p>
                                  <w:pPr>
                                    <w:wordWrap w:val="0"/>
                                    <w:spacing w:line="360" w:lineRule="auto"/>
                                    <w:jc w:val="left"/>
                                    <w:rPr>
                                      <w:rFonts w:hint="eastAsia"/>
                                    </w:rPr>
                                  </w:pPr>
                                  <w:r>
                                    <w:rPr>
                                      <w:rFonts w:hint="eastAsia"/>
                                    </w:rPr>
                                    <w:t>国内产品的制造商须具有医疗器械生产许可证；代理商（经销商）须具有医疗器械经营许可证或医疗器械经营备案凭证。</w:t>
                                  </w:r>
                                </w:p>
                                <w:p>
                                  <w:pPr>
                                    <w:pStyle w:val="2"/>
                                    <w:ind w:firstLine="0" w:firstLineChars="0"/>
                                    <w:rPr>
                                      <w:rFonts w:hint="eastAsia"/>
                                      <w:lang w:eastAsia="zh-CN"/>
                                    </w:rPr>
                                  </w:pPr>
                                  <w:r>
                                    <w:rPr>
                                      <w:rFonts w:hint="eastAsia" w:ascii="宋体" w:hAnsi="宋体" w:eastAsia="宋体" w:cs="宋体"/>
                                      <w:color w:val="000000" w:themeColor="text1"/>
                                      <w:spacing w:val="6"/>
                                      <w:kern w:val="0"/>
                                      <w:sz w:val="21"/>
                                      <w:szCs w:val="21"/>
                                      <w:lang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换/领证的企业，可提供符合要求的新</w:t>
                                  </w:r>
                                  <w:r>
                                    <w:rPr>
                                      <w:rFonts w:hint="eastAsia" w:ascii="宋体" w:hAnsi="宋体" w:eastAsia="宋体" w:cs="宋体"/>
                                      <w:i w:val="0"/>
                                      <w:iCs w:val="0"/>
                                      <w:caps w:val="0"/>
                                      <w:color w:val="000000" w:themeColor="text1"/>
                                      <w:spacing w:val="6"/>
                                      <w:kern w:val="0"/>
                                      <w:sz w:val="21"/>
                                      <w:szCs w:val="21"/>
                                      <w:lang w:eastAsia="zh-CN"/>
                                      <w14:textFill>
                                        <w14:solidFill>
                                          <w14:schemeClr w14:val="tx1"/>
                                        </w14:solidFill>
                                      </w14:textFill>
                                    </w:rPr>
                                    <w:t>的许可</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证书</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 w:val="21"/>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 w:val="21"/>
                                      <w:szCs w:val="21"/>
                                      <w14:textFill>
                                        <w14:solidFill>
                                          <w14:schemeClr w14:val="tx1"/>
                                        </w14:solidFill>
                                      </w14:textFill>
                                    </w:rPr>
                                    <w:t>。</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txbxContent>
                      </wps:txbx>
                      <wps:bodyPr rot="0" vert="horz" wrap="square" lIns="0" tIns="0" rIns="0" bIns="0" anchor="t" anchorCtr="0" upright="1">
                        <a:noAutofit/>
                      </wps:bodyPr>
                    </wps:wsp>
                  </a:graphicData>
                </a:graphic>
              </wp:anchor>
            </w:drawing>
          </mc:Choice>
          <mc:Fallback>
            <w:pict>
              <v:shape id="文本框 5" o:spid="_x0000_s1026" o:spt="202" type="#_x0000_t202" style="position:absolute;left:0pt;margin-left:58.65pt;margin-top:16.65pt;height:586.05pt;width:487.35pt;mso-position-horizontal-relative:page;z-index:-251656192;mso-width-relative:page;mso-height-relative:page;" filled="f" stroked="f" coordsize="21600,21600" o:allowincell="f" o:gfxdata="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pG9wX2QAAAAwBAAAPAAAAAAAA&#10;AAEAIAAAACIAAABkcnMvZG93bnJldi54bWxQSwECFAAUAAAACACHTuJAl8mmgxECAAAHBAAADgAA&#10;AAAAAAABACAAAAAoAQAAZHJzL2Uyb0RvYy54bWxQSwUGAAAAAAYABgBZAQAAqwUAAAAA&#10;">
                <v:fill on="f" focussize="0,0"/>
                <v:stroke on="f"/>
                <v:imagedata o:title=""/>
                <o:lock v:ext="edit" aspectratio="f"/>
                <v:textbox inset="0mm,0mm,0mm,0mm">
                  <w:txbxContent>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15"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p>
                          <w:p>
                            <w:pPr>
                              <w:wordWrap w:val="0"/>
                              <w:spacing w:line="360" w:lineRule="auto"/>
                              <w:jc w:val="left"/>
                              <w:rPr>
                                <w:rFonts w:hint="eastAsia"/>
                              </w:rPr>
                            </w:pPr>
                            <w:r>
                              <w:rPr>
                                <w:rFonts w:hint="eastAsia"/>
                              </w:rPr>
                              <w:t>国内产品的制造商须具有医疗器械生产许可证；代理商（经销商）须具有医疗器械经营许可证或医疗器械经营备案凭证。</w:t>
                            </w:r>
                          </w:p>
                          <w:p>
                            <w:pPr>
                              <w:pStyle w:val="2"/>
                              <w:ind w:firstLine="0" w:firstLineChars="0"/>
                              <w:rPr>
                                <w:rFonts w:hint="eastAsia"/>
                                <w:lang w:eastAsia="zh-CN"/>
                              </w:rPr>
                            </w:pPr>
                            <w:r>
                              <w:rPr>
                                <w:rFonts w:hint="eastAsia" w:ascii="宋体" w:hAnsi="宋体" w:eastAsia="宋体" w:cs="宋体"/>
                                <w:color w:val="000000" w:themeColor="text1"/>
                                <w:spacing w:val="6"/>
                                <w:kern w:val="0"/>
                                <w:sz w:val="21"/>
                                <w:szCs w:val="21"/>
                                <w:lang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换/领证的企业，可提供符合要求的新</w:t>
                            </w:r>
                            <w:r>
                              <w:rPr>
                                <w:rFonts w:hint="eastAsia" w:ascii="宋体" w:hAnsi="宋体" w:eastAsia="宋体" w:cs="宋体"/>
                                <w:i w:val="0"/>
                                <w:iCs w:val="0"/>
                                <w:caps w:val="0"/>
                                <w:color w:val="000000" w:themeColor="text1"/>
                                <w:spacing w:val="6"/>
                                <w:kern w:val="0"/>
                                <w:sz w:val="21"/>
                                <w:szCs w:val="21"/>
                                <w:lang w:eastAsia="zh-CN"/>
                                <w14:textFill>
                                  <w14:solidFill>
                                    <w14:schemeClr w14:val="tx1"/>
                                  </w14:solidFill>
                                </w14:textFill>
                              </w:rPr>
                              <w:t>的许可</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证书</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 w:val="21"/>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 w:val="21"/>
                                <w:szCs w:val="21"/>
                                <w14:textFill>
                                  <w14:solidFill>
                                    <w14:schemeClr w14:val="tx1"/>
                                  </w14:solidFill>
                                </w14:textFill>
                              </w:rPr>
                              <w:t>。</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txbxContent>
                </v:textbox>
              </v:shape>
            </w:pict>
          </mc:Fallback>
        </mc:AlternateConten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sectPr>
          <w:type w:val="continuous"/>
          <w:pgSz w:w="11920" w:h="16850"/>
          <w:pgMar w:top="1600" w:right="1180" w:bottom="1200" w:left="1100" w:header="720" w:footer="720" w:gutter="0"/>
          <w:cols w:space="720" w:num="1"/>
        </w:sectPr>
      </w:pP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22" w:name="_Toc20848"/>
      <w:bookmarkStart w:id="123" w:name="_Toc32231"/>
      <w:bookmarkStart w:id="124" w:name="_Toc88446336"/>
      <w:bookmarkStart w:id="125" w:name="_Toc24034"/>
      <w:bookmarkStart w:id="126" w:name="_Toc88272930"/>
      <w:bookmarkStart w:id="127" w:name="_Toc20111"/>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2</w:t>
      </w:r>
      <w:r>
        <w:rPr>
          <w:rFonts w:hint="eastAsia" w:ascii="Times New Roman" w:hAnsi="Times New Roman" w:eastAsia="宋体" w:cs="Times New Roman"/>
          <w:color w:val="000000" w:themeColor="text1"/>
          <w:kern w:val="0"/>
          <w:sz w:val="24"/>
          <w:szCs w:val="24"/>
          <w14:textFill>
            <w14:solidFill>
              <w14:schemeClr w14:val="tx1"/>
            </w14:solidFill>
          </w14:textFill>
        </w:rPr>
        <w:t>：质疑函范本</w:t>
      </w:r>
      <w:bookmarkEnd w:id="122"/>
      <w:bookmarkEnd w:id="123"/>
      <w:bookmarkEnd w:id="124"/>
      <w:bookmarkEnd w:id="125"/>
      <w:bookmarkEnd w:id="126"/>
      <w:bookmarkEnd w:id="127"/>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128" w:name="_Toc3012"/>
      <w:bookmarkStart w:id="129" w:name="_Toc202"/>
      <w:bookmarkStart w:id="130" w:name="_Toc5960119"/>
      <w:bookmarkStart w:id="131" w:name="_Toc5956008"/>
      <w:bookmarkStart w:id="132" w:name="_Toc5946391"/>
      <w:bookmarkStart w:id="133" w:name="_Toc15361"/>
      <w:bookmarkStart w:id="134" w:name="_Toc17887143"/>
      <w:r>
        <w:rPr>
          <w:rFonts w:hint="eastAsia" w:ascii="Times New Roman" w:hAnsi="Times New Roman" w:eastAsia="宋体" w:cs="Times New Roman"/>
          <w:color w:val="000000" w:themeColor="text1"/>
          <w:kern w:val="0"/>
          <w:szCs w:val="21"/>
          <w14:textFill>
            <w14:solidFill>
              <w14:schemeClr w14:val="tx1"/>
            </w14:solidFill>
          </w14:textFill>
        </w:rPr>
        <w:t>一、质疑供应商基本信息</w:t>
      </w:r>
      <w:bookmarkEnd w:id="128"/>
      <w:bookmarkEnd w:id="129"/>
      <w:bookmarkEnd w:id="130"/>
      <w:bookmarkEnd w:id="131"/>
      <w:bookmarkEnd w:id="132"/>
      <w:bookmarkEnd w:id="133"/>
      <w:bookmarkEnd w:id="134"/>
    </w:p>
    <w:tbl>
      <w:tblPr>
        <w:tblStyle w:val="17"/>
        <w:tblW w:w="0" w:type="auto"/>
        <w:tblInd w:w="491"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4379"/>
        <w:gridCol w:w="4378"/>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8757" w:type="dxa"/>
            <w:gridSpan w:val="2"/>
            <w:vAlign w:val="center"/>
          </w:tcPr>
          <w:p>
            <w:pPr>
              <w:tabs>
                <w:tab w:val="left" w:pos="4082"/>
              </w:tabs>
              <w:kinsoku w:val="0"/>
              <w:overflowPunct w:val="0"/>
              <w:autoSpaceDE w:val="0"/>
              <w:autoSpaceDN w:val="0"/>
              <w:adjustRightInd w:val="0"/>
              <w:spacing w:line="358" w:lineRule="auto"/>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质疑供应商</w:t>
            </w:r>
            <w:r>
              <w:rPr>
                <w:rFonts w:ascii="宋体" w:hAnsi="Times New Roman" w:eastAsia="宋体" w:cs="宋体"/>
                <w:color w:val="000000" w:themeColor="text1"/>
                <w:kern w:val="0"/>
                <w:szCs w:val="21"/>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35" w:name="_Toc88272931"/>
            <w:bookmarkStart w:id="136" w:name="_Toc5960120"/>
            <w:bookmarkStart w:id="137" w:name="_Toc17887144"/>
            <w:bookmarkStart w:id="138" w:name="_Toc3358"/>
            <w:bookmarkStart w:id="139" w:name="_Toc25271"/>
            <w:bookmarkStart w:id="140" w:name="_Toc14929"/>
            <w:bookmarkStart w:id="141" w:name="_Toc17231"/>
            <w:bookmarkStart w:id="142" w:name="_Toc26072"/>
            <w:bookmarkStart w:id="143" w:name="_Toc5956009"/>
            <w:bookmarkStart w:id="144" w:name="_Toc88446337"/>
            <w:bookmarkStart w:id="145" w:name="_Toc5946392"/>
            <w:r>
              <w:rPr>
                <w:rFonts w:hint="eastAsia" w:ascii="宋体" w:hAnsi="Times New Roman" w:eastAsia="宋体" w:cs="宋体"/>
                <w:color w:val="000000" w:themeColor="text1"/>
                <w:kern w:val="0"/>
                <w:szCs w:val="21"/>
                <w14:textFill>
                  <w14:solidFill>
                    <w14:schemeClr w14:val="tx1"/>
                  </w14:solidFill>
                </w14:textFill>
              </w:rPr>
              <w:t>地址：</w:t>
            </w:r>
            <w:bookmarkEnd w:id="135"/>
            <w:bookmarkEnd w:id="136"/>
            <w:bookmarkEnd w:id="137"/>
            <w:bookmarkEnd w:id="138"/>
            <w:bookmarkEnd w:id="139"/>
            <w:bookmarkEnd w:id="140"/>
            <w:bookmarkEnd w:id="141"/>
            <w:bookmarkEnd w:id="142"/>
            <w:bookmarkEnd w:id="143"/>
            <w:bookmarkEnd w:id="144"/>
            <w:bookmarkEnd w:id="145"/>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46" w:name="_Toc88272932"/>
            <w:bookmarkStart w:id="147" w:name="_Toc17887145"/>
            <w:bookmarkStart w:id="148" w:name="_Toc30285"/>
            <w:bookmarkStart w:id="149" w:name="_Toc29707"/>
            <w:bookmarkStart w:id="150" w:name="_Toc5956010"/>
            <w:bookmarkStart w:id="151" w:name="_Toc5960121"/>
            <w:bookmarkStart w:id="152" w:name="_Toc24124"/>
            <w:bookmarkStart w:id="153" w:name="_Toc88446338"/>
            <w:bookmarkStart w:id="154" w:name="_Toc5946393"/>
            <w:bookmarkStart w:id="155" w:name="_Toc31279"/>
            <w:bookmarkStart w:id="156" w:name="_Toc4725"/>
            <w:r>
              <w:rPr>
                <w:rFonts w:hint="eastAsia" w:ascii="宋体" w:hAnsi="Times New Roman" w:eastAsia="宋体" w:cs="宋体"/>
                <w:color w:val="000000" w:themeColor="text1"/>
                <w:kern w:val="0"/>
                <w:szCs w:val="21"/>
                <w14:textFill>
                  <w14:solidFill>
                    <w14:schemeClr w14:val="tx1"/>
                  </w14:solidFill>
                </w14:textFill>
              </w:rPr>
              <w:t>邮编：</w:t>
            </w:r>
            <w:bookmarkEnd w:id="146"/>
            <w:bookmarkEnd w:id="147"/>
            <w:bookmarkEnd w:id="148"/>
            <w:bookmarkEnd w:id="149"/>
            <w:bookmarkEnd w:id="150"/>
            <w:bookmarkEnd w:id="151"/>
            <w:bookmarkEnd w:id="152"/>
            <w:bookmarkEnd w:id="153"/>
            <w:bookmarkEnd w:id="154"/>
            <w:bookmarkEnd w:id="155"/>
            <w:bookmarkEnd w:id="156"/>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57" w:name="_Toc4701"/>
            <w:bookmarkStart w:id="158" w:name="_Toc1942"/>
            <w:bookmarkStart w:id="159" w:name="_Toc18629"/>
            <w:bookmarkStart w:id="160" w:name="_Toc31468"/>
            <w:bookmarkStart w:id="161" w:name="_Toc5956011"/>
            <w:bookmarkStart w:id="162" w:name="_Toc713"/>
            <w:bookmarkStart w:id="163" w:name="_Toc88446339"/>
            <w:bookmarkStart w:id="164" w:name="_Toc88272933"/>
            <w:bookmarkStart w:id="165" w:name="_Toc5946394"/>
            <w:bookmarkStart w:id="166" w:name="_Toc17887146"/>
            <w:bookmarkStart w:id="167" w:name="_Toc5960122"/>
            <w:r>
              <w:rPr>
                <w:rFonts w:hint="eastAsia" w:ascii="宋体" w:hAnsi="Times New Roman" w:eastAsia="宋体" w:cs="宋体"/>
                <w:color w:val="000000" w:themeColor="text1"/>
                <w:spacing w:val="-1"/>
                <w:kern w:val="0"/>
                <w:szCs w:val="21"/>
                <w14:textFill>
                  <w14:solidFill>
                    <w14:schemeClr w14:val="tx1"/>
                  </w14:solidFill>
                </w14:textFill>
              </w:rPr>
              <w:t>联系人：</w:t>
            </w:r>
            <w:bookmarkEnd w:id="157"/>
            <w:bookmarkEnd w:id="158"/>
            <w:bookmarkEnd w:id="159"/>
            <w:bookmarkEnd w:id="160"/>
            <w:bookmarkEnd w:id="161"/>
            <w:bookmarkEnd w:id="162"/>
            <w:bookmarkEnd w:id="163"/>
            <w:bookmarkEnd w:id="164"/>
            <w:bookmarkEnd w:id="165"/>
            <w:bookmarkEnd w:id="166"/>
            <w:bookmarkEnd w:id="167"/>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68" w:name="_Toc5956012"/>
            <w:bookmarkStart w:id="169" w:name="_Toc12693"/>
            <w:bookmarkStart w:id="170" w:name="_Toc88272934"/>
            <w:bookmarkStart w:id="171" w:name="_Toc88446340"/>
            <w:bookmarkStart w:id="172" w:name="_Toc5946395"/>
            <w:bookmarkStart w:id="173" w:name="_Toc9414"/>
            <w:bookmarkStart w:id="174" w:name="_Toc17887147"/>
            <w:bookmarkStart w:id="175" w:name="_Toc16511"/>
            <w:bookmarkStart w:id="176" w:name="_Toc5960123"/>
            <w:bookmarkStart w:id="177" w:name="_Toc326"/>
            <w:bookmarkStart w:id="178" w:name="_Toc32119"/>
            <w:r>
              <w:rPr>
                <w:rFonts w:hint="eastAsia" w:ascii="宋体" w:hAnsi="Times New Roman" w:eastAsia="宋体" w:cs="宋体"/>
                <w:color w:val="000000" w:themeColor="text1"/>
                <w:kern w:val="0"/>
                <w:szCs w:val="21"/>
                <w14:textFill>
                  <w14:solidFill>
                    <w14:schemeClr w14:val="tx1"/>
                  </w14:solidFill>
                </w14:textFill>
              </w:rPr>
              <w:t>联系电话：</w:t>
            </w:r>
            <w:bookmarkEnd w:id="168"/>
            <w:bookmarkEnd w:id="169"/>
            <w:bookmarkEnd w:id="170"/>
            <w:bookmarkEnd w:id="171"/>
            <w:bookmarkEnd w:id="172"/>
            <w:bookmarkEnd w:id="173"/>
            <w:bookmarkEnd w:id="174"/>
            <w:bookmarkEnd w:id="175"/>
            <w:bookmarkEnd w:id="176"/>
            <w:bookmarkEnd w:id="177"/>
            <w:bookmarkEnd w:id="178"/>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79" w:name="_Toc88446341"/>
            <w:bookmarkStart w:id="180" w:name="_Toc17601"/>
            <w:bookmarkStart w:id="181" w:name="_Toc27270"/>
            <w:bookmarkStart w:id="182" w:name="_Toc18684"/>
            <w:bookmarkStart w:id="183" w:name="_Toc88272935"/>
            <w:bookmarkStart w:id="184" w:name="_Toc5956013"/>
            <w:bookmarkStart w:id="185" w:name="_Toc5946396"/>
            <w:bookmarkStart w:id="186" w:name="_Toc17887148"/>
            <w:bookmarkStart w:id="187" w:name="_Toc5960124"/>
            <w:bookmarkStart w:id="188" w:name="_Toc27387"/>
            <w:bookmarkStart w:id="189" w:name="_Toc12654"/>
            <w:r>
              <w:rPr>
                <w:rFonts w:hint="eastAsia" w:ascii="宋体" w:hAnsi="Times New Roman" w:eastAsia="宋体" w:cs="宋体"/>
                <w:color w:val="000000" w:themeColor="text1"/>
                <w:spacing w:val="-1"/>
                <w:kern w:val="0"/>
                <w:szCs w:val="21"/>
                <w14:textFill>
                  <w14:solidFill>
                    <w14:schemeClr w14:val="tx1"/>
                  </w14:solidFill>
                </w14:textFill>
              </w:rPr>
              <w:t>授权代表：</w:t>
            </w:r>
            <w:bookmarkEnd w:id="179"/>
            <w:bookmarkEnd w:id="180"/>
            <w:bookmarkEnd w:id="181"/>
            <w:bookmarkEnd w:id="182"/>
            <w:bookmarkEnd w:id="183"/>
            <w:bookmarkEnd w:id="184"/>
            <w:bookmarkEnd w:id="185"/>
            <w:bookmarkEnd w:id="186"/>
            <w:bookmarkEnd w:id="187"/>
            <w:bookmarkEnd w:id="188"/>
            <w:bookmarkEnd w:id="189"/>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90" w:name="_Toc5956014"/>
            <w:bookmarkStart w:id="191" w:name="_Toc5946397"/>
            <w:bookmarkStart w:id="192" w:name="_Toc350"/>
            <w:bookmarkStart w:id="193" w:name="_Toc24999"/>
            <w:bookmarkStart w:id="194" w:name="_Toc13378"/>
            <w:bookmarkStart w:id="195" w:name="_Toc5960125"/>
            <w:bookmarkStart w:id="196" w:name="_Toc25327"/>
            <w:bookmarkStart w:id="197" w:name="_Toc88272936"/>
            <w:bookmarkStart w:id="198" w:name="_Toc88446342"/>
            <w:bookmarkStart w:id="199" w:name="_Toc17887149"/>
            <w:bookmarkStart w:id="200" w:name="_Toc6335"/>
            <w:r>
              <w:rPr>
                <w:rFonts w:hint="eastAsia" w:ascii="宋体" w:hAnsi="Times New Roman" w:eastAsia="宋体" w:cs="宋体"/>
                <w:color w:val="000000" w:themeColor="text1"/>
                <w:kern w:val="0"/>
                <w:szCs w:val="21"/>
                <w14:textFill>
                  <w14:solidFill>
                    <w14:schemeClr w14:val="tx1"/>
                  </w14:solidFill>
                </w14:textFill>
              </w:rPr>
              <w:t>联系电话：</w:t>
            </w:r>
            <w:bookmarkEnd w:id="190"/>
            <w:bookmarkEnd w:id="191"/>
            <w:bookmarkEnd w:id="192"/>
            <w:bookmarkEnd w:id="193"/>
            <w:bookmarkEnd w:id="194"/>
            <w:bookmarkEnd w:id="195"/>
            <w:bookmarkEnd w:id="196"/>
            <w:bookmarkEnd w:id="197"/>
            <w:bookmarkEnd w:id="198"/>
            <w:bookmarkEnd w:id="199"/>
            <w:bookmarkEnd w:id="200"/>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01" w:name="_Toc151"/>
            <w:bookmarkStart w:id="202" w:name="_Toc3150"/>
            <w:bookmarkStart w:id="203" w:name="_Toc5960126"/>
            <w:bookmarkStart w:id="204" w:name="_Toc32191"/>
            <w:bookmarkStart w:id="205" w:name="_Toc88272937"/>
            <w:bookmarkStart w:id="206" w:name="_Toc5956015"/>
            <w:bookmarkStart w:id="207" w:name="_Toc28698"/>
            <w:bookmarkStart w:id="208" w:name="_Toc5946398"/>
            <w:bookmarkStart w:id="209" w:name="_Toc88446343"/>
            <w:bookmarkStart w:id="210" w:name="_Toc25897"/>
            <w:bookmarkStart w:id="211" w:name="_Toc17887150"/>
            <w:r>
              <w:rPr>
                <w:rFonts w:hint="eastAsia" w:ascii="宋体" w:hAnsi="Times New Roman" w:eastAsia="宋体" w:cs="宋体"/>
                <w:color w:val="000000" w:themeColor="text1"/>
                <w:spacing w:val="-1"/>
                <w:kern w:val="0"/>
                <w:szCs w:val="21"/>
                <w14:textFill>
                  <w14:solidFill>
                    <w14:schemeClr w14:val="tx1"/>
                  </w14:solidFill>
                </w14:textFill>
              </w:rPr>
              <w:t>地址：</w:t>
            </w:r>
            <w:bookmarkEnd w:id="201"/>
            <w:bookmarkEnd w:id="202"/>
            <w:bookmarkEnd w:id="203"/>
            <w:bookmarkEnd w:id="204"/>
            <w:bookmarkEnd w:id="205"/>
            <w:bookmarkEnd w:id="206"/>
            <w:bookmarkEnd w:id="207"/>
            <w:bookmarkEnd w:id="208"/>
            <w:bookmarkEnd w:id="209"/>
            <w:bookmarkEnd w:id="210"/>
            <w:bookmarkEnd w:id="211"/>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12" w:name="_Toc3189"/>
            <w:bookmarkStart w:id="213" w:name="_Toc5960127"/>
            <w:bookmarkStart w:id="214" w:name="_Toc25234"/>
            <w:bookmarkStart w:id="215" w:name="_Toc88272938"/>
            <w:bookmarkStart w:id="216" w:name="_Toc5946399"/>
            <w:bookmarkStart w:id="217" w:name="_Toc17887151"/>
            <w:bookmarkStart w:id="218" w:name="_Toc5956016"/>
            <w:bookmarkStart w:id="219" w:name="_Toc4693"/>
            <w:bookmarkStart w:id="220" w:name="_Toc6208"/>
            <w:bookmarkStart w:id="221" w:name="_Toc88446344"/>
            <w:bookmarkStart w:id="222" w:name="_Toc6336"/>
            <w:r>
              <w:rPr>
                <w:rFonts w:hint="eastAsia" w:ascii="宋体" w:hAnsi="Times New Roman" w:eastAsia="宋体" w:cs="宋体"/>
                <w:color w:val="000000" w:themeColor="text1"/>
                <w:kern w:val="0"/>
                <w:szCs w:val="21"/>
                <w14:textFill>
                  <w14:solidFill>
                    <w14:schemeClr w14:val="tx1"/>
                  </w14:solidFill>
                </w14:textFill>
              </w:rPr>
              <w:t>邮编：</w:t>
            </w:r>
            <w:bookmarkEnd w:id="212"/>
            <w:bookmarkEnd w:id="213"/>
            <w:bookmarkEnd w:id="214"/>
            <w:bookmarkEnd w:id="215"/>
            <w:bookmarkEnd w:id="216"/>
            <w:bookmarkEnd w:id="217"/>
            <w:bookmarkEnd w:id="218"/>
            <w:bookmarkEnd w:id="219"/>
            <w:bookmarkEnd w:id="220"/>
            <w:bookmarkEnd w:id="221"/>
            <w:bookmarkEnd w:id="222"/>
          </w:p>
        </w:tc>
      </w:tr>
    </w:tbl>
    <w:p>
      <w:pPr>
        <w:tabs>
          <w:tab w:val="left" w:pos="4082"/>
        </w:tabs>
        <w:kinsoku w:val="0"/>
        <w:overflowPunct w:val="0"/>
        <w:autoSpaceDE w:val="0"/>
        <w:autoSpaceDN w:val="0"/>
        <w:adjustRightInd w:val="0"/>
        <w:spacing w:before="127" w:line="355" w:lineRule="auto"/>
        <w:ind w:left="601" w:right="4088"/>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23" w:name="_Toc12163"/>
      <w:bookmarkStart w:id="224" w:name="_Toc5946400"/>
      <w:bookmarkStart w:id="225" w:name="_Toc2045"/>
      <w:bookmarkStart w:id="226" w:name="_Toc21790"/>
      <w:bookmarkStart w:id="227" w:name="_Toc5960128"/>
      <w:bookmarkStart w:id="228" w:name="_Toc5956017"/>
      <w:bookmarkStart w:id="229" w:name="_Toc17887152"/>
      <w:r>
        <w:rPr>
          <w:rFonts w:hint="eastAsia" w:ascii="Times New Roman" w:hAnsi="Times New Roman" w:eastAsia="宋体" w:cs="Times New Roman"/>
          <w:color w:val="000000" w:themeColor="text1"/>
          <w:kern w:val="0"/>
          <w:szCs w:val="21"/>
          <w14:textFill>
            <w14:solidFill>
              <w14:schemeClr w14:val="tx1"/>
            </w14:solidFill>
          </w14:textFill>
        </w:rPr>
        <w:t>二、质疑项目基本情况质疑项目的名称：</w:t>
      </w:r>
      <w:bookmarkEnd w:id="223"/>
      <w:bookmarkEnd w:id="224"/>
      <w:bookmarkEnd w:id="225"/>
      <w:bookmarkEnd w:id="226"/>
      <w:bookmarkEnd w:id="227"/>
      <w:bookmarkEnd w:id="228"/>
      <w:bookmarkEnd w:id="229"/>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082"/>
        </w:tabs>
        <w:kinsoku w:val="0"/>
        <w:overflowPunct w:val="0"/>
        <w:autoSpaceDE w:val="0"/>
        <w:autoSpaceDN w:val="0"/>
        <w:adjustRightInd w:val="0"/>
        <w:spacing w:before="127" w:line="355" w:lineRule="auto"/>
        <w:ind w:left="599" w:right="4088"/>
        <w:jc w:val="left"/>
        <w:rPr>
          <w:rFonts w:ascii="Times New Roman" w:hAnsi="Times New Roman" w:eastAsia="宋体" w:cs="Times New Roman"/>
          <w:color w:val="000000" w:themeColor="text1"/>
          <w:kern w:val="0"/>
          <w:szCs w:val="21"/>
          <w14:textFill>
            <w14:solidFill>
              <w14:schemeClr w14:val="tx1"/>
            </w14:solidFill>
          </w14:textFill>
        </w:rPr>
      </w:pPr>
      <w:bookmarkStart w:id="230" w:name="_Toc8911"/>
      <w:bookmarkStart w:id="231" w:name="_Toc17887153"/>
      <w:bookmarkStart w:id="232" w:name="_Toc5956018"/>
      <w:bookmarkStart w:id="233" w:name="_Toc5960129"/>
      <w:bookmarkStart w:id="234" w:name="_Toc5946401"/>
      <w:r>
        <w:rPr>
          <w:rFonts w:hint="eastAsia" w:ascii="Times New Roman" w:hAnsi="Times New Roman" w:eastAsia="宋体" w:cs="Times New Roman"/>
          <w:color w:val="000000" w:themeColor="text1"/>
          <w:kern w:val="0"/>
          <w:szCs w:val="21"/>
          <w14:textFill>
            <w14:solidFill>
              <w14:schemeClr w14:val="tx1"/>
            </w14:solidFill>
          </w14:textFill>
        </w:rPr>
        <w:t>质疑项目的编号：</w:t>
      </w:r>
      <w:bookmarkEnd w:id="230"/>
      <w:bookmarkEnd w:id="231"/>
      <w:bookmarkEnd w:id="232"/>
      <w:bookmarkEnd w:id="233"/>
      <w:bookmarkEnd w:id="234"/>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6"/>
          <w:kern w:val="0"/>
          <w:szCs w:val="21"/>
          <w14:textFill>
            <w14:solidFill>
              <w14:schemeClr w14:val="tx1"/>
            </w14:solidFill>
          </w14:textFill>
        </w:rPr>
        <w:t>包号：</w:t>
      </w:r>
      <w:r>
        <w:rPr>
          <w:rFonts w:ascii="Times New Roman" w:hAnsi="Times New Roman" w:eastAsia="宋体" w:cs="Times New Roman"/>
          <w:color w:val="000000" w:themeColor="text1"/>
          <w:spacing w:val="-17"/>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采购文件获取日期：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spacing w:val="-12"/>
          <w:kern w:val="0"/>
          <w:szCs w:val="21"/>
          <w14:textFill>
            <w14:solidFill>
              <w14:schemeClr w14:val="tx1"/>
            </w14:solidFill>
          </w14:textFill>
        </w:rPr>
      </w:pPr>
      <w:bookmarkStart w:id="235" w:name="_Toc23535"/>
      <w:bookmarkStart w:id="236" w:name="_Toc17887154"/>
      <w:bookmarkStart w:id="237" w:name="_Toc17675"/>
      <w:bookmarkStart w:id="238" w:name="_Toc5946402"/>
      <w:bookmarkStart w:id="239" w:name="_Toc18645"/>
      <w:bookmarkStart w:id="240" w:name="_Toc5960130"/>
      <w:bookmarkStart w:id="241" w:name="_Toc5956019"/>
      <w:r>
        <w:rPr>
          <w:rFonts w:hint="eastAsia" w:ascii="Times New Roman" w:hAnsi="Times New Roman" w:eastAsia="宋体" w:cs="Times New Roman"/>
          <w:color w:val="000000" w:themeColor="text1"/>
          <w:spacing w:val="-6"/>
          <w:kern w:val="0"/>
          <w:szCs w:val="21"/>
          <w14:textFill>
            <w14:solidFill>
              <w14:schemeClr w14:val="tx1"/>
            </w14:solidFill>
          </w14:textFill>
        </w:rPr>
        <w:t>三、质疑事项具体内容质疑事项</w:t>
      </w:r>
      <w:bookmarkEnd w:id="235"/>
      <w:bookmarkEnd w:id="236"/>
      <w:bookmarkEnd w:id="237"/>
      <w:bookmarkEnd w:id="238"/>
      <w:bookmarkEnd w:id="239"/>
      <w:bookmarkEnd w:id="240"/>
      <w:bookmarkEnd w:id="241"/>
      <w:r>
        <w:rPr>
          <w:rFonts w:ascii="Times New Roman" w:hAnsi="Times New Roman" w:eastAsia="宋体" w:cs="Times New Roman"/>
          <w:color w:val="000000" w:themeColor="text1"/>
          <w:spacing w:val="-12"/>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bookmarkStart w:id="242" w:name="_Toc30065"/>
      <w:bookmarkStart w:id="243" w:name="_Toc5960131"/>
      <w:bookmarkStart w:id="244" w:name="_Toc5956020"/>
      <w:bookmarkStart w:id="245" w:name="_Toc17887155"/>
      <w:bookmarkStart w:id="246" w:name="_Toc5946403"/>
      <w:r>
        <w:rPr>
          <w:rFonts w:ascii="Times New Roman" w:hAnsi="Times New Roman" w:eastAsia="宋体" w:cs="Times New Roman"/>
          <w:color w:val="000000" w:themeColor="text1"/>
          <w:kern w:val="0"/>
          <w:szCs w:val="21"/>
          <w14:textFill>
            <w14:solidFill>
              <w14:schemeClr w14:val="tx1"/>
            </w14:solidFill>
          </w14:textFill>
        </w:rPr>
        <w:t>1</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spacing w:val="-116"/>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事实依据：</w:t>
      </w:r>
      <w:bookmarkEnd w:id="242"/>
      <w:bookmarkEnd w:id="243"/>
      <w:bookmarkEnd w:id="244"/>
      <w:bookmarkEnd w:id="245"/>
      <w:bookmarkEnd w:id="246"/>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2.法律依据：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3"/>
          <w:kern w:val="0"/>
          <w:szCs w:val="21"/>
          <w14:textFill>
            <w14:solidFill>
              <w14:schemeClr w14:val="tx1"/>
            </w14:solidFill>
          </w14:textFill>
        </w:rPr>
        <w:t>3.质疑事项：</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47" w:name="_Toc6463"/>
      <w:bookmarkStart w:id="248" w:name="_Toc16491"/>
      <w:bookmarkStart w:id="249" w:name="_Toc5946404"/>
      <w:bookmarkStart w:id="250" w:name="_Toc17887156"/>
      <w:bookmarkStart w:id="251" w:name="_Toc4449"/>
      <w:bookmarkStart w:id="252" w:name="_Toc5956021"/>
      <w:bookmarkStart w:id="253" w:name="_Toc5960132"/>
      <w:r>
        <w:rPr>
          <w:rFonts w:hint="eastAsia" w:ascii="Times New Roman" w:hAnsi="Times New Roman" w:eastAsia="宋体" w:cs="Times New Roman"/>
          <w:color w:val="000000" w:themeColor="text1"/>
          <w:kern w:val="0"/>
          <w:szCs w:val="21"/>
          <w14:textFill>
            <w14:solidFill>
              <w14:schemeClr w14:val="tx1"/>
            </w14:solidFill>
          </w14:textFill>
        </w:rPr>
        <w:t>四、与质疑事项相关的质疑请求：</w:t>
      </w:r>
      <w:bookmarkEnd w:id="247"/>
      <w:bookmarkEnd w:id="248"/>
      <w:bookmarkEnd w:id="249"/>
      <w:bookmarkEnd w:id="250"/>
      <w:bookmarkEnd w:id="251"/>
      <w:bookmarkEnd w:id="252"/>
      <w:bookmarkEnd w:id="253"/>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spacing w:val="-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签字</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签章</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w:t>
      </w:r>
      <w:r>
        <w:rPr>
          <w:rFonts w:ascii="Times New Roman" w:hAnsi="Times New Roman" w:eastAsia="宋体" w:cs="Times New Roman"/>
          <w:color w:val="000000" w:themeColor="text1"/>
          <w:spacing w:val="-1"/>
          <w:kern w:val="0"/>
          <w:szCs w:val="21"/>
          <w14:textFill>
            <w14:solidFill>
              <w14:schemeClr w14:val="tx1"/>
            </w14:solidFill>
          </w14:textFill>
        </w:rPr>
        <w:tab/>
      </w: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质疑函制作说明：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1. </w:t>
      </w:r>
      <w:r>
        <w:rPr>
          <w:rFonts w:hint="eastAsia" w:ascii="Times New Roman" w:hAnsi="Times New Roman" w:eastAsia="宋体" w:cs="Times New Roman"/>
          <w:color w:val="000000" w:themeColor="text1"/>
          <w:kern w:val="0"/>
          <w:szCs w:val="21"/>
          <w14:textFill>
            <w14:solidFill>
              <w14:schemeClr w14:val="tx1"/>
            </w14:solidFill>
          </w14:textFill>
        </w:rPr>
        <w:t>供应商提出质疑时，应提交质疑函和必要的证明材料。</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2. </w:t>
      </w:r>
      <w:r>
        <w:rPr>
          <w:rFonts w:hint="eastAsia" w:ascii="Times New Roman" w:hAnsi="Times New Roman" w:eastAsia="宋体" w:cs="Times New Roman"/>
          <w:color w:val="000000" w:themeColor="text1"/>
          <w:kern w:val="0"/>
          <w:szCs w:val="21"/>
          <w14:textFill>
            <w14:solidFill>
              <w14:schemeClr w14:val="tx1"/>
            </w14:solidFill>
          </w14:textFill>
        </w:rPr>
        <w:t>质疑供应商若委托代理人进行质疑的，质疑函应按要求列明</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授权代表</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的有关内容，并在附件中提交由质疑供应商签署的授权委托书。授权委托书应载明代理人的姓名或者名称、代理事项、具体权限、期限和相关事项。</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3. </w:t>
      </w:r>
      <w:r>
        <w:rPr>
          <w:rFonts w:hint="eastAsia" w:ascii="Times New Roman" w:hAnsi="Times New Roman" w:eastAsia="宋体" w:cs="Times New Roman"/>
          <w:color w:val="000000" w:themeColor="text1"/>
          <w:kern w:val="0"/>
          <w:szCs w:val="21"/>
          <w14:textFill>
            <w14:solidFill>
              <w14:schemeClr w14:val="tx1"/>
            </w14:solidFill>
          </w14:textFill>
        </w:rPr>
        <w:t>质疑供应商若对项目的某一分包进行质疑，质疑函中应列明具体分包号。</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4. </w:t>
      </w:r>
      <w:r>
        <w:rPr>
          <w:rFonts w:hint="eastAsia" w:ascii="Times New Roman" w:hAnsi="Times New Roman" w:eastAsia="宋体" w:cs="Times New Roman"/>
          <w:color w:val="000000" w:themeColor="text1"/>
          <w:kern w:val="0"/>
          <w:szCs w:val="21"/>
          <w14:textFill>
            <w14:solidFill>
              <w14:schemeClr w14:val="tx1"/>
            </w14:solidFill>
          </w14:textFill>
        </w:rPr>
        <w:t>质疑函的质疑事项应具体、明确，并有必要的事实依据和法律依据。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5. </w:t>
      </w:r>
      <w:r>
        <w:rPr>
          <w:rFonts w:hint="eastAsia" w:ascii="Times New Roman" w:hAnsi="Times New Roman" w:eastAsia="宋体" w:cs="Times New Roman"/>
          <w:color w:val="000000" w:themeColor="text1"/>
          <w:kern w:val="0"/>
          <w:szCs w:val="21"/>
          <w14:textFill>
            <w14:solidFill>
              <w14:schemeClr w14:val="tx1"/>
            </w14:solidFill>
          </w14:textFill>
        </w:rPr>
        <w:t>质疑函的质疑请求应与质疑事项相关。</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6. </w:t>
      </w:r>
      <w:r>
        <w:rPr>
          <w:rFonts w:hint="eastAsia" w:ascii="Times New Roman" w:hAnsi="Times New Roman" w:eastAsia="宋体" w:cs="Times New Roman"/>
          <w:color w:val="000000" w:themeColor="text1"/>
          <w:kern w:val="0"/>
          <w:szCs w:val="21"/>
          <w14:textFill>
            <w14:solidFill>
              <w14:schemeClr w14:val="tx1"/>
            </w14:solidFill>
          </w14:textFill>
        </w:rPr>
        <w:t>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602" w:right="22"/>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680" w:bottom="1200" w:left="1100" w:header="0" w:footer="1009" w:gutter="0"/>
          <w:pgNumType w:fmt="numberInDash"/>
          <w:cols w:space="720" w:num="1"/>
        </w:sect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254" w:name="_Toc4140"/>
      <w:bookmarkStart w:id="255" w:name="_Toc14825"/>
      <w:bookmarkStart w:id="256" w:name="_Toc3592"/>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254"/>
      <w:bookmarkEnd w:id="255"/>
      <w:bookmarkEnd w:id="256"/>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57" w:name="_Toc17887158"/>
      <w:bookmarkStart w:id="258" w:name="_Toc5960134"/>
      <w:bookmarkStart w:id="259" w:name="_Toc3123"/>
      <w:bookmarkStart w:id="260" w:name="_Toc25444"/>
      <w:bookmarkStart w:id="261" w:name="_Toc22660"/>
      <w:r>
        <w:rPr>
          <w:rFonts w:hint="eastAsia" w:ascii="宋体" w:hAnsi="宋体" w:eastAsia="宋体" w:cs="宋体"/>
          <w:b/>
          <w:bCs/>
          <w:color w:val="000000" w:themeColor="text1"/>
          <w:kern w:val="0"/>
          <w:szCs w:val="21"/>
          <w14:textFill>
            <w14:solidFill>
              <w14:schemeClr w14:val="tx1"/>
            </w14:solidFill>
          </w14:textFill>
        </w:rPr>
        <w:t>一、评标依据</w:t>
      </w:r>
      <w:bookmarkEnd w:id="257"/>
      <w:bookmarkEnd w:id="258"/>
      <w:bookmarkEnd w:id="259"/>
      <w:bookmarkEnd w:id="260"/>
      <w:bookmarkEnd w:id="2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62" w:name="_Toc5960135"/>
      <w:bookmarkStart w:id="263" w:name="_Toc16639"/>
      <w:bookmarkStart w:id="264" w:name="_Toc13171"/>
      <w:bookmarkStart w:id="265" w:name="_Toc17887159"/>
      <w:bookmarkStart w:id="266" w:name="_Toc5137"/>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262"/>
      <w:bookmarkEnd w:id="263"/>
      <w:bookmarkEnd w:id="264"/>
      <w:bookmarkEnd w:id="265"/>
      <w:bookmarkEnd w:id="266"/>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w:t>
      </w:r>
      <w:r>
        <w:rPr>
          <w:rFonts w:ascii="Times New Roman" w:hAnsi="宋体" w:eastAsia="宋体" w:cs="Times New Roman"/>
          <w:color w:val="000000" w:themeColor="text1"/>
          <w:spacing w:val="-6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采购人将根据招标采购设备的特点依法组建</w:t>
      </w:r>
      <w:r>
        <w:rPr>
          <w:rFonts w:hint="eastAsia" w:ascii="Times New Roman" w:hAnsi="宋体" w:eastAsia="宋体" w:cs="Times New Roman"/>
          <w:color w:val="000000" w:themeColor="text1"/>
          <w:spacing w:val="-4"/>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4"/>
          <w:kern w:val="0"/>
          <w:szCs w:val="21"/>
          <w14:textFill>
            <w14:solidFill>
              <w14:schemeClr w14:val="tx1"/>
            </w14:solidFill>
          </w14:textFill>
        </w:rPr>
        <w:t>人评标委员会，除国务院财政部门规定的情形外，其成员由从政府采购专家库中随机抽取的评审专家和采购人代表组</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成，其中评审专家</w:t>
      </w:r>
      <w:r>
        <w:rPr>
          <w:rFonts w:hint="eastAsia" w:ascii="Times New Roman" w:hAnsi="宋体" w:eastAsia="宋体" w:cs="Times New Roman"/>
          <w:color w:val="000000" w:themeColor="text1"/>
          <w:kern w:val="0"/>
          <w:szCs w:val="21"/>
          <w:lang w:val="en-US" w:eastAsia="zh-CN"/>
          <w14:textFill>
            <w14:solidFill>
              <w14:schemeClr w14:val="tx1"/>
            </w14:solidFill>
          </w14:textFill>
        </w:rPr>
        <w:t>5人，采购人代表2人</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67" w:name="_Toc1592"/>
      <w:bookmarkStart w:id="268" w:name="_Toc5960136"/>
      <w:bookmarkStart w:id="269" w:name="_Toc16459"/>
      <w:bookmarkStart w:id="270" w:name="_Toc17887160"/>
      <w:bookmarkStart w:id="271" w:name="_Toc28040"/>
      <w:r>
        <w:rPr>
          <w:rFonts w:hint="eastAsia" w:ascii="宋体" w:hAnsi="宋体" w:eastAsia="宋体" w:cs="宋体"/>
          <w:b/>
          <w:bCs/>
          <w:color w:val="000000" w:themeColor="text1"/>
          <w:kern w:val="0"/>
          <w:szCs w:val="21"/>
          <w14:textFill>
            <w14:solidFill>
              <w14:schemeClr w14:val="tx1"/>
            </w14:solidFill>
          </w14:textFill>
        </w:rPr>
        <w:t>三、评标方法及标准</w:t>
      </w:r>
      <w:bookmarkEnd w:id="267"/>
      <w:bookmarkEnd w:id="268"/>
      <w:bookmarkEnd w:id="269"/>
      <w:bookmarkEnd w:id="270"/>
      <w:bookmarkEnd w:id="27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质量保证期：满足采购文件要求；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72" w:name="_Toc6116"/>
      <w:bookmarkStart w:id="273" w:name="_Toc25957"/>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272"/>
      <w:bookmarkEnd w:id="273"/>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274" w:name="_Toc3209"/>
      <w:bookmarkStart w:id="275" w:name="_Toc5960137"/>
      <w:bookmarkStart w:id="276" w:name="_Toc24712"/>
      <w:bookmarkStart w:id="277" w:name="_Toc17887161"/>
      <w:bookmarkStart w:id="278" w:name="_Toc10932"/>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274"/>
      <w:bookmarkEnd w:id="275"/>
      <w:bookmarkEnd w:id="276"/>
      <w:bookmarkEnd w:id="277"/>
      <w:bookmarkEnd w:id="278"/>
    </w:p>
    <w:p>
      <w:pPr>
        <w:jc w:val="center"/>
        <w:outlineLvl w:val="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D包</w:t>
      </w:r>
      <w:r>
        <w:rPr>
          <w:rFonts w:hint="eastAsia" w:ascii="宋体" w:hAnsi="宋体"/>
          <w:color w:val="000000" w:themeColor="text1"/>
          <w:sz w:val="24"/>
          <w:szCs w:val="24"/>
          <w14:textFill>
            <w14:solidFill>
              <w14:schemeClr w14:val="tx1"/>
            </w14:solidFill>
          </w14:textFill>
        </w:rPr>
        <w:t>评分办法</w:t>
      </w:r>
    </w:p>
    <w:tbl>
      <w:tblPr>
        <w:tblStyle w:val="1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830"/>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3383" w:type="pct"/>
            <w:vMerge w:val="restart"/>
            <w:tcBorders>
              <w:top w:val="single" w:color="auto" w:sz="4" w:space="0"/>
              <w:left w:val="single" w:color="auto" w:sz="4" w:space="0"/>
              <w:bottom w:val="single" w:color="auto" w:sz="4" w:space="0"/>
              <w:right w:val="single" w:color="auto" w:sz="4" w:space="0"/>
            </w:tcBorders>
            <w:vAlign w:val="center"/>
          </w:tcPr>
          <w:p>
            <w:pPr>
              <w:widowControl/>
              <w:wordWrap w:val="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价格分采用低价优先法计算，即满足采购文件要求且投标价格最低的投标报价为评标基准价，其价格分为满分30，其他供应商价格分统一按下列公式计算：投标报价得分=评标基准价/投标报价×30分</w:t>
            </w:r>
          </w:p>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根据《政府采购促进中小型企业发展管理办法》财库【2020】46号、《财政部民政部中国残疾人联合会关于促进残疾人就业政府采购政策的通知》（财库〔2017〕141号）、财政部司法部关于政府采购支持监狱企业发展有关问题的通知(财库〔2014〕68号)的规定，对小型和微型企业、残疾人福利企业、监狱企业提供的服务和产品价格给予</w:t>
            </w:r>
            <w:r>
              <w:rPr>
                <w:rFonts w:hint="eastAsia" w:ascii="宋体" w:hAnsi="宋体" w:eastAsia="宋体" w:cs="宋体"/>
                <w:color w:val="000000" w:themeColor="text1"/>
                <w:kern w:val="0"/>
                <w:szCs w:val="21"/>
                <w:lang w:val="en-US" w:eastAsia="zh-CN"/>
                <w14:textFill>
                  <w14:solidFill>
                    <w14:schemeClr w14:val="tx1"/>
                  </w14:solidFill>
                </w14:textFill>
              </w:rPr>
              <w:t>10</w:t>
            </w:r>
            <w:r>
              <w:rPr>
                <w:rFonts w:hint="eastAsia" w:ascii="宋体" w:hAnsi="宋体" w:eastAsia="宋体" w:cs="宋体"/>
                <w:color w:val="000000" w:themeColor="text1"/>
                <w:szCs w:val="21"/>
                <w14:textFill>
                  <w14:solidFill>
                    <w14:schemeClr w14:val="tx1"/>
                  </w14:solidFill>
                </w14:textFill>
              </w:rPr>
              <w:t>%的扣除，用扣除后的价格参与评审，不重复扣除。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商务</w:t>
            </w:r>
          </w:p>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质保期（</w:t>
            </w:r>
            <w:r>
              <w:rPr>
                <w:rFonts w:hint="eastAsia" w:ascii="宋体" w:hAnsi="宋体" w:eastAsia="宋体" w:cs="宋体"/>
                <w:color w:val="000000" w:themeColor="text1"/>
                <w:kern w:val="0"/>
                <w:szCs w:val="21"/>
                <w:lang w:val="en-US" w:eastAsia="zh-CN"/>
                <w14:textFill>
                  <w14:solidFill>
                    <w14:schemeClr w14:val="tx1"/>
                  </w14:solidFill>
                </w14:textFill>
              </w:rPr>
              <w:t>2分）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hint="eastAsia" w:ascii="宋体" w:hAnsi="宋体" w:eastAsia="宋体" w:cs="宋体"/>
                <w:color w:val="000000" w:themeColor="text1"/>
                <w:kern w:val="2"/>
                <w:szCs w:val="21"/>
                <w:lang w:val="en-US" w:eastAsia="zh-CN"/>
                <w14:textFill>
                  <w14:solidFill>
                    <w14:schemeClr w14:val="tx1"/>
                  </w14:solidFill>
                </w14:textFill>
              </w:rPr>
            </w:pPr>
            <w:r>
              <w:rPr>
                <w:rFonts w:hint="eastAsia" w:ascii="宋体" w:hAnsi="宋体" w:eastAsia="宋体" w:cs="宋体"/>
                <w:color w:val="000000" w:themeColor="text1"/>
                <w:kern w:val="2"/>
                <w:szCs w:val="21"/>
                <w:lang w:eastAsia="zh-CN"/>
                <w14:textFill>
                  <w14:solidFill>
                    <w14:schemeClr w14:val="tx1"/>
                  </w14:solidFill>
                </w14:textFill>
              </w:rPr>
              <w:t>投标文件质保期满足招标文件要求不得分，质保期每增加</w:t>
            </w:r>
            <w:r>
              <w:rPr>
                <w:rFonts w:hint="eastAsia" w:ascii="宋体" w:hAnsi="宋体" w:eastAsia="宋体" w:cs="宋体"/>
                <w:color w:val="000000" w:themeColor="text1"/>
                <w:kern w:val="2"/>
                <w:szCs w:val="21"/>
                <w:lang w:val="en-US" w:eastAsia="zh-CN"/>
                <w14:textFill>
                  <w14:solidFill>
                    <w14:schemeClr w14:val="tx1"/>
                  </w14:solidFill>
                </w14:textFill>
              </w:rPr>
              <w:t>1年得1分，最多得2分，质保期增加不足1年不得分。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restart"/>
            <w:tcBorders>
              <w:top w:val="single" w:color="auto" w:sz="4" w:space="0"/>
              <w:left w:val="single" w:color="auto" w:sz="4" w:space="0"/>
              <w:right w:val="single" w:color="auto" w:sz="4" w:space="0"/>
            </w:tcBorders>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50</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技术参数</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wordWrap w:val="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2"/>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w:t>
            </w:r>
          </w:p>
          <w:p>
            <w:pPr>
              <w:widowControl/>
              <w:wordWrap w:val="0"/>
              <w:jc w:val="left"/>
              <w:rPr>
                <w:rFonts w:hint="eastAsia" w:ascii="宋体" w:hAnsi="宋体" w:eastAsia="宋体" w:cs="宋体"/>
                <w:color w:val="000000" w:themeColor="text1"/>
                <w:kern w:val="2"/>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kern w:val="2"/>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2"/>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2"/>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2"/>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2"/>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2"/>
                <w:szCs w:val="21"/>
                <w:lang w:val="en-US" w:eastAsia="zh-CN"/>
                <w14:textFill>
                  <w14:solidFill>
                    <w14:schemeClr w14:val="tx1"/>
                  </w14:solidFill>
                </w14:textFill>
              </w:rPr>
              <w:t>非</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kern w:val="2"/>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2"/>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2"/>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2"/>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2"/>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2"/>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continue"/>
            <w:tcBorders>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wordWrap w:val="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2"/>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2"/>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2"/>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restart"/>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p>
            <w:pPr>
              <w:pStyle w:val="6"/>
              <w:ind w:left="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分）</w:t>
            </w: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continue"/>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售后服务方案</w:t>
            </w: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23"/>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评分和计算结果均保留小数点后2位（采用四舍五入法）。 </w:t>
      </w:r>
    </w:p>
    <w:p>
      <w:pPr>
        <w:pStyle w:val="23"/>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pStyle w:val="2"/>
      </w:pPr>
    </w:p>
    <w:p>
      <w:pPr>
        <w:pStyle w:val="2"/>
      </w:pPr>
    </w:p>
    <w:p>
      <w:pPr>
        <w:pStyle w:val="2"/>
      </w:pP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bookmarkStart w:id="279" w:name="_Toc16846"/>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151"/>
          <w:kern w:val="0"/>
          <w:sz w:val="32"/>
          <w:szCs w:val="32"/>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279"/>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ascii="宋体" w:hAnsi="宋体" w:eastAsia="宋体" w:cs="宋体"/>
          <w:b/>
          <w:bCs/>
          <w:kern w:val="0"/>
          <w:sz w:val="56"/>
          <w:szCs w:val="56"/>
        </w:rPr>
      </w:pPr>
      <w:r>
        <w:rPr>
          <w:rFonts w:hint="eastAsia" w:ascii="宋体" w:hAnsi="宋体" w:eastAsia="宋体" w:cs="宋体"/>
          <w:b/>
          <w:bCs/>
          <w:kern w:val="0"/>
          <w:sz w:val="56"/>
          <w:szCs w:val="56"/>
        </w:rPr>
        <w:t>河南省儿童医院郑州儿童医院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pStyle w:val="16"/>
        <w:ind w:left="0" w:leftChars="0" w:firstLine="0" w:firstLineChars="0"/>
        <w:rPr>
          <w:rFonts w:ascii="宋体" w:hAnsi="宋体" w:eastAsia="宋体" w:cs="Times New Roman"/>
          <w:b/>
          <w:bCs/>
          <w:spacing w:val="60"/>
          <w:kern w:val="0"/>
          <w:sz w:val="72"/>
          <w:szCs w:val="72"/>
        </w:rPr>
      </w:pPr>
    </w:p>
    <w:p>
      <w:pPr>
        <w:pStyle w:val="3"/>
        <w:spacing w:line="500" w:lineRule="exact"/>
        <w:jc w:val="center"/>
        <w:rPr>
          <w:rFonts w:hint="eastAsia" w:ascii="仿宋" w:hAnsi="仿宋" w:eastAsia="仿宋"/>
          <w:color w:val="auto"/>
          <w:sz w:val="28"/>
          <w:szCs w:val="28"/>
        </w:rPr>
      </w:pPr>
      <w:r>
        <w:rPr>
          <w:color w:val="auto"/>
          <w:sz w:val="21"/>
          <w:szCs w:val="21"/>
        </w:rPr>
        <w:fldChar w:fldCharType="begin"/>
      </w:r>
      <w:r>
        <w:rPr>
          <w:color w:val="auto"/>
          <w:sz w:val="21"/>
          <w:szCs w:val="21"/>
        </w:rPr>
        <w:instrText xml:space="preserve"> HYPERLINK "java:;" </w:instrText>
      </w:r>
      <w:r>
        <w:rPr>
          <w:color w:val="auto"/>
          <w:sz w:val="21"/>
          <w:szCs w:val="21"/>
        </w:rPr>
        <w:fldChar w:fldCharType="separate"/>
      </w:r>
      <w:r>
        <w:rPr>
          <w:rStyle w:val="20"/>
          <w:rFonts w:hint="eastAsia" w:ascii="宋体" w:hAnsi="宋体"/>
          <w:color w:val="auto"/>
          <w:sz w:val="21"/>
          <w:szCs w:val="21"/>
        </w:rPr>
        <w:t>购销合同</w:t>
      </w:r>
      <w:r>
        <w:rPr>
          <w:rStyle w:val="20"/>
          <w:rFonts w:hint="eastAsia" w:ascii="宋体" w:hAnsi="宋体"/>
          <w:color w:val="auto"/>
          <w:sz w:val="21"/>
          <w:szCs w:val="21"/>
        </w:rPr>
        <w:fldChar w:fldCharType="end"/>
      </w:r>
      <w:r>
        <w:rPr>
          <w:rFonts w:hint="eastAsia" w:ascii="仿宋" w:hAnsi="仿宋" w:eastAsia="仿宋"/>
          <w:color w:val="auto"/>
          <w:sz w:val="28"/>
          <w:szCs w:val="28"/>
        </w:rPr>
        <w:t xml:space="preserve">     </w:t>
      </w:r>
    </w:p>
    <w:p>
      <w:pPr>
        <w:spacing w:line="500" w:lineRule="exact"/>
        <w:rPr>
          <w:rFonts w:hint="eastAsia" w:ascii="仿宋" w:hAnsi="仿宋" w:eastAsia="仿宋"/>
          <w:b/>
          <w:bCs/>
          <w:color w:val="auto"/>
          <w:sz w:val="21"/>
          <w:szCs w:val="21"/>
          <w:u w:val="single"/>
          <w:lang w:val="en-US" w:eastAsia="zh-CN"/>
        </w:rPr>
      </w:pPr>
      <w:r>
        <w:rPr>
          <w:rFonts w:hint="eastAsia" w:ascii="仿宋" w:hAnsi="仿宋" w:eastAsia="仿宋"/>
          <w:b/>
          <w:bCs/>
          <w:color w:val="auto"/>
          <w:sz w:val="21"/>
          <w:szCs w:val="21"/>
        </w:rPr>
        <w:t>甲方：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eastAsia="zh-CN"/>
        </w:rPr>
        <w:t>河南省儿童医院</w:t>
      </w:r>
      <w:r>
        <w:rPr>
          <w:rFonts w:hint="eastAsia" w:ascii="仿宋" w:hAnsi="仿宋" w:eastAsia="仿宋"/>
          <w:b/>
          <w:bCs/>
          <w:color w:val="auto"/>
          <w:sz w:val="21"/>
          <w:szCs w:val="21"/>
          <w:u w:val="single"/>
        </w:rPr>
        <w:t xml:space="preserve">郑州儿童医院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none"/>
          <w:lang w:val="en-US" w:eastAsia="zh-CN"/>
        </w:rPr>
        <w:t>合同编号：</w:t>
      </w:r>
      <w:r>
        <w:rPr>
          <w:rFonts w:hint="eastAsia" w:ascii="仿宋" w:hAnsi="仿宋" w:eastAsia="仿宋"/>
          <w:b/>
          <w:bCs/>
          <w:color w:val="auto"/>
          <w:sz w:val="21"/>
          <w:szCs w:val="21"/>
          <w:u w:val="single"/>
          <w:lang w:val="en-US" w:eastAsia="zh-CN"/>
        </w:rPr>
        <w:t xml:space="preserve">                </w:t>
      </w:r>
    </w:p>
    <w:p>
      <w:pPr>
        <w:spacing w:line="500" w:lineRule="exact"/>
        <w:rPr>
          <w:rFonts w:hint="eastAsia" w:ascii="仿宋" w:hAnsi="仿宋" w:eastAsia="仿宋"/>
          <w:b/>
          <w:bCs/>
          <w:color w:val="auto"/>
          <w:sz w:val="21"/>
          <w:szCs w:val="21"/>
          <w:u w:val="single"/>
        </w:rPr>
      </w:pPr>
      <w:r>
        <w:rPr>
          <w:rFonts w:hint="eastAsia" w:ascii="仿宋" w:hAnsi="仿宋" w:eastAsia="仿宋"/>
          <w:b/>
          <w:bCs/>
          <w:color w:val="auto"/>
          <w:sz w:val="21"/>
          <w:szCs w:val="21"/>
        </w:rPr>
        <w:t>乙方：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single"/>
        </w:rPr>
        <w:t xml:space="preserve">    </w:t>
      </w:r>
    </w:p>
    <w:p>
      <w:pPr>
        <w:pStyle w:val="9"/>
        <w:keepNext w:val="0"/>
        <w:keepLines w:val="0"/>
        <w:pageBreakBefore w:val="0"/>
        <w:widowControl/>
        <w:kinsoku/>
        <w:wordWrap/>
        <w:overflowPunct/>
        <w:topLinePunct w:val="0"/>
        <w:autoSpaceDE/>
        <w:autoSpaceDN/>
        <w:bidi w:val="0"/>
        <w:adjustRightInd/>
        <w:spacing w:line="500" w:lineRule="exact"/>
        <w:ind w:firstLine="0" w:firstLineChars="0"/>
        <w:textAlignment w:val="auto"/>
        <w:outlineLvl w:val="9"/>
        <w:rPr>
          <w:rFonts w:hint="eastAsia" w:ascii="仿宋" w:hAnsi="仿宋" w:eastAsia="仿宋"/>
          <w:b/>
          <w:bCs/>
          <w:color w:val="auto"/>
          <w:spacing w:val="0"/>
          <w:sz w:val="21"/>
          <w:szCs w:val="21"/>
        </w:rPr>
      </w:pPr>
      <w:r>
        <w:rPr>
          <w:rFonts w:hint="eastAsia" w:ascii="仿宋" w:hAnsi="仿宋" w:eastAsia="仿宋"/>
          <w:color w:val="auto"/>
          <w:sz w:val="21"/>
          <w:szCs w:val="21"/>
        </w:rPr>
        <w:t xml:space="preserve"> </w:t>
      </w:r>
      <w:r>
        <w:rPr>
          <w:rFonts w:hint="eastAsia" w:ascii="仿宋" w:hAnsi="仿宋" w:eastAsia="仿宋"/>
          <w:color w:val="auto"/>
          <w:spacing w:val="0"/>
          <w:sz w:val="21"/>
          <w:szCs w:val="21"/>
        </w:rPr>
        <w:t>根据《</w:t>
      </w:r>
      <w:r>
        <w:rPr>
          <w:rFonts w:hint="default" w:ascii="仿宋" w:hAnsi="仿宋" w:eastAsia="仿宋"/>
          <w:color w:val="auto"/>
          <w:spacing w:val="0"/>
          <w:sz w:val="21"/>
          <w:szCs w:val="21"/>
        </w:rPr>
        <w:t>中华人民共和国民法典</w:t>
      </w:r>
      <w:r>
        <w:rPr>
          <w:rFonts w:hint="eastAsia" w:ascii="仿宋" w:hAnsi="仿宋" w:eastAsia="仿宋"/>
          <w:color w:val="auto"/>
          <w:spacing w:val="0"/>
          <w:sz w:val="21"/>
          <w:szCs w:val="21"/>
        </w:rPr>
        <w:t>》以及相关</w:t>
      </w:r>
      <w:r>
        <w:rPr>
          <w:color w:val="auto"/>
          <w:spacing w:val="0"/>
          <w:sz w:val="21"/>
          <w:szCs w:val="21"/>
        </w:rPr>
        <w:fldChar w:fldCharType="begin"/>
      </w:r>
      <w:r>
        <w:rPr>
          <w:color w:val="auto"/>
          <w:spacing w:val="0"/>
          <w:sz w:val="21"/>
          <w:szCs w:val="21"/>
        </w:rPr>
        <w:instrText xml:space="preserve"> HYPERLINK "java:;" </w:instrText>
      </w:r>
      <w:r>
        <w:rPr>
          <w:color w:val="auto"/>
          <w:spacing w:val="0"/>
          <w:sz w:val="21"/>
          <w:szCs w:val="21"/>
        </w:rPr>
        <w:fldChar w:fldCharType="separate"/>
      </w:r>
      <w:r>
        <w:rPr>
          <w:rStyle w:val="20"/>
          <w:rFonts w:hint="eastAsia" w:ascii="仿宋" w:hAnsi="仿宋" w:eastAsia="仿宋"/>
          <w:color w:val="auto"/>
          <w:spacing w:val="0"/>
          <w:sz w:val="21"/>
          <w:szCs w:val="21"/>
        </w:rPr>
        <w:t>法律</w:t>
      </w:r>
      <w:r>
        <w:rPr>
          <w:rStyle w:val="20"/>
          <w:rFonts w:hint="eastAsia" w:ascii="仿宋" w:hAnsi="仿宋" w:eastAsia="仿宋"/>
          <w:color w:val="auto"/>
          <w:spacing w:val="0"/>
          <w:sz w:val="21"/>
          <w:szCs w:val="21"/>
        </w:rPr>
        <w:fldChar w:fldCharType="end"/>
      </w:r>
      <w:r>
        <w:rPr>
          <w:rFonts w:hint="eastAsia" w:ascii="仿宋" w:hAnsi="仿宋" w:eastAsia="仿宋"/>
          <w:color w:val="auto"/>
          <w:spacing w:val="0"/>
          <w:sz w:val="21"/>
          <w:szCs w:val="21"/>
        </w:rPr>
        <w:t>法规的规定，经甲、乙双方协商，就甲方采购乙方医疗设备事宜，双方自愿签订如下合同：</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 xml:space="preserve">第一条  </w:t>
      </w:r>
      <w:r>
        <w:rPr>
          <w:rFonts w:ascii="仿宋_GB2312" w:hAnsi="仿宋_GB2312"/>
          <w:b/>
          <w:bCs/>
          <w:color w:val="auto"/>
          <w:spacing w:val="0"/>
          <w:sz w:val="21"/>
          <w:szCs w:val="21"/>
        </w:rPr>
        <w:t>合同标的之名称、型号、规格、数量、价格</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设备的名称、规格、单价、数量及产地等详见明细表，明细表是本合同的一部分。乙方应随货免费提供设备的技术文件，包括相应的图纸、操作手册、维护手册、质量保证文件、合格证、配置清单、服务指南等。产品名称、品牌、规格型号、数量 、价款等见下表</w:t>
      </w:r>
    </w:p>
    <w:tbl>
      <w:tblPr>
        <w:tblStyle w:val="17"/>
        <w:tblW w:w="8700"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828"/>
        <w:gridCol w:w="1467"/>
        <w:gridCol w:w="1050"/>
        <w:gridCol w:w="1123"/>
        <w:gridCol w:w="1262"/>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产品名称</w:t>
            </w: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品牌</w:t>
            </w: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规格型号</w:t>
            </w: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产地</w:t>
            </w: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单价（元）</w:t>
            </w: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数量</w:t>
            </w:r>
          </w:p>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val="en-US" w:eastAsia="zh-CN"/>
              </w:rPr>
              <w:t>(台/套）</w:t>
            </w: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总金额：¥           元   大写：人民币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备注：与交货有关的费用（包括但不限于增值税、运输费、包装费、保险费）以及安装、调试等伴随服务的费用已包含在合同价中。</w:t>
            </w:r>
          </w:p>
        </w:tc>
      </w:tr>
    </w:tbl>
    <w:p>
      <w:pPr>
        <w:keepNext w:val="0"/>
        <w:keepLines w:val="0"/>
        <w:pageBreakBefore w:val="0"/>
        <w:widowControl w:val="0"/>
        <w:kinsoku/>
        <w:wordWrap/>
        <w:overflowPunct/>
        <w:topLinePunct w:val="0"/>
        <w:autoSpaceDE/>
        <w:autoSpaceDN/>
        <w:bidi w:val="0"/>
        <w:adjustRightInd/>
        <w:snapToGrid w:val="0"/>
        <w:spacing w:line="480" w:lineRule="exact"/>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第二条  质量、技术标准</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1、乙方应按合同规定的产品性能、质量标准向甲方提供未经使用的全新产品。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2、乙方提供的器材必须符合相关的国家医疗器械管理规定及国家质量标准，并提供生产许可证、产品注册证、经营许可证。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3、甲方验收合格后，双方需在甲方《设备验收单》上签字确认。                                                      </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第三条  交货</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default" w:ascii="仿宋" w:hAnsi="仿宋" w:eastAsia="仿宋"/>
          <w:color w:val="auto"/>
          <w:spacing w:val="0"/>
          <w:sz w:val="21"/>
          <w:szCs w:val="21"/>
          <w:lang w:val="en-US" w:eastAsia="zh-CN"/>
        </w:rPr>
      </w:pPr>
      <w:r>
        <w:rPr>
          <w:rFonts w:hint="eastAsia" w:ascii="仿宋" w:hAnsi="仿宋" w:eastAsia="仿宋"/>
          <w:color w:val="auto"/>
          <w:spacing w:val="0"/>
          <w:sz w:val="21"/>
          <w:szCs w:val="21"/>
        </w:rPr>
        <w:t>1、交付时间：</w:t>
      </w:r>
      <w:r>
        <w:rPr>
          <w:rFonts w:hint="eastAsia" w:ascii="仿宋" w:hAnsi="仿宋" w:eastAsia="仿宋"/>
          <w:color w:val="auto"/>
          <w:spacing w:val="0"/>
          <w:sz w:val="21"/>
          <w:szCs w:val="21"/>
          <w:u w:val="single"/>
        </w:rPr>
        <w:t xml:space="preserve"> 合同生效后</w:t>
      </w:r>
      <w:r>
        <w:rPr>
          <w:rFonts w:hint="eastAsia" w:ascii="仿宋" w:hAnsi="仿宋" w:eastAsia="仿宋"/>
          <w:color w:val="auto"/>
          <w:spacing w:val="0"/>
          <w:sz w:val="21"/>
          <w:szCs w:val="21"/>
          <w:u w:val="single"/>
          <w:lang w:val="en-US" w:eastAsia="zh-CN"/>
        </w:rPr>
        <w:t>xx</w:t>
      </w:r>
      <w:r>
        <w:rPr>
          <w:rFonts w:hint="eastAsia" w:ascii="仿宋" w:hAnsi="仿宋" w:eastAsia="仿宋"/>
          <w:color w:val="auto"/>
          <w:spacing w:val="0"/>
          <w:sz w:val="21"/>
          <w:szCs w:val="21"/>
          <w:u w:val="single"/>
        </w:rPr>
        <w:t>日历天内完成供货、安装、调试并通过初步核验。</w:t>
      </w:r>
    </w:p>
    <w:p>
      <w:pPr>
        <w:keepNext w:val="0"/>
        <w:keepLines w:val="0"/>
        <w:pageBreakBefore w:val="0"/>
        <w:widowControl w:val="0"/>
        <w:kinsoku/>
        <w:wordWrap/>
        <w:overflowPunct/>
        <w:topLinePunct w:val="0"/>
        <w:autoSpaceDE/>
        <w:autoSpaceDN/>
        <w:bidi w:val="0"/>
        <w:adjustRightInd/>
        <w:spacing w:line="480" w:lineRule="exact"/>
        <w:ind w:firstLine="735" w:firstLineChars="3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交付地点：</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val="en-US" w:eastAsia="zh-CN"/>
        </w:rPr>
        <w:t xml:space="preserve">              </w:t>
      </w:r>
      <w:r>
        <w:rPr>
          <w:rFonts w:hint="eastAsia" w:ascii="仿宋" w:hAnsi="仿宋" w:eastAsia="仿宋"/>
          <w:color w:val="auto"/>
          <w:spacing w:val="0"/>
          <w:sz w:val="21"/>
          <w:szCs w:val="21"/>
          <w:u w:val="single"/>
        </w:rPr>
        <w:t xml:space="preserve">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双方约定，乙方送货并承担运费、安装费、保险费、税费等费用，货物交付甲方后转移所有权。如乙方提前交货，需经甲方同意，否则，产品在交货日前的毁损、灭失风险及有关的仓储保管费用由乙方自行承担。如乙方不能按时供货，甲方有权终止合同；如甲方要求乙方继续供货，乙方从合同约定交货之日起按每日总货款的2‰累加赔付，直至货到之日为止。</w:t>
      </w:r>
    </w:p>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 xml:space="preserve">  第四条 验收标准及方式</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1、乙方在将货物运送至指定地点后，由甲、乙双方共同对设备进行开箱清点、安装调试</w:t>
      </w:r>
      <w:r>
        <w:rPr>
          <w:rFonts w:hint="eastAsia" w:ascii="仿宋" w:hAnsi="仿宋" w:eastAsia="仿宋"/>
          <w:color w:val="auto"/>
          <w:spacing w:val="0"/>
          <w:sz w:val="21"/>
          <w:szCs w:val="21"/>
          <w:lang w:eastAsia="zh-CN"/>
        </w:rPr>
        <w:t>、人员培训等</w:t>
      </w:r>
      <w:r>
        <w:rPr>
          <w:rFonts w:hint="eastAsia" w:ascii="仿宋" w:hAnsi="仿宋" w:eastAsia="仿宋"/>
          <w:color w:val="auto"/>
          <w:spacing w:val="0"/>
          <w:sz w:val="21"/>
          <w:szCs w:val="21"/>
        </w:rPr>
        <w:t>验收，如果发现设备型号和配置</w:t>
      </w:r>
      <w:r>
        <w:rPr>
          <w:rFonts w:hint="eastAsia" w:ascii="仿宋" w:hAnsi="仿宋" w:eastAsia="仿宋"/>
          <w:color w:val="auto"/>
          <w:spacing w:val="0"/>
          <w:sz w:val="21"/>
          <w:szCs w:val="21"/>
          <w:lang w:eastAsia="zh-CN"/>
        </w:rPr>
        <w:t>、培训</w:t>
      </w:r>
      <w:r>
        <w:rPr>
          <w:rFonts w:hint="eastAsia" w:ascii="仿宋" w:hAnsi="仿宋" w:eastAsia="仿宋"/>
          <w:color w:val="auto"/>
          <w:spacing w:val="0"/>
          <w:sz w:val="21"/>
          <w:szCs w:val="21"/>
        </w:rPr>
        <w:t>与</w:t>
      </w:r>
      <w:r>
        <w:rPr>
          <w:rFonts w:hint="eastAsia" w:ascii="仿宋" w:hAnsi="仿宋" w:eastAsia="仿宋"/>
          <w:color w:val="auto"/>
          <w:spacing w:val="0"/>
          <w:sz w:val="21"/>
          <w:szCs w:val="21"/>
          <w:lang w:eastAsia="zh-CN"/>
        </w:rPr>
        <w:t>投</w:t>
      </w:r>
      <w:r>
        <w:rPr>
          <w:rFonts w:hint="eastAsia" w:ascii="仿宋" w:hAnsi="仿宋" w:eastAsia="仿宋"/>
          <w:color w:val="auto"/>
          <w:spacing w:val="0"/>
          <w:sz w:val="21"/>
          <w:szCs w:val="21"/>
        </w:rPr>
        <w:t>标文件不符或有质量、技术等问题，乙方应在七日内，按照甲方的要求，采取补足、更换或退货等处理措施，并承担由此发生的一切损失和费用，且甲方有权拒付不符合本合同约定的产品的货款。</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2、设备到货后，乙方应在接到甲方通知后，在甲方规定时间内完成设备的安装调试。</w:t>
      </w:r>
      <w:r>
        <w:rPr>
          <w:rFonts w:hint="eastAsia" w:ascii="仿宋" w:hAnsi="仿宋" w:eastAsia="仿宋"/>
          <w:color w:val="auto"/>
          <w:spacing w:val="0"/>
          <w:sz w:val="21"/>
          <w:szCs w:val="21"/>
          <w:lang w:eastAsia="zh-CN"/>
        </w:rPr>
        <w:t>拆箱后外包装箱有供货商自行清理，若发现未清理或清理不干净，将按照医院相关规定从货款中扣除壹仟元整，以此类推。</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第五条  货款及支付方式</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lang w:eastAsia="zh-CN"/>
        </w:rPr>
      </w:pPr>
      <w:r>
        <w:rPr>
          <w:rFonts w:hint="eastAsia" w:ascii="仿宋" w:hAnsi="仿宋" w:eastAsia="仿宋"/>
          <w:b/>
          <w:bCs/>
          <w:color w:val="auto"/>
          <w:spacing w:val="0"/>
          <w:sz w:val="21"/>
          <w:szCs w:val="21"/>
        </w:rPr>
        <w:t>1、付款方式：</w:t>
      </w:r>
      <w:r>
        <w:rPr>
          <w:rFonts w:hint="eastAsia" w:ascii="仿宋" w:hAnsi="仿宋" w:eastAsia="仿宋"/>
          <w:b w:val="0"/>
          <w:bCs w:val="0"/>
          <w:color w:val="auto"/>
          <w:spacing w:val="0"/>
          <w:sz w:val="21"/>
          <w:szCs w:val="21"/>
          <w:lang w:eastAsia="zh-CN"/>
        </w:rPr>
        <w:t>银行转账</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color w:val="0000FF"/>
          <w:spacing w:val="0"/>
          <w:sz w:val="21"/>
          <w:szCs w:val="21"/>
          <w:lang w:val="en-US" w:eastAsia="zh-CN"/>
        </w:rPr>
      </w:pPr>
      <w:r>
        <w:rPr>
          <w:rFonts w:hint="eastAsia" w:ascii="仿宋" w:hAnsi="仿宋" w:eastAsia="仿宋"/>
          <w:color w:val="auto"/>
          <w:spacing w:val="0"/>
          <w:sz w:val="21"/>
          <w:szCs w:val="21"/>
          <w:lang w:val="en-US" w:eastAsia="zh-CN"/>
        </w:rPr>
        <w:t>乙方出具国家税务机关的正式发票，</w:t>
      </w:r>
      <w:r>
        <w:rPr>
          <w:rFonts w:hint="eastAsia" w:ascii="仿宋" w:hAnsi="仿宋" w:eastAsia="仿宋"/>
          <w:color w:val="auto"/>
          <w:spacing w:val="0"/>
          <w:sz w:val="21"/>
          <w:szCs w:val="21"/>
        </w:rPr>
        <w:t>甲方以人民币转账汇款方式向乙方下列账户支付合同价款</w:t>
      </w:r>
      <w:r>
        <w:rPr>
          <w:rFonts w:hint="eastAsia" w:ascii="仿宋" w:hAnsi="仿宋" w:eastAsia="仿宋"/>
          <w:color w:val="auto"/>
          <w:spacing w:val="0"/>
          <w:sz w:val="21"/>
          <w:szCs w:val="21"/>
          <w:lang w:eastAsia="zh-CN"/>
        </w:rPr>
        <w:t>。</w:t>
      </w:r>
    </w:p>
    <w:tbl>
      <w:tblPr>
        <w:tblStyle w:val="17"/>
        <w:tblW w:w="78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7840" w:type="dxa"/>
            <w:tcBorders>
              <w:top w:val="single" w:color="auto" w:sz="4" w:space="0"/>
              <w:left w:val="single" w:color="auto" w:sz="4" w:space="0"/>
              <w:bottom w:val="single" w:color="auto" w:sz="4" w:space="0"/>
              <w:right w:val="single" w:color="auto" w:sz="4" w:space="0"/>
            </w:tcBorders>
            <w:vAlign w:val="center"/>
          </w:tcPr>
          <w:p>
            <w:pPr>
              <w:pStyle w:val="4"/>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公司名称：</w:t>
            </w:r>
          </w:p>
          <w:p>
            <w:pPr>
              <w:pStyle w:val="4"/>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统一社会信用代码：</w:t>
            </w:r>
          </w:p>
          <w:p>
            <w:pPr>
              <w:pStyle w:val="4"/>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开 户 行：</w:t>
            </w:r>
          </w:p>
          <w:p>
            <w:pPr>
              <w:pStyle w:val="4"/>
              <w:ind w:firstLine="420" w:firstLineChars="200"/>
              <w:rPr>
                <w:rFonts w:hint="default" w:eastAsia="仿宋"/>
                <w:sz w:val="21"/>
                <w:szCs w:val="21"/>
                <w:lang w:val="en-US" w:eastAsia="zh-CN"/>
              </w:rPr>
            </w:pPr>
            <w:r>
              <w:rPr>
                <w:rFonts w:hint="default" w:eastAsia="仿宋"/>
                <w:b w:val="0"/>
                <w:bCs w:val="0"/>
                <w:sz w:val="21"/>
                <w:szCs w:val="21"/>
                <w:lang w:val="en-US" w:eastAsia="zh-CN"/>
              </w:rPr>
              <w:t>账    户：</w:t>
            </w:r>
          </w:p>
        </w:tc>
      </w:tr>
    </w:tbl>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2、合同价款：</w:t>
      </w:r>
    </w:p>
    <w:p>
      <w:pPr>
        <w:keepNext w:val="0"/>
        <w:keepLines w:val="0"/>
        <w:pageBreakBefore w:val="0"/>
        <w:widowControl w:val="0"/>
        <w:kinsoku/>
        <w:wordWrap/>
        <w:overflowPunct/>
        <w:topLinePunct w:val="0"/>
        <w:autoSpaceDE/>
        <w:autoSpaceDN/>
        <w:bidi w:val="0"/>
        <w:adjustRightInd/>
        <w:snapToGrid w:val="0"/>
        <w:spacing w:line="480" w:lineRule="exact"/>
        <w:ind w:firstLine="315" w:firstLineChars="1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合同总价为人民币：</w:t>
      </w:r>
      <w:r>
        <w:rPr>
          <w:rFonts w:hint="default" w:ascii="Arial" w:hAnsi="Arial" w:eastAsia="仿宋" w:cs="Arial"/>
          <w:color w:val="auto"/>
          <w:spacing w:val="0"/>
          <w:sz w:val="21"/>
          <w:szCs w:val="21"/>
        </w:rPr>
        <w:t>¥</w:t>
      </w:r>
      <w:r>
        <w:rPr>
          <w:rFonts w:hint="eastAsia" w:ascii="仿宋" w:hAnsi="仿宋" w:eastAsia="仿宋"/>
          <w:color w:val="auto"/>
          <w:spacing w:val="0"/>
          <w:sz w:val="21"/>
          <w:szCs w:val="21"/>
          <w:lang w:val="en-US" w:eastAsia="zh-CN"/>
        </w:rPr>
        <w:t>（小写）×××，人民币（大写）×××</w:t>
      </w:r>
      <w:r>
        <w:rPr>
          <w:rFonts w:hint="eastAsia" w:ascii="仿宋" w:hAnsi="仿宋" w:eastAsia="仿宋"/>
          <w:color w:val="auto"/>
          <w:spacing w:val="0"/>
          <w:sz w:val="21"/>
          <w:szCs w:val="21"/>
        </w:rPr>
        <w:t>。结算实际数量以甲方验收签证为准，</w:t>
      </w:r>
      <w:r>
        <w:rPr>
          <w:rFonts w:hint="eastAsia" w:ascii="仿宋" w:hAnsi="仿宋" w:eastAsia="仿宋"/>
          <w:color w:val="auto"/>
          <w:spacing w:val="0"/>
          <w:sz w:val="21"/>
          <w:szCs w:val="21"/>
          <w:lang w:eastAsia="zh-CN"/>
        </w:rPr>
        <w:t>总结算数量不高于合同约定总数量，</w:t>
      </w:r>
      <w:r>
        <w:rPr>
          <w:rFonts w:hint="eastAsia" w:ascii="仿宋" w:hAnsi="仿宋" w:eastAsia="仿宋"/>
          <w:color w:val="auto"/>
          <w:spacing w:val="0"/>
          <w:sz w:val="21"/>
          <w:szCs w:val="21"/>
        </w:rPr>
        <w:t>单价按本合同确定的价格执行。</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3、付款条件：</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设备运送至甲方指定地点，由相关科室进行初步核验，各类手续、资料必须齐全进行归档；乙方负责对设备进行安装、调试、人员培训等工作，设备正常运行3个月，甲方操作人员能熟练操作，经甲方（使用科室）确认无质量问题后，乙方按照本合同约定开具发票，甲方按照相关流程办理付款手续</w:t>
      </w:r>
      <w:r>
        <w:rPr>
          <w:rFonts w:hint="eastAsia" w:ascii="仿宋" w:hAnsi="仿宋" w:eastAsia="仿宋"/>
          <w:color w:val="auto"/>
          <w:spacing w:val="0"/>
          <w:sz w:val="21"/>
          <w:szCs w:val="21"/>
          <w:lang w:eastAsia="zh-CN"/>
        </w:rPr>
        <w:t>，一次性支付全部货款</w:t>
      </w:r>
      <w:r>
        <w:rPr>
          <w:rFonts w:hint="eastAsia" w:ascii="仿宋" w:hAnsi="仿宋" w:eastAsia="仿宋"/>
          <w:color w:val="auto"/>
          <w:spacing w:val="0"/>
          <w:sz w:val="21"/>
          <w:szCs w:val="21"/>
          <w:lang w:val="en-US"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第六条  售后服务及质量保证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1、甲方收到货物后应及时</w:t>
      </w:r>
      <w:r>
        <w:rPr>
          <w:rFonts w:hint="eastAsia" w:ascii="仿宋" w:hAnsi="仿宋" w:eastAsia="仿宋"/>
          <w:color w:val="auto"/>
          <w:spacing w:val="0"/>
          <w:sz w:val="21"/>
          <w:szCs w:val="21"/>
          <w:lang w:val="en-US" w:eastAsia="zh-CN"/>
        </w:rPr>
        <w:t>核</w:t>
      </w:r>
      <w:r>
        <w:rPr>
          <w:rFonts w:hint="eastAsia" w:ascii="仿宋" w:hAnsi="仿宋" w:eastAsia="仿宋"/>
          <w:color w:val="auto"/>
          <w:spacing w:val="0"/>
          <w:sz w:val="21"/>
          <w:szCs w:val="21"/>
        </w:rPr>
        <w:t>验，乙方对货物实行三包（包修、包换、包退）。</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2、设备运至甲方指定地点，乙方应免费提供设备安装所需的专用工具和辅助材料、易耗件</w:t>
      </w:r>
      <w:r>
        <w:rPr>
          <w:rFonts w:hint="eastAsia" w:ascii="仿宋" w:hAnsi="仿宋" w:eastAsia="仿宋"/>
          <w:color w:val="auto"/>
          <w:spacing w:val="0"/>
          <w:sz w:val="21"/>
          <w:szCs w:val="21"/>
          <w:lang w:eastAsia="zh-CN"/>
        </w:rPr>
        <w:t>，免费</w:t>
      </w:r>
      <w:r>
        <w:rPr>
          <w:rFonts w:hint="eastAsia" w:ascii="仿宋" w:hAnsi="仿宋" w:eastAsia="仿宋"/>
          <w:color w:val="auto"/>
          <w:spacing w:val="0"/>
          <w:sz w:val="21"/>
          <w:szCs w:val="21"/>
        </w:rPr>
        <w:t>指派技师对甲方操作人员安装、使用设备进行培训，直至甲方操作人员能熟练操作为止，乙方承担培训技师的全部费用。</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3、设备整机免费</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为</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年，自设备安装调试合格</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lang w:val="en-US" w:eastAsia="zh-CN"/>
        </w:rPr>
        <w:t>且正常运行</w:t>
      </w:r>
      <w:r>
        <w:rPr>
          <w:rFonts w:hint="eastAsia" w:ascii="仿宋" w:hAnsi="仿宋" w:eastAsia="仿宋"/>
          <w:color w:val="auto"/>
          <w:spacing w:val="0"/>
          <w:sz w:val="21"/>
          <w:szCs w:val="21"/>
        </w:rPr>
        <w:t>之日起算。乙方自收到甲方电话、传真等维修要求后应当在2小时内电话响应，24小时内到达现场解决问题，包括节假日；逾期甲方可自行组织维修，费用由乙方承担。如</w:t>
      </w:r>
      <w:r>
        <w:rPr>
          <w:rFonts w:hint="eastAsia" w:ascii="仿宋" w:hAnsi="仿宋" w:eastAsia="仿宋"/>
          <w:color w:val="auto"/>
          <w:spacing w:val="0"/>
          <w:sz w:val="21"/>
          <w:szCs w:val="21"/>
          <w:lang w:eastAsia="zh-CN"/>
        </w:rPr>
        <w:t>一周</w:t>
      </w:r>
      <w:r>
        <w:rPr>
          <w:rFonts w:hint="eastAsia" w:ascii="仿宋" w:hAnsi="仿宋" w:eastAsia="仿宋"/>
          <w:color w:val="auto"/>
          <w:spacing w:val="0"/>
          <w:sz w:val="21"/>
          <w:szCs w:val="21"/>
        </w:rPr>
        <w:t>内无法修复乙方负责提供同型号备用机直至该设备正常使用</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rPr>
        <w:t>导致甲方产生损失或人身伤害的一切责任与费用均由乙方承担。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val="en-US" w:eastAsia="zh-CN"/>
        </w:rPr>
        <w:t>4、</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期内如果出现三次以上（含三次）因质量问题引起的故障（人为因素除外），乙方应</w:t>
      </w:r>
      <w:r>
        <w:rPr>
          <w:rFonts w:hint="eastAsia" w:ascii="仿宋" w:hAnsi="仿宋" w:eastAsia="仿宋"/>
          <w:color w:val="auto"/>
          <w:spacing w:val="0"/>
          <w:sz w:val="21"/>
          <w:szCs w:val="21"/>
          <w:lang w:eastAsia="zh-CN"/>
        </w:rPr>
        <w:t>在三个月内</w:t>
      </w:r>
      <w:r>
        <w:rPr>
          <w:rFonts w:hint="eastAsia" w:ascii="仿宋" w:hAnsi="仿宋" w:eastAsia="仿宋"/>
          <w:color w:val="auto"/>
          <w:spacing w:val="0"/>
          <w:sz w:val="21"/>
          <w:szCs w:val="21"/>
        </w:rPr>
        <w:t>负责免费更换新产品，</w:t>
      </w:r>
      <w:r>
        <w:rPr>
          <w:rFonts w:hint="eastAsia" w:ascii="仿宋" w:hAnsi="仿宋" w:eastAsia="仿宋"/>
          <w:color w:val="auto"/>
          <w:spacing w:val="0"/>
          <w:sz w:val="21"/>
          <w:szCs w:val="21"/>
          <w:lang w:eastAsia="zh-CN"/>
        </w:rPr>
        <w:t>更换的新产品仍然有质量问题的，甲方有权终止合同，乙方应无条件退货及返还货款，</w:t>
      </w:r>
      <w:r>
        <w:rPr>
          <w:rFonts w:hint="eastAsia" w:ascii="仿宋" w:hAnsi="仿宋" w:eastAsia="仿宋"/>
          <w:color w:val="auto"/>
          <w:spacing w:val="0"/>
          <w:sz w:val="21"/>
          <w:szCs w:val="21"/>
        </w:rPr>
        <w:t>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630" w:firstLineChars="3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期内，乙方履行保修义务应免收材料和人工等一切费用，</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期满后，乙方履行保修义务</w:t>
      </w:r>
      <w:r>
        <w:rPr>
          <w:rFonts w:hint="eastAsia" w:ascii="仿宋" w:hAnsi="仿宋" w:eastAsia="仿宋"/>
          <w:color w:val="auto"/>
          <w:spacing w:val="0"/>
          <w:sz w:val="21"/>
          <w:szCs w:val="21"/>
          <w:lang w:eastAsia="zh-CN"/>
        </w:rPr>
        <w:t>且配件只收取成本费用</w:t>
      </w:r>
      <w:r>
        <w:rPr>
          <w:rFonts w:hint="eastAsia" w:ascii="仿宋" w:hAnsi="仿宋" w:eastAsia="仿宋"/>
          <w:color w:val="auto"/>
          <w:spacing w:val="0"/>
          <w:sz w:val="21"/>
          <w:szCs w:val="21"/>
        </w:rPr>
        <w:t>，并免费提供系统操作、技术咨询及软件升级服务。</w:t>
      </w:r>
    </w:p>
    <w:p>
      <w:pPr>
        <w:keepNext w:val="0"/>
        <w:keepLines w:val="0"/>
        <w:pageBreakBefore w:val="0"/>
        <w:widowControl w:val="0"/>
        <w:numPr>
          <w:ilvl w:val="0"/>
          <w:numId w:val="5"/>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eastAsia="zh-CN"/>
        </w:rPr>
      </w:pPr>
      <w:r>
        <w:rPr>
          <w:rFonts w:hint="eastAsia" w:ascii="仿宋" w:hAnsi="仿宋" w:eastAsia="仿宋"/>
          <w:color w:val="auto"/>
          <w:spacing w:val="0"/>
          <w:sz w:val="21"/>
          <w:szCs w:val="21"/>
        </w:rPr>
        <w:t>乙方负责对所供设备进行现场回访、免费巡检保养；保证开机率≥98%，如果开机率低于98%，每低于1%延长一个月质保期；如果开机率低于90%，每低于1%延长两个月质保期；开机率低于85%的按照本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szCs w:val="21"/>
          <w:lang w:eastAsia="zh-CN"/>
        </w:rPr>
      </w:pPr>
      <w:r>
        <w:rPr>
          <w:rFonts w:hint="eastAsia" w:ascii="仿宋" w:hAnsi="仿宋" w:eastAsia="仿宋"/>
          <w:color w:val="auto"/>
          <w:spacing w:val="0"/>
          <w:sz w:val="21"/>
          <w:szCs w:val="21"/>
          <w:lang w:val="en-US" w:eastAsia="zh-CN"/>
        </w:rPr>
        <w:t>6、</w:t>
      </w:r>
      <w:r>
        <w:rPr>
          <w:rFonts w:hint="eastAsia" w:ascii="仿宋" w:hAnsi="仿宋" w:eastAsia="仿宋"/>
          <w:color w:val="auto"/>
          <w:spacing w:val="0"/>
          <w:sz w:val="21"/>
          <w:szCs w:val="21"/>
          <w:lang w:eastAsia="zh-CN"/>
        </w:rPr>
        <w:t>招投标文件及相关资料作为合同附件不可分割，同具法律效力。</w:t>
      </w:r>
    </w:p>
    <w:p>
      <w:pPr>
        <w:keepNext w:val="0"/>
        <w:keepLines w:val="0"/>
        <w:pageBreakBefore w:val="0"/>
        <w:widowControl w:val="0"/>
        <w:numPr>
          <w:ilvl w:val="0"/>
          <w:numId w:val="6"/>
        </w:numPr>
        <w:kinsoku/>
        <w:wordWrap/>
        <w:overflowPunct/>
        <w:topLinePunct w:val="0"/>
        <w:autoSpaceDE/>
        <w:autoSpaceDN/>
        <w:bidi w:val="0"/>
        <w:adjustRightInd/>
        <w:snapToGrid w:val="0"/>
        <w:spacing w:line="480" w:lineRule="exact"/>
        <w:ind w:firstLine="422" w:firstLineChars="200"/>
        <w:textAlignment w:val="auto"/>
        <w:outlineLvl w:val="9"/>
        <w:rPr>
          <w:rFonts w:hint="default" w:ascii="仿宋" w:hAnsi="仿宋" w:eastAsia="仿宋"/>
          <w:b/>
          <w:bCs/>
          <w:color w:val="auto"/>
          <w:spacing w:val="0"/>
          <w:sz w:val="21"/>
          <w:szCs w:val="21"/>
        </w:rPr>
      </w:pPr>
      <w:r>
        <w:rPr>
          <w:rFonts w:hint="eastAsia" w:ascii="仿宋" w:hAnsi="仿宋" w:eastAsia="仿宋"/>
          <w:b/>
          <w:bCs/>
          <w:color w:val="auto"/>
          <w:spacing w:val="0"/>
          <w:sz w:val="21"/>
          <w:szCs w:val="21"/>
          <w:lang w:val="en-US" w:eastAsia="zh-CN"/>
        </w:rPr>
        <w:t xml:space="preserve"> </w:t>
      </w:r>
      <w:r>
        <w:rPr>
          <w:rFonts w:hint="default" w:ascii="仿宋" w:hAnsi="仿宋" w:eastAsia="仿宋"/>
          <w:b/>
          <w:bCs/>
          <w:color w:val="auto"/>
          <w:spacing w:val="0"/>
          <w:sz w:val="21"/>
          <w:szCs w:val="21"/>
        </w:rPr>
        <w:t>知识产权</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eastAsia="zh-CN"/>
        </w:rPr>
        <w:t>乙方应当保证甲方不侵犯第三方的合法权益，否则乙方应当处理索赔或涉诉等各项事宜，造成甲方损失的，乙方应当承担相应的赔偿责任。</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八</w:t>
      </w:r>
      <w:r>
        <w:rPr>
          <w:rFonts w:hint="eastAsia" w:ascii="仿宋" w:hAnsi="仿宋" w:eastAsia="仿宋"/>
          <w:b/>
          <w:bCs/>
          <w:color w:val="auto"/>
          <w:spacing w:val="0"/>
          <w:sz w:val="21"/>
          <w:szCs w:val="21"/>
        </w:rPr>
        <w:t>条  保密条款</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2、任何一方违反上述约定的，责任方应按本合同产品总价款的5％向合同其他方支付违约金，违约金不足以赔偿合同其他方损失的，应按合同其他方的实际损失赔偿。</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3、保密条款具有独立性，不受本合同的终止或解除的影响。</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九</w:t>
      </w:r>
      <w:r>
        <w:rPr>
          <w:rFonts w:hint="eastAsia" w:ascii="仿宋" w:hAnsi="仿宋" w:eastAsia="仿宋"/>
          <w:b/>
          <w:bCs/>
          <w:color w:val="auto"/>
          <w:spacing w:val="0"/>
          <w:sz w:val="21"/>
          <w:szCs w:val="21"/>
        </w:rPr>
        <w:t>条  违约责任</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乙方保证提供的设备完全符合或优于招标技术参数和配置要求，如有不符愿意承担1+1赔偿，造成的损失均由乙方承担，索赔时间从甲方发现之日起计算。</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十</w:t>
      </w:r>
      <w:r>
        <w:rPr>
          <w:rFonts w:hint="eastAsia" w:ascii="仿宋" w:hAnsi="仿宋" w:eastAsia="仿宋"/>
          <w:b/>
          <w:bCs/>
          <w:color w:val="auto"/>
          <w:spacing w:val="0"/>
          <w:sz w:val="21"/>
          <w:szCs w:val="21"/>
        </w:rPr>
        <w:t>条  不可抗力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甲、乙任何一方由于不可抗力原因不能履行合同时，应及时向对方通报不能履行或不能完全履行的理由，以减轻可能给对方造成的损失。（不可抗力指战争、严重火灾、洪水、台风、地震等不可抗力事件。）</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一</w:t>
      </w:r>
      <w:r>
        <w:rPr>
          <w:rFonts w:hint="eastAsia" w:ascii="仿宋" w:hAnsi="仿宋" w:eastAsia="仿宋"/>
          <w:b/>
          <w:bCs/>
          <w:color w:val="auto"/>
          <w:spacing w:val="0"/>
          <w:sz w:val="21"/>
          <w:szCs w:val="21"/>
        </w:rPr>
        <w:t>条  解决争议办法</w:t>
      </w:r>
    </w:p>
    <w:p>
      <w:pPr>
        <w:pStyle w:val="9"/>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在合同签订、履行过程中发生争议的，双方应当本着友好、协作的精神进行协商；协商不成，提起诉讼的，双方同意由甲方所在地人民法院管辖。</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二</w:t>
      </w:r>
      <w:r>
        <w:rPr>
          <w:rFonts w:hint="eastAsia" w:ascii="仿宋" w:hAnsi="仿宋" w:eastAsia="仿宋"/>
          <w:b/>
          <w:bCs/>
          <w:color w:val="auto"/>
          <w:spacing w:val="0"/>
          <w:sz w:val="21"/>
          <w:szCs w:val="21"/>
        </w:rPr>
        <w:t>条  廉洁协议</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1、甲方购进医疗器械不得以任何方式向乙方索取回扣，不得要求乙方代支任何费用开支。</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2、甲方工作人员不得以暗示或任何形式索要回扣、提成、有价证券、现金、信用卡、购物卡等。如甲方工作人员以暗示或任何形式索要回扣、提成、有价证券、现金、信用卡、购物卡等，乙方应予拒绝，并有责任如实向甲方纪检监察部门反映情况。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3、乙方不得暗中给予甲方回扣，不得以提成和赠送有价证券、现金、信用卡、购物卡、宴请、娱乐及提供国内或境外学术活动等手段影响甲方医</w:t>
      </w:r>
      <w:r>
        <w:rPr>
          <w:rFonts w:hint="eastAsia" w:ascii="仿宋" w:hAnsi="仿宋" w:eastAsia="仿宋"/>
          <w:color w:val="auto"/>
          <w:spacing w:val="0"/>
          <w:sz w:val="21"/>
          <w:szCs w:val="21"/>
          <w:lang w:eastAsia="zh-CN"/>
        </w:rPr>
        <w:t>务人员</w:t>
      </w:r>
      <w:r>
        <w:rPr>
          <w:rFonts w:hint="eastAsia" w:ascii="仿宋" w:hAnsi="仿宋" w:eastAsia="仿宋"/>
          <w:color w:val="auto"/>
          <w:spacing w:val="0"/>
          <w:sz w:val="21"/>
          <w:szCs w:val="21"/>
        </w:rPr>
        <w:t xml:space="preserve">使用药品、耗材、器械的选择权。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4、乙方洽谈业务，必须在工作时间到甲方指定科室或办公室联系商谈，不得借故到甲方主管领导、部门负责人及相关工作人员家中访谈或向介绍人提供任何好处费。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5、乙方销售人员不得进入甲方科室和诊疗场所对医</w:t>
      </w:r>
      <w:r>
        <w:rPr>
          <w:rFonts w:hint="eastAsia" w:ascii="仿宋" w:hAnsi="仿宋" w:eastAsia="仿宋"/>
          <w:color w:val="auto"/>
          <w:spacing w:val="0"/>
          <w:sz w:val="21"/>
          <w:szCs w:val="21"/>
          <w:lang w:eastAsia="zh-CN"/>
        </w:rPr>
        <w:t>务</w:t>
      </w:r>
      <w:r>
        <w:rPr>
          <w:rFonts w:hint="eastAsia" w:ascii="仿宋" w:hAnsi="仿宋" w:eastAsia="仿宋"/>
          <w:color w:val="auto"/>
          <w:spacing w:val="0"/>
          <w:sz w:val="21"/>
          <w:szCs w:val="21"/>
        </w:rPr>
        <w:t>有关人员推销产品。</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6、乙方如违反以上条款，经核实后，甲方给予警告后而又拒不整改的，甲方有权终止购销合同，并在单位内通报。情节严重的，取消配送资格2年，涉嫌违法的，由执法部门予以处理。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7、甲方工作人员如违反以上条款的，甲方将按国家有关法律、法规规定和有关廉政制度规定给予处理，涉嫌违法的，由相关部门予以处理。</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三</w:t>
      </w:r>
      <w:r>
        <w:rPr>
          <w:rFonts w:hint="eastAsia" w:ascii="仿宋" w:hAnsi="仿宋" w:eastAsia="仿宋"/>
          <w:b/>
          <w:bCs/>
          <w:color w:val="auto"/>
          <w:spacing w:val="0"/>
          <w:sz w:val="21"/>
          <w:szCs w:val="21"/>
        </w:rPr>
        <w:t>条  其它</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1、本合同自双方签字、盖章之日起生效。</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2、本合同未尽事宜，需经双方协商，签订补充协议。补充协议与本合同具有同等的法律效力。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3、合同附件是本合同的组成部分，与本合同有同等法律效力。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4、本合同一式</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陆</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份，甲</w:t>
      </w:r>
      <w:r>
        <w:rPr>
          <w:rFonts w:hint="eastAsia" w:ascii="仿宋" w:hAnsi="仿宋" w:eastAsia="仿宋"/>
          <w:color w:val="auto"/>
          <w:spacing w:val="0"/>
          <w:sz w:val="21"/>
          <w:szCs w:val="21"/>
          <w:lang w:eastAsia="zh-CN"/>
        </w:rPr>
        <w:t>方执</w:t>
      </w:r>
      <w:r>
        <w:rPr>
          <w:rFonts w:hint="eastAsia" w:ascii="仿宋" w:hAnsi="仿宋" w:eastAsia="仿宋"/>
          <w:color w:val="auto"/>
          <w:spacing w:val="0"/>
          <w:sz w:val="21"/>
          <w:szCs w:val="21"/>
          <w:u w:val="single"/>
          <w:lang w:val="en-US" w:eastAsia="zh-CN"/>
        </w:rPr>
        <w:t xml:space="preserve"> 肆 </w:t>
      </w:r>
      <w:r>
        <w:rPr>
          <w:rFonts w:hint="eastAsia" w:ascii="仿宋" w:hAnsi="仿宋" w:eastAsia="仿宋"/>
          <w:color w:val="auto"/>
          <w:spacing w:val="0"/>
          <w:sz w:val="21"/>
          <w:szCs w:val="21"/>
          <w:lang w:eastAsia="zh-CN"/>
        </w:rPr>
        <w:t>份</w:t>
      </w:r>
      <w:r>
        <w:rPr>
          <w:rFonts w:hint="eastAsia" w:ascii="仿宋" w:hAnsi="仿宋" w:eastAsia="仿宋"/>
          <w:color w:val="auto"/>
          <w:spacing w:val="0"/>
          <w:sz w:val="21"/>
          <w:szCs w:val="21"/>
        </w:rPr>
        <w:t>乙方执</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贰</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份，每份均具同等法律效力。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5、合同各方通讯地址改变的，应及时书面通知合同对方。</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 xml:space="preserve">甲方(盖章)：                       乙方(盖章)： </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代表签字</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lang w:val="en-US" w:eastAsia="zh-CN"/>
        </w:rPr>
        <w:t>或盖章</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rPr>
        <w:t xml:space="preserve">：                代表签字： </w:t>
      </w:r>
    </w:p>
    <w:p>
      <w:pPr>
        <w:pStyle w:val="2"/>
        <w:rPr>
          <w:rFonts w:hint="eastAsia" w:ascii="仿宋" w:hAnsi="仿宋" w:eastAsia="仿宋"/>
          <w:b/>
          <w:bCs/>
          <w:color w:val="auto"/>
          <w:sz w:val="21"/>
          <w:szCs w:val="21"/>
        </w:rPr>
      </w:pPr>
    </w:p>
    <w:p>
      <w:pPr>
        <w:pStyle w:val="2"/>
        <w:rPr>
          <w:rFonts w:hint="eastAsia" w:ascii="仿宋" w:hAnsi="仿宋" w:eastAsia="仿宋"/>
          <w:b/>
          <w:bCs/>
          <w:color w:val="auto"/>
          <w:sz w:val="21"/>
          <w:szCs w:val="21"/>
        </w:rPr>
      </w:pPr>
    </w:p>
    <w:p>
      <w:pPr>
        <w:pStyle w:val="2"/>
        <w:rPr>
          <w:rFonts w:hint="default" w:ascii="仿宋" w:hAnsi="仿宋" w:eastAsia="仿宋"/>
          <w:b/>
          <w:bCs/>
          <w:color w:val="auto"/>
          <w:sz w:val="21"/>
          <w:szCs w:val="21"/>
          <w:lang w:val="en-US" w:eastAsia="zh-CN"/>
        </w:rPr>
      </w:pPr>
      <w:r>
        <w:rPr>
          <w:rFonts w:hint="eastAsia" w:ascii="仿宋" w:hAnsi="仿宋" w:eastAsia="仿宋"/>
          <w:b/>
          <w:bCs/>
          <w:color w:val="auto"/>
          <w:sz w:val="21"/>
          <w:szCs w:val="21"/>
          <w:lang w:val="en-US" w:eastAsia="zh-CN"/>
        </w:rPr>
        <w:t>签订日期：</w:t>
      </w:r>
    </w:p>
    <w:p>
      <w:pPr>
        <w:spacing w:line="500" w:lineRule="exact"/>
        <w:ind w:firstLine="422" w:firstLineChars="200"/>
        <w:rPr>
          <w:rFonts w:hint="eastAsia" w:ascii="仿宋" w:hAnsi="仿宋" w:eastAsia="仿宋"/>
          <w:b/>
          <w:bCs/>
          <w:color w:val="auto"/>
          <w:sz w:val="21"/>
          <w:szCs w:val="21"/>
        </w:rPr>
      </w:pPr>
    </w:p>
    <w:p>
      <w:pPr>
        <w:numPr>
          <w:ilvl w:val="0"/>
          <w:numId w:val="7"/>
        </w:numPr>
        <w:jc w:val="center"/>
        <w:rPr>
          <w:rFonts w:hint="eastAsia" w:ascii="宋体" w:hAnsi="宋体" w:eastAsia="宋体" w:cs="宋体"/>
          <w:b/>
          <w:bCs/>
          <w:color w:val="000000" w:themeColor="text1"/>
          <w:spacing w:val="2"/>
          <w:kern w:val="0"/>
          <w:sz w:val="32"/>
          <w:szCs w:val="32"/>
          <w14:textFill>
            <w14:solidFill>
              <w14:schemeClr w14:val="tx1"/>
            </w14:solidFill>
          </w14:textFill>
        </w:rPr>
      </w:pPr>
      <w:bookmarkStart w:id="280" w:name="_Toc7319"/>
      <w:bookmarkStart w:id="281" w:name="_Toc3728"/>
      <w:r>
        <w:rPr>
          <w:rFonts w:hint="eastAsia" w:ascii="宋体" w:hAnsi="宋体" w:eastAsia="宋体" w:cs="宋体"/>
          <w:b/>
          <w:bCs/>
          <w:color w:val="000000" w:themeColor="text1"/>
          <w:spacing w:val="2"/>
          <w:kern w:val="0"/>
          <w:sz w:val="32"/>
          <w:szCs w:val="32"/>
          <w14:textFill>
            <w14:solidFill>
              <w14:schemeClr w14:val="tx1"/>
            </w14:solidFill>
          </w14:textFill>
        </w:rPr>
        <w:t>技术标准和要求</w:t>
      </w:r>
      <w:bookmarkEnd w:id="280"/>
      <w:bookmarkEnd w:id="281"/>
    </w:p>
    <w:p>
      <w:pPr>
        <w:numPr>
          <w:ilvl w:val="0"/>
          <w:numId w:val="0"/>
        </w:numPr>
        <w:jc w:val="both"/>
      </w:pPr>
    </w:p>
    <w:p>
      <w:pPr>
        <w:spacing w:line="360" w:lineRule="auto"/>
        <w:jc w:val="center"/>
        <w:rPr>
          <w:rFonts w:hint="eastAsia" w:ascii="宋体" w:hAnsi="宋体" w:eastAsia="宋体" w:cs="宋体"/>
          <w:sz w:val="21"/>
          <w:szCs w:val="21"/>
        </w:rPr>
      </w:pPr>
      <w:r>
        <w:rPr>
          <w:rFonts w:hint="eastAsia" w:ascii="宋体" w:hAnsi="宋体" w:eastAsia="宋体" w:cs="宋体"/>
          <w:szCs w:val="21"/>
          <w:lang w:val="en-US" w:eastAsia="zh-CN"/>
        </w:rPr>
        <w:t xml:space="preserve">         </w:t>
      </w:r>
      <w:r>
        <w:rPr>
          <w:rFonts w:hint="eastAsia" w:ascii="宋体" w:hAnsi="宋体" w:eastAsia="宋体" w:cs="宋体"/>
          <w:b/>
          <w:sz w:val="21"/>
          <w:szCs w:val="21"/>
        </w:rPr>
        <w:t>医用分子筛制氧机招标要求</w:t>
      </w:r>
    </w:p>
    <w:p>
      <w:pPr>
        <w:spacing w:line="360" w:lineRule="auto"/>
        <w:rPr>
          <w:rFonts w:hint="eastAsia" w:ascii="宋体" w:hAnsi="宋体" w:eastAsia="宋体" w:cs="宋体"/>
          <w:sz w:val="24"/>
          <w:szCs w:val="24"/>
        </w:rPr>
      </w:pPr>
      <w:r>
        <w:rPr>
          <w:rFonts w:hint="eastAsia" w:ascii="宋体" w:hAnsi="宋体" w:eastAsia="宋体" w:cs="宋体"/>
          <w:b/>
          <w:sz w:val="30"/>
          <w:szCs w:val="30"/>
        </w:rPr>
        <w:t>货物需求及技术要求</w:t>
      </w:r>
      <w:r>
        <w:rPr>
          <w:rFonts w:hint="eastAsia" w:ascii="宋体" w:hAnsi="宋体" w:eastAsia="宋体" w:cs="宋体"/>
          <w:b/>
          <w:sz w:val="32"/>
          <w:szCs w:val="32"/>
          <w:lang w:val="en-US" w:eastAsia="zh-CN"/>
        </w:rPr>
        <w:t>（D包）</w:t>
      </w:r>
    </w:p>
    <w:p>
      <w:pPr>
        <w:spacing w:line="360" w:lineRule="auto"/>
        <w:rPr>
          <w:rFonts w:hint="eastAsia" w:ascii="宋体" w:hAnsi="宋体" w:eastAsia="宋体" w:cs="宋体"/>
          <w:b/>
          <w:sz w:val="28"/>
          <w:szCs w:val="28"/>
        </w:rPr>
      </w:pPr>
      <w:r>
        <w:rPr>
          <w:rFonts w:hint="eastAsia" w:ascii="宋体" w:hAnsi="宋体" w:eastAsia="宋体" w:cs="宋体"/>
          <w:b/>
          <w:sz w:val="28"/>
          <w:szCs w:val="28"/>
        </w:rPr>
        <w:t>一、执行标准</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GB50751-2012 《医用气体工程技术规范》</w:t>
      </w:r>
    </w:p>
    <w:p>
      <w:pPr>
        <w:autoSpaceDE w:val="0"/>
        <w:autoSpaceDN w:val="0"/>
        <w:adjustRightInd w:val="0"/>
        <w:spacing w:line="360" w:lineRule="auto"/>
        <w:ind w:firstLine="420" w:firstLineChars="200"/>
        <w:jc w:val="left"/>
        <w:rPr>
          <w:rFonts w:hint="eastAsia" w:ascii="宋体" w:hAnsi="宋体" w:eastAsia="宋体" w:cs="宋体"/>
          <w:color w:val="FF0000"/>
          <w:kern w:val="0"/>
          <w:sz w:val="24"/>
          <w:szCs w:val="24"/>
        </w:rPr>
      </w:pPr>
      <w:r>
        <w:rPr>
          <w:rFonts w:hint="eastAsia" w:ascii="宋体" w:hAnsi="宋体" w:eastAsia="宋体" w:cs="宋体"/>
          <w:szCs w:val="21"/>
        </w:rPr>
        <w:t>YY/T0298-1998《医用分子筛制氧设备通用技术规范》</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GB51039-2014 《综合医院建筑设计规范》</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YY/T0187-94 《医用中心供氧系统通用技术条件》</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GB50030-2013《氧气站设计规范》</w:t>
      </w:r>
    </w:p>
    <w:p>
      <w:pPr>
        <w:autoSpaceDE w:val="0"/>
        <w:autoSpaceDN w:val="0"/>
        <w:adjustRightInd w:val="0"/>
        <w:spacing w:line="360" w:lineRule="auto"/>
        <w:ind w:firstLine="420" w:firstLineChars="200"/>
        <w:jc w:val="left"/>
        <w:rPr>
          <w:rFonts w:hint="eastAsia" w:ascii="宋体" w:hAnsi="宋体" w:eastAsia="宋体" w:cs="宋体"/>
          <w:kern w:val="0"/>
          <w:sz w:val="24"/>
          <w:szCs w:val="24"/>
        </w:rPr>
      </w:pPr>
      <w:r>
        <w:rPr>
          <w:rFonts w:hint="eastAsia" w:ascii="宋体" w:hAnsi="宋体" w:eastAsia="宋体" w:cs="宋体"/>
          <w:szCs w:val="21"/>
        </w:rPr>
        <w:t>GB 50016-2014《建筑设计防火规范》</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GB51348-2019 《民用建筑电气设计标准》</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GB50016-2014 《建筑设计防火规范》（2018版）</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GB9706.1-2007 《医用电气设备第一部分：通用安全要求》</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GB50194-2014 《建设工程施工现场供用电安全规范》</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GB3836.4 《爆炸性环境用防爆电气设备本质安全型电路和电气设备》</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GB50236－2011 《现场设备、工业管道焊接工程施工及验收规范》</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JGJ46-2005 《施工现场临时用电安全技术规程》</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GB14976-2012 《流体输送用不锈钢无缝钢管》</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YS/T650-2007《医用气体和真空用无缝铜管》</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GB150-2011 《压力容器》</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GB/T 11618.1-2008 《铜管接头》</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GB50236－2011《现场设备、工业管道焊接工程施工及验收规范》</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以上所列的主要技术标准和规范，如未能达到国际或国内最新标准时，投标人应使系统及选用的设备和材料符合最新的国际、国内标准，并提供采用的国际、国内标准、规范和所应用的最新版本的有关技术依据资料。</w:t>
      </w:r>
    </w:p>
    <w:p>
      <w:pPr>
        <w:widowControl/>
        <w:tabs>
          <w:tab w:val="left" w:pos="720"/>
        </w:tabs>
        <w:spacing w:line="360" w:lineRule="auto"/>
        <w:jc w:val="left"/>
        <w:rPr>
          <w:rFonts w:hint="eastAsia" w:ascii="宋体" w:hAnsi="宋体" w:eastAsia="宋体" w:cs="宋体"/>
        </w:rPr>
      </w:pPr>
    </w:p>
    <w:p>
      <w:pPr>
        <w:spacing w:line="360" w:lineRule="auto"/>
        <w:rPr>
          <w:rFonts w:hint="eastAsia" w:ascii="宋体" w:hAnsi="宋体" w:eastAsia="宋体" w:cs="宋体"/>
          <w:b/>
          <w:sz w:val="30"/>
          <w:szCs w:val="30"/>
        </w:rPr>
      </w:pPr>
      <w:r>
        <w:rPr>
          <w:rFonts w:hint="eastAsia" w:ascii="宋体" w:hAnsi="宋体" w:eastAsia="宋体" w:cs="宋体"/>
          <w:b/>
          <w:sz w:val="30"/>
          <w:szCs w:val="30"/>
        </w:rPr>
        <w:t>二、医用分子筛制氧机设备配置及技术要求</w:t>
      </w:r>
    </w:p>
    <w:tbl>
      <w:tblPr>
        <w:tblStyle w:val="17"/>
        <w:tblW w:w="9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9"/>
        <w:gridCol w:w="8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8"/>
                <w:szCs w:val="28"/>
              </w:rPr>
            </w:pPr>
            <w:r>
              <w:rPr>
                <w:rFonts w:hint="eastAsia" w:ascii="宋体" w:hAnsi="宋体" w:eastAsia="宋体" w:cs="宋体"/>
                <w:b/>
                <w:sz w:val="28"/>
                <w:szCs w:val="28"/>
              </w:rPr>
              <w:t>序号</w:t>
            </w:r>
          </w:p>
        </w:tc>
        <w:tc>
          <w:tcPr>
            <w:tcW w:w="81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4"/>
              </w:rPr>
            </w:pPr>
            <w:r>
              <w:rPr>
                <w:rFonts w:hint="eastAsia" w:ascii="宋体" w:hAnsi="宋体" w:eastAsia="宋体" w:cs="宋体"/>
                <w:b/>
                <w:sz w:val="28"/>
                <w:szCs w:val="28"/>
              </w:rPr>
              <w:t>配置及技术要求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4"/>
              </w:rPr>
            </w:pPr>
            <w:r>
              <w:rPr>
                <w:rFonts w:hint="eastAsia" w:ascii="宋体" w:hAnsi="宋体" w:eastAsia="宋体" w:cs="宋体"/>
                <w:b/>
                <w:sz w:val="24"/>
              </w:rPr>
              <w:t>1</w:t>
            </w:r>
          </w:p>
        </w:tc>
        <w:tc>
          <w:tcPr>
            <w:tcW w:w="81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4"/>
              </w:rPr>
            </w:pPr>
            <w:r>
              <w:rPr>
                <w:rFonts w:hint="eastAsia" w:ascii="宋体" w:hAnsi="宋体" w:eastAsia="宋体" w:cs="宋体"/>
                <w:b/>
                <w:sz w:val="24"/>
              </w:rPr>
              <w:t>医用分子筛制氧机整体要求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kern w:val="0"/>
                <w:sz w:val="24"/>
              </w:rPr>
              <w:t>1.1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rPr>
            </w:pPr>
            <w:r>
              <w:rPr>
                <w:rFonts w:hint="eastAsia" w:ascii="宋体" w:hAnsi="宋体" w:eastAsia="宋体" w:cs="宋体"/>
                <w:kern w:val="0"/>
                <w:sz w:val="24"/>
              </w:rPr>
              <w:t>制氧机采用变压吸附（PSA）技术，要求为国内知名品牌，技术先进。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kern w:val="0"/>
                <w:sz w:val="24"/>
              </w:rPr>
            </w:pPr>
            <w:r>
              <w:rPr>
                <w:rFonts w:hint="eastAsia" w:ascii="宋体" w:hAnsi="宋体" w:eastAsia="宋体" w:cs="宋体"/>
                <w:kern w:val="0"/>
                <w:sz w:val="24"/>
              </w:rPr>
              <w:t>1.2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kern w:val="0"/>
                <w:sz w:val="24"/>
              </w:rPr>
            </w:pPr>
            <w:r>
              <w:rPr>
                <w:rFonts w:hint="eastAsia" w:ascii="宋体" w:hAnsi="宋体" w:eastAsia="宋体" w:cs="宋体"/>
                <w:color w:val="auto"/>
                <w:kern w:val="0"/>
                <w:sz w:val="24"/>
              </w:rPr>
              <w:t>制氧机系统为2台机组配置，制氧主机单机组</w:t>
            </w:r>
            <w:r>
              <w:rPr>
                <w:rFonts w:hint="eastAsia" w:ascii="宋体" w:hAnsi="宋体" w:eastAsia="宋体" w:cs="宋体"/>
                <w:color w:val="auto"/>
                <w:kern w:val="0"/>
                <w:sz w:val="24"/>
                <w:highlight w:val="none"/>
              </w:rPr>
              <w:t>制氧量≥</w:t>
            </w:r>
            <w:r>
              <w:rPr>
                <w:rFonts w:hint="eastAsia" w:ascii="宋体" w:hAnsi="宋体" w:eastAsia="宋体" w:cs="宋体"/>
                <w:color w:val="auto"/>
                <w:kern w:val="0"/>
                <w:sz w:val="24"/>
                <w:highlight w:val="none"/>
                <w:lang w:val="en-US" w:eastAsia="zh-CN"/>
              </w:rPr>
              <w:t>30</w:t>
            </w:r>
            <w:r>
              <w:rPr>
                <w:rFonts w:hint="eastAsia" w:ascii="宋体" w:hAnsi="宋体" w:eastAsia="宋体" w:cs="宋体"/>
                <w:color w:val="auto"/>
                <w:kern w:val="0"/>
                <w:sz w:val="24"/>
                <w:highlight w:val="none"/>
              </w:rPr>
              <w:t>m³/h。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kern w:val="0"/>
                <w:sz w:val="24"/>
              </w:rPr>
              <w:t>1.3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kern w:val="0"/>
                <w:sz w:val="24"/>
                <w:szCs w:val="24"/>
              </w:rPr>
              <w:t>制氧机产出氧气浓度≥93%。氧浓度均≥93%，检验报告须是省级以上检测机构出具的。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kern w:val="0"/>
                <w:sz w:val="24"/>
              </w:rPr>
              <w:t>1.4</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kern w:val="0"/>
                <w:sz w:val="24"/>
              </w:rPr>
            </w:pPr>
            <w:r>
              <w:rPr>
                <w:rFonts w:hint="eastAsia" w:ascii="宋体" w:hAnsi="宋体" w:eastAsia="宋体" w:cs="宋体"/>
                <w:color w:val="000000"/>
                <w:kern w:val="0"/>
                <w:sz w:val="24"/>
                <w:szCs w:val="24"/>
              </w:rPr>
              <w:t>制氧机系统在开机30分钟内其制氧量和纯度能够达到规范要求，并且系统能够做到按需生产，根据用氧量需求，自动调整制氧机工作状态和工作方式。提供</w:t>
            </w:r>
            <w:r>
              <w:rPr>
                <w:rFonts w:hint="eastAsia" w:ascii="宋体" w:hAnsi="宋体" w:eastAsia="宋体" w:cs="宋体"/>
                <w:color w:val="000000"/>
                <w:kern w:val="0"/>
                <w:sz w:val="24"/>
                <w:szCs w:val="24"/>
                <w:lang w:eastAsia="zh-CN"/>
              </w:rPr>
              <w:t>相关证明文件或材料</w:t>
            </w:r>
            <w:r>
              <w:rPr>
                <w:rFonts w:hint="eastAsia" w:ascii="宋体" w:hAnsi="宋体" w:eastAsia="宋体" w:cs="宋体"/>
                <w:color w:val="000000"/>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kern w:val="0"/>
                <w:sz w:val="24"/>
              </w:rPr>
              <w:t>1.5</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rPr>
            </w:pPr>
            <w:r>
              <w:rPr>
                <w:rFonts w:hint="eastAsia" w:ascii="宋体" w:hAnsi="宋体" w:eastAsia="宋体" w:cs="宋体"/>
                <w:color w:val="000000"/>
                <w:kern w:val="0"/>
                <w:sz w:val="24"/>
                <w:szCs w:val="24"/>
              </w:rPr>
              <w:t>制氧机系统噪声≤85dB。具有制氧设备消音降噪技术，</w:t>
            </w:r>
            <w:r>
              <w:rPr>
                <w:rFonts w:hint="eastAsia" w:ascii="宋体" w:hAnsi="宋体" w:eastAsia="宋体" w:cs="宋体"/>
                <w:kern w:val="0"/>
                <w:sz w:val="24"/>
              </w:rPr>
              <w:t>提供相关证明材料（合法的第三方出具的）。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kern w:val="0"/>
                <w:sz w:val="24"/>
              </w:rPr>
              <w:t>1.6</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rPr>
            </w:pPr>
            <w:r>
              <w:rPr>
                <w:rFonts w:hint="eastAsia" w:ascii="宋体" w:hAnsi="宋体" w:eastAsia="宋体" w:cs="宋体"/>
                <w:color w:val="000000"/>
                <w:kern w:val="0"/>
                <w:sz w:val="24"/>
                <w:szCs w:val="24"/>
              </w:rPr>
              <w:t>系统具有中央智能控制功能，可设定、实时显示和记录氧气纯度、流量、压力等相关参数，并能生成设备运行报告。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kern w:val="0"/>
                <w:sz w:val="24"/>
              </w:rPr>
              <w:t>1.7</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color w:val="000000"/>
                <w:kern w:val="0"/>
                <w:sz w:val="24"/>
                <w:szCs w:val="24"/>
              </w:rPr>
              <w:t>系统出现故障或参数异常时，能够自动指示报警。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kern w:val="0"/>
                <w:sz w:val="24"/>
              </w:rPr>
              <w:t>1.8</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color w:val="000000"/>
                <w:kern w:val="0"/>
                <w:sz w:val="24"/>
                <w:szCs w:val="24"/>
              </w:rPr>
              <w:t>制氧机具有切换运行功能，既可全自动智能化运行，也能转换为手动运行。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kern w:val="0"/>
                <w:sz w:val="24"/>
              </w:rPr>
              <w:t>1.9</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color w:val="000000"/>
                <w:kern w:val="0"/>
                <w:sz w:val="24"/>
                <w:szCs w:val="24"/>
              </w:rPr>
              <w:t>制氧机具有现场自动控制系统，同时具有远程管理控制系统，能够对工作现场的设备进行远程控制与监视。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4"/>
              </w:rPr>
            </w:pPr>
            <w:r>
              <w:rPr>
                <w:rFonts w:hint="eastAsia" w:ascii="宋体" w:hAnsi="宋体" w:eastAsia="宋体" w:cs="宋体"/>
                <w:b/>
                <w:sz w:val="24"/>
              </w:rPr>
              <w:t>2</w:t>
            </w:r>
          </w:p>
        </w:tc>
        <w:tc>
          <w:tcPr>
            <w:tcW w:w="81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kern w:val="0"/>
                <w:sz w:val="24"/>
              </w:rPr>
            </w:pPr>
            <w:r>
              <w:rPr>
                <w:rFonts w:hint="eastAsia" w:ascii="宋体" w:hAnsi="宋体" w:eastAsia="宋体" w:cs="宋体"/>
                <w:b/>
                <w:sz w:val="24"/>
              </w:rPr>
              <w:t>医用分子筛制氧系统</w:t>
            </w:r>
            <w:r>
              <w:rPr>
                <w:rFonts w:hint="eastAsia" w:ascii="宋体" w:hAnsi="宋体" w:eastAsia="宋体" w:cs="宋体"/>
                <w:b/>
                <w:kern w:val="0"/>
                <w:sz w:val="24"/>
              </w:rPr>
              <w:t>配置及技术参数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4"/>
              </w:rPr>
            </w:pPr>
            <w:r>
              <w:rPr>
                <w:rFonts w:hint="eastAsia" w:ascii="宋体" w:hAnsi="宋体" w:eastAsia="宋体" w:cs="宋体"/>
                <w:b/>
                <w:sz w:val="24"/>
              </w:rPr>
              <w:t>2.1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kern w:val="0"/>
                <w:sz w:val="24"/>
              </w:rPr>
            </w:pPr>
            <w:r>
              <w:rPr>
                <w:rFonts w:hint="eastAsia" w:ascii="宋体" w:hAnsi="宋体" w:eastAsia="宋体" w:cs="宋体"/>
                <w:b/>
                <w:sz w:val="24"/>
              </w:rPr>
              <w:t>螺杆式空气压缩机  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2.1.1</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要求为国际知名品牌。主机机头质保5年，产品彩页上需进行标注。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2.1.2</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color w:val="000000"/>
                <w:kern w:val="0"/>
                <w:sz w:val="24"/>
                <w:szCs w:val="24"/>
              </w:rPr>
              <w:t>单台功率≤30kw。工作压力≥0.75Mpa。有效气量（标准状态下）≥7m³/min，符合制氧主机对压缩空气需求量的要求。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2.1.3</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空压机必须适合高温环境下运行，环境温度≤46℃可以正常运行。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2.1.4</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000000"/>
                <w:kern w:val="0"/>
                <w:sz w:val="24"/>
                <w:szCs w:val="24"/>
              </w:rPr>
            </w:pPr>
            <w:r>
              <w:rPr>
                <w:rFonts w:hint="eastAsia" w:ascii="宋体" w:hAnsi="宋体" w:eastAsia="宋体" w:cs="宋体"/>
                <w:bCs/>
                <w:sz w:val="24"/>
                <w:szCs w:val="24"/>
                <w:lang w:val="zh-CN"/>
              </w:rPr>
              <w:t>空压机电机具有相序保护功能和反负载侧线圈温度检测点，防止电机反转，保证电机使用寿命；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rPr>
            </w:pPr>
            <w:r>
              <w:rPr>
                <w:rFonts w:hint="eastAsia" w:ascii="宋体" w:hAnsi="宋体" w:eastAsia="宋体" w:cs="宋体"/>
                <w:sz w:val="24"/>
              </w:rPr>
              <w:t>2.1.5</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color w:val="000000"/>
                <w:kern w:val="0"/>
                <w:sz w:val="24"/>
                <w:szCs w:val="24"/>
              </w:rPr>
              <w:t>具有失电自动重启、残压启动、延迟二次停机功能。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2.1.6</w:t>
            </w:r>
          </w:p>
        </w:tc>
        <w:tc>
          <w:tcPr>
            <w:tcW w:w="814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空压机排气中的残油控制在≤1.6ppm；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2.1.7</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bCs/>
                <w:sz w:val="24"/>
                <w:szCs w:val="24"/>
                <w:lang w:val="zh-CN"/>
              </w:rPr>
              <w:t>具有自我诊断、数据显示、报警以及自动停机等功能，能对空压机的电机、风扇等相关部件进行完全的保护。</w:t>
            </w:r>
            <w:r>
              <w:rPr>
                <w:rFonts w:hint="eastAsia" w:ascii="宋体" w:hAnsi="宋体" w:eastAsia="宋体" w:cs="宋体"/>
                <w:color w:val="000000"/>
                <w:kern w:val="0"/>
                <w:sz w:val="24"/>
                <w:szCs w:val="24"/>
              </w:rPr>
              <w:t>并可以远程传输。。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b/>
                <w:sz w:val="24"/>
              </w:rPr>
              <w:t>2.2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rPr>
            </w:pPr>
            <w:r>
              <w:rPr>
                <w:rFonts w:hint="eastAsia" w:ascii="宋体" w:hAnsi="宋体" w:eastAsia="宋体" w:cs="宋体"/>
                <w:b/>
                <w:sz w:val="24"/>
              </w:rPr>
              <w:t>空气缓冲罐      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2.2.1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rPr>
            </w:pPr>
            <w:r>
              <w:rPr>
                <w:rFonts w:hint="eastAsia" w:ascii="宋体" w:hAnsi="宋体" w:eastAsia="宋体" w:cs="宋体"/>
                <w:sz w:val="24"/>
              </w:rPr>
              <w:t>单体容积≥1m³，工作压力≥1Mpa。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2.2.2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rPr>
            </w:pPr>
            <w:r>
              <w:rPr>
                <w:rFonts w:hint="eastAsia" w:ascii="宋体" w:hAnsi="宋体" w:eastAsia="宋体" w:cs="宋体"/>
                <w:sz w:val="24"/>
              </w:rPr>
              <w:t>采用优质碳钢制造，去油脱脂处理。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2.2.3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rPr>
            </w:pPr>
            <w:r>
              <w:rPr>
                <w:rFonts w:hint="eastAsia" w:ascii="宋体" w:hAnsi="宋体" w:eastAsia="宋体" w:cs="宋体"/>
                <w:sz w:val="24"/>
                <w:szCs w:val="24"/>
                <w:lang w:val="zh-CN"/>
              </w:rPr>
              <w:t>符合国家压力容器安全技术监察规程</w:t>
            </w: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4"/>
              </w:rPr>
            </w:pPr>
            <w:r>
              <w:rPr>
                <w:rFonts w:hint="eastAsia" w:ascii="宋体" w:hAnsi="宋体" w:eastAsia="宋体" w:cs="宋体"/>
                <w:b/>
                <w:sz w:val="24"/>
              </w:rPr>
              <w:t>2.3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4"/>
              </w:rPr>
            </w:pPr>
            <w:r>
              <w:rPr>
                <w:rFonts w:hint="eastAsia" w:ascii="宋体" w:hAnsi="宋体" w:eastAsia="宋体" w:cs="宋体"/>
                <w:b/>
                <w:sz w:val="24"/>
              </w:rPr>
              <w:t>冷冻式干燥机   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rPr>
            </w:pPr>
            <w:r>
              <w:rPr>
                <w:rFonts w:hint="eastAsia" w:ascii="宋体" w:hAnsi="宋体" w:eastAsia="宋体" w:cs="宋体"/>
                <w:sz w:val="24"/>
              </w:rPr>
              <w:t>2.3.1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rPr>
            </w:pPr>
            <w:r>
              <w:rPr>
                <w:rFonts w:hint="eastAsia" w:ascii="宋体" w:hAnsi="宋体" w:eastAsia="宋体" w:cs="宋体"/>
                <w:bCs/>
                <w:sz w:val="24"/>
                <w:szCs w:val="24"/>
                <w:lang w:val="zh-CN"/>
              </w:rPr>
              <w:t>具有高可靠排水装置，使凝结水同污垢同时排出，确保长时间的免维护运行</w:t>
            </w:r>
            <w:r>
              <w:rPr>
                <w:rFonts w:hint="eastAsia" w:ascii="宋体" w:hAnsi="宋体" w:eastAsia="宋体" w:cs="宋体"/>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2.3.2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kern w:val="0"/>
                <w:sz w:val="24"/>
                <w:szCs w:val="24"/>
              </w:rPr>
              <w:t>单台功率≤1.7Kw，有效处理气量（标准状态下）≥10m³/min。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2.3.3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kern w:val="0"/>
                <w:sz w:val="24"/>
                <w:szCs w:val="24"/>
              </w:rPr>
              <w:t>露点温度3-10℃。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2.3.4</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kern w:val="0"/>
                <w:sz w:val="24"/>
                <w:szCs w:val="24"/>
              </w:rPr>
            </w:pPr>
            <w:r>
              <w:rPr>
                <w:rFonts w:hint="eastAsia" w:ascii="宋体" w:hAnsi="宋体" w:eastAsia="宋体" w:cs="宋体"/>
                <w:color w:val="auto"/>
                <w:sz w:val="24"/>
                <w:szCs w:val="24"/>
              </w:rPr>
              <w:t>采用不锈钢制热交换器，提高耐腐蚀性。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2.3.5</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kern w:val="0"/>
                <w:sz w:val="24"/>
                <w:szCs w:val="24"/>
              </w:rPr>
            </w:pPr>
            <w:r>
              <w:rPr>
                <w:rFonts w:hint="eastAsia" w:ascii="宋体" w:hAnsi="宋体" w:eastAsia="宋体" w:cs="宋体"/>
                <w:color w:val="auto"/>
                <w:sz w:val="24"/>
                <w:szCs w:val="24"/>
              </w:rPr>
              <w:t>环保，臭氧破坏系数“0”。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b/>
                <w:color w:val="auto"/>
                <w:sz w:val="24"/>
              </w:rPr>
              <w:t>2.4</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kern w:val="0"/>
                <w:sz w:val="24"/>
                <w:szCs w:val="24"/>
              </w:rPr>
            </w:pPr>
            <w:r>
              <w:rPr>
                <w:rFonts w:hint="eastAsia" w:ascii="宋体" w:hAnsi="宋体" w:eastAsia="宋体" w:cs="宋体"/>
                <w:b/>
                <w:color w:val="auto"/>
                <w:sz w:val="24"/>
                <w:szCs w:val="24"/>
              </w:rPr>
              <w:t>初级精密过滤器</w:t>
            </w:r>
            <w:r>
              <w:rPr>
                <w:rFonts w:hint="eastAsia" w:ascii="宋体" w:hAnsi="宋体" w:eastAsia="宋体" w:cs="宋体"/>
                <w:b/>
                <w:color w:val="auto"/>
                <w:sz w:val="24"/>
              </w:rPr>
              <w:t xml:space="preserve">     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2.4.1</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spacing w:after="0" w:line="360" w:lineRule="auto"/>
              <w:ind w:left="0" w:leftChars="0"/>
              <w:rPr>
                <w:rFonts w:hint="eastAsia" w:ascii="宋体" w:hAnsi="宋体" w:eastAsia="宋体" w:cs="宋体"/>
                <w:bCs/>
                <w:color w:val="auto"/>
                <w:sz w:val="21"/>
                <w:szCs w:val="21"/>
              </w:rPr>
            </w:pPr>
            <w:r>
              <w:rPr>
                <w:rFonts w:hint="eastAsia" w:ascii="宋体" w:hAnsi="宋体" w:eastAsia="宋体" w:cs="宋体"/>
                <w:bCs/>
                <w:color w:val="auto"/>
                <w:sz w:val="21"/>
                <w:szCs w:val="21"/>
              </w:rPr>
              <w:t>单个空气处理量：≥10m³/min，符合单台空压机要求；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2.4.2</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spacing w:after="0" w:line="360" w:lineRule="auto"/>
              <w:ind w:left="0" w:leftChars="0"/>
              <w:rPr>
                <w:rFonts w:hint="eastAsia" w:ascii="宋体" w:hAnsi="宋体" w:eastAsia="宋体" w:cs="宋体"/>
                <w:bCs/>
                <w:color w:val="auto"/>
                <w:sz w:val="21"/>
                <w:szCs w:val="21"/>
              </w:rPr>
            </w:pPr>
            <w:r>
              <w:rPr>
                <w:rFonts w:hint="eastAsia" w:ascii="宋体" w:hAnsi="宋体" w:eastAsia="宋体" w:cs="宋体"/>
                <w:bCs/>
                <w:color w:val="auto"/>
                <w:sz w:val="21"/>
                <w:szCs w:val="21"/>
              </w:rPr>
              <w:t>有效滤除3微米和更大的固态与液态颗粒；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2.4.3</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spacing w:after="0" w:line="360" w:lineRule="auto"/>
              <w:ind w:left="0" w:leftChars="0"/>
              <w:rPr>
                <w:rFonts w:hint="eastAsia" w:ascii="宋体" w:hAnsi="宋体" w:eastAsia="宋体" w:cs="宋体"/>
                <w:bCs/>
                <w:color w:val="auto"/>
                <w:sz w:val="21"/>
                <w:szCs w:val="21"/>
              </w:rPr>
            </w:pPr>
            <w:r>
              <w:rPr>
                <w:rFonts w:hint="eastAsia" w:ascii="宋体" w:hAnsi="宋体" w:eastAsia="宋体" w:cs="宋体"/>
                <w:bCs/>
                <w:color w:val="auto"/>
                <w:sz w:val="21"/>
                <w:szCs w:val="21"/>
              </w:rPr>
              <w:t>残留油分含量5ppmw/w；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2.4.4</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spacing w:after="0" w:line="360" w:lineRule="auto"/>
              <w:ind w:left="0" w:leftChars="0"/>
              <w:rPr>
                <w:rFonts w:hint="eastAsia" w:ascii="宋体" w:hAnsi="宋体" w:eastAsia="宋体" w:cs="宋体"/>
                <w:bCs/>
                <w:color w:val="auto"/>
                <w:sz w:val="21"/>
                <w:szCs w:val="21"/>
              </w:rPr>
            </w:pPr>
            <w:r>
              <w:rPr>
                <w:rFonts w:hint="eastAsia" w:ascii="宋体" w:hAnsi="宋体" w:eastAsia="宋体" w:cs="宋体"/>
                <w:bCs/>
                <w:color w:val="auto"/>
                <w:sz w:val="21"/>
                <w:szCs w:val="21"/>
              </w:rPr>
              <w:t>达到ISO8573.1质量等级-固态3级，油分含量5级；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2.4.5</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spacing w:after="0" w:line="360" w:lineRule="auto"/>
              <w:ind w:left="0" w:leftChars="0"/>
              <w:rPr>
                <w:rFonts w:hint="eastAsia" w:ascii="宋体" w:hAnsi="宋体" w:eastAsia="宋体" w:cs="宋体"/>
                <w:bCs/>
                <w:color w:val="auto"/>
                <w:sz w:val="21"/>
                <w:szCs w:val="21"/>
              </w:rPr>
            </w:pPr>
            <w:r>
              <w:rPr>
                <w:rFonts w:hint="eastAsia" w:ascii="宋体" w:hAnsi="宋体" w:eastAsia="宋体" w:cs="宋体"/>
                <w:bCs/>
                <w:color w:val="auto"/>
                <w:sz w:val="21"/>
                <w:szCs w:val="21"/>
              </w:rPr>
              <w:t>进气最大液体负载：25000ppmw/w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2.5</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b/>
                <w:color w:val="auto"/>
                <w:sz w:val="24"/>
                <w:szCs w:val="24"/>
              </w:rPr>
              <w:t>高级精密过滤器</w:t>
            </w:r>
            <w:r>
              <w:rPr>
                <w:rFonts w:hint="eastAsia" w:ascii="宋体" w:hAnsi="宋体" w:eastAsia="宋体" w:cs="宋体"/>
                <w:b/>
                <w:color w:val="auto"/>
                <w:sz w:val="24"/>
              </w:rPr>
              <w:t xml:space="preserve">   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2.5.1</w:t>
            </w:r>
          </w:p>
        </w:tc>
        <w:tc>
          <w:tcPr>
            <w:tcW w:w="814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pacing w:val="-8"/>
                <w:sz w:val="24"/>
                <w:szCs w:val="24"/>
              </w:rPr>
            </w:pPr>
            <w:r>
              <w:rPr>
                <w:rFonts w:hint="eastAsia" w:ascii="宋体" w:hAnsi="宋体" w:eastAsia="宋体" w:cs="宋体"/>
                <w:bCs/>
                <w:color w:val="auto"/>
                <w:sz w:val="24"/>
                <w:szCs w:val="24"/>
              </w:rPr>
              <w:t>单个空气处理量≥10m³/min，符合单台空压机要求；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2.5.2</w:t>
            </w:r>
          </w:p>
        </w:tc>
        <w:tc>
          <w:tcPr>
            <w:tcW w:w="814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pacing w:val="-8"/>
                <w:sz w:val="24"/>
                <w:szCs w:val="24"/>
              </w:rPr>
            </w:pPr>
            <w:r>
              <w:rPr>
                <w:rFonts w:hint="eastAsia" w:ascii="宋体" w:hAnsi="宋体" w:eastAsia="宋体" w:cs="宋体"/>
                <w:bCs/>
                <w:color w:val="auto"/>
                <w:sz w:val="24"/>
                <w:szCs w:val="24"/>
              </w:rPr>
              <w:t>有效滤除0.01微米和更大的固态与液态颗粒</w:t>
            </w:r>
            <w:r>
              <w:rPr>
                <w:rFonts w:hint="eastAsia" w:ascii="宋体" w:hAnsi="宋体" w:eastAsia="宋体" w:cs="宋体"/>
                <w:bCs/>
                <w:color w:val="auto"/>
                <w:spacing w:val="-8"/>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2.5.3</w:t>
            </w:r>
          </w:p>
        </w:tc>
        <w:tc>
          <w:tcPr>
            <w:tcW w:w="814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pacing w:val="-8"/>
                <w:sz w:val="24"/>
                <w:szCs w:val="24"/>
              </w:rPr>
            </w:pPr>
            <w:r>
              <w:rPr>
                <w:rFonts w:hint="eastAsia" w:ascii="宋体" w:hAnsi="宋体" w:eastAsia="宋体" w:cs="宋体"/>
                <w:bCs/>
                <w:color w:val="auto"/>
                <w:sz w:val="24"/>
                <w:szCs w:val="24"/>
              </w:rPr>
              <w:t>有效滤除99.99+%油雾；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2.5.4</w:t>
            </w:r>
          </w:p>
        </w:tc>
        <w:tc>
          <w:tcPr>
            <w:tcW w:w="814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pacing w:val="-8"/>
                <w:sz w:val="24"/>
                <w:szCs w:val="24"/>
              </w:rPr>
            </w:pPr>
            <w:r>
              <w:rPr>
                <w:rFonts w:hint="eastAsia" w:ascii="宋体" w:hAnsi="宋体" w:eastAsia="宋体" w:cs="宋体"/>
                <w:bCs/>
                <w:color w:val="auto"/>
                <w:spacing w:val="-8"/>
                <w:sz w:val="24"/>
                <w:szCs w:val="24"/>
              </w:rPr>
              <w:t>残留油分含量0.01ppmw/w；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2.5.5</w:t>
            </w:r>
          </w:p>
        </w:tc>
        <w:tc>
          <w:tcPr>
            <w:tcW w:w="814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pacing w:val="-8"/>
                <w:sz w:val="24"/>
                <w:szCs w:val="24"/>
              </w:rPr>
            </w:pPr>
            <w:r>
              <w:rPr>
                <w:rFonts w:hint="eastAsia" w:ascii="宋体" w:hAnsi="宋体" w:eastAsia="宋体" w:cs="宋体"/>
                <w:bCs/>
                <w:color w:val="auto"/>
                <w:spacing w:val="-8"/>
                <w:sz w:val="24"/>
                <w:szCs w:val="24"/>
              </w:rPr>
              <w:t>达到ISO8573.1质量等级-固态1级，油分含量2级；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2.5.6</w:t>
            </w:r>
          </w:p>
        </w:tc>
        <w:tc>
          <w:tcPr>
            <w:tcW w:w="814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pacing w:val="-8"/>
                <w:sz w:val="24"/>
                <w:szCs w:val="24"/>
              </w:rPr>
            </w:pPr>
            <w:r>
              <w:rPr>
                <w:rFonts w:hint="eastAsia" w:ascii="宋体" w:hAnsi="宋体" w:eastAsia="宋体" w:cs="宋体"/>
                <w:bCs/>
                <w:color w:val="auto"/>
                <w:spacing w:val="-8"/>
                <w:sz w:val="24"/>
                <w:szCs w:val="24"/>
              </w:rPr>
              <w:t>进气最大液体负载：1000ppmw/w。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b/>
                <w:color w:val="auto"/>
                <w:sz w:val="24"/>
              </w:rPr>
              <w:t>2.6</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b/>
                <w:color w:val="auto"/>
                <w:sz w:val="24"/>
                <w:szCs w:val="24"/>
              </w:rPr>
              <w:t>特级精密过滤器</w:t>
            </w:r>
            <w:r>
              <w:rPr>
                <w:rFonts w:hint="eastAsia" w:ascii="宋体" w:hAnsi="宋体" w:eastAsia="宋体" w:cs="宋体"/>
                <w:b/>
                <w:color w:val="auto"/>
                <w:sz w:val="24"/>
              </w:rPr>
              <w:t xml:space="preserve">   4套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2.6.1</w:t>
            </w:r>
          </w:p>
        </w:tc>
        <w:tc>
          <w:tcPr>
            <w:tcW w:w="814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单个空气处理量≥10m³/min，符合单台空压机要求</w:t>
            </w:r>
            <w:r>
              <w:rPr>
                <w:rFonts w:hint="eastAsia" w:ascii="宋体" w:hAnsi="宋体" w:eastAsia="宋体" w:cs="宋体"/>
                <w:bCs/>
                <w:color w:val="auto"/>
                <w:sz w:val="24"/>
                <w:szCs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2.6.2</w:t>
            </w:r>
          </w:p>
        </w:tc>
        <w:tc>
          <w:tcPr>
            <w:tcW w:w="814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有效滤除0.01微米和更大的固态与液态颗粒；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2.6.3</w:t>
            </w:r>
          </w:p>
        </w:tc>
        <w:tc>
          <w:tcPr>
            <w:tcW w:w="814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有效滤除99.99</w:t>
            </w:r>
            <w:r>
              <w:rPr>
                <w:rFonts w:hint="eastAsia" w:ascii="宋体" w:hAnsi="宋体" w:eastAsia="宋体" w:cs="宋体"/>
                <w:bCs/>
                <w:color w:val="auto"/>
                <w:sz w:val="24"/>
                <w:szCs w:val="24"/>
              </w:rPr>
              <w:t>9</w:t>
            </w:r>
            <w:r>
              <w:rPr>
                <w:rFonts w:hint="eastAsia" w:ascii="宋体" w:hAnsi="宋体" w:eastAsia="宋体" w:cs="宋体"/>
                <w:bCs/>
                <w:color w:val="auto"/>
                <w:sz w:val="24"/>
                <w:szCs w:val="24"/>
                <w:lang w:val="zh-CN"/>
              </w:rPr>
              <w:t>+%油雾；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2.6.4</w:t>
            </w:r>
          </w:p>
        </w:tc>
        <w:tc>
          <w:tcPr>
            <w:tcW w:w="814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达到ISO8573.1质量等级-固态1级，油分含量</w:t>
            </w: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zh-CN"/>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2.6.5</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bCs/>
                <w:color w:val="auto"/>
                <w:sz w:val="24"/>
                <w:szCs w:val="24"/>
                <w:lang w:val="zh-CN"/>
              </w:rPr>
              <w:t>进气最大液体负载：</w:t>
            </w:r>
            <w:r>
              <w:rPr>
                <w:rFonts w:hint="eastAsia" w:ascii="宋体" w:hAnsi="宋体" w:eastAsia="宋体" w:cs="宋体"/>
                <w:bCs/>
                <w:color w:val="auto"/>
                <w:sz w:val="24"/>
                <w:szCs w:val="24"/>
              </w:rPr>
              <w:t>100</w:t>
            </w:r>
            <w:r>
              <w:rPr>
                <w:rFonts w:hint="eastAsia" w:ascii="宋体" w:hAnsi="宋体" w:eastAsia="宋体" w:cs="宋体"/>
                <w:bCs/>
                <w:color w:val="auto"/>
                <w:sz w:val="24"/>
                <w:szCs w:val="24"/>
                <w:lang w:val="zh-CN"/>
              </w:rPr>
              <w:t>ppmw/w。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b/>
                <w:color w:val="auto"/>
                <w:sz w:val="24"/>
              </w:rPr>
              <w:t>2.7</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b/>
                <w:color w:val="auto"/>
                <w:sz w:val="24"/>
                <w:szCs w:val="24"/>
              </w:rPr>
              <w:t xml:space="preserve">高效除菌过滤器 </w:t>
            </w:r>
            <w:r>
              <w:rPr>
                <w:rFonts w:hint="eastAsia" w:ascii="宋体" w:hAnsi="宋体" w:eastAsia="宋体" w:cs="宋体"/>
                <w:b/>
                <w:color w:val="auto"/>
                <w:sz w:val="24"/>
              </w:rPr>
              <w:t xml:space="preserve">   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2.7.1</w:t>
            </w:r>
          </w:p>
        </w:tc>
        <w:tc>
          <w:tcPr>
            <w:tcW w:w="814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279"/>
              <w:rPr>
                <w:rFonts w:hint="eastAsia" w:ascii="宋体" w:hAnsi="宋体" w:eastAsia="宋体" w:cs="宋体"/>
                <w:bCs/>
                <w:color w:val="auto"/>
                <w:szCs w:val="21"/>
                <w:lang w:val="zh-CN"/>
              </w:rPr>
            </w:pPr>
            <w:r>
              <w:rPr>
                <w:rFonts w:hint="eastAsia" w:ascii="宋体" w:hAnsi="宋体" w:eastAsia="宋体" w:cs="宋体"/>
                <w:bCs/>
                <w:color w:val="auto"/>
                <w:szCs w:val="21"/>
              </w:rPr>
              <w:t>单个空气处理量≥2.6m³/min，符合单台空压机要求</w:t>
            </w:r>
            <w:r>
              <w:rPr>
                <w:rFonts w:hint="eastAsia" w:ascii="宋体" w:hAnsi="宋体" w:eastAsia="宋体" w:cs="宋体"/>
                <w:bCs/>
                <w:color w:val="auto"/>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2.7.2</w:t>
            </w:r>
          </w:p>
        </w:tc>
        <w:tc>
          <w:tcPr>
            <w:tcW w:w="814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有效滤除0.01微米和更大的固态颗粒、滤除油气；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2.7.3</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bCs/>
                <w:color w:val="auto"/>
                <w:szCs w:val="21"/>
                <w:lang w:val="zh-CN"/>
              </w:rPr>
              <w:t>达到ISO8573.1质量等级-固态1级，油分含量</w:t>
            </w:r>
            <w:r>
              <w:rPr>
                <w:rFonts w:hint="eastAsia" w:ascii="宋体" w:hAnsi="宋体" w:eastAsia="宋体" w:cs="宋体"/>
                <w:bCs/>
                <w:color w:val="auto"/>
                <w:szCs w:val="21"/>
              </w:rPr>
              <w:t>1</w:t>
            </w:r>
            <w:r>
              <w:rPr>
                <w:rFonts w:hint="eastAsia" w:ascii="宋体" w:hAnsi="宋体" w:eastAsia="宋体" w:cs="宋体"/>
                <w:bCs/>
                <w:color w:val="auto"/>
                <w:szCs w:val="21"/>
                <w:lang w:val="zh-CN"/>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2.8</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制氧主机      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2.8.1</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tabs>
                <w:tab w:val="left" w:pos="567"/>
              </w:tabs>
              <w:spacing w:after="0" w:line="36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制氧系统必须有良好的持久性能，分子筛筛床必须为不锈钢或特种铝合金材质，确保不生锈，分子筛在无需进行再生处理或更换的情况下，能实现连续运行10万小时。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2.8.2</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tabs>
                <w:tab w:val="left" w:pos="567"/>
              </w:tabs>
              <w:spacing w:after="0" w:line="360" w:lineRule="auto"/>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制氧系统必须具备断电、自动反向、超载、超负荷保护报警功能，报警声强符合国家标准。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rPr>
            </w:pPr>
            <w:r>
              <w:rPr>
                <w:rFonts w:hint="eastAsia" w:ascii="宋体" w:hAnsi="宋体" w:eastAsia="宋体" w:cs="宋体"/>
                <w:color w:val="auto"/>
                <w:sz w:val="24"/>
              </w:rPr>
              <w:t>2.8.3</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tabs>
                <w:tab w:val="left" w:pos="567"/>
              </w:tabs>
              <w:spacing w:after="0" w:line="360" w:lineRule="auto"/>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制氧系统必须具备氧气纯度在线分析监测功能，使用寿命必须达到10年，测量精度：≤±1%F.S，测量范围：10-99.9% O</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，分辨率：0.01%，具有数据远传功能。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2.8.4</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tabs>
                <w:tab w:val="left" w:pos="567"/>
              </w:tabs>
              <w:spacing w:after="0" w:line="360" w:lineRule="auto"/>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制氧系统采用的流量计应具有实时流量和累计流量显示功能，氧气经过流量计后必须无压力损失,具有数据远传功能。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2.8.5</w:t>
            </w:r>
          </w:p>
        </w:tc>
        <w:tc>
          <w:tcPr>
            <w:tcW w:w="8142" w:type="dxa"/>
            <w:tcBorders>
              <w:top w:val="single" w:color="auto" w:sz="4" w:space="0"/>
              <w:left w:val="single" w:color="auto" w:sz="4" w:space="0"/>
              <w:bottom w:val="single" w:color="auto" w:sz="4" w:space="0"/>
              <w:right w:val="single" w:color="auto" w:sz="4" w:space="0"/>
            </w:tcBorders>
            <w:vAlign w:val="center"/>
          </w:tcPr>
          <w:p>
            <w:pPr>
              <w:pStyle w:val="9"/>
              <w:tabs>
                <w:tab w:val="left" w:pos="567"/>
              </w:tabs>
              <w:spacing w:after="0" w:line="360" w:lineRule="auto"/>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制氧系统中的气体处理精度必须达到0.01μm，过滤系统必须具备功能效能自动显示功能。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rPr>
            </w:pPr>
            <w:r>
              <w:rPr>
                <w:rFonts w:hint="eastAsia" w:ascii="宋体" w:hAnsi="宋体" w:eastAsia="宋体" w:cs="宋体"/>
                <w:color w:val="auto"/>
              </w:rPr>
              <w:t>2.8.6</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分子筛填装压紧可靠，提供相关权威证书证明。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b/>
                <w:color w:val="auto"/>
                <w:sz w:val="24"/>
              </w:rPr>
              <w:t>2.9</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b/>
                <w:color w:val="auto"/>
                <w:sz w:val="24"/>
              </w:rPr>
              <w:t>氧气增压缓冲罐      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2.9.1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容积≥0.6m³  工作压力≥0.8Mpa。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2.9.2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采用优质碳钢制造，去油脱脂处理。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2.9.3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szCs w:val="24"/>
                <w:lang w:val="zh-CN"/>
              </w:rPr>
              <w:t>合国家压力容器安全技术监察规程</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b/>
                <w:color w:val="auto"/>
                <w:sz w:val="24"/>
              </w:rPr>
              <w:t>2.10</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b/>
                <w:color w:val="auto"/>
                <w:sz w:val="24"/>
              </w:rPr>
              <w:t>氧气增压机     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2.10.1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最大输出压力：0.8Mpa。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2.10.2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单台排气量≥20m³/h。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2.10.3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功率≤3kw。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2.10.4</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排出的氧气不含油份，避免油气对产品的二次污染。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2.11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氧气储罐     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2.11.1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单体容积≥1m³，工作压力≥0.8Mpa。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2.11.2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采用优质碳钢制造，去油脱脂处理。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2.11.3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szCs w:val="24"/>
                <w:lang w:val="zh-CN"/>
              </w:rPr>
              <w:t>符合国家压力容器安全技术监察规程</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2.12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氧气除尘过滤器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2.12.1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过滤精度：液体及固态颗粒≤1</w:t>
            </w:r>
            <w:r>
              <w:rPr>
                <w:rFonts w:hint="eastAsia" w:ascii="宋体" w:hAnsi="宋体" w:eastAsia="宋体" w:cs="宋体"/>
                <w:color w:val="auto"/>
                <w:sz w:val="24"/>
              </w:rPr>
              <w:sym w:font="Symbol" w:char="F06D"/>
            </w:r>
            <w:r>
              <w:rPr>
                <w:rFonts w:hint="eastAsia" w:ascii="宋体" w:hAnsi="宋体" w:eastAsia="宋体" w:cs="宋体"/>
                <w:color w:val="auto"/>
                <w:sz w:val="24"/>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2.13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b/>
                <w:color w:val="auto"/>
                <w:sz w:val="24"/>
              </w:rPr>
              <w:t>氧气除菌过滤器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2.13.1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过滤精度：液体及固态颗粒≤0.01</w:t>
            </w:r>
            <w:r>
              <w:rPr>
                <w:rFonts w:hint="eastAsia" w:ascii="宋体" w:hAnsi="宋体" w:eastAsia="宋体" w:cs="宋体"/>
                <w:color w:val="auto"/>
                <w:sz w:val="24"/>
              </w:rPr>
              <w:sym w:font="Symbol" w:char="F06D"/>
            </w:r>
            <w:r>
              <w:rPr>
                <w:rFonts w:hint="eastAsia" w:ascii="宋体" w:hAnsi="宋体" w:eastAsia="宋体" w:cs="宋体"/>
                <w:color w:val="auto"/>
                <w:sz w:val="24"/>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b/>
                <w:color w:val="auto"/>
                <w:sz w:val="24"/>
              </w:rPr>
              <w:t>2.14</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b/>
                <w:color w:val="auto"/>
                <w:sz w:val="24"/>
              </w:rPr>
              <w:t>氧气除异味过滤器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2.14.1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过滤精度：残油含量≤0.003ppm。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2.15</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氧气浓度分析仪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2.15.1</w:t>
            </w:r>
          </w:p>
        </w:tc>
        <w:tc>
          <w:tcPr>
            <w:tcW w:w="814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宋体" w:hAnsi="宋体" w:eastAsia="宋体" w:cs="宋体"/>
                <w:color w:val="auto"/>
                <w:szCs w:val="21"/>
                <w:lang w:val="zh-CN"/>
              </w:rPr>
            </w:pPr>
            <w:r>
              <w:rPr>
                <w:rFonts w:hint="eastAsia" w:ascii="宋体" w:hAnsi="宋体" w:eastAsia="宋体" w:cs="宋体"/>
                <w:color w:val="auto"/>
                <w:sz w:val="24"/>
              </w:rPr>
              <w:t>测量范围：10-99.99%。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2.15.2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精度：±1%FS。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2.15.3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 w:val="24"/>
              </w:rPr>
              <w:t>显示方式：液晶屏实时显示，直观易读。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2.15.4</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rPr>
            </w:pPr>
            <w:r>
              <w:rPr>
                <w:rFonts w:hint="eastAsia" w:ascii="宋体" w:hAnsi="宋体" w:eastAsia="宋体" w:cs="宋体"/>
                <w:color w:val="auto"/>
                <w:szCs w:val="21"/>
                <w:lang w:val="zh-CN"/>
              </w:rPr>
              <w:t>具有氧气低纯度报警功能，并有数据远传接口，方便远程监控。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2.16</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氧气流量计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2.16.1</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Cs w:val="21"/>
                <w:lang w:val="zh-CN"/>
              </w:rPr>
            </w:pPr>
            <w:r>
              <w:rPr>
                <w:rFonts w:hint="eastAsia" w:ascii="宋体" w:hAnsi="宋体" w:eastAsia="宋体" w:cs="宋体"/>
                <w:color w:val="auto"/>
                <w:sz w:val="24"/>
              </w:rPr>
              <w:t xml:space="preserve">性能稳定，不受压力和温度的影响 </w:t>
            </w:r>
            <w:r>
              <w:rPr>
                <w:rFonts w:hint="eastAsia" w:ascii="宋体" w:hAnsi="宋体" w:eastAsia="宋体" w:cs="宋体"/>
                <w:color w:val="auto"/>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2.16.2</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rPr>
                <w:rFonts w:hint="eastAsia" w:ascii="宋体" w:hAnsi="宋体" w:eastAsia="宋体" w:cs="宋体"/>
                <w:color w:val="auto"/>
                <w:sz w:val="24"/>
              </w:rPr>
            </w:pPr>
            <w:r>
              <w:rPr>
                <w:rFonts w:hint="eastAsia" w:ascii="宋体" w:hAnsi="宋体" w:eastAsia="宋体" w:cs="宋体"/>
                <w:color w:val="auto"/>
                <w:sz w:val="24"/>
              </w:rPr>
              <w:t>可以直接在使用点测量气体流量和累积量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2.16.3</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显示精度不低于0.01</w:t>
            </w:r>
            <w:r>
              <w:rPr>
                <w:rFonts w:hint="eastAsia" w:ascii="宋体" w:hAnsi="宋体" w:eastAsia="宋体" w:cs="宋体"/>
                <w:color w:val="auto"/>
                <w:sz w:val="24"/>
                <w:szCs w:val="24"/>
              </w:rPr>
              <w:t>m³</w:t>
            </w:r>
            <w:r>
              <w:rPr>
                <w:rFonts w:hint="eastAsia" w:ascii="宋体" w:hAnsi="宋体" w:eastAsia="宋体" w:cs="宋体"/>
                <w:color w:val="auto"/>
                <w:sz w:val="24"/>
                <w:szCs w:val="24"/>
                <w:lang w:val="zh-CN"/>
              </w:rPr>
              <w:t>/hr，其寿命超过10年。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2.16.4</w:t>
            </w:r>
          </w:p>
        </w:tc>
        <w:tc>
          <w:tcPr>
            <w:tcW w:w="8142" w:type="dxa"/>
            <w:tcBorders>
              <w:top w:val="single" w:color="auto" w:sz="4" w:space="0"/>
              <w:left w:val="single" w:color="auto" w:sz="4" w:space="0"/>
              <w:bottom w:val="single" w:color="auto" w:sz="4" w:space="0"/>
              <w:right w:val="single" w:color="auto" w:sz="4" w:space="0"/>
            </w:tcBorders>
            <w:vAlign w:val="center"/>
          </w:tcPr>
          <w:p>
            <w:pPr>
              <w:pStyle w:val="14"/>
              <w:shd w:val="clear" w:color="auto" w:fill="FFFFFF"/>
              <w:rPr>
                <w:rFonts w:hint="eastAsia" w:ascii="宋体" w:hAnsi="宋体" w:eastAsia="宋体" w:cs="宋体"/>
                <w:color w:val="auto"/>
                <w:kern w:val="2"/>
              </w:rPr>
            </w:pPr>
            <w:r>
              <w:rPr>
                <w:rFonts w:hint="eastAsia" w:ascii="宋体" w:hAnsi="宋体" w:eastAsia="宋体" w:cs="宋体"/>
                <w:color w:val="auto"/>
                <w:kern w:val="2"/>
              </w:rPr>
              <w:t>具有远程传输功能。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2.17</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现场控制系统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▲2.17.1</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highlight w:val="none"/>
              </w:rPr>
              <w:t>制氧机房内独立的控制柜，触摸屏显示控制，通过触摸屏可以实现下列第2～7项的功能。提供实例照片，并提供已经实际应用的不少于50家的用户名单备查。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2.17.2</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能够根据实际需要对制氧系统进行编程，根据用户需要设定、变更控制技术参数指标。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2.17.3</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能够实时监控制氧设备的流程及运行状态，包括空压机、冷干机、制氧主机的状态显示。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▲2.17.4</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rPr>
              <w:t>能够实时显示氧气浓度、流量、压力指标，并可自动储存和查询历史数据。</w:t>
            </w:r>
            <w:r>
              <w:rPr>
                <w:rFonts w:hint="eastAsia" w:ascii="宋体" w:hAnsi="宋体" w:eastAsia="宋体" w:cs="宋体"/>
                <w:color w:val="auto"/>
                <w:kern w:val="0"/>
                <w:sz w:val="24"/>
                <w:szCs w:val="24"/>
              </w:rPr>
              <w:t>提供</w:t>
            </w:r>
            <w:r>
              <w:rPr>
                <w:rFonts w:hint="eastAsia" w:ascii="宋体" w:hAnsi="宋体" w:eastAsia="宋体" w:cs="宋体"/>
                <w:color w:val="auto"/>
                <w:kern w:val="0"/>
                <w:sz w:val="24"/>
                <w:szCs w:val="24"/>
                <w:lang w:eastAsia="zh-CN"/>
              </w:rPr>
              <w:t>相关证明文件或材料</w:t>
            </w:r>
            <w:r>
              <w:rPr>
                <w:rFonts w:hint="eastAsia" w:ascii="宋体" w:hAnsi="宋体" w:eastAsia="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2.17.5</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能够实时显示系统运行时间以及距离维修保养的时间。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2.17.6</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具有自动报警功能。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2.17.7</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系统具有管理权限设置功能，保证管理上的安全性。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sz w:val="24"/>
              </w:rPr>
              <w:t>▲</w:t>
            </w:r>
            <w:r>
              <w:rPr>
                <w:rFonts w:hint="eastAsia" w:ascii="宋体" w:hAnsi="宋体" w:eastAsia="宋体" w:cs="宋体"/>
                <w:color w:val="auto"/>
                <w:kern w:val="0"/>
                <w:sz w:val="24"/>
                <w:szCs w:val="24"/>
              </w:rPr>
              <w:t>2.17.8</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具有高效快速提纯控制技术。提供</w:t>
            </w:r>
            <w:r>
              <w:rPr>
                <w:rFonts w:hint="eastAsia" w:ascii="宋体" w:hAnsi="宋体" w:eastAsia="宋体" w:cs="宋体"/>
                <w:color w:val="auto"/>
                <w:kern w:val="0"/>
                <w:sz w:val="24"/>
                <w:szCs w:val="24"/>
                <w:lang w:eastAsia="zh-CN"/>
              </w:rPr>
              <w:t>相关证明文件或材料</w:t>
            </w:r>
            <w:r>
              <w:rPr>
                <w:rFonts w:hint="eastAsia" w:ascii="宋体" w:hAnsi="宋体" w:eastAsia="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2.18</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智能化远程中央监控系统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2.18.1</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能够实现远程开机、停机。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2.18.2</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可根据需要远程设置、变更各项控制参数和机组运行状态。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2.18.3</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能够实时监控制氧设备的流程及运行状态，包括空压机、冷干机、制氧主机的状态显示。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2.19.4</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能够实时显示氧气浓度、流量、压力指标，可自动储存和查询历史数据并根据需要打印输出，形成打印报告。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2.18.5</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能够实时显示系统运行时间以及距离维修保养的时间。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2.18.6</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具有自动报警功能。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2.18.7</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系统具有管理权限设置功能，保证管理上的安全性。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▲2.18.8</w:t>
            </w:r>
          </w:p>
        </w:tc>
        <w:tc>
          <w:tcPr>
            <w:tcW w:w="8142" w:type="dxa"/>
            <w:tcBorders>
              <w:top w:val="single" w:color="auto" w:sz="4" w:space="0"/>
              <w:left w:val="single" w:color="auto" w:sz="4" w:space="0"/>
              <w:bottom w:val="single" w:color="auto" w:sz="4" w:space="0"/>
              <w:right w:val="single" w:color="auto" w:sz="4" w:space="0"/>
            </w:tcBorders>
            <w:vAlign w:val="center"/>
          </w:tcPr>
          <w:p>
            <w:pPr>
              <w:widowControl/>
              <w:spacing w:line="90" w:lineRule="atLeas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具有供氧系统集中监控软件，提供</w:t>
            </w:r>
            <w:r>
              <w:rPr>
                <w:rFonts w:hint="eastAsia" w:ascii="宋体" w:hAnsi="宋体" w:eastAsia="宋体" w:cs="宋体"/>
                <w:color w:val="auto"/>
                <w:kern w:val="0"/>
                <w:sz w:val="24"/>
                <w:szCs w:val="24"/>
                <w:lang w:eastAsia="zh-CN"/>
              </w:rPr>
              <w:t>相关证明文件或材料</w:t>
            </w:r>
            <w:r>
              <w:rPr>
                <w:rFonts w:hint="eastAsia" w:ascii="宋体" w:hAnsi="宋体" w:eastAsia="宋体" w:cs="宋体"/>
                <w:color w:val="auto"/>
                <w:kern w:val="0"/>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2.19</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智能手机远程监测系统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color w:val="auto"/>
                <w:sz w:val="24"/>
              </w:rPr>
              <w:t>2.19.1</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Cs w:val="21"/>
              </w:rPr>
            </w:pPr>
            <w:r>
              <w:rPr>
                <w:rFonts w:hint="eastAsia" w:ascii="宋体" w:hAnsi="宋体" w:eastAsia="宋体" w:cs="宋体"/>
                <w:color w:val="auto"/>
                <w:kern w:val="0"/>
                <w:sz w:val="24"/>
                <w:szCs w:val="24"/>
              </w:rPr>
              <w:t>可以通过智能手机实现以下第2～5项的功能。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color w:val="auto"/>
                <w:sz w:val="24"/>
              </w:rPr>
              <w:t>2.19.2</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Cs w:val="21"/>
              </w:rPr>
            </w:pPr>
            <w:r>
              <w:rPr>
                <w:rFonts w:hint="eastAsia" w:ascii="宋体" w:hAnsi="宋体" w:eastAsia="宋体" w:cs="宋体"/>
                <w:color w:val="auto"/>
                <w:kern w:val="0"/>
                <w:sz w:val="24"/>
                <w:szCs w:val="24"/>
              </w:rPr>
              <w:t>能够实时监控制氧设备的流程及运行状态，包括空压机、冷干机、吸干机、制氧主机、增压机的状态显示。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color w:val="auto"/>
                <w:sz w:val="24"/>
              </w:rPr>
              <w:t>2.19.3</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Cs w:val="21"/>
              </w:rPr>
            </w:pPr>
            <w:r>
              <w:rPr>
                <w:rFonts w:hint="eastAsia" w:ascii="宋体" w:hAnsi="宋体" w:eastAsia="宋体" w:cs="宋体"/>
                <w:color w:val="auto"/>
                <w:kern w:val="0"/>
                <w:sz w:val="24"/>
                <w:szCs w:val="24"/>
              </w:rPr>
              <w:t>能够实时显示氧气浓度、流量、压力指标，并可自动储存和查询历史数据。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2.19.4</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能够实时显示系统运行时间以及距离维修保养的时间。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color w:val="auto"/>
                <w:sz w:val="24"/>
              </w:rPr>
              <w:t>2.19.5</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Cs w:val="21"/>
              </w:rPr>
            </w:pPr>
            <w:r>
              <w:rPr>
                <w:rFonts w:hint="eastAsia" w:ascii="宋体" w:hAnsi="宋体" w:eastAsia="宋体" w:cs="宋体"/>
                <w:color w:val="auto"/>
                <w:kern w:val="0"/>
                <w:sz w:val="24"/>
                <w:szCs w:val="24"/>
              </w:rPr>
              <w:t>当设备出现故障或者氧气指标出现异常时，系统自动报警。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 w:val="24"/>
              </w:rPr>
            </w:pPr>
            <w:r>
              <w:rPr>
                <w:rFonts w:hint="eastAsia" w:ascii="宋体" w:hAnsi="宋体" w:eastAsia="宋体" w:cs="宋体"/>
                <w:b/>
                <w:color w:val="auto"/>
                <w:sz w:val="24"/>
              </w:rPr>
              <w:t>2.20</w:t>
            </w:r>
          </w:p>
        </w:tc>
        <w:tc>
          <w:tcPr>
            <w:tcW w:w="814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color w:val="auto"/>
                <w:sz w:val="24"/>
              </w:rPr>
            </w:pPr>
            <w:r>
              <w:rPr>
                <w:rFonts w:hint="eastAsia" w:ascii="宋体" w:hAnsi="宋体" w:eastAsia="宋体" w:cs="宋体"/>
                <w:b/>
                <w:color w:val="auto"/>
                <w:sz w:val="24"/>
              </w:rPr>
              <w:t>管路系统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2.20.1</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医气管线系统（制氧机房内部连接管、阀门及电源线）：制氧系统组件之间的连接管道采用无缝不锈钢管；管道采用焊接方式连接，采用铜或不锈钢材质的管路及阀门等配件；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2.20.2</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机房内制氧设备之间的连接管道选用医用无缝不锈钢管（06Cr19Ni10），采用相同材质的管路及阀门等配件，并经酸洗脱脂，采用氩弧焊焊接方式连接，无泄漏，保证稳压供氧；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2.20.3</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在使用流量条件下，最远处管道压力损失不超过10%；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2.20.4</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氧气管道应严格按脱脂工艺去油脱脂；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2.20.5</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氧气管道与氧气的兼容性、清洁要求均应符合YY 1468-2016的要求；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2.20.6</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氧气管道、管件一切接触氧气的附件都必须进行脱脂，脱脂管道用无油空气吹净，吹出空气应无异味；氧气管道接地电阻应不大于10Ω；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2.20.7</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机房内含储罐、管道表面喷漆及各种支吊架等；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r>
              <w:rPr>
                <w:rFonts w:hint="eastAsia" w:ascii="宋体" w:hAnsi="宋体" w:eastAsia="宋体" w:cs="宋体"/>
                <w:color w:val="auto"/>
                <w:sz w:val="24"/>
              </w:rPr>
              <w:t>2.20.8</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机房内制氧各设备与站内接地网连接。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4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lang w:val="en-US" w:eastAsia="zh-CN"/>
              </w:rPr>
            </w:pPr>
            <w:r>
              <w:rPr>
                <w:rFonts w:hint="eastAsia" w:ascii="宋体" w:hAnsi="宋体" w:eastAsia="宋体" w:cs="宋体"/>
                <w:b/>
                <w:bCs/>
                <w:color w:val="auto"/>
                <w:sz w:val="24"/>
                <w:lang w:val="en-US" w:eastAsia="zh-CN"/>
              </w:rPr>
              <w:t>2.21</w:t>
            </w:r>
          </w:p>
        </w:tc>
        <w:tc>
          <w:tcPr>
            <w:tcW w:w="8142" w:type="dxa"/>
            <w:tcBorders>
              <w:top w:val="single" w:color="auto" w:sz="4" w:space="0"/>
              <w:left w:val="single" w:color="auto" w:sz="4" w:space="0"/>
              <w:bottom w:val="single" w:color="auto" w:sz="4" w:space="0"/>
              <w:right w:val="single" w:color="auto" w:sz="4" w:space="0"/>
            </w:tcBorders>
            <w:vAlign w:val="center"/>
          </w:tcPr>
          <w:p>
            <w:pPr>
              <w:tabs>
                <w:tab w:val="left" w:pos="425"/>
              </w:tabs>
              <w:autoSpaceDE w:val="0"/>
              <w:autoSpaceDN w:val="0"/>
              <w:adjustRightInd w:val="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zh-CN"/>
              </w:rPr>
              <w:t>中标公司或设备生产企业要安排人员对设备运行情况进行现场指导，每月不少于</w:t>
            </w:r>
            <w:r>
              <w:rPr>
                <w:rFonts w:hint="eastAsia" w:ascii="宋体" w:hAnsi="宋体" w:eastAsia="宋体" w:cs="宋体"/>
                <w:b w:val="0"/>
                <w:bCs w:val="0"/>
                <w:color w:val="auto"/>
                <w:sz w:val="24"/>
                <w:szCs w:val="24"/>
                <w:lang w:val="en-US" w:eastAsia="zh-CN"/>
              </w:rPr>
              <w:t>4次。</w:t>
            </w:r>
          </w:p>
        </w:tc>
      </w:tr>
    </w:tbl>
    <w:p>
      <w:pPr>
        <w:spacing w:line="360" w:lineRule="auto"/>
        <w:rPr>
          <w:rFonts w:asciiTheme="minorEastAsia" w:hAnsiTheme="minorEastAsia" w:eastAsiaTheme="minorEastAsia"/>
          <w:b/>
          <w:sz w:val="32"/>
          <w:szCs w:val="32"/>
        </w:rPr>
      </w:pPr>
    </w:p>
    <w:p>
      <w:pPr>
        <w:spacing w:line="360" w:lineRule="auto"/>
        <w:rPr>
          <w:rFonts w:hint="eastAsia" w:ascii="宋体" w:hAnsi="宋体" w:eastAsia="宋体" w:cs="宋体"/>
          <w:sz w:val="21"/>
          <w:szCs w:val="21"/>
        </w:rPr>
      </w:pPr>
    </w:p>
    <w:p>
      <w:pPr>
        <w:spacing w:line="288" w:lineRule="auto"/>
        <w:rPr>
          <w:rFonts w:hint="eastAsia" w:ascii="宋体" w:hAnsi="宋体" w:eastAsia="宋体" w:cs="宋体"/>
          <w:sz w:val="21"/>
          <w:szCs w:val="21"/>
        </w:rPr>
      </w:pPr>
    </w:p>
    <w:p/>
    <w:p>
      <w:pPr>
        <w:pStyle w:val="10"/>
        <w:rPr>
          <w:rFonts w:hint="eastAsia"/>
          <w:lang w:val="en-US" w:eastAsia="zh-CN"/>
        </w:rPr>
      </w:pPr>
      <w:r>
        <w:rPr>
          <w:rFonts w:hint="eastAsia"/>
          <w:lang w:val="en-US" w:eastAsia="zh-CN"/>
        </w:rPr>
        <w:t xml:space="preserve">              </w:t>
      </w: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rPr>
          <w:rFonts w:hint="eastAsia"/>
        </w:rPr>
      </w:pP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282" w:name="_Toc345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282"/>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24"/>
          <w:szCs w:val="24"/>
          <w:lang w:eastAsia="zh-CN"/>
          <w14:textFill>
            <w14:solidFill>
              <w14:schemeClr w14:val="tx1"/>
            </w14:solidFill>
          </w14:textFill>
        </w:rPr>
        <w:t>河南省儿童医院郑州儿童医院</w:t>
      </w:r>
      <w:r>
        <w:rPr>
          <w:rFonts w:hint="eastAsia" w:ascii="宋体" w:hAnsi="宋体" w:eastAsia="宋体" w:cs="宋体"/>
          <w:b/>
          <w:bCs/>
          <w:color w:val="000000" w:themeColor="text1"/>
          <w:spacing w:val="6"/>
          <w:kern w:val="0"/>
          <w:sz w:val="24"/>
          <w:szCs w:val="24"/>
          <w:lang w:val="en-US" w:eastAsia="zh-CN"/>
          <w14:textFill>
            <w14:solidFill>
              <w14:schemeClr w14:val="tx1"/>
            </w14:solidFill>
          </w14:textFill>
        </w:rPr>
        <w:t>2021年度第十四批医疗设备</w:t>
      </w:r>
      <w:r>
        <w:rPr>
          <w:rFonts w:hint="eastAsia" w:ascii="宋体" w:hAnsi="宋体" w:eastAsia="宋体" w:cs="宋体"/>
          <w:b/>
          <w:bCs/>
          <w:color w:val="000000" w:themeColor="text1"/>
          <w:spacing w:val="6"/>
          <w:kern w:val="0"/>
          <w:sz w:val="24"/>
          <w:szCs w:val="24"/>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283"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284" w:name="_Toc14575"/>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283"/>
      <w:bookmarkEnd w:id="284"/>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85" w:name="_Toc331"/>
      <w:bookmarkStart w:id="286" w:name="_Toc12808"/>
      <w:bookmarkStart w:id="287" w:name="_Toc27412"/>
      <w:bookmarkStart w:id="288" w:name="_Toc30210"/>
      <w:bookmarkStart w:id="289" w:name="_Toc88447540"/>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285"/>
      <w:bookmarkEnd w:id="286"/>
      <w:bookmarkEnd w:id="287"/>
      <w:bookmarkEnd w:id="288"/>
      <w:bookmarkEnd w:id="289"/>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90" w:name="_Toc4662"/>
      <w:bookmarkStart w:id="291" w:name="_Toc88447541"/>
      <w:bookmarkStart w:id="292" w:name="_Toc2622"/>
      <w:bookmarkStart w:id="293" w:name="_Toc20180"/>
      <w:bookmarkStart w:id="294" w:name="_Toc9725"/>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290"/>
      <w:bookmarkEnd w:id="291"/>
      <w:bookmarkEnd w:id="292"/>
      <w:bookmarkEnd w:id="293"/>
      <w:bookmarkEnd w:id="294"/>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9"/>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6"/>
                                <w:ind w:left="364"/>
                                <w:rPr>
                                  <w:sz w:val="18"/>
                                  <w:szCs w:val="18"/>
                                </w:rPr>
                              </w:pPr>
                              <w:r>
                                <w:rPr>
                                  <w:sz w:val="18"/>
                                  <w:szCs w:val="18"/>
                                </w:rPr>
                                <w:t xml:space="preserve"> </w:t>
                              </w:r>
                            </w:p>
                            <w:p>
                              <w:pPr>
                                <w:pStyle w:val="6"/>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9"/>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6"/>
                                <w:ind w:left="364"/>
                                <w:rPr>
                                  <w:sz w:val="18"/>
                                  <w:szCs w:val="18"/>
                                </w:rPr>
                              </w:pPr>
                              <w:r>
                                <w:rPr>
                                  <w:sz w:val="18"/>
                                  <w:szCs w:val="18"/>
                                </w:rPr>
                                <w:t xml:space="preserve"> </w:t>
                              </w:r>
                            </w:p>
                            <w:p>
                              <w:pPr>
                                <w:pStyle w:val="6"/>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9"/>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6"/>
                          <w:ind w:left="364"/>
                          <w:rPr>
                            <w:sz w:val="18"/>
                            <w:szCs w:val="18"/>
                          </w:rPr>
                        </w:pPr>
                        <w:r>
                          <w:rPr>
                            <w:sz w:val="18"/>
                            <w:szCs w:val="18"/>
                          </w:rPr>
                          <w:t xml:space="preserve"> </w:t>
                        </w:r>
                      </w:p>
                      <w:p>
                        <w:pPr>
                          <w:pStyle w:val="6"/>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9"/>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6"/>
                          <w:ind w:left="364"/>
                          <w:rPr>
                            <w:sz w:val="18"/>
                            <w:szCs w:val="18"/>
                          </w:rPr>
                        </w:pPr>
                        <w:r>
                          <w:rPr>
                            <w:sz w:val="18"/>
                            <w:szCs w:val="18"/>
                          </w:rPr>
                          <w:t xml:space="preserve"> </w:t>
                        </w:r>
                      </w:p>
                      <w:p>
                        <w:pPr>
                          <w:pStyle w:val="6"/>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95" w:name="_Toc88447542"/>
      <w:bookmarkStart w:id="296" w:name="_Toc20222"/>
      <w:bookmarkStart w:id="297" w:name="_Toc8215"/>
      <w:bookmarkStart w:id="298" w:name="_Toc23216"/>
      <w:bookmarkStart w:id="299" w:name="_Toc27935"/>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295"/>
      <w:bookmarkEnd w:id="296"/>
      <w:bookmarkEnd w:id="297"/>
      <w:bookmarkEnd w:id="298"/>
      <w:bookmarkEnd w:id="299"/>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00" w:name="_Toc367"/>
      <w:bookmarkStart w:id="301" w:name="_Toc1959"/>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300"/>
      <w:bookmarkEnd w:id="301"/>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302" w:name="_Toc24964"/>
      <w:bookmarkStart w:id="303" w:name="_Toc17887169"/>
      <w:bookmarkStart w:id="304" w:name="_Toc5956061"/>
      <w:bookmarkStart w:id="305" w:name="_Toc5960174"/>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302"/>
      <w:bookmarkEnd w:id="303"/>
      <w:bookmarkEnd w:id="304"/>
      <w:bookmarkEnd w:id="305"/>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06" w:name="_Toc7547"/>
      <w:bookmarkStart w:id="307" w:name="_Toc6385"/>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306"/>
      <w:bookmarkEnd w:id="307"/>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7"/>
        <w:tblW w:w="4899" w:type="pct"/>
        <w:tblInd w:w="-171" w:type="dxa"/>
        <w:tblLayout w:type="autofit"/>
        <w:tblCellMar>
          <w:top w:w="0" w:type="dxa"/>
          <w:left w:w="0" w:type="dxa"/>
          <w:bottom w:w="0" w:type="dxa"/>
          <w:right w:w="0" w:type="dxa"/>
        </w:tblCellMar>
      </w:tblPr>
      <w:tblGrid>
        <w:gridCol w:w="3421"/>
        <w:gridCol w:w="6308"/>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单套</w:t>
            </w: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rPr>
                <w:rFonts w:hint="eastAsia" w:ascii="宋体" w:hAnsi="宋体" w:eastAsia="宋体" w:cs="宋体"/>
                <w:color w:val="000000" w:themeColor="text1"/>
                <w:spacing w:val="-3"/>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default"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符合国家规范、行业标准、合格工程</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完全响应合同约定及采购文件要求</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308"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308"/>
    </w:p>
    <w:p>
      <w:pPr>
        <w:widowControl/>
        <w:jc w:val="left"/>
        <w:rPr>
          <w:rFonts w:ascii="宋体" w:hAnsi="宋体" w:eastAsia="宋体" w:cs="Times New Roman"/>
          <w:color w:val="000000" w:themeColor="text1"/>
          <w:sz w:val="24"/>
          <w:szCs w:val="24"/>
          <w14:textFill>
            <w14:solidFill>
              <w14:schemeClr w14:val="tx1"/>
            </w14:solidFill>
          </w14:textFill>
        </w:rPr>
      </w:pPr>
      <w:bookmarkStart w:id="309" w:name="_Toc5956062"/>
      <w:r>
        <w:rPr>
          <w:color w:val="000000" w:themeColor="text1"/>
          <w14:textFill>
            <w14:solidFill>
              <w14:schemeClr w14:val="tx1"/>
            </w14:solidFill>
          </w14:textFill>
        </w:rPr>
        <w:br w:type="page"/>
      </w: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10" w:name="_Toc19494"/>
      <w:bookmarkStart w:id="311" w:name="_Toc88447544"/>
      <w:bookmarkStart w:id="312" w:name="_Toc32423"/>
      <w:bookmarkStart w:id="313" w:name="_Toc19033"/>
      <w:bookmarkStart w:id="314" w:name="_Toc10743"/>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309"/>
      <w:bookmarkEnd w:id="310"/>
      <w:bookmarkEnd w:id="311"/>
      <w:bookmarkEnd w:id="312"/>
      <w:bookmarkEnd w:id="313"/>
      <w:bookmarkEnd w:id="314"/>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7"/>
        <w:tblW w:w="0" w:type="auto"/>
        <w:tblInd w:w="-11" w:type="dxa"/>
        <w:tblLayout w:type="fixed"/>
        <w:tblCellMar>
          <w:top w:w="0" w:type="dxa"/>
          <w:left w:w="0" w:type="dxa"/>
          <w:bottom w:w="0" w:type="dxa"/>
          <w:right w:w="0" w:type="dxa"/>
        </w:tblCellMar>
      </w:tblPr>
      <w:tblGrid>
        <w:gridCol w:w="559"/>
        <w:gridCol w:w="1017"/>
        <w:gridCol w:w="992"/>
        <w:gridCol w:w="567"/>
        <w:gridCol w:w="70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6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70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15"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315"/>
      <w:bookmarkStart w:id="316" w:name="_Toc5956068"/>
      <w:bookmarkStart w:id="317" w:name="_Toc31185"/>
      <w:bookmarkStart w:id="318" w:name="_Toc3407"/>
      <w:bookmarkStart w:id="319" w:name="_Toc88447545"/>
      <w:bookmarkStart w:id="320" w:name="_Toc20061"/>
      <w:bookmarkStart w:id="321" w:name="_Toc264"/>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316"/>
      <w:bookmarkEnd w:id="317"/>
      <w:bookmarkEnd w:id="318"/>
      <w:bookmarkEnd w:id="319"/>
      <w:bookmarkEnd w:id="320"/>
      <w:bookmarkEnd w:id="321"/>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7"/>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22" w:name="_Toc16641"/>
      <w:bookmarkStart w:id="323" w:name="_Toc20097"/>
      <w:bookmarkStart w:id="324" w:name="_Toc9264"/>
      <w:bookmarkStart w:id="325" w:name="_Toc607"/>
      <w:bookmarkStart w:id="326" w:name="_Toc5956069"/>
      <w:bookmarkStart w:id="327" w:name="_Toc88447546"/>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322"/>
      <w:bookmarkEnd w:id="323"/>
      <w:bookmarkEnd w:id="324"/>
      <w:bookmarkEnd w:id="325"/>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7"/>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28" w:name="_Toc11595"/>
      <w:bookmarkStart w:id="329" w:name="_Toc7593"/>
      <w:bookmarkStart w:id="330" w:name="_Toc20845"/>
      <w:bookmarkStart w:id="331" w:name="_Toc19967"/>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326"/>
      <w:bookmarkEnd w:id="327"/>
      <w:bookmarkEnd w:id="328"/>
      <w:bookmarkEnd w:id="329"/>
      <w:bookmarkEnd w:id="330"/>
      <w:bookmarkEnd w:id="331"/>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332" w:name="_Toc8624"/>
      <w:bookmarkStart w:id="333" w:name="_Toc10891"/>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332"/>
      <w:bookmarkEnd w:id="333"/>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334" w:name="_Toc30141"/>
      <w:bookmarkStart w:id="335" w:name="_Toc7950"/>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334"/>
      <w:bookmarkEnd w:id="335"/>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line="353" w:lineRule="exact"/>
        <w:ind w:left="3693"/>
        <w:jc w:val="left"/>
        <w:rPr>
          <w:rFonts w:ascii="宋体" w:hAnsi="Times New Roman" w:eastAsia="宋体" w:cs="宋体"/>
          <w:color w:val="000000" w:themeColor="text1"/>
          <w:spacing w:val="-4"/>
          <w:kern w:val="0"/>
          <w:sz w:val="28"/>
          <w:szCs w:val="28"/>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17"/>
          <w:szCs w:val="17"/>
          <w14:textFill>
            <w14:solidFill>
              <w14:schemeClr w14:val="tx1"/>
            </w14:solidFill>
          </w14:textFill>
        </w:r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overflowPunct/>
        <w:autoSpaceDE/>
        <w:autoSpaceDN/>
        <w:adjustRightInd/>
        <w:jc w:val="left"/>
        <w:outlineLvl w:val="9"/>
        <w:rPr>
          <w:rFonts w:hint="eastAsia" w:ascii="宋体" w:hAnsi="Times New Roman" w:eastAsia="宋体" w:cs="宋体"/>
          <w:color w:val="000000" w:themeColor="text1"/>
          <w:kern w:val="0"/>
          <w:sz w:val="28"/>
          <w:szCs w:val="28"/>
          <w14:textFill>
            <w14:solidFill>
              <w14:schemeClr w14:val="tx1"/>
            </w14:solidFill>
          </w14:textFill>
        </w:rPr>
      </w:pPr>
      <w:bookmarkStart w:id="336" w:name="_Toc88447547"/>
      <w:bookmarkStart w:id="337" w:name="_Toc5956070"/>
      <w:bookmarkStart w:id="338" w:name="_Toc28535"/>
      <w:bookmarkStart w:id="339" w:name="_Toc15035"/>
      <w:bookmarkStart w:id="340" w:name="_Toc224"/>
      <w:r>
        <w:rPr>
          <w:rFonts w:hint="eastAsia" w:ascii="宋体" w:hAnsi="Times New Roman" w:eastAsia="宋体" w:cs="宋体"/>
          <w:color w:val="000000" w:themeColor="text1"/>
          <w:kern w:val="0"/>
          <w:sz w:val="28"/>
          <w:szCs w:val="28"/>
          <w14:textFill>
            <w14:solidFill>
              <w14:schemeClr w14:val="tx1"/>
            </w14:solidFill>
          </w14:textFill>
        </w:rPr>
        <w:br w:type="page"/>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41" w:name="_Toc14914"/>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336"/>
      <w:bookmarkEnd w:id="337"/>
      <w:bookmarkEnd w:id="338"/>
      <w:bookmarkEnd w:id="339"/>
      <w:bookmarkEnd w:id="340"/>
      <w:bookmarkEnd w:id="341"/>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left"/>
        <w:outlineLvl w:val="0"/>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bookmarkStart w:id="342" w:name="_Toc5003"/>
      <w:bookmarkStart w:id="343" w:name="_Toc1522"/>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342"/>
      <w:bookmarkEnd w:id="343"/>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344" w:name="_Toc11603"/>
      <w:bookmarkStart w:id="345" w:name="_Toc9324"/>
      <w:bookmarkStart w:id="346" w:name="_Toc88447548"/>
      <w:bookmarkStart w:id="347" w:name="_Toc18935"/>
      <w:bookmarkStart w:id="348" w:name="_Toc1389"/>
      <w:bookmarkStart w:id="349" w:name="_Toc5956073"/>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344"/>
      <w:bookmarkEnd w:id="345"/>
      <w:bookmarkEnd w:id="346"/>
      <w:bookmarkEnd w:id="347"/>
      <w:bookmarkEnd w:id="348"/>
      <w:bookmarkEnd w:id="349"/>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
    <w:p>
      <w:pPr>
        <w:kinsoku w:val="0"/>
        <w:overflowPunct w:val="0"/>
        <w:autoSpaceDE w:val="0"/>
        <w:autoSpaceDN w:val="0"/>
        <w:adjustRightInd w:val="0"/>
        <w:spacing w:before="14"/>
        <w:ind w:left="0" w:right="101"/>
        <w:jc w:val="center"/>
        <w:outlineLvl w:val="0"/>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color w:val="000000" w:themeColor="text1"/>
          <w:kern w:val="0"/>
          <w:sz w:val="28"/>
          <w:szCs w:val="28"/>
          <w14:textFill>
            <w14:solidFill>
              <w14:schemeClr w14:val="tx1"/>
            </w14:solidFill>
          </w14:textFill>
        </w:rPr>
        <w:t>十、中小企业声明函</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pStyle w:val="4"/>
      </w:pPr>
    </w:p>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350" w:name="_Toc7684"/>
      <w:bookmarkStart w:id="351" w:name="_Toc10653"/>
      <w:bookmarkStart w:id="352" w:name="_Toc88447551"/>
      <w:bookmarkStart w:id="353" w:name="_Toc22457"/>
      <w:bookmarkStart w:id="354" w:name="_Toc26564"/>
      <w:bookmarkStart w:id="355" w:name="_Toc5956076"/>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350"/>
      <w:bookmarkEnd w:id="351"/>
      <w:bookmarkEnd w:id="352"/>
      <w:bookmarkEnd w:id="353"/>
      <w:bookmarkEnd w:id="354"/>
      <w:bookmarkEnd w:id="355"/>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56" w:name="_Toc5956077"/>
      <w:bookmarkStart w:id="357" w:name="_Toc24001"/>
      <w:bookmarkStart w:id="358" w:name="_Toc28578"/>
      <w:bookmarkStart w:id="359" w:name="_Toc88447552"/>
      <w:bookmarkStart w:id="360" w:name="_Toc9620"/>
      <w:bookmarkStart w:id="361" w:name="_Toc1068"/>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356"/>
      <w:bookmarkEnd w:id="357"/>
      <w:bookmarkEnd w:id="358"/>
      <w:bookmarkEnd w:id="359"/>
      <w:bookmarkEnd w:id="360"/>
      <w:bookmarkEnd w:id="361"/>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2" w:name="_Toc24419"/>
      <w:bookmarkStart w:id="363" w:name="_Toc25922"/>
      <w:bookmarkStart w:id="364" w:name="_Toc7703"/>
      <w:bookmarkStart w:id="365" w:name="_Toc88447553"/>
      <w:bookmarkStart w:id="366" w:name="_Toc22255"/>
      <w:bookmarkStart w:id="367" w:name="_Toc13084"/>
      <w:bookmarkStart w:id="368" w:name="_Toc1439"/>
      <w:bookmarkStart w:id="369"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362"/>
      <w:bookmarkEnd w:id="363"/>
      <w:bookmarkEnd w:id="364"/>
      <w:bookmarkEnd w:id="365"/>
      <w:bookmarkEnd w:id="366"/>
      <w:bookmarkEnd w:id="367"/>
      <w:bookmarkEnd w:id="368"/>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70" w:name="_Toc17125"/>
      <w:bookmarkStart w:id="371" w:name="_Toc88447554"/>
      <w:bookmarkStart w:id="372" w:name="_Toc15512"/>
      <w:bookmarkStart w:id="373" w:name="_Toc15454"/>
      <w:bookmarkStart w:id="374" w:name="_Toc2797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369"/>
      <w:r>
        <w:rPr>
          <w:rFonts w:hint="eastAsia" w:ascii="宋体" w:hAnsi="Times New Roman" w:eastAsia="宋体" w:cs="宋体"/>
          <w:color w:val="000000" w:themeColor="text1"/>
          <w:kern w:val="0"/>
          <w:sz w:val="28"/>
          <w:szCs w:val="28"/>
          <w14:textFill>
            <w14:solidFill>
              <w14:schemeClr w14:val="tx1"/>
            </w14:solidFill>
          </w14:textFill>
        </w:rPr>
        <w:t>资料</w:t>
      </w:r>
      <w:bookmarkEnd w:id="370"/>
      <w:bookmarkEnd w:id="371"/>
      <w:bookmarkEnd w:id="372"/>
      <w:bookmarkEnd w:id="373"/>
      <w:bookmarkEnd w:id="374"/>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75" w:name="_Toc32180"/>
      <w:bookmarkStart w:id="376" w:name="_Toc27105"/>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375"/>
      <w:bookmarkEnd w:id="376"/>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377" w:name="_Toc417"/>
      <w:bookmarkStart w:id="378" w:name="_Toc6851"/>
      <w:bookmarkStart w:id="379" w:name="_Toc8962"/>
      <w:bookmarkStart w:id="380" w:name="_Toc13964"/>
      <w:bookmarkStart w:id="381" w:name="_Toc88447556"/>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377"/>
      <w:bookmarkEnd w:id="378"/>
      <w:bookmarkEnd w:id="379"/>
      <w:bookmarkEnd w:id="380"/>
      <w:bookmarkEnd w:id="381"/>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25"/>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6"/>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6"/>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6"/>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6"/>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6"/>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6"/>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6"/>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6"/>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ACD9AE"/>
    <w:multiLevelType w:val="singleLevel"/>
    <w:tmpl w:val="98ACD9AE"/>
    <w:lvl w:ilvl="0" w:tentative="0">
      <w:start w:val="7"/>
      <w:numFmt w:val="chineseCounting"/>
      <w:suff w:val="space"/>
      <w:lvlText w:val="第%1条"/>
      <w:lvlJc w:val="left"/>
      <w:rPr>
        <w:rFonts w:hint="eastAsia"/>
      </w:rPr>
    </w:lvl>
  </w:abstractNum>
  <w:abstractNum w:abstractNumId="1">
    <w:nsid w:val="AEF5A905"/>
    <w:multiLevelType w:val="singleLevel"/>
    <w:tmpl w:val="AEF5A905"/>
    <w:lvl w:ilvl="0" w:tentative="0">
      <w:start w:val="7"/>
      <w:numFmt w:val="chineseCounting"/>
      <w:suff w:val="nothing"/>
      <w:lvlText w:val="%1、"/>
      <w:lvlJc w:val="left"/>
      <w:rPr>
        <w:rFonts w:hint="eastAsia"/>
      </w:rPr>
    </w:lvl>
  </w:abstractNum>
  <w:abstractNum w:abstractNumId="2">
    <w:nsid w:val="E136F3E6"/>
    <w:multiLevelType w:val="singleLevel"/>
    <w:tmpl w:val="E136F3E6"/>
    <w:lvl w:ilvl="0" w:tentative="0">
      <w:start w:val="5"/>
      <w:numFmt w:val="decimal"/>
      <w:suff w:val="nothing"/>
      <w:lvlText w:val="%1、"/>
      <w:lvlJc w:val="left"/>
    </w:lvl>
  </w:abstractNum>
  <w:abstractNum w:abstractNumId="3">
    <w:nsid w:val="F85EF068"/>
    <w:multiLevelType w:val="singleLevel"/>
    <w:tmpl w:val="F85EF068"/>
    <w:lvl w:ilvl="0" w:tentative="0">
      <w:start w:val="1"/>
      <w:numFmt w:val="decimal"/>
      <w:suff w:val="nothing"/>
      <w:lvlText w:val="%1）"/>
      <w:lvlJc w:val="left"/>
    </w:lvl>
  </w:abstractNum>
  <w:abstractNum w:abstractNumId="4">
    <w:nsid w:val="0CB5D17C"/>
    <w:multiLevelType w:val="singleLevel"/>
    <w:tmpl w:val="0CB5D17C"/>
    <w:lvl w:ilvl="0" w:tentative="0">
      <w:start w:val="5"/>
      <w:numFmt w:val="chineseCounting"/>
      <w:lvlText w:val="第%1章"/>
      <w:lvlJc w:val="left"/>
      <w:rPr>
        <w:rFonts w:hint="eastAsia"/>
      </w:rPr>
    </w:lvl>
  </w:abstractNum>
  <w:abstractNum w:abstractNumId="5">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3"/>
  </w:num>
  <w:num w:numId="3">
    <w:abstractNumId w:val="6"/>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trackedChanges" w:enforcement="1" w:cryptProviderType="rsaFull" w:cryptAlgorithmClass="hash" w:cryptAlgorithmType="typeAny" w:cryptAlgorithmSid="4" w:cryptSpinCount="0" w:hash="SEP07urPP7oPSU5me829hT51uL0=" w:salt="mUeEKlzFCj1ZVqGkWApeT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5OGRhYTMxODUxNGJlNWFlMWRjODliZWI4NDlmNWEifQ=="/>
  </w:docVars>
  <w:rsids>
    <w:rsidRoot w:val="3EDF51D4"/>
    <w:rsid w:val="04F512AE"/>
    <w:rsid w:val="179E7583"/>
    <w:rsid w:val="1982145D"/>
    <w:rsid w:val="27D56FF1"/>
    <w:rsid w:val="2ABE1FBE"/>
    <w:rsid w:val="2F89790B"/>
    <w:rsid w:val="3239017C"/>
    <w:rsid w:val="369A4C79"/>
    <w:rsid w:val="39124658"/>
    <w:rsid w:val="3DBF03F9"/>
    <w:rsid w:val="3EDF51D4"/>
    <w:rsid w:val="4135028C"/>
    <w:rsid w:val="41CE5FC4"/>
    <w:rsid w:val="56CE4A87"/>
    <w:rsid w:val="5FB23198"/>
    <w:rsid w:val="621C3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4">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ind w:firstLine="200" w:firstLineChars="200"/>
    </w:pPr>
    <w:rPr>
      <w:rFonts w:ascii="宋体" w:hAnsi="Courier New"/>
      <w:szCs w:val="20"/>
    </w:rPr>
  </w:style>
  <w:style w:type="paragraph" w:styleId="5">
    <w:name w:val="Normal Indent"/>
    <w:basedOn w:val="1"/>
    <w:next w:val="1"/>
    <w:qFormat/>
    <w:uiPriority w:val="0"/>
    <w:pPr>
      <w:ind w:firstLine="420"/>
    </w:pPr>
    <w:rPr>
      <w:rFonts w:ascii="Times New Roman" w:hAnsi="Times New Roman" w:eastAsia="宋体" w:cs="Times New Roman"/>
      <w:szCs w:val="20"/>
    </w:rPr>
  </w:style>
  <w:style w:type="paragraph" w:styleId="6">
    <w:name w:val="Body Text"/>
    <w:basedOn w:val="1"/>
    <w:next w:val="7"/>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customStyle="1" w:styleId="7">
    <w:name w:val="style4"/>
    <w:basedOn w:val="1"/>
    <w:next w:val="8"/>
    <w:qFormat/>
    <w:uiPriority w:val="0"/>
    <w:pPr>
      <w:widowControl/>
      <w:autoSpaceDE/>
      <w:autoSpaceDN/>
      <w:spacing w:before="280" w:after="280"/>
      <w:jc w:val="both"/>
    </w:pPr>
    <w:rPr>
      <w:sz w:val="18"/>
    </w:rPr>
  </w:style>
  <w:style w:type="paragraph" w:customStyle="1" w:styleId="8">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9">
    <w:name w:val="Body Text Indent"/>
    <w:basedOn w:val="1"/>
    <w:next w:val="10"/>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10">
    <w:name w:val="Body Text First Indent 2"/>
    <w:basedOn w:val="9"/>
    <w:qFormat/>
    <w:uiPriority w:val="0"/>
    <w:pPr>
      <w:ind w:firstLine="420" w:firstLineChars="200"/>
    </w:pPr>
    <w:rPr>
      <w:sz w:val="21"/>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15">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6">
    <w:name w:val="Body Text First Indent"/>
    <w:basedOn w:val="6"/>
    <w:next w:val="1"/>
    <w:qFormat/>
    <w:uiPriority w:val="0"/>
    <w:pPr>
      <w:ind w:firstLine="420" w:firstLineChars="10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qFormat/>
    <w:uiPriority w:val="0"/>
    <w:rPr>
      <w:color w:val="0000FF"/>
      <w:u w:val="none"/>
    </w:rPr>
  </w:style>
  <w:style w:type="paragraph" w:customStyle="1" w:styleId="21">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22">
    <w:name w:val="WPSOffice手动目录 1"/>
    <w:qFormat/>
    <w:uiPriority w:val="99"/>
    <w:rPr>
      <w:rFonts w:ascii="Times New Roman" w:hAnsi="Times New Roman" w:eastAsia="宋体" w:cs="Times New Roman"/>
      <w:lang w:val="en-US" w:eastAsia="zh-CN" w:bidi="ar-SA"/>
    </w:rPr>
  </w:style>
  <w:style w:type="paragraph" w:styleId="23">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24">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25">
    <w:name w:val="**正文"/>
    <w:basedOn w:val="1"/>
    <w:qFormat/>
    <w:uiPriority w:val="0"/>
    <w:pPr>
      <w:spacing w:line="360" w:lineRule="auto"/>
      <w:ind w:firstLine="482"/>
    </w:pPr>
    <w:rPr>
      <w:rFonts w:ascii="宋体" w:hAnsi="宋体" w:eastAsia="宋体" w:cs="Times New Roman"/>
      <w:sz w:val="24"/>
      <w:szCs w:val="24"/>
    </w:rPr>
  </w:style>
  <w:style w:type="paragraph" w:customStyle="1" w:styleId="26">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34477</Words>
  <Characters>37885</Characters>
  <Lines>0</Lines>
  <Paragraphs>0</Paragraphs>
  <TotalTime>0</TotalTime>
  <ScaleCrop>false</ScaleCrop>
  <LinksUpToDate>false</LinksUpToDate>
  <CharactersWithSpaces>39815</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2023-05-24T09:29:00Z</dcterms:created>
  <dc:creator>王富祯</dc:creator>
  <cp:lastModifiedBy>宋宇</cp:lastModifiedBy>
  <dcterms:modified xsi:type="dcterms:W3CDTF">2023-08-16T09:23:03Z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E75519665A33448995B9CCA9CB38DD5A_13</vt:lpwstr>
  </property>
</Properties>
</file>