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bookmarkStart w:id="393" w:name="_GoBack"/>
      <w:bookmarkEnd w:id="393"/>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河南省儿童医院郑州儿童医院</w:t>
      </w:r>
      <w:r>
        <w:rPr>
          <w:rFonts w:hint="eastAsia" w:ascii="Times New Roman" w:hAnsi="Times New Roman" w:eastAsia="宋体" w:cs="Times New Roman"/>
          <w:b/>
          <w:bCs/>
          <w:color w:val="000000" w:themeColor="text1"/>
          <w:kern w:val="0"/>
          <w:sz w:val="48"/>
          <w:szCs w:val="48"/>
          <w:lang w:val="en-US" w:eastAsia="zh-CN"/>
          <w14:textFill>
            <w14:solidFill>
              <w14:schemeClr w14:val="tx1"/>
            </w14:solidFill>
          </w14:textFill>
        </w:rPr>
        <w:t>2021年度第十四批医疗设备</w:t>
      </w:r>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spacing w:val="0"/>
          <w:kern w:val="0"/>
          <w:sz w:val="84"/>
          <w:szCs w:val="84"/>
          <w:vertAlign w:val="baseline"/>
          <w:lang w:val="en-US" w:eastAsia="zh-CN"/>
          <w14:textFill>
            <w14:solidFill>
              <w14:schemeClr w14:val="tx1"/>
            </w14:solidFill>
          </w14:textFill>
        </w:rPr>
        <w:t>A包</w:t>
      </w: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left="1862" w:right="843" w:firstLine="665"/>
        <w:jc w:val="left"/>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r>
        <w:rPr>
          <w:rFonts w:hint="eastAsia" w:ascii="Times New Roman" w:hAnsi="Times New Roman" w:eastAsia="宋体" w:cs="Times New Roman"/>
          <w:b/>
          <w:bCs/>
          <w:color w:val="000000" w:themeColor="text1"/>
          <w:kern w:val="0"/>
          <w:sz w:val="28"/>
          <w:szCs w:val="28"/>
          <w:lang w:eastAsia="zh-CN"/>
          <w14:textFill>
            <w14:solidFill>
              <w14:schemeClr w14:val="tx1"/>
            </w14:solidFill>
          </w14:textFill>
        </w:rPr>
        <w:t>郑财招标采购-2022</w:t>
      </w:r>
      <w:r>
        <w:rPr>
          <w:rFonts w:hint="eastAsia" w:ascii="Times New Roman" w:hAnsi="Times New Roman" w:eastAsia="宋体" w:cs="Times New Roman"/>
          <w:b/>
          <w:bCs/>
          <w:color w:val="000000" w:themeColor="text1"/>
          <w:kern w:val="0"/>
          <w:sz w:val="28"/>
          <w:szCs w:val="28"/>
          <w:lang w:val="en-US" w:eastAsia="zh-CN"/>
          <w14:textFill>
            <w14:solidFill>
              <w14:schemeClr w14:val="tx1"/>
            </w14:solidFill>
          </w14:textFill>
        </w:rPr>
        <w:t>-101</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pStyle w:val="16"/>
        <w:ind w:firstLine="562"/>
        <w:rPr>
          <w:b/>
          <w:bCs/>
          <w:color w:val="000000" w:themeColor="text1"/>
          <w:sz w:val="28"/>
          <w:szCs w:val="28"/>
          <w14:textFill>
            <w14:solidFill>
              <w14:schemeClr w14:val="tx1"/>
            </w14:solidFill>
          </w14:textFill>
        </w:rPr>
      </w:pPr>
    </w:p>
    <w:p>
      <w:pPr>
        <w:pStyle w:val="21"/>
        <w:ind w:firstLine="562"/>
        <w:rPr>
          <w:rFonts w:ascii="Times New Roman" w:hAnsi="Times New Roman"/>
          <w:b/>
          <w:bCs/>
          <w:color w:val="000000" w:themeColor="text1"/>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6"/>
        <w:ind w:firstLine="562"/>
        <w:rPr>
          <w:b/>
          <w:bCs/>
          <w:color w:val="000000" w:themeColor="text1"/>
          <w:sz w:val="28"/>
          <w:szCs w:val="28"/>
          <w14:textFill>
            <w14:solidFill>
              <w14:schemeClr w14:val="tx1"/>
            </w14:solidFill>
          </w14:textFill>
        </w:rPr>
      </w:pPr>
    </w:p>
    <w:p>
      <w:pPr>
        <w:pStyle w:val="21"/>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人：河南省儿童医院郑州儿童医院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w:t>
      </w:r>
      <w:r>
        <w:rPr>
          <w:rFonts w:ascii="Times New Roman" w:hAnsi="Times New Roman" w:eastAsia="宋体" w:cs="Times New Roman"/>
          <w:b/>
          <w:bCs/>
          <w:color w:val="000000" w:themeColor="text1"/>
          <w:spacing w:val="103"/>
          <w:kern w:val="0"/>
          <w:sz w:val="30"/>
          <w:szCs w:val="30"/>
          <w14:textFill>
            <w14:solidFill>
              <w14:schemeClr w14:val="tx1"/>
            </w14:solidFill>
          </w14:textFill>
        </w:rPr>
        <w:t xml:space="preserve"> </w:t>
      </w:r>
      <w:r>
        <w:rPr>
          <w:rFonts w:hint="eastAsia" w:ascii="Times New Roman" w:hAnsi="Times New Roman" w:eastAsia="宋体" w:cs="Times New Roman"/>
          <w:b/>
          <w:bCs/>
          <w:color w:val="000000" w:themeColor="text1"/>
          <w:kern w:val="0"/>
          <w:sz w:val="30"/>
          <w:szCs w:val="30"/>
          <w14:textFill>
            <w14:solidFill>
              <w14:schemeClr w14:val="tx1"/>
            </w14:solidFill>
          </w14:textFill>
        </w:rPr>
        <w:t>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五</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tabs>
          <w:tab w:val="right" w:leader="dot" w:pos="9720"/>
        </w:tabs>
        <w:kinsoku w:val="0"/>
        <w:overflowPunct w:val="0"/>
        <w:autoSpaceDE w:val="0"/>
        <w:autoSpaceDN w:val="0"/>
        <w:adjustRightInd w:val="0"/>
        <w:spacing w:after="240" w:afterLines="100" w:line="360" w:lineRule="auto"/>
        <w:ind w:left="3583" w:right="3720"/>
        <w:jc w:val="center"/>
        <w:rPr>
          <w:rFonts w:ascii="Times New Roman" w:hAnsi="宋体" w:eastAsia="宋体" w:cs="Times New Roman"/>
          <w:color w:val="000000" w:themeColor="text1"/>
          <w:w w:val="98"/>
          <w:kern w:val="0"/>
          <w:sz w:val="32"/>
          <w:szCs w:val="32"/>
          <w14:textFill>
            <w14:solidFill>
              <w14:schemeClr w14:val="tx1"/>
            </w14:solidFill>
          </w14:textFill>
        </w:rPr>
      </w:pPr>
      <w:r>
        <w:rPr>
          <w:rFonts w:hint="eastAsia" w:ascii="Times New Roman" w:hAnsi="宋体" w:eastAsia="宋体" w:cs="Times New Roman"/>
          <w:color w:val="000000" w:themeColor="text1"/>
          <w:kern w:val="0"/>
          <w:sz w:val="32"/>
          <w:szCs w:val="32"/>
          <w14:textFill>
            <w14:solidFill>
              <w14:schemeClr w14:val="tx1"/>
            </w14:solidFill>
          </w14:textFill>
        </w:rPr>
        <w:t>目</w:t>
      </w:r>
      <w:r>
        <w:rPr>
          <w:rFonts w:ascii="Times New Roman" w:hAnsi="宋体" w:eastAsia="宋体" w:cs="Times New Roman"/>
          <w:color w:val="000000" w:themeColor="text1"/>
          <w:spacing w:val="159"/>
          <w:kern w:val="0"/>
          <w:sz w:val="32"/>
          <w:szCs w:val="32"/>
          <w14:textFill>
            <w14:solidFill>
              <w14:schemeClr w14:val="tx1"/>
            </w14:solidFill>
          </w14:textFill>
        </w:rPr>
        <w:t xml:space="preserve"> </w:t>
      </w:r>
      <w:r>
        <w:rPr>
          <w:rFonts w:hint="eastAsia" w:ascii="Times New Roman" w:hAnsi="宋体" w:eastAsia="宋体" w:cs="Times New Roman"/>
          <w:color w:val="000000" w:themeColor="text1"/>
          <w:kern w:val="0"/>
          <w:sz w:val="32"/>
          <w:szCs w:val="32"/>
          <w14:textFill>
            <w14:solidFill>
              <w14:schemeClr w14:val="tx1"/>
            </w14:solidFill>
          </w14:textFill>
        </w:rPr>
        <w:t>录</w:t>
      </w:r>
      <w:r>
        <w:rPr>
          <w:rFonts w:ascii="Times New Roman" w:hAnsi="宋体" w:eastAsia="宋体" w:cs="Times New Roman"/>
          <w:color w:val="000000" w:themeColor="text1"/>
          <w:w w:val="98"/>
          <w:kern w:val="0"/>
          <w:sz w:val="32"/>
          <w:szCs w:val="3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TOC \o "1-1" \h \u </w:instrText>
          </w:r>
          <w:r>
            <w:rPr>
              <w:sz w:val="21"/>
              <w:szCs w:val="21"/>
            </w:rPr>
            <w:fldChar w:fldCharType="separate"/>
          </w:r>
          <w:r>
            <w:rPr>
              <w:sz w:val="21"/>
              <w:szCs w:val="21"/>
            </w:rPr>
            <w:fldChar w:fldCharType="begin"/>
          </w:r>
          <w:r>
            <w:rPr>
              <w:sz w:val="21"/>
              <w:szCs w:val="21"/>
            </w:rPr>
            <w:instrText xml:space="preserve"> HYPERLINK \l _Toc7555 </w:instrText>
          </w:r>
          <w:r>
            <w:rPr>
              <w:sz w:val="21"/>
              <w:szCs w:val="21"/>
            </w:rPr>
            <w:fldChar w:fldCharType="separate"/>
          </w:r>
          <w:r>
            <w:rPr>
              <w:rFonts w:hint="eastAsia" w:ascii="宋体" w:hAnsi="Times New Roman" w:eastAsia="宋体" w:cs="宋体"/>
              <w:bCs/>
              <w:spacing w:val="-9"/>
              <w:kern w:val="0"/>
              <w:sz w:val="21"/>
              <w:szCs w:val="21"/>
            </w:rPr>
            <w:t xml:space="preserve">第一章 </w:t>
          </w:r>
          <w:r>
            <w:rPr>
              <w:rFonts w:hint="eastAsia" w:ascii="宋体" w:hAnsi="Times New Roman" w:eastAsia="宋体" w:cs="宋体"/>
              <w:bCs/>
              <w:kern w:val="0"/>
              <w:sz w:val="21"/>
              <w:szCs w:val="21"/>
            </w:rPr>
            <w:t>招标公告</w:t>
          </w:r>
          <w:r>
            <w:rPr>
              <w:sz w:val="21"/>
              <w:szCs w:val="21"/>
            </w:rPr>
            <w:tab/>
          </w:r>
          <w:r>
            <w:rPr>
              <w:sz w:val="21"/>
              <w:szCs w:val="21"/>
            </w:rPr>
            <w:fldChar w:fldCharType="begin"/>
          </w:r>
          <w:r>
            <w:rPr>
              <w:sz w:val="21"/>
              <w:szCs w:val="21"/>
            </w:rPr>
            <w:instrText xml:space="preserve"> PAGEREF _Toc7555 \h </w:instrText>
          </w:r>
          <w:r>
            <w:rPr>
              <w:sz w:val="21"/>
              <w:szCs w:val="21"/>
            </w:rPr>
            <w:fldChar w:fldCharType="separate"/>
          </w:r>
          <w:r>
            <w:rPr>
              <w:sz w:val="21"/>
              <w:szCs w:val="21"/>
            </w:rPr>
            <w:t>- 2 -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_Toc32573 </w:instrText>
          </w:r>
          <w:r>
            <w:rPr>
              <w:sz w:val="21"/>
              <w:szCs w:val="21"/>
            </w:rPr>
            <w:fldChar w:fldCharType="separate"/>
          </w:r>
          <w:r>
            <w:rPr>
              <w:rFonts w:hint="eastAsia" w:ascii="宋体" w:hAnsi="Times New Roman" w:eastAsia="宋体" w:cs="宋体"/>
              <w:bCs/>
              <w:spacing w:val="2"/>
              <w:kern w:val="0"/>
              <w:sz w:val="21"/>
              <w:szCs w:val="21"/>
            </w:rPr>
            <w:t>第二章</w:t>
          </w:r>
          <w:r>
            <w:rPr>
              <w:rFonts w:ascii="宋体" w:hAnsi="Times New Roman" w:eastAsia="宋体" w:cs="宋体"/>
              <w:bCs/>
              <w:spacing w:val="-11"/>
              <w:kern w:val="0"/>
              <w:sz w:val="21"/>
              <w:szCs w:val="21"/>
            </w:rPr>
            <w:t xml:space="preserve"> </w:t>
          </w:r>
          <w:r>
            <w:rPr>
              <w:rFonts w:hint="eastAsia" w:ascii="宋体" w:hAnsi="Times New Roman" w:eastAsia="宋体" w:cs="宋体"/>
              <w:bCs/>
              <w:kern w:val="0"/>
              <w:sz w:val="21"/>
              <w:szCs w:val="21"/>
            </w:rPr>
            <w:t>供应商须知供应商须知前附表</w:t>
          </w:r>
          <w:r>
            <w:rPr>
              <w:sz w:val="21"/>
              <w:szCs w:val="21"/>
            </w:rPr>
            <w:tab/>
          </w:r>
          <w:r>
            <w:rPr>
              <w:sz w:val="21"/>
              <w:szCs w:val="21"/>
            </w:rPr>
            <w:fldChar w:fldCharType="begin"/>
          </w:r>
          <w:r>
            <w:rPr>
              <w:sz w:val="21"/>
              <w:szCs w:val="21"/>
            </w:rPr>
            <w:instrText xml:space="preserve"> PAGEREF _Toc32573 \h </w:instrText>
          </w:r>
          <w:r>
            <w:rPr>
              <w:sz w:val="21"/>
              <w:szCs w:val="21"/>
            </w:rPr>
            <w:fldChar w:fldCharType="separate"/>
          </w:r>
          <w:r>
            <w:rPr>
              <w:sz w:val="21"/>
              <w:szCs w:val="21"/>
            </w:rPr>
            <w:t>- 6 -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_Toc14825 </w:instrText>
          </w:r>
          <w:r>
            <w:rPr>
              <w:sz w:val="21"/>
              <w:szCs w:val="21"/>
            </w:rPr>
            <w:fldChar w:fldCharType="separate"/>
          </w:r>
          <w:r>
            <w:rPr>
              <w:rFonts w:hint="eastAsia" w:ascii="宋体" w:hAnsi="Times New Roman" w:eastAsia="宋体" w:cs="宋体"/>
              <w:bCs/>
              <w:spacing w:val="2"/>
              <w:kern w:val="0"/>
              <w:sz w:val="21"/>
              <w:szCs w:val="21"/>
            </w:rPr>
            <w:t>第三章</w:t>
          </w:r>
          <w:r>
            <w:rPr>
              <w:rFonts w:ascii="宋体" w:hAnsi="Times New Roman" w:eastAsia="宋体" w:cs="宋体"/>
              <w:bCs/>
              <w:spacing w:val="-8"/>
              <w:kern w:val="0"/>
              <w:sz w:val="21"/>
              <w:szCs w:val="21"/>
            </w:rPr>
            <w:t xml:space="preserve"> </w:t>
          </w:r>
          <w:r>
            <w:rPr>
              <w:rFonts w:hint="eastAsia" w:ascii="宋体" w:hAnsi="Times New Roman" w:eastAsia="宋体" w:cs="宋体"/>
              <w:bCs/>
              <w:kern w:val="0"/>
              <w:sz w:val="21"/>
              <w:szCs w:val="21"/>
            </w:rPr>
            <w:t>评标方法和标准</w:t>
          </w:r>
          <w:r>
            <w:rPr>
              <w:sz w:val="21"/>
              <w:szCs w:val="21"/>
            </w:rPr>
            <w:tab/>
          </w:r>
          <w:r>
            <w:rPr>
              <w:sz w:val="21"/>
              <w:szCs w:val="21"/>
            </w:rPr>
            <w:fldChar w:fldCharType="begin"/>
          </w:r>
          <w:r>
            <w:rPr>
              <w:sz w:val="21"/>
              <w:szCs w:val="21"/>
            </w:rPr>
            <w:instrText xml:space="preserve"> PAGEREF _Toc14825 \h </w:instrText>
          </w:r>
          <w:r>
            <w:rPr>
              <w:sz w:val="21"/>
              <w:szCs w:val="21"/>
            </w:rPr>
            <w:fldChar w:fldCharType="separate"/>
          </w:r>
          <w:r>
            <w:rPr>
              <w:sz w:val="21"/>
              <w:szCs w:val="21"/>
            </w:rPr>
            <w:t>- 26 -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_Toc16846 </w:instrText>
          </w:r>
          <w:r>
            <w:rPr>
              <w:sz w:val="21"/>
              <w:szCs w:val="21"/>
            </w:rPr>
            <w:fldChar w:fldCharType="separate"/>
          </w:r>
          <w:r>
            <w:rPr>
              <w:rFonts w:hint="eastAsia" w:ascii="宋体" w:hAnsi="宋体" w:eastAsia="宋体" w:cs="宋体"/>
              <w:bCs/>
              <w:spacing w:val="2"/>
              <w:kern w:val="0"/>
              <w:sz w:val="21"/>
              <w:szCs w:val="21"/>
            </w:rPr>
            <w:t>第四章</w:t>
          </w:r>
          <w:r>
            <w:rPr>
              <w:rFonts w:hint="eastAsia" w:ascii="宋体" w:hAnsi="宋体" w:cs="宋体"/>
              <w:bCs/>
              <w:spacing w:val="2"/>
              <w:kern w:val="0"/>
              <w:sz w:val="21"/>
              <w:szCs w:val="21"/>
              <w:lang w:val="en-US" w:eastAsia="zh-CN"/>
            </w:rPr>
            <w:t xml:space="preserve"> </w:t>
          </w:r>
          <w:r>
            <w:rPr>
              <w:rFonts w:hint="eastAsia" w:ascii="宋体" w:hAnsi="宋体" w:eastAsia="宋体" w:cs="宋体"/>
              <w:bCs/>
              <w:kern w:val="0"/>
              <w:sz w:val="21"/>
              <w:szCs w:val="21"/>
            </w:rPr>
            <w:t>合同条款</w:t>
          </w:r>
          <w:r>
            <w:rPr>
              <w:sz w:val="21"/>
              <w:szCs w:val="21"/>
            </w:rPr>
            <w:tab/>
          </w:r>
          <w:r>
            <w:rPr>
              <w:sz w:val="21"/>
              <w:szCs w:val="21"/>
            </w:rPr>
            <w:fldChar w:fldCharType="begin"/>
          </w:r>
          <w:r>
            <w:rPr>
              <w:sz w:val="21"/>
              <w:szCs w:val="21"/>
            </w:rPr>
            <w:instrText xml:space="preserve"> PAGEREF _Toc16846 \h </w:instrText>
          </w:r>
          <w:r>
            <w:rPr>
              <w:sz w:val="21"/>
              <w:szCs w:val="21"/>
            </w:rPr>
            <w:fldChar w:fldCharType="separate"/>
          </w:r>
          <w:r>
            <w:rPr>
              <w:sz w:val="21"/>
              <w:szCs w:val="21"/>
            </w:rPr>
            <w:t>- 31 -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rFonts w:hint="eastAsia"/>
              <w:sz w:val="21"/>
              <w:szCs w:val="21"/>
              <w:lang w:eastAsia="zh-CN"/>
            </w:rPr>
            <w:t>第五章</w:t>
          </w:r>
          <w:r>
            <w:rPr>
              <w:rFonts w:hint="eastAsia"/>
              <w:sz w:val="21"/>
              <w:szCs w:val="21"/>
              <w:lang w:val="en-US" w:eastAsia="zh-CN"/>
            </w:rPr>
            <w:t xml:space="preserve"> </w:t>
          </w:r>
          <w:r>
            <w:rPr>
              <w:sz w:val="21"/>
              <w:szCs w:val="21"/>
            </w:rPr>
            <w:fldChar w:fldCharType="begin"/>
          </w:r>
          <w:r>
            <w:rPr>
              <w:sz w:val="21"/>
              <w:szCs w:val="21"/>
            </w:rPr>
            <w:instrText xml:space="preserve"> HYPERLINK \l _Toc7311 </w:instrText>
          </w:r>
          <w:r>
            <w:rPr>
              <w:sz w:val="21"/>
              <w:szCs w:val="21"/>
            </w:rPr>
            <w:fldChar w:fldCharType="separate"/>
          </w:r>
          <w:r>
            <w:rPr>
              <w:rFonts w:hint="eastAsia" w:ascii="宋体" w:hAnsi="宋体" w:eastAsia="宋体" w:cs="宋体"/>
              <w:bCs/>
              <w:kern w:val="44"/>
              <w:sz w:val="21"/>
              <w:szCs w:val="21"/>
            </w:rPr>
            <w:t>购销合同</w:t>
          </w:r>
          <w:r>
            <w:rPr>
              <w:sz w:val="21"/>
              <w:szCs w:val="21"/>
            </w:rPr>
            <w:tab/>
          </w:r>
          <w:r>
            <w:rPr>
              <w:sz w:val="21"/>
              <w:szCs w:val="21"/>
            </w:rPr>
            <w:fldChar w:fldCharType="begin"/>
          </w:r>
          <w:r>
            <w:rPr>
              <w:sz w:val="21"/>
              <w:szCs w:val="21"/>
            </w:rPr>
            <w:instrText xml:space="preserve"> PAGEREF _Toc7311 \h </w:instrText>
          </w:r>
          <w:r>
            <w:rPr>
              <w:sz w:val="21"/>
              <w:szCs w:val="21"/>
            </w:rPr>
            <w:fldChar w:fldCharType="separate"/>
          </w:r>
          <w:r>
            <w:rPr>
              <w:sz w:val="21"/>
              <w:szCs w:val="21"/>
            </w:rPr>
            <w:t>- 32 -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_Toc3459 </w:instrText>
          </w:r>
          <w:r>
            <w:rPr>
              <w:sz w:val="21"/>
              <w:szCs w:val="21"/>
            </w:rPr>
            <w:fldChar w:fldCharType="separate"/>
          </w:r>
          <w:r>
            <w:rPr>
              <w:rFonts w:hint="eastAsia" w:ascii="Times New Roman" w:hAnsi="Times New Roman" w:eastAsia="宋体" w:cs="Times New Roman"/>
              <w:bCs/>
              <w:spacing w:val="2"/>
              <w:kern w:val="0"/>
              <w:sz w:val="21"/>
              <w:szCs w:val="21"/>
            </w:rPr>
            <w:t>第六章</w:t>
          </w:r>
          <w:r>
            <w:rPr>
              <w:rFonts w:ascii="Times New Roman" w:hAnsi="Times New Roman" w:eastAsia="宋体" w:cs="Times New Roman"/>
              <w:bCs/>
              <w:spacing w:val="-9"/>
              <w:kern w:val="0"/>
              <w:sz w:val="21"/>
              <w:szCs w:val="21"/>
            </w:rPr>
            <w:t xml:space="preserve"> </w:t>
          </w:r>
          <w:r>
            <w:rPr>
              <w:rFonts w:hint="eastAsia" w:ascii="Times New Roman" w:hAnsi="Times New Roman" w:eastAsia="宋体" w:cs="Times New Roman"/>
              <w:bCs/>
              <w:kern w:val="0"/>
              <w:sz w:val="21"/>
              <w:szCs w:val="21"/>
            </w:rPr>
            <w:t>投标文件格式</w:t>
          </w:r>
          <w:r>
            <w:rPr>
              <w:sz w:val="21"/>
              <w:szCs w:val="21"/>
            </w:rPr>
            <w:tab/>
          </w:r>
          <w:r>
            <w:rPr>
              <w:sz w:val="21"/>
              <w:szCs w:val="21"/>
            </w:rPr>
            <w:fldChar w:fldCharType="begin"/>
          </w:r>
          <w:r>
            <w:rPr>
              <w:sz w:val="21"/>
              <w:szCs w:val="21"/>
            </w:rPr>
            <w:instrText xml:space="preserve"> PAGEREF _Toc3459 \h </w:instrText>
          </w:r>
          <w:r>
            <w:rPr>
              <w:sz w:val="21"/>
              <w:szCs w:val="21"/>
            </w:rPr>
            <w:fldChar w:fldCharType="separate"/>
          </w:r>
          <w:r>
            <w:rPr>
              <w:sz w:val="21"/>
              <w:szCs w:val="21"/>
            </w:rPr>
            <w:t>- 39 -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_Toc14575 </w:instrText>
          </w:r>
          <w:r>
            <w:rPr>
              <w:sz w:val="21"/>
              <w:szCs w:val="21"/>
            </w:rPr>
            <w:fldChar w:fldCharType="separate"/>
          </w:r>
          <w:r>
            <w:rPr>
              <w:rFonts w:hint="eastAsia" w:ascii="Times New Roman" w:hAnsi="Times New Roman" w:eastAsia="宋体" w:cs="Times New Roman"/>
              <w:bCs/>
              <w:kern w:val="0"/>
              <w:sz w:val="21"/>
              <w:szCs w:val="21"/>
              <w:lang w:eastAsia="zh-CN"/>
            </w:rPr>
            <w:t>包</w:t>
          </w:r>
          <w:r>
            <w:rPr>
              <w:rFonts w:hint="eastAsia" w:ascii="Times New Roman" w:hAnsi="Times New Roman" w:eastAsia="宋体" w:cs="Times New Roman"/>
              <w:bCs/>
              <w:kern w:val="0"/>
              <w:sz w:val="21"/>
              <w:szCs w:val="21"/>
            </w:rPr>
            <w:t>投标文</w:t>
          </w:r>
          <w:r>
            <w:rPr>
              <w:rFonts w:hint="eastAsia" w:ascii="Times New Roman" w:hAnsi="Times New Roman" w:eastAsia="宋体" w:cs="Times New Roman"/>
              <w:bCs/>
              <w:spacing w:val="5"/>
              <w:kern w:val="0"/>
              <w:sz w:val="21"/>
              <w:szCs w:val="21"/>
            </w:rPr>
            <w:t>件</w:t>
          </w:r>
          <w:r>
            <w:rPr>
              <w:sz w:val="21"/>
              <w:szCs w:val="21"/>
            </w:rPr>
            <w:tab/>
          </w:r>
          <w:r>
            <w:rPr>
              <w:sz w:val="21"/>
              <w:szCs w:val="21"/>
            </w:rPr>
            <w:fldChar w:fldCharType="begin"/>
          </w:r>
          <w:r>
            <w:rPr>
              <w:sz w:val="21"/>
              <w:szCs w:val="21"/>
            </w:rPr>
            <w:instrText xml:space="preserve"> PAGEREF _Toc14575 \h </w:instrText>
          </w:r>
          <w:r>
            <w:rPr>
              <w:sz w:val="21"/>
              <w:szCs w:val="21"/>
            </w:rPr>
            <w:fldChar w:fldCharType="separate"/>
          </w:r>
          <w:r>
            <w:rPr>
              <w:sz w:val="21"/>
              <w:szCs w:val="21"/>
            </w:rPr>
            <w:t>- 39 -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_Toc30210 </w:instrText>
          </w:r>
          <w:r>
            <w:rPr>
              <w:sz w:val="21"/>
              <w:szCs w:val="21"/>
            </w:rPr>
            <w:fldChar w:fldCharType="separate"/>
          </w:r>
          <w:r>
            <w:rPr>
              <w:rFonts w:hint="eastAsia" w:ascii="宋体" w:hAnsi="Times New Roman" w:eastAsia="宋体" w:cs="宋体"/>
              <w:kern w:val="0"/>
              <w:sz w:val="21"/>
              <w:szCs w:val="21"/>
            </w:rPr>
            <w:t>一、法定代表人身份证明</w:t>
          </w:r>
          <w:r>
            <w:rPr>
              <w:sz w:val="21"/>
              <w:szCs w:val="21"/>
            </w:rPr>
            <w:tab/>
          </w:r>
          <w:r>
            <w:rPr>
              <w:sz w:val="21"/>
              <w:szCs w:val="21"/>
            </w:rPr>
            <w:fldChar w:fldCharType="begin"/>
          </w:r>
          <w:r>
            <w:rPr>
              <w:sz w:val="21"/>
              <w:szCs w:val="21"/>
            </w:rPr>
            <w:instrText xml:space="preserve"> PAGEREF _Toc30210 \h </w:instrText>
          </w:r>
          <w:r>
            <w:rPr>
              <w:sz w:val="21"/>
              <w:szCs w:val="21"/>
            </w:rPr>
            <w:fldChar w:fldCharType="separate"/>
          </w:r>
          <w:r>
            <w:rPr>
              <w:sz w:val="21"/>
              <w:szCs w:val="21"/>
            </w:rPr>
            <w:t>- 40 -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_Toc4662 </w:instrText>
          </w:r>
          <w:r>
            <w:rPr>
              <w:sz w:val="21"/>
              <w:szCs w:val="21"/>
            </w:rPr>
            <w:fldChar w:fldCharType="separate"/>
          </w:r>
          <w:r>
            <w:rPr>
              <w:rFonts w:hint="eastAsia" w:ascii="宋体" w:hAnsi="Times New Roman" w:eastAsia="宋体" w:cs="宋体"/>
              <w:kern w:val="0"/>
              <w:sz w:val="21"/>
              <w:szCs w:val="21"/>
            </w:rPr>
            <w:t>二、授权委托书</w:t>
          </w:r>
          <w:r>
            <w:rPr>
              <w:sz w:val="21"/>
              <w:szCs w:val="21"/>
            </w:rPr>
            <w:tab/>
          </w:r>
          <w:r>
            <w:rPr>
              <w:sz w:val="21"/>
              <w:szCs w:val="21"/>
            </w:rPr>
            <w:fldChar w:fldCharType="begin"/>
          </w:r>
          <w:r>
            <w:rPr>
              <w:sz w:val="21"/>
              <w:szCs w:val="21"/>
            </w:rPr>
            <w:instrText xml:space="preserve"> PAGEREF _Toc4662 \h </w:instrText>
          </w:r>
          <w:r>
            <w:rPr>
              <w:sz w:val="21"/>
              <w:szCs w:val="21"/>
            </w:rPr>
            <w:fldChar w:fldCharType="separate"/>
          </w:r>
          <w:r>
            <w:rPr>
              <w:sz w:val="21"/>
              <w:szCs w:val="21"/>
            </w:rPr>
            <w:t>- 41 -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_Toc20222 </w:instrText>
          </w:r>
          <w:r>
            <w:rPr>
              <w:sz w:val="21"/>
              <w:szCs w:val="21"/>
            </w:rPr>
            <w:fldChar w:fldCharType="separate"/>
          </w:r>
          <w:r>
            <w:rPr>
              <w:rFonts w:hint="eastAsia" w:ascii="宋体" w:hAnsi="Times New Roman" w:eastAsia="宋体" w:cs="宋体"/>
              <w:kern w:val="0"/>
              <w:sz w:val="21"/>
              <w:szCs w:val="21"/>
            </w:rPr>
            <w:t>三、投标函及投标函附录</w:t>
          </w:r>
          <w:r>
            <w:rPr>
              <w:sz w:val="21"/>
              <w:szCs w:val="21"/>
            </w:rPr>
            <w:tab/>
          </w:r>
          <w:r>
            <w:rPr>
              <w:sz w:val="21"/>
              <w:szCs w:val="21"/>
            </w:rPr>
            <w:fldChar w:fldCharType="begin"/>
          </w:r>
          <w:r>
            <w:rPr>
              <w:sz w:val="21"/>
              <w:szCs w:val="21"/>
            </w:rPr>
            <w:instrText xml:space="preserve"> PAGEREF _Toc20222 \h </w:instrText>
          </w:r>
          <w:r>
            <w:rPr>
              <w:sz w:val="21"/>
              <w:szCs w:val="21"/>
            </w:rPr>
            <w:fldChar w:fldCharType="separate"/>
          </w:r>
          <w:r>
            <w:rPr>
              <w:sz w:val="21"/>
              <w:szCs w:val="21"/>
            </w:rPr>
            <w:t>- 42 -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_Toc19033 </w:instrText>
          </w:r>
          <w:r>
            <w:rPr>
              <w:sz w:val="21"/>
              <w:szCs w:val="21"/>
            </w:rPr>
            <w:fldChar w:fldCharType="separate"/>
          </w:r>
          <w:r>
            <w:rPr>
              <w:rFonts w:hint="eastAsia" w:ascii="宋体" w:hAnsi="Times New Roman" w:eastAsia="宋体" w:cs="宋体"/>
              <w:kern w:val="0"/>
              <w:sz w:val="21"/>
              <w:szCs w:val="21"/>
            </w:rPr>
            <w:t>四、投标报价明细表</w:t>
          </w:r>
          <w:r>
            <w:rPr>
              <w:sz w:val="21"/>
              <w:szCs w:val="21"/>
            </w:rPr>
            <w:tab/>
          </w:r>
          <w:r>
            <w:rPr>
              <w:sz w:val="21"/>
              <w:szCs w:val="21"/>
            </w:rPr>
            <w:fldChar w:fldCharType="begin"/>
          </w:r>
          <w:r>
            <w:rPr>
              <w:sz w:val="21"/>
              <w:szCs w:val="21"/>
            </w:rPr>
            <w:instrText xml:space="preserve"> PAGEREF _Toc19033 \h </w:instrText>
          </w:r>
          <w:r>
            <w:rPr>
              <w:sz w:val="21"/>
              <w:szCs w:val="21"/>
            </w:rPr>
            <w:fldChar w:fldCharType="separate"/>
          </w:r>
          <w:r>
            <w:rPr>
              <w:sz w:val="21"/>
              <w:szCs w:val="21"/>
            </w:rPr>
            <w:t>- 44 -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_Toc264 </w:instrText>
          </w:r>
          <w:r>
            <w:rPr>
              <w:sz w:val="21"/>
              <w:szCs w:val="21"/>
            </w:rPr>
            <w:fldChar w:fldCharType="separate"/>
          </w:r>
          <w:r>
            <w:rPr>
              <w:rFonts w:hint="eastAsia" w:ascii="宋体" w:hAnsi="Times New Roman" w:eastAsia="宋体" w:cs="宋体"/>
              <w:kern w:val="0"/>
              <w:sz w:val="21"/>
              <w:szCs w:val="21"/>
            </w:rPr>
            <w:t>五、商务条款偏差表</w:t>
          </w:r>
          <w:r>
            <w:rPr>
              <w:sz w:val="21"/>
              <w:szCs w:val="21"/>
            </w:rPr>
            <w:tab/>
          </w:r>
          <w:r>
            <w:rPr>
              <w:sz w:val="21"/>
              <w:szCs w:val="21"/>
            </w:rPr>
            <w:fldChar w:fldCharType="begin"/>
          </w:r>
          <w:r>
            <w:rPr>
              <w:sz w:val="21"/>
              <w:szCs w:val="21"/>
            </w:rPr>
            <w:instrText xml:space="preserve"> PAGEREF _Toc264 \h </w:instrText>
          </w:r>
          <w:r>
            <w:rPr>
              <w:sz w:val="21"/>
              <w:szCs w:val="21"/>
            </w:rPr>
            <w:fldChar w:fldCharType="separate"/>
          </w:r>
          <w:r>
            <w:rPr>
              <w:sz w:val="21"/>
              <w:szCs w:val="21"/>
            </w:rPr>
            <w:t>- 45 -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_Toc9264 </w:instrText>
          </w:r>
          <w:r>
            <w:rPr>
              <w:sz w:val="21"/>
              <w:szCs w:val="21"/>
            </w:rPr>
            <w:fldChar w:fldCharType="separate"/>
          </w:r>
          <w:r>
            <w:rPr>
              <w:rFonts w:hint="eastAsia" w:ascii="宋体" w:hAnsi="Times New Roman" w:eastAsia="宋体" w:cs="宋体"/>
              <w:kern w:val="0"/>
              <w:sz w:val="21"/>
              <w:szCs w:val="21"/>
            </w:rPr>
            <w:t>六、技术条款偏差表</w:t>
          </w:r>
          <w:r>
            <w:rPr>
              <w:sz w:val="21"/>
              <w:szCs w:val="21"/>
            </w:rPr>
            <w:tab/>
          </w:r>
          <w:r>
            <w:rPr>
              <w:sz w:val="21"/>
              <w:szCs w:val="21"/>
            </w:rPr>
            <w:fldChar w:fldCharType="begin"/>
          </w:r>
          <w:r>
            <w:rPr>
              <w:sz w:val="21"/>
              <w:szCs w:val="21"/>
            </w:rPr>
            <w:instrText xml:space="preserve"> PAGEREF _Toc9264 \h </w:instrText>
          </w:r>
          <w:r>
            <w:rPr>
              <w:sz w:val="21"/>
              <w:szCs w:val="21"/>
            </w:rPr>
            <w:fldChar w:fldCharType="separate"/>
          </w:r>
          <w:r>
            <w:rPr>
              <w:sz w:val="21"/>
              <w:szCs w:val="21"/>
            </w:rPr>
            <w:t>- 46 -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_Toc11595 </w:instrText>
          </w:r>
          <w:r>
            <w:rPr>
              <w:sz w:val="21"/>
              <w:szCs w:val="21"/>
            </w:rPr>
            <w:fldChar w:fldCharType="separate"/>
          </w:r>
          <w:r>
            <w:rPr>
              <w:rFonts w:hint="eastAsia" w:ascii="宋体" w:hAnsi="Times New Roman" w:eastAsia="宋体" w:cs="宋体"/>
              <w:kern w:val="0"/>
              <w:sz w:val="21"/>
              <w:szCs w:val="21"/>
            </w:rPr>
            <w:t>七、资格证明文件</w:t>
          </w:r>
          <w:r>
            <w:rPr>
              <w:sz w:val="21"/>
              <w:szCs w:val="21"/>
            </w:rPr>
            <w:tab/>
          </w:r>
          <w:r>
            <w:rPr>
              <w:sz w:val="21"/>
              <w:szCs w:val="21"/>
            </w:rPr>
            <w:fldChar w:fldCharType="begin"/>
          </w:r>
          <w:r>
            <w:rPr>
              <w:sz w:val="21"/>
              <w:szCs w:val="21"/>
            </w:rPr>
            <w:instrText xml:space="preserve"> PAGEREF _Toc11595 \h </w:instrText>
          </w:r>
          <w:r>
            <w:rPr>
              <w:sz w:val="21"/>
              <w:szCs w:val="21"/>
            </w:rPr>
            <w:fldChar w:fldCharType="separate"/>
          </w:r>
          <w:r>
            <w:rPr>
              <w:sz w:val="21"/>
              <w:szCs w:val="21"/>
            </w:rPr>
            <w:t>- 47 -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_Toc14914 </w:instrText>
          </w:r>
          <w:r>
            <w:rPr>
              <w:sz w:val="21"/>
              <w:szCs w:val="21"/>
            </w:rPr>
            <w:fldChar w:fldCharType="separate"/>
          </w:r>
          <w:r>
            <w:rPr>
              <w:rFonts w:hint="eastAsia" w:ascii="宋体" w:hAnsi="Times New Roman" w:eastAsia="宋体" w:cs="宋体"/>
              <w:kern w:val="0"/>
              <w:sz w:val="21"/>
              <w:szCs w:val="21"/>
            </w:rPr>
            <w:t>八、供应商综合能力证明文件</w:t>
          </w:r>
          <w:r>
            <w:rPr>
              <w:sz w:val="21"/>
              <w:szCs w:val="21"/>
            </w:rPr>
            <w:tab/>
          </w:r>
          <w:r>
            <w:rPr>
              <w:sz w:val="21"/>
              <w:szCs w:val="21"/>
            </w:rPr>
            <w:fldChar w:fldCharType="begin"/>
          </w:r>
          <w:r>
            <w:rPr>
              <w:sz w:val="21"/>
              <w:szCs w:val="21"/>
            </w:rPr>
            <w:instrText xml:space="preserve"> PAGEREF _Toc14914 \h </w:instrText>
          </w:r>
          <w:r>
            <w:rPr>
              <w:sz w:val="21"/>
              <w:szCs w:val="21"/>
            </w:rPr>
            <w:fldChar w:fldCharType="separate"/>
          </w:r>
          <w:r>
            <w:rPr>
              <w:sz w:val="21"/>
              <w:szCs w:val="21"/>
            </w:rPr>
            <w:t>- 49 -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_Toc1389 </w:instrText>
          </w:r>
          <w:r>
            <w:rPr>
              <w:sz w:val="21"/>
              <w:szCs w:val="21"/>
            </w:rPr>
            <w:fldChar w:fldCharType="separate"/>
          </w:r>
          <w:r>
            <w:rPr>
              <w:rFonts w:hint="eastAsia" w:ascii="Times New Roman" w:hAnsi="Times New Roman" w:eastAsia="宋体" w:cs="Times New Roman"/>
              <w:kern w:val="0"/>
              <w:sz w:val="21"/>
              <w:szCs w:val="21"/>
            </w:rPr>
            <w:t>九、供应商反商业贿赂承诺书</w:t>
          </w:r>
          <w:r>
            <w:rPr>
              <w:sz w:val="21"/>
              <w:szCs w:val="21"/>
            </w:rPr>
            <w:tab/>
          </w:r>
          <w:r>
            <w:rPr>
              <w:sz w:val="21"/>
              <w:szCs w:val="21"/>
            </w:rPr>
            <w:fldChar w:fldCharType="begin"/>
          </w:r>
          <w:r>
            <w:rPr>
              <w:sz w:val="21"/>
              <w:szCs w:val="21"/>
            </w:rPr>
            <w:instrText xml:space="preserve"> PAGEREF _Toc1389 \h </w:instrText>
          </w:r>
          <w:r>
            <w:rPr>
              <w:sz w:val="21"/>
              <w:szCs w:val="21"/>
            </w:rPr>
            <w:fldChar w:fldCharType="separate"/>
          </w:r>
          <w:r>
            <w:rPr>
              <w:sz w:val="21"/>
              <w:szCs w:val="21"/>
            </w:rPr>
            <w:t>- 50 -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_Toc28679 </w:instrText>
          </w:r>
          <w:r>
            <w:rPr>
              <w:sz w:val="21"/>
              <w:szCs w:val="21"/>
            </w:rPr>
            <w:fldChar w:fldCharType="separate"/>
          </w:r>
          <w:r>
            <w:rPr>
              <w:rFonts w:hint="eastAsia" w:ascii="Times New Roman" w:hAnsi="Times New Roman" w:eastAsia="宋体" w:cs="Times New Roman"/>
              <w:kern w:val="0"/>
              <w:sz w:val="21"/>
              <w:szCs w:val="21"/>
            </w:rPr>
            <w:t>十、中小企业声明函</w:t>
          </w:r>
          <w:r>
            <w:rPr>
              <w:sz w:val="21"/>
              <w:szCs w:val="21"/>
            </w:rPr>
            <w:tab/>
          </w:r>
          <w:r>
            <w:rPr>
              <w:sz w:val="21"/>
              <w:szCs w:val="21"/>
            </w:rPr>
            <w:fldChar w:fldCharType="begin"/>
          </w:r>
          <w:r>
            <w:rPr>
              <w:sz w:val="21"/>
              <w:szCs w:val="21"/>
            </w:rPr>
            <w:instrText xml:space="preserve"> PAGEREF _Toc28679 \h </w:instrText>
          </w:r>
          <w:r>
            <w:rPr>
              <w:sz w:val="21"/>
              <w:szCs w:val="21"/>
            </w:rPr>
            <w:fldChar w:fldCharType="separate"/>
          </w:r>
          <w:r>
            <w:rPr>
              <w:sz w:val="21"/>
              <w:szCs w:val="21"/>
            </w:rPr>
            <w:t>- 51 -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_Toc26564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一</w:t>
          </w:r>
          <w:r>
            <w:rPr>
              <w:rFonts w:hint="eastAsia" w:ascii="宋体" w:hAnsi="Times New Roman" w:eastAsia="宋体" w:cs="宋体"/>
              <w:kern w:val="0"/>
              <w:sz w:val="21"/>
              <w:szCs w:val="21"/>
            </w:rPr>
            <w:t>、监狱企业证明材料（如有）</w:t>
          </w:r>
          <w:r>
            <w:rPr>
              <w:sz w:val="21"/>
              <w:szCs w:val="21"/>
            </w:rPr>
            <w:tab/>
          </w:r>
          <w:r>
            <w:rPr>
              <w:sz w:val="21"/>
              <w:szCs w:val="21"/>
            </w:rPr>
            <w:fldChar w:fldCharType="begin"/>
          </w:r>
          <w:r>
            <w:rPr>
              <w:sz w:val="21"/>
              <w:szCs w:val="21"/>
            </w:rPr>
            <w:instrText xml:space="preserve"> PAGEREF _Toc26564 \h </w:instrText>
          </w:r>
          <w:r>
            <w:rPr>
              <w:sz w:val="21"/>
              <w:szCs w:val="21"/>
            </w:rPr>
            <w:fldChar w:fldCharType="separate"/>
          </w:r>
          <w:r>
            <w:rPr>
              <w:sz w:val="21"/>
              <w:szCs w:val="21"/>
            </w:rPr>
            <w:t>- 52 -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_Toc24001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二</w:t>
          </w:r>
          <w:r>
            <w:rPr>
              <w:rFonts w:hint="eastAsia" w:ascii="宋体" w:hAnsi="Times New Roman" w:eastAsia="宋体" w:cs="宋体"/>
              <w:kern w:val="0"/>
              <w:sz w:val="21"/>
              <w:szCs w:val="21"/>
            </w:rPr>
            <w:t>、残疾人福利性单位声明函（如有）</w:t>
          </w:r>
          <w:r>
            <w:rPr>
              <w:sz w:val="21"/>
              <w:szCs w:val="21"/>
            </w:rPr>
            <w:tab/>
          </w:r>
          <w:r>
            <w:rPr>
              <w:sz w:val="21"/>
              <w:szCs w:val="21"/>
            </w:rPr>
            <w:fldChar w:fldCharType="begin"/>
          </w:r>
          <w:r>
            <w:rPr>
              <w:sz w:val="21"/>
              <w:szCs w:val="21"/>
            </w:rPr>
            <w:instrText xml:space="preserve"> PAGEREF _Toc24001 \h </w:instrText>
          </w:r>
          <w:r>
            <w:rPr>
              <w:sz w:val="21"/>
              <w:szCs w:val="21"/>
            </w:rPr>
            <w:fldChar w:fldCharType="separate"/>
          </w:r>
          <w:r>
            <w:rPr>
              <w:sz w:val="21"/>
              <w:szCs w:val="21"/>
            </w:rPr>
            <w:t>- 53 -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_Toc22255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三</w:t>
          </w:r>
          <w:r>
            <w:rPr>
              <w:rFonts w:hint="eastAsia" w:ascii="宋体" w:hAnsi="Times New Roman" w:eastAsia="宋体" w:cs="宋体"/>
              <w:kern w:val="0"/>
              <w:sz w:val="21"/>
              <w:szCs w:val="21"/>
            </w:rPr>
            <w:t>、节能产品、环境标志产品明细表</w:t>
          </w:r>
          <w:r>
            <w:rPr>
              <w:sz w:val="21"/>
              <w:szCs w:val="21"/>
            </w:rPr>
            <w:tab/>
          </w:r>
          <w:r>
            <w:rPr>
              <w:sz w:val="21"/>
              <w:szCs w:val="21"/>
            </w:rPr>
            <w:fldChar w:fldCharType="begin"/>
          </w:r>
          <w:r>
            <w:rPr>
              <w:sz w:val="21"/>
              <w:szCs w:val="21"/>
            </w:rPr>
            <w:instrText xml:space="preserve"> PAGEREF _Toc22255 \h </w:instrText>
          </w:r>
          <w:r>
            <w:rPr>
              <w:sz w:val="21"/>
              <w:szCs w:val="21"/>
            </w:rPr>
            <w:fldChar w:fldCharType="separate"/>
          </w:r>
          <w:r>
            <w:rPr>
              <w:sz w:val="21"/>
              <w:szCs w:val="21"/>
            </w:rPr>
            <w:t>- 54 -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_Toc17125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四</w:t>
          </w:r>
          <w:r>
            <w:rPr>
              <w:rFonts w:hint="eastAsia" w:ascii="宋体" w:hAnsi="Times New Roman" w:eastAsia="宋体" w:cs="宋体"/>
              <w:kern w:val="0"/>
              <w:sz w:val="21"/>
              <w:szCs w:val="21"/>
            </w:rPr>
            <w:t>、技术支持资料</w:t>
          </w:r>
          <w:r>
            <w:rPr>
              <w:sz w:val="21"/>
              <w:szCs w:val="21"/>
            </w:rPr>
            <w:tab/>
          </w:r>
          <w:r>
            <w:rPr>
              <w:sz w:val="21"/>
              <w:szCs w:val="21"/>
            </w:rPr>
            <w:fldChar w:fldCharType="begin"/>
          </w:r>
          <w:r>
            <w:rPr>
              <w:sz w:val="21"/>
              <w:szCs w:val="21"/>
            </w:rPr>
            <w:instrText xml:space="preserve"> PAGEREF _Toc17125 \h </w:instrText>
          </w:r>
          <w:r>
            <w:rPr>
              <w:sz w:val="21"/>
              <w:szCs w:val="21"/>
            </w:rPr>
            <w:fldChar w:fldCharType="separate"/>
          </w:r>
          <w:r>
            <w:rPr>
              <w:sz w:val="21"/>
              <w:szCs w:val="21"/>
            </w:rPr>
            <w:t>- 55 -</w:t>
          </w:r>
          <w:r>
            <w:rPr>
              <w:sz w:val="21"/>
              <w:szCs w:val="21"/>
            </w:rPr>
            <w:fldChar w:fldCharType="end"/>
          </w:r>
          <w:r>
            <w:rPr>
              <w:sz w:val="21"/>
              <w:szCs w:val="21"/>
            </w:rPr>
            <w:fldChar w:fldCharType="end"/>
          </w:r>
        </w:p>
        <w:p>
          <w:pPr>
            <w:pStyle w:val="13"/>
            <w:tabs>
              <w:tab w:val="right" w:leader="middleDot" w:pos="9720"/>
            </w:tabs>
            <w:spacing w:line="360" w:lineRule="auto"/>
            <w:rPr>
              <w:sz w:val="21"/>
              <w:szCs w:val="21"/>
            </w:rPr>
          </w:pPr>
          <w:r>
            <w:rPr>
              <w:sz w:val="21"/>
              <w:szCs w:val="21"/>
            </w:rPr>
            <w:fldChar w:fldCharType="begin"/>
          </w:r>
          <w:r>
            <w:rPr>
              <w:sz w:val="21"/>
              <w:szCs w:val="21"/>
            </w:rPr>
            <w:instrText xml:space="preserve"> HYPERLINK \l _Toc417 </w:instrText>
          </w:r>
          <w:r>
            <w:rPr>
              <w:sz w:val="21"/>
              <w:szCs w:val="21"/>
            </w:rPr>
            <w:fldChar w:fldCharType="separate"/>
          </w:r>
          <w:r>
            <w:rPr>
              <w:rFonts w:hint="eastAsia" w:ascii="宋体" w:hAnsi="Times New Roman" w:eastAsia="宋体" w:cs="宋体"/>
              <w:kern w:val="0"/>
              <w:sz w:val="21"/>
              <w:szCs w:val="21"/>
            </w:rPr>
            <w:t>十</w:t>
          </w:r>
          <w:r>
            <w:rPr>
              <w:rFonts w:hint="eastAsia" w:ascii="宋体" w:hAnsi="Times New Roman" w:eastAsia="宋体" w:cs="宋体"/>
              <w:kern w:val="0"/>
              <w:sz w:val="21"/>
              <w:szCs w:val="21"/>
              <w:lang w:eastAsia="zh-CN"/>
            </w:rPr>
            <w:t>五</w:t>
          </w:r>
          <w:r>
            <w:rPr>
              <w:rFonts w:hint="eastAsia" w:ascii="宋体" w:hAnsi="Times New Roman" w:eastAsia="宋体" w:cs="宋体"/>
              <w:kern w:val="0"/>
              <w:sz w:val="21"/>
              <w:szCs w:val="21"/>
            </w:rPr>
            <w:t>、供应商认为需要加以说明的其他内容</w:t>
          </w:r>
          <w:r>
            <w:rPr>
              <w:sz w:val="21"/>
              <w:szCs w:val="21"/>
            </w:rPr>
            <w:tab/>
          </w:r>
          <w:r>
            <w:rPr>
              <w:sz w:val="21"/>
              <w:szCs w:val="21"/>
            </w:rPr>
            <w:fldChar w:fldCharType="begin"/>
          </w:r>
          <w:r>
            <w:rPr>
              <w:sz w:val="21"/>
              <w:szCs w:val="21"/>
            </w:rPr>
            <w:instrText xml:space="preserve"> PAGEREF _Toc417 \h </w:instrText>
          </w:r>
          <w:r>
            <w:rPr>
              <w:sz w:val="21"/>
              <w:szCs w:val="21"/>
            </w:rPr>
            <w:fldChar w:fldCharType="separate"/>
          </w:r>
          <w:r>
            <w:rPr>
              <w:sz w:val="21"/>
              <w:szCs w:val="21"/>
            </w:rPr>
            <w:t>- 56 -</w:t>
          </w:r>
          <w:r>
            <w:rPr>
              <w:sz w:val="21"/>
              <w:szCs w:val="21"/>
            </w:rPr>
            <w:fldChar w:fldCharType="end"/>
          </w:r>
          <w:r>
            <w:rPr>
              <w:sz w:val="21"/>
              <w:szCs w:val="21"/>
            </w:rPr>
            <w:fldChar w:fldCharType="end"/>
          </w:r>
        </w:p>
        <w:p>
          <w:pPr>
            <w:spacing w:line="360" w:lineRule="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2"/>
      </w:pPr>
    </w:p>
    <w:p/>
    <w:p>
      <w:pPr>
        <w:pStyle w:val="2"/>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5982"/>
      <w:bookmarkStart w:id="2" w:name="_Toc7555"/>
      <w:bookmarkStart w:id="3" w:name="_Toc16554"/>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21804"/>
      <w:bookmarkStart w:id="5" w:name="_Toc14926"/>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bookmarkStart w:id="6"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招标项目的潜在投标人应在登录“郑州市公共资源交易中心网（http://zzggzy.zhengzhou.gov.cn/）”，凭企业身份认证锁下载招标文件。获取招标文件，并于2023年06月</w:t>
      </w:r>
      <w:r>
        <w:rPr>
          <w:rFonts w:hint="eastAsia" w:ascii="宋体" w:hAnsi="宋体" w:eastAsia="宋体" w:cs="宋体"/>
          <w:i w:val="0"/>
          <w:iCs w:val="0"/>
          <w:caps w:val="0"/>
          <w:color w:val="000000" w:themeColor="text1"/>
          <w:spacing w:val="6"/>
          <w:kern w:val="0"/>
          <w:sz w:val="21"/>
          <w:szCs w:val="21"/>
          <w:shd w:val="clear"/>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日10时00分（北京时间）前递交投标文件</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7" w:name="_Toc5257"/>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6"/>
      <w:bookmarkEnd w:id="7"/>
    </w:p>
    <w:p>
      <w:pPr>
        <w:spacing w:line="360" w:lineRule="auto"/>
        <w:ind w:firstLine="444" w:firstLineChars="200"/>
        <w:jc w:val="left"/>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1、项目编号：</w:t>
      </w: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10810000.00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1332" w:firstLineChars="6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w:t>
      </w:r>
      <w:r>
        <w:rPr>
          <w:rFonts w:hint="eastAsia" w:ascii="宋体" w:hAnsi="宋体" w:eastAsia="宋体" w:cs="宋体"/>
          <w:color w:val="000000" w:themeColor="text1"/>
          <w:spacing w:val="6"/>
          <w:kern w:val="0"/>
          <w:szCs w:val="21"/>
          <w:lang w:val="en-US" w:eastAsia="zh-CN"/>
          <w14:textFill>
            <w14:solidFill>
              <w14:schemeClr w14:val="tx1"/>
            </w14:solidFill>
          </w14:textFill>
        </w:rPr>
        <w:t>10810000.00</w:t>
      </w:r>
      <w:r>
        <w:rPr>
          <w:rFonts w:hint="eastAsia" w:ascii="宋体" w:hAnsi="宋体" w:eastAsia="宋体" w:cs="宋体"/>
          <w:color w:val="000000" w:themeColor="text1"/>
          <w:spacing w:val="6"/>
          <w:kern w:val="0"/>
          <w:szCs w:val="21"/>
          <w14:textFill>
            <w14:solidFill>
              <w14:schemeClr w14:val="tx1"/>
            </w14:solidFill>
          </w14:textFill>
        </w:rPr>
        <w:t>元</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94"/>
        <w:gridCol w:w="2829"/>
        <w:gridCol w:w="984"/>
        <w:gridCol w:w="900"/>
        <w:gridCol w:w="1326"/>
        <w:gridCol w:w="1326"/>
        <w:gridCol w:w="1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28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质保期</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数量</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eastAsia="zh-CN"/>
                <w14:textFill>
                  <w14:solidFill>
                    <w14:schemeClr w14:val="tx1"/>
                  </w14:solidFill>
                </w14:textFill>
              </w:rPr>
              <w:t>单价（元）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A包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rPr>
              <w:t>听觉言语语言喉功能检测处理系统（含2个学习机）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540000.00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1620000.00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1620000.00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2</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B包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rPr>
              <w:t>心语教室（含自闭与多动障碍干预软件+</w:t>
            </w:r>
            <w:r>
              <w:rPr>
                <w:rFonts w:hint="eastAsia"/>
                <w:lang w:val="en-US" w:eastAsia="zh-CN"/>
              </w:rPr>
              <w:t>2</w:t>
            </w:r>
            <w:r>
              <w:rPr>
                <w:rFonts w:hint="eastAsia"/>
              </w:rPr>
              <w:t>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6套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640000.00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3840000.00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3840000.00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3</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C包</w:t>
            </w:r>
          </w:p>
        </w:tc>
        <w:tc>
          <w:tcPr>
            <w:tcW w:w="2829" w:type="dxa"/>
            <w:vAlign w:val="center"/>
          </w:tcPr>
          <w:p>
            <w:pPr>
              <w:pStyle w:val="2"/>
              <w:numPr>
                <w:ilvl w:val="0"/>
                <w:numId w:val="0"/>
              </w:num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Theme="minorHAnsi" w:hAnsiTheme="minorHAnsi" w:eastAsiaTheme="minorEastAsia" w:cstheme="minorBidi"/>
                <w:b w:val="0"/>
                <w:bCs w:val="0"/>
                <w:sz w:val="21"/>
                <w:szCs w:val="22"/>
              </w:rPr>
              <w:t>心语启音教室（2个学习机）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800000.00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4</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2829" w:type="dxa"/>
            <w:vAlign w:val="center"/>
          </w:tcPr>
          <w:p>
            <w:pPr>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Theme="minorHAnsi" w:hAnsiTheme="minorHAnsi" w:eastAsiaTheme="minorEastAsia"/>
                <w:b w:val="0"/>
                <w:sz w:val="21"/>
                <w:szCs w:val="22"/>
              </w:rPr>
              <w:t>医用分子筛制氧机</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5年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1700000.00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3400000.00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5</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E包</w:t>
            </w:r>
          </w:p>
        </w:tc>
        <w:tc>
          <w:tcPr>
            <w:tcW w:w="2829" w:type="dxa"/>
            <w:vAlign w:val="center"/>
          </w:tcPr>
          <w:p>
            <w:pPr>
              <w:spacing w:line="360" w:lineRule="auto"/>
              <w:jc w:val="left"/>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b w:val="0"/>
                <w:bCs w:val="0"/>
                <w:sz w:val="21"/>
                <w:szCs w:val="22"/>
                <w:lang w:val="en-US" w:eastAsia="zh-CN"/>
              </w:rPr>
              <w:t>骨科专用手术台</w:t>
            </w:r>
          </w:p>
        </w:tc>
        <w:tc>
          <w:tcPr>
            <w:tcW w:w="98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3年</w:t>
            </w:r>
          </w:p>
        </w:tc>
        <w:tc>
          <w:tcPr>
            <w:tcW w:w="90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1套</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c>
          <w:tcPr>
            <w:tcW w:w="132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t>1150000.00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采购项目，其中，</w:t>
      </w:r>
      <w:r>
        <w:rPr>
          <w:rFonts w:hint="eastAsia"/>
        </w:rPr>
        <w:t>听觉言语语言喉功能检测处理系统（含2个学习机）</w:t>
      </w:r>
      <w:r>
        <w:rPr>
          <w:rFonts w:hint="eastAsia"/>
          <w:lang w:val="en-US" w:eastAsia="zh-CN"/>
        </w:rPr>
        <w:t>3套，</w:t>
      </w:r>
      <w:r>
        <w:rPr>
          <w:rFonts w:hint="eastAsia"/>
        </w:rPr>
        <w:t>心语教室（含自闭与多动障碍干预软件+</w:t>
      </w:r>
      <w:r>
        <w:rPr>
          <w:rFonts w:hint="eastAsia"/>
          <w:lang w:val="en-US" w:eastAsia="zh-CN"/>
        </w:rPr>
        <w:t>2</w:t>
      </w:r>
      <w:r>
        <w:rPr>
          <w:rFonts w:hint="eastAsia"/>
        </w:rPr>
        <w:t>个学习机）</w:t>
      </w:r>
      <w:r>
        <w:rPr>
          <w:rFonts w:hint="eastAsia"/>
          <w:lang w:val="en-US" w:eastAsia="zh-CN"/>
        </w:rPr>
        <w:t>6套，</w:t>
      </w:r>
      <w:r>
        <w:rPr>
          <w:rFonts w:hint="eastAsia" w:asciiTheme="minorHAnsi" w:hAnsiTheme="minorHAnsi" w:eastAsiaTheme="minorEastAsia" w:cstheme="minorBidi"/>
          <w:b w:val="0"/>
          <w:bCs w:val="0"/>
          <w:sz w:val="21"/>
          <w:szCs w:val="22"/>
        </w:rPr>
        <w:t>心语启音教室（2个学习机）</w:t>
      </w:r>
      <w:r>
        <w:rPr>
          <w:rFonts w:hint="eastAsia" w:cstheme="minorBidi"/>
          <w:b w:val="0"/>
          <w:bCs w:val="0"/>
          <w:sz w:val="21"/>
          <w:szCs w:val="22"/>
          <w:lang w:val="en-US" w:eastAsia="zh-CN"/>
        </w:rPr>
        <w:t>1套，</w:t>
      </w:r>
      <w:r>
        <w:rPr>
          <w:rFonts w:hint="eastAsia" w:asciiTheme="minorHAnsi" w:hAnsiTheme="minorHAnsi" w:eastAsiaTheme="minorEastAsia"/>
          <w:b w:val="0"/>
          <w:sz w:val="21"/>
          <w:szCs w:val="22"/>
        </w:rPr>
        <w:t>医用分子筛制氧机</w:t>
      </w:r>
      <w:r>
        <w:rPr>
          <w:rFonts w:hint="eastAsia"/>
          <w:b w:val="0"/>
          <w:sz w:val="21"/>
          <w:szCs w:val="22"/>
          <w:lang w:val="en-US" w:eastAsia="zh-CN"/>
        </w:rPr>
        <w:t>2套，</w:t>
      </w:r>
      <w:r>
        <w:rPr>
          <w:rFonts w:hint="eastAsia"/>
          <w:b w:val="0"/>
          <w:bCs w:val="0"/>
          <w:sz w:val="21"/>
          <w:szCs w:val="22"/>
          <w:lang w:val="en-US" w:eastAsia="zh-CN"/>
        </w:rPr>
        <w:t>骨科专用手术台1套</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详见第五章技术标准及要求</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    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本项目共划分五个包段</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color w:val="000000" w:themeColor="text1"/>
          <w:spacing w:val="6"/>
          <w:kern w:val="0"/>
          <w:szCs w:val="21"/>
          <w14:textFill>
            <w14:solidFill>
              <w14:schemeClr w14:val="tx1"/>
            </w14:solidFill>
          </w14:textFill>
        </w:rPr>
        <w:t xml:space="preserve">  </w:t>
      </w:r>
      <w:r>
        <w:rPr>
          <w:rFonts w:hint="eastAsia" w:ascii="宋体" w:hAnsi="宋体" w:eastAsia="宋体" w:cs="宋体"/>
          <w:color w:val="0000FF"/>
          <w:spacing w:val="6"/>
          <w:kern w:val="0"/>
          <w:szCs w:val="21"/>
        </w:rPr>
        <w:t xml:space="preserve"> </w:t>
      </w:r>
      <w:r>
        <w:rPr>
          <w:rFonts w:hint="eastAsia" w:ascii="宋体" w:hAnsi="宋体" w:eastAsia="宋体" w:cs="宋体"/>
          <w:color w:val="auto"/>
          <w:spacing w:val="6"/>
          <w:kern w:val="0"/>
          <w:szCs w:val="21"/>
        </w:rPr>
        <w:t xml:space="preserve"> 5.3交货期：</w:t>
      </w:r>
      <w:r>
        <w:rPr>
          <w:rFonts w:hint="eastAsia" w:ascii="宋体" w:hAnsi="宋体" w:eastAsia="宋体" w:cs="宋体"/>
          <w:color w:val="auto"/>
          <w:spacing w:val="6"/>
          <w:kern w:val="0"/>
          <w:szCs w:val="21"/>
          <w:lang w:val="en-US" w:eastAsia="zh-CN"/>
        </w:rPr>
        <w:t>合同签订后90日历天内</w:t>
      </w:r>
      <w:r>
        <w:rPr>
          <w:rFonts w:hint="eastAsia" w:ascii="宋体" w:hAnsi="宋体" w:eastAsia="宋体" w:cs="宋体"/>
          <w:color w:val="auto"/>
          <w:spacing w:val="6"/>
          <w:kern w:val="0"/>
          <w:szCs w:val="21"/>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b w:val="0"/>
          <w:bCs w:val="0"/>
          <w:color w:val="auto"/>
          <w:spacing w:val="6"/>
          <w:kern w:val="0"/>
          <w:szCs w:val="21"/>
        </w:rPr>
        <w:t xml:space="preserve">    5.4质保期：</w:t>
      </w:r>
      <w:r>
        <w:rPr>
          <w:rFonts w:hint="eastAsia" w:ascii="宋体" w:hAnsi="宋体" w:eastAsia="宋体" w:cs="宋体"/>
          <w:b w:val="0"/>
          <w:color w:val="auto"/>
          <w:spacing w:val="6"/>
          <w:kern w:val="0"/>
          <w:sz w:val="21"/>
          <w:szCs w:val="21"/>
          <w:lang w:eastAsia="zh-CN"/>
        </w:rPr>
        <w:t>详见上表</w:t>
      </w:r>
      <w:r>
        <w:rPr>
          <w:rFonts w:hint="eastAsia" w:ascii="宋体" w:hAnsi="宋体" w:eastAsia="宋体" w:cs="宋体"/>
          <w:b w:val="0"/>
          <w:bCs w:val="0"/>
          <w:color w:val="auto"/>
          <w:spacing w:val="6"/>
          <w:kern w:val="0"/>
          <w:szCs w:val="21"/>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    5.5质量要求：合格。</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val="en-US" w:eastAsia="zh-CN"/>
          <w14:textFill>
            <w14:solidFill>
              <w14:schemeClr w14:val="tx1"/>
            </w14:solidFill>
          </w14:textFill>
        </w:rPr>
        <w:t>否</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rPr>
        <w:t>心语教室（含自闭与多动障碍干预软件+</w:t>
      </w:r>
      <w:r>
        <w:rPr>
          <w:rFonts w:hint="eastAsia"/>
          <w:lang w:val="en-US" w:eastAsia="zh-CN"/>
        </w:rPr>
        <w:t>2</w:t>
      </w:r>
      <w:r>
        <w:rPr>
          <w:rFonts w:hint="eastAsia"/>
        </w:rPr>
        <w:t>个学习机）</w:t>
      </w:r>
      <w:r>
        <w:rPr>
          <w:rFonts w:hint="eastAsia" w:ascii="宋体" w:hAnsi="宋体" w:eastAsia="宋体" w:cs="宋体"/>
          <w:color w:val="000000" w:themeColor="text1"/>
          <w:spacing w:val="6"/>
          <w:kern w:val="0"/>
          <w:szCs w:val="21"/>
          <w14:textFill>
            <w14:solidFill>
              <w14:schemeClr w14:val="tx1"/>
            </w14:solidFill>
          </w14:textFill>
        </w:rPr>
        <w:t>、心语启音教室</w:t>
      </w:r>
      <w:r>
        <w:rPr>
          <w:rFonts w:hint="eastAsia" w:asciiTheme="minorHAnsi" w:hAnsiTheme="minorHAnsi" w:eastAsiaTheme="minorEastAsia" w:cstheme="minorBidi"/>
          <w:b w:val="0"/>
          <w:bCs w:val="0"/>
          <w:sz w:val="21"/>
          <w:szCs w:val="22"/>
        </w:rPr>
        <w:t>（2个学习机）</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rPr>
        <w:t>听觉言语语言喉功能检测处理系统（含2个学习机）</w:t>
      </w:r>
      <w:r>
        <w:rPr>
          <w:rFonts w:hint="eastAsia" w:asciiTheme="minorHAnsi" w:hAnsiTheme="minorHAnsi" w:eastAsiaTheme="minorEastAsia" w:cstheme="minorBidi"/>
          <w:i w:val="0"/>
          <w:iCs w:val="0"/>
          <w:caps w:val="0"/>
          <w:spacing w:val="0"/>
          <w:sz w:val="21"/>
          <w:szCs w:val="22"/>
          <w:shd w:val="clear"/>
        </w:rPr>
        <w:t>专门面向中小企业</w:t>
      </w:r>
      <w:r>
        <w:rPr>
          <w:rFonts w:hint="eastAsia" w:ascii="宋体" w:hAnsi="宋体" w:eastAsia="宋体" w:cs="宋体"/>
          <w:color w:val="000000" w:themeColor="text1"/>
          <w:spacing w:val="6"/>
          <w:kern w:val="0"/>
          <w:szCs w:val="21"/>
          <w14:textFill>
            <w14:solidFill>
              <w14:schemeClr w14:val="tx1"/>
            </w14:solidFill>
          </w14:textFill>
        </w:rPr>
        <w:t>采购</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Theme="minorHAnsi" w:hAnsiTheme="minorHAnsi" w:eastAsiaTheme="minorEastAsia"/>
          <w:b w:val="0"/>
          <w:sz w:val="21"/>
          <w:szCs w:val="22"/>
        </w:rPr>
        <w:t>医用分子筛制氧机</w:t>
      </w:r>
      <w:r>
        <w:rPr>
          <w:rFonts w:hint="eastAsia"/>
          <w:b w:val="0"/>
          <w:sz w:val="21"/>
          <w:szCs w:val="22"/>
          <w:lang w:eastAsia="zh-CN"/>
        </w:rPr>
        <w:t>、</w:t>
      </w:r>
      <w:r>
        <w:rPr>
          <w:rFonts w:hint="eastAsia"/>
          <w:b w:val="0"/>
          <w:bCs w:val="0"/>
          <w:sz w:val="21"/>
          <w:szCs w:val="22"/>
          <w:lang w:val="en-US" w:eastAsia="zh-CN"/>
        </w:rPr>
        <w:t>骨科专用手术台非专门面向中小企业采购。</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8" w:name="_Toc10869"/>
      <w:bookmarkStart w:id="9" w:name="_Toc2324"/>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8"/>
      <w:bookmarkEnd w:id="9"/>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；代理商（经销商）须具有医疗器械经营许可证或医疗器械经营备案凭证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3.6、A</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B</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C包资格要求：供应商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p>
      <w:pPr>
        <w:widowControl/>
        <w:wordWrap w:val="0"/>
        <w:spacing w:line="360" w:lineRule="auto"/>
        <w:ind w:firstLine="444" w:firstLineChars="200"/>
        <w:jc w:val="left"/>
        <w:rPr>
          <w:rFonts w:hint="default" w:eastAsia="宋体"/>
          <w:lang w:val="en-US"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3.7、D包资格要求：</w:t>
      </w:r>
      <w:r>
        <w:rPr>
          <w:rFonts w:hint="eastAsia" w:ascii="宋体" w:hAnsi="宋体" w:eastAsia="宋体" w:cs="宋体"/>
          <w:color w:val="000000" w:themeColor="text1"/>
          <w:spacing w:val="6"/>
          <w:kern w:val="0"/>
          <w:sz w:val="21"/>
          <w:szCs w:val="21"/>
          <w:lang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或生产厂家具备特种设备生产许可证（工业管道安装GC2及以上（含GC2））或特种设备安装、改造、维修许可证（压力管道GC2级及以上（含GC2）资质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换/领证的企业，可提供符合要求的新</w:t>
      </w:r>
      <w:r>
        <w:rPr>
          <w:rFonts w:hint="eastAsia" w:ascii="宋体" w:hAnsi="宋体" w:eastAsia="宋体" w:cs="宋体"/>
          <w:i w:val="0"/>
          <w:iCs w:val="0"/>
          <w:caps w:val="0"/>
          <w:color w:val="000000" w:themeColor="text1"/>
          <w:spacing w:val="6"/>
          <w:kern w:val="0"/>
          <w:sz w:val="21"/>
          <w:szCs w:val="21"/>
          <w:lang w:eastAsia="zh-CN"/>
          <w14:textFill>
            <w14:solidFill>
              <w14:schemeClr w14:val="tx1"/>
            </w14:solidFill>
          </w14:textFill>
        </w:rPr>
        <w:t>的许可</w:t>
      </w:r>
      <w:r>
        <w:rPr>
          <w:rFonts w:hint="eastAsia" w:ascii="宋体" w:hAnsi="宋体" w:eastAsia="宋体" w:cs="宋体"/>
          <w:i w:val="0"/>
          <w:iCs w:val="0"/>
          <w:caps w:val="0"/>
          <w:color w:val="000000" w:themeColor="text1"/>
          <w:spacing w:val="6"/>
          <w:kern w:val="0"/>
          <w:sz w:val="21"/>
          <w:szCs w:val="21"/>
          <w14:textFill>
            <w14:solidFill>
              <w14:schemeClr w14:val="tx1"/>
            </w14:solidFill>
          </w14:textFill>
        </w:rPr>
        <w:t>证书</w:t>
      </w:r>
      <w:r>
        <w:rPr>
          <w:rFonts w:hint="eastAsia" w:ascii="宋体" w:hAnsi="宋体" w:eastAsia="宋体" w:cs="宋体"/>
          <w:color w:val="000000" w:themeColor="text1"/>
          <w:spacing w:val="6"/>
          <w:kern w:val="0"/>
          <w:sz w:val="21"/>
          <w:szCs w:val="21"/>
          <w:lang w:eastAsia="zh-CN"/>
          <w14:textFill>
            <w14:solidFill>
              <w14:schemeClr w14:val="tx1"/>
            </w14:solidFill>
          </w14:textFill>
        </w:rPr>
        <w:t>）</w:t>
      </w:r>
      <w:r>
        <w:rPr>
          <w:rFonts w:hint="eastAsia" w:ascii="宋体" w:hAnsi="宋体" w:eastAsia="宋体" w:cs="宋体"/>
          <w:color w:val="000000" w:themeColor="text1"/>
          <w:spacing w:val="6"/>
          <w:kern w:val="0"/>
          <w:sz w:val="21"/>
          <w:szCs w:val="21"/>
          <w14:textFill>
            <w14:solidFill>
              <w14:schemeClr w14:val="tx1"/>
            </w14:solidFill>
          </w14:textFill>
        </w:rPr>
        <w:t>，同时具备建筑机电安装工程专业承包叁级及以上资质</w:t>
      </w:r>
      <w:r>
        <w:rPr>
          <w:rFonts w:hint="eastAsia" w:ascii="宋体" w:hAnsi="宋体" w:eastAsia="宋体" w:cs="宋体"/>
          <w:color w:val="000000" w:themeColor="text1"/>
          <w:spacing w:val="6"/>
          <w:kern w:val="0"/>
          <w:sz w:val="21"/>
          <w:szCs w:val="21"/>
          <w:lang w:eastAsia="zh-CN"/>
          <w14:textFill>
            <w14:solidFill>
              <w14:schemeClr w14:val="tx1"/>
            </w14:solidFill>
          </w14:textFill>
        </w:rPr>
        <w:t>或机电工程施工总承包叁级及以上资质</w:t>
      </w:r>
      <w:r>
        <w:rPr>
          <w:rFonts w:hint="eastAsia" w:ascii="宋体" w:hAnsi="宋体" w:eastAsia="宋体" w:cs="宋体"/>
          <w:color w:val="000000" w:themeColor="text1"/>
          <w:spacing w:val="6"/>
          <w:kern w:val="0"/>
          <w:sz w:val="21"/>
          <w:szCs w:val="21"/>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0" w:name="_Toc6020"/>
      <w:bookmarkStart w:id="11" w:name="_Toc10746"/>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0"/>
      <w:bookmarkEnd w:id="11"/>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25</w:t>
      </w:r>
      <w:r>
        <w:rPr>
          <w:rFonts w:hint="eastAsia" w:ascii="宋体" w:hAnsi="宋体" w:eastAsia="宋体" w:cs="宋体"/>
          <w:color w:val="auto"/>
          <w:spacing w:val="6"/>
          <w:kern w:val="0"/>
          <w:szCs w:val="21"/>
        </w:rPr>
        <w:t>日至202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31</w:t>
      </w:r>
      <w:r>
        <w:rPr>
          <w:rFonts w:hint="eastAsia" w:ascii="宋体" w:hAnsi="宋体" w:eastAsia="宋体" w:cs="宋体"/>
          <w:color w:val="auto"/>
          <w:spacing w:val="6"/>
          <w:kern w:val="0"/>
          <w:szCs w:val="21"/>
        </w:rPr>
        <w:t>日，每天上午00:00至12:00，下午12:00至23:59（北京时间，法定节假日除外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郑州市公共资源交易中心电子交易平台（http://zzggzy.zhengzhou.gov.cn/TPBidder/）”，凭企业CA数字证书直接下载招标文件。尚未办理企业CA数字证书的，请登录郑州市公共资源交易中心网站（http://zzggzy.zhengzhou.gov.cn/），查阅网站首页“通知公告”或“CA及签章办理流程”中《关于数字证书(CA)互认功能上线试运行的通知》（http://zzggzy.zhengzhou.gov.cn/tzgg/20200612/9db87633-2aec-4d6f-b692-a167ec8c11d6.html），及时办理CA数字证书及电子签章，并完成市场主体库相关信息。</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3.3、方式：供应商凭CA密钥登录“郑州市公共资源交易中心网”点击“交易主体登录”下载所含格式（*.ZZZF）的采购文件及资料。</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11731"/>
      <w:bookmarkStart w:id="13" w:name="_Toc18550"/>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12"/>
      <w:bookmarkEnd w:id="13"/>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auto"/>
          <w:spacing w:val="6"/>
          <w:kern w:val="0"/>
          <w:szCs w:val="21"/>
        </w:rPr>
        <w:t>4.1、时间：202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6</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15</w:t>
      </w:r>
      <w:r>
        <w:rPr>
          <w:rFonts w:hint="eastAsia" w:ascii="宋体" w:hAnsi="宋体" w:eastAsia="宋体" w:cs="宋体"/>
          <w:color w:val="auto"/>
          <w:spacing w:val="6"/>
          <w:kern w:val="0"/>
          <w:szCs w:val="21"/>
        </w:rPr>
        <w:t>日10时00分（北京时间）</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4.2、地点：郑州市公共资源交易中心电子交易平台（http://zzggzy.zhengzhou.gov.cn/TPBidder/）加密上传；</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无需到交易中心现场参加开标会议，评标委员会不再对投标文件中涉及的相关资料原件进行验证。所有投标单位不需提供证书原件。</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4" w:name="_Toc21670"/>
      <w:bookmarkStart w:id="15" w:name="_Toc30633"/>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14"/>
      <w:bookmarkEnd w:id="15"/>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5.1、时间：202</w:t>
      </w: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年</w:t>
      </w:r>
      <w:r>
        <w:rPr>
          <w:rFonts w:hint="eastAsia" w:ascii="宋体" w:hAnsi="宋体" w:eastAsia="宋体" w:cs="宋体"/>
          <w:color w:val="auto"/>
          <w:spacing w:val="6"/>
          <w:kern w:val="0"/>
          <w:szCs w:val="21"/>
          <w:lang w:val="en-US" w:eastAsia="zh-CN"/>
        </w:rPr>
        <w:t>6</w:t>
      </w:r>
      <w:r>
        <w:rPr>
          <w:rFonts w:hint="eastAsia" w:ascii="宋体" w:hAnsi="宋体" w:eastAsia="宋体" w:cs="宋体"/>
          <w:color w:val="auto"/>
          <w:spacing w:val="6"/>
          <w:kern w:val="0"/>
          <w:szCs w:val="21"/>
        </w:rPr>
        <w:t>月</w:t>
      </w:r>
      <w:r>
        <w:rPr>
          <w:rFonts w:hint="eastAsia" w:ascii="宋体" w:hAnsi="宋体" w:eastAsia="宋体" w:cs="宋体"/>
          <w:color w:val="auto"/>
          <w:spacing w:val="6"/>
          <w:kern w:val="0"/>
          <w:szCs w:val="21"/>
          <w:lang w:val="en-US" w:eastAsia="zh-CN"/>
        </w:rPr>
        <w:t>15</w:t>
      </w:r>
      <w:r>
        <w:rPr>
          <w:rFonts w:hint="eastAsia" w:ascii="宋体" w:hAnsi="宋体" w:eastAsia="宋体" w:cs="宋体"/>
          <w:color w:val="auto"/>
          <w:spacing w:val="6"/>
          <w:kern w:val="0"/>
          <w:szCs w:val="21"/>
        </w:rPr>
        <w:t>日10时00分（北京时间）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5.2、地点：郑州市公共资源交易中心门户网站远程开标大厅（http://zzggzy.zhengzhou.gov.cn/BidOpening）</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6" w:name="_Toc23646"/>
      <w:bookmarkStart w:id="17" w:name="_Toc24460"/>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16"/>
      <w:bookmarkEnd w:id="17"/>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本次招标公告在《河南省政府采购网》、《郑州市政府采购网》、《郑州市公共资源交易中心网》、《中国招标投标公共服务平台》、《河南省电子招标投标公共服务平台》上发布。招标公告期限为五个工作日。</w:t>
      </w:r>
    </w:p>
    <w:p>
      <w:pPr>
        <w:widowControl/>
        <w:numPr>
          <w:ilvl w:val="0"/>
          <w:numId w:val="1"/>
        </w:numPr>
        <w:shd w:val="clear" w:color="auto" w:fill="FFFFFF"/>
        <w:autoSpaceDE w:val="0"/>
        <w:autoSpaceDN w:val="0"/>
        <w:adjustRightInd w:val="0"/>
        <w:spacing w:before="96" w:after="96" w:line="360" w:lineRule="auto"/>
        <w:ind w:left="446" w:hanging="446" w:hangingChars="20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8" w:name="_Toc18206"/>
      <w:bookmarkStart w:id="19" w:name="_Toc25683"/>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18"/>
      <w:bookmarkEnd w:id="19"/>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备注：</w:t>
      </w:r>
    </w:p>
    <w:p>
      <w:pPr>
        <w:numPr>
          <w:ilvl w:val="0"/>
          <w:numId w:val="2"/>
        </w:num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所有</w:t>
      </w:r>
      <w:r>
        <w:rPr>
          <w:rFonts w:hint="eastAsia" w:ascii="宋体" w:hAnsi="宋体" w:eastAsia="宋体" w:cs="宋体"/>
          <w:color w:val="000000" w:themeColor="text1"/>
          <w:spacing w:val="6"/>
          <w:kern w:val="0"/>
          <w:szCs w:val="21"/>
          <w:lang w:eastAsia="zh-CN"/>
          <w14:textFill>
            <w14:solidFill>
              <w14:schemeClr w14:val="tx1"/>
            </w14:solidFill>
          </w14:textFill>
        </w:rPr>
        <w:t>供应商</w:t>
      </w:r>
      <w:r>
        <w:rPr>
          <w:rFonts w:hint="eastAsia" w:ascii="宋体" w:hAnsi="宋体" w:eastAsia="宋体" w:cs="宋体"/>
          <w:color w:val="000000" w:themeColor="text1"/>
          <w:spacing w:val="6"/>
          <w:kern w:val="0"/>
          <w:szCs w:val="21"/>
          <w14:textFill>
            <w14:solidFill>
              <w14:schemeClr w14:val="tx1"/>
            </w14:solidFill>
          </w14:textFill>
        </w:rPr>
        <w:t>应提前30分钟，登录“郑州市公共资源交易中心门户网站远程开标大厅”进行远程开标准备工作。登录后，须先进行签到，其后应一直保持在线状态，保证能准时参加开标大会、投标文件的解密、现场答疑澄清等活动。</w:t>
      </w:r>
    </w:p>
    <w:p>
      <w:pPr>
        <w:numPr>
          <w:ilvl w:val="-1"/>
          <w:numId w:val="0"/>
        </w:numPr>
        <w:wordWrap w:val="0"/>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2）</w:t>
      </w:r>
      <w:r>
        <w:rPr>
          <w:rFonts w:hint="eastAsia" w:ascii="宋体" w:hAnsi="宋体" w:eastAsia="宋体" w:cs="宋体"/>
          <w:color w:val="000000" w:themeColor="text1"/>
          <w:spacing w:val="6"/>
          <w:kern w:val="0"/>
          <w:szCs w:val="21"/>
          <w14:textFill>
            <w14:solidFill>
              <w14:schemeClr w14:val="tx1"/>
            </w14:solidFill>
          </w14:textFill>
        </w:rPr>
        <w:t>投标人应认真学习郑州市公共资源交易中心通知公告栏发布的《郑州市公共资源交易中心关于不见面开标大厅系统升级的通知》（网址：</w:t>
      </w:r>
      <w:r>
        <w:rPr>
          <w:rFonts w:hint="eastAsia" w:ascii="宋体" w:hAnsi="宋体" w:eastAsia="宋体" w:cs="宋体"/>
          <w:color w:val="000000" w:themeColor="text1"/>
          <w:spacing w:val="6"/>
          <w:kern w:val="0"/>
          <w:szCs w:val="21"/>
          <w14:textFill>
            <w14:solidFill>
              <w14:schemeClr w14:val="tx1"/>
            </w14:solidFill>
          </w14:textFill>
        </w:rPr>
        <w:fldChar w:fldCharType="begin"/>
      </w:r>
      <w:r>
        <w:rPr>
          <w:rFonts w:hint="eastAsia" w:ascii="宋体" w:hAnsi="宋体" w:eastAsia="宋体" w:cs="宋体"/>
          <w:color w:val="000000" w:themeColor="text1"/>
          <w:spacing w:val="6"/>
          <w:kern w:val="0"/>
          <w:szCs w:val="21"/>
          <w14:textFill>
            <w14:solidFill>
              <w14:schemeClr w14:val="tx1"/>
            </w14:solidFill>
          </w14:textFill>
        </w:rPr>
        <w:instrText xml:space="preserve"> HYPERLINK "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 </w:instrText>
      </w:r>
      <w:r>
        <w:rPr>
          <w:rFonts w:hint="eastAsia" w:ascii="宋体" w:hAnsi="宋体" w:eastAsia="宋体" w:cs="宋体"/>
          <w:color w:val="000000" w:themeColor="text1"/>
          <w:spacing w:val="6"/>
          <w:kern w:val="0"/>
          <w:szCs w:val="21"/>
          <w14:textFill>
            <w14:solidFill>
              <w14:schemeClr w14:val="tx1"/>
            </w14:solidFill>
          </w14:textFill>
        </w:rPr>
        <w:fldChar w:fldCharType="separate"/>
      </w:r>
      <w:r>
        <w:rPr>
          <w:rFonts w:hint="eastAsia" w:ascii="宋体" w:hAnsi="宋体" w:eastAsia="宋体" w:cs="宋体"/>
          <w:color w:val="000000" w:themeColor="text1"/>
          <w:spacing w:val="6"/>
          <w:kern w:val="0"/>
          <w:szCs w:val="21"/>
          <w14:textFill>
            <w14:solidFill>
              <w14:schemeClr w14:val="tx1"/>
            </w14:solidFill>
          </w14:textFill>
        </w:rPr>
        <w:t>http://zzggzy.zhengzhou.gov.cn/tzgg/20220311/cfa4db9c-75b0-493b-9f21-be25cf2c6a8d.html），根据手册及郑州市公共资源交易中心发布的相关补充通知要求做好不见面开标的准备工作，并按要求设置参与不见面开标的电脑环境，否则由此可能引起的、解密失败或无法解密等问题由投标人自行承担。</w:t>
      </w:r>
      <w:r>
        <w:rPr>
          <w:rFonts w:hint="eastAsia" w:ascii="宋体" w:hAnsi="宋体" w:eastAsia="宋体" w:cs="宋体"/>
          <w:color w:val="000000" w:themeColor="text1"/>
          <w:spacing w:val="6"/>
          <w:kern w:val="0"/>
          <w:szCs w:val="21"/>
          <w14:textFill>
            <w14:solidFill>
              <w14:schemeClr w14:val="tx1"/>
            </w14:solidFill>
          </w14:textFill>
        </w:rPr>
        <w:fldChar w:fldCharType="end"/>
      </w:r>
    </w:p>
    <w:p>
      <w:pPr>
        <w:widowControl/>
        <w:shd w:val="clear" w:color="auto" w:fill="FFFFFF"/>
        <w:autoSpaceDE w:val="0"/>
        <w:autoSpaceDN w:val="0"/>
        <w:adjustRightInd w:val="0"/>
        <w:spacing w:before="96" w:after="96" w:line="360" w:lineRule="auto"/>
        <w:ind w:firstLine="444" w:firstLineChars="200"/>
        <w:jc w:val="left"/>
        <w:outlineLvl w:val="0"/>
        <w:rPr>
          <w:rFonts w:hint="eastAsia"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i w:val="0"/>
          <w:iCs w:val="0"/>
          <w:caps w:val="0"/>
          <w:color w:val="000000" w:themeColor="text1"/>
          <w:spacing w:val="6"/>
          <w:kern w:val="0"/>
          <w:sz w:val="21"/>
          <w:szCs w:val="21"/>
          <w:shd w:val="clear"/>
          <w:lang w:val="en-US" w:eastAsia="zh-CN"/>
          <w14:textFill>
            <w14:solidFill>
              <w14:schemeClr w14:val="tx1"/>
            </w14:solidFill>
          </w14:textFill>
        </w:rPr>
        <w:t>3）</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本项目执行政府采购应当有助于实现国家的经济和社会发展政策目标，包括优先采购节能环保、环境标志性产品，优先采购自主创新产品，扶持不发达地区和少数民族地区，网络安全，促进中小企业发展等。</w:t>
      </w:r>
      <w:bookmarkStart w:id="20" w:name="_Toc29606"/>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1" w:name="_Toc29710"/>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20"/>
      <w:bookmarkEnd w:id="21"/>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采购人：河南省儿童医院郑州儿童医院</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址：郑州市金水区郑东新区农业东路与龙湖外环东路交叉口</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联系人：刘刚</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话：0371-85515732</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地址：河南省郑州市东明路187号金成大厦B座10层招标一部</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联系人：王富祯 李金泽</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电话：0371-65528803</w:t>
      </w:r>
    </w:p>
    <w:p>
      <w:pPr>
        <w:pStyle w:val="16"/>
        <w:ind w:left="0" w:leftChars="0" w:firstLine="444" w:firstLineChars="200"/>
        <w:rPr>
          <w:rFonts w:hint="default" w:eastAsia="宋体"/>
          <w:lang w:val="en-US" w:eastAsia="zh-CN"/>
        </w:rPr>
      </w:pPr>
      <w:r>
        <w:rPr>
          <w:rFonts w:hint="eastAsia" w:ascii="宋体" w:hAnsi="宋体" w:cs="宋体"/>
          <w:color w:val="000000" w:themeColor="text1"/>
          <w:spacing w:val="6"/>
          <w:kern w:val="0"/>
          <w:szCs w:val="21"/>
          <w:lang w:val="en-US" w:eastAsia="zh-CN"/>
          <w14:textFill>
            <w14:solidFill>
              <w14:schemeClr w14:val="tx1"/>
            </w14:solidFill>
          </w14:textFill>
        </w:rPr>
        <w:t>电子邮箱：zhaobiao0001@126.com</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项目联系人：王富祯 李金泽</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话：0371-65528803</w:t>
      </w:r>
    </w:p>
    <w:p>
      <w:pPr>
        <w:kinsoku w:val="0"/>
        <w:overflowPunct w:val="0"/>
        <w:autoSpaceDE w:val="0"/>
        <w:autoSpaceDN w:val="0"/>
        <w:adjustRightInd w:val="0"/>
        <w:spacing w:before="36" w:line="360" w:lineRule="auto"/>
        <w:ind w:left="602" w:right="5874" w:hanging="483"/>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22" w:name="_Toc6169"/>
      <w:bookmarkStart w:id="23" w:name="_Toc16773"/>
      <w:bookmarkStart w:id="24" w:name="_Toc32573"/>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22"/>
      <w:bookmarkEnd w:id="23"/>
      <w:bookmarkEnd w:id="24"/>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7"/>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 购 人：河南省儿童医院郑州儿童医院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址：郑州市金水区郑东新区农业东路与龙湖外环东路交叉口</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人：刘刚</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话：0371-85515732</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eastAsia="宋体" w:cs="宋体"/>
              </w:rPr>
              <w:fldChar w:fldCharType="begin"/>
            </w:r>
            <w:r>
              <w:rPr>
                <w:rFonts w:hint="eastAsia" w:ascii="宋体" w:hAnsi="宋体" w:eastAsia="宋体" w:cs="宋体"/>
              </w:rPr>
              <w:instrText xml:space="preserve"> HYPERLINK "mailto:zhaobiao01@163.com"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zhaobiao0001@126.com</w:t>
            </w:r>
            <w:r>
              <w:rPr>
                <w:rFonts w:hint="eastAsia" w:ascii="宋体" w:hAnsi="宋体" w:eastAsia="宋体" w:cs="宋体"/>
                <w:color w:val="000000" w:themeColor="text1"/>
                <w:kern w:val="0"/>
                <w:szCs w:val="21"/>
                <w14:textFill>
                  <w14:solidFill>
                    <w14:schemeClr w14:val="tx1"/>
                  </w14:solidFill>
                </w14:textFill>
              </w:rPr>
              <w:fldChar w:fldCharType="end"/>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auto"/>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郑财招标采购-2022-</w:t>
            </w:r>
            <w:r>
              <w:rPr>
                <w:rFonts w:hint="eastAsia" w:ascii="宋体" w:hAnsi="宋体" w:eastAsia="宋体" w:cs="宋体"/>
                <w:color w:val="000000" w:themeColor="text1"/>
                <w:spacing w:val="6"/>
                <w:kern w:val="0"/>
                <w:szCs w:val="21"/>
                <w:lang w:val="en-US" w:eastAsia="zh-CN"/>
                <w14:textFill>
                  <w14:solidFill>
                    <w14:schemeClr w14:val="tx1"/>
                  </w14:solidFill>
                </w14:textFill>
              </w:rPr>
              <w:t>101</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lang w:val="en-US"/>
                <w14:textFill>
                  <w14:solidFill>
                    <w14:schemeClr w14:val="tx1"/>
                  </w14:solidFill>
                </w14:textFill>
              </w:rPr>
              <w:t>河南省儿童医院郑州儿童医院所需的设备采购、安装、调试、运行及相关伴随服务和质保服务。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河南省儿童医院郑州儿童医院指定地点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详见招标公告</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A包</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3.1、投标货物符合中华人民共和国国务院令第 650 号《医疗器械监督管理条例》及中华人民共和国国务院令第 680 号《国务院关于修改《医疗器械监督管理条例》的决定》相关规定，取得医疗器械注册证或医疗器械产品相关备案凭证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3.2、国内产品的制造商须具有医疗器械生产许可证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；代理商（经销商）须具有医疗器械经营许可证或医疗器械经营备案凭证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如有</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14:textFill>
                  <w14:solidFill>
                    <w14:schemeClr w14:val="tx1"/>
                  </w14:solidFill>
                </w14:textFill>
              </w:rPr>
              <w:t>。</w:t>
            </w:r>
          </w:p>
          <w:p>
            <w:pPr>
              <w:widowControl/>
              <w:wordWrap w:val="0"/>
              <w:spacing w:line="360" w:lineRule="auto"/>
              <w:ind w:firstLine="0" w:firstLineChars="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税收违法黑名单（重大税收违法失信主体）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 开标当天</w:t>
            </w:r>
            <w:r>
              <w:rPr>
                <w:rFonts w:hint="eastAsia" w:ascii="宋体" w:hAnsi="宋体" w:eastAsia="宋体" w:cs="宋体"/>
                <w:color w:val="000000" w:themeColor="text1"/>
                <w:spacing w:val="6"/>
                <w:kern w:val="0"/>
                <w:szCs w:val="21"/>
                <w:lang w:eastAsia="zh-CN"/>
                <w14:textFill>
                  <w14:solidFill>
                    <w14:schemeClr w14:val="tx1"/>
                  </w14:solidFill>
                </w14:textFill>
              </w:rPr>
              <w:t>，代理机构</w:t>
            </w:r>
            <w:r>
              <w:rPr>
                <w:rFonts w:hint="eastAsia" w:ascii="宋体" w:hAnsi="宋体" w:eastAsia="宋体" w:cs="宋体"/>
                <w:color w:val="000000" w:themeColor="text1"/>
                <w:spacing w:val="6"/>
                <w:kern w:val="0"/>
                <w:szCs w:val="21"/>
                <w14:textFill>
                  <w14:solidFill>
                    <w14:schemeClr w14:val="tx1"/>
                  </w14:solidFill>
                </w14:textFill>
              </w:rPr>
              <w:t xml:space="preserve">通过“ 国家企业信用信息公示系统” </w:t>
            </w:r>
            <w:r>
              <w:fldChar w:fldCharType="begin"/>
            </w:r>
            <w:r>
              <w:instrText xml:space="preserve"> HYPERLINK "http://www.gsxt.gov.cn/corp-query-homepage.html" </w:instrText>
            </w:r>
            <w:r>
              <w:fldChar w:fldCharType="separate"/>
            </w:r>
            <w:r>
              <w:rPr>
                <w:rFonts w:hint="eastAsia" w:ascii="宋体" w:hAnsi="宋体" w:eastAsia="宋体" w:cs="宋体"/>
                <w:color w:val="000000" w:themeColor="text1"/>
                <w:spacing w:val="6"/>
                <w:kern w:val="0"/>
                <w:szCs w:val="21"/>
                <w14:textFill>
                  <w14:solidFill>
                    <w14:schemeClr w14:val="tx1"/>
                  </w14:solidFill>
                </w14:textFill>
              </w:rPr>
              <w:t>（www.gsxt.gov.cn/corp-query-homepage.html</w:t>
            </w:r>
            <w:r>
              <w:rPr>
                <w:rFonts w:hint="eastAsia" w:ascii="宋体" w:hAnsi="宋体" w:eastAsia="宋体" w:cs="宋体"/>
                <w:color w:val="000000" w:themeColor="text1"/>
                <w:spacing w:val="6"/>
                <w:kern w:val="0"/>
                <w:szCs w:val="21"/>
                <w14:textFill>
                  <w14:solidFill>
                    <w14:schemeClr w14:val="tx1"/>
                  </w14:solidFill>
                </w14:textFill>
              </w:rPr>
              <w:fldChar w:fldCharType="end"/>
            </w:r>
            <w:r>
              <w:rPr>
                <w:rFonts w:hint="eastAsia" w:ascii="宋体" w:hAnsi="宋体" w:eastAsia="宋体" w:cs="宋体"/>
                <w:color w:val="000000" w:themeColor="text1"/>
                <w:spacing w:val="6"/>
                <w:kern w:val="0"/>
                <w:szCs w:val="21"/>
                <w14:textFill>
                  <w14:solidFill>
                    <w14:schemeClr w14:val="tx1"/>
                  </w14:solidFill>
                </w14:textFill>
              </w:rPr>
              <w:t>）查询股东信息】</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widowControl/>
              <w:wordWrap w:val="0"/>
              <w:spacing w:line="360" w:lineRule="auto"/>
              <w:ind w:firstLine="0" w:firstLineChars="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r>
              <w:rPr>
                <w:rFonts w:hint="eastAsia" w:ascii="宋体" w:hAnsi="宋体" w:eastAsia="宋体" w:cs="宋体"/>
                <w:color w:val="000000" w:themeColor="text1"/>
                <w:spacing w:val="6"/>
                <w:kern w:val="0"/>
                <w:szCs w:val="21"/>
                <w:lang w:val="en-US" w:eastAsia="zh-CN"/>
                <w14:textFill>
                  <w14:solidFill>
                    <w14:schemeClr w14:val="tx1"/>
                  </w14:solidFill>
                </w14:textFill>
              </w:rPr>
              <w:t>3.6、供应商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p/>
          <w:p/>
          <w:p/>
          <w:p/>
          <w:p/>
          <w:p/>
          <w:p>
            <w:pPr>
              <w:widowControl/>
              <w:wordWrap w:val="0"/>
              <w:spacing w:line="360" w:lineRule="auto"/>
              <w:ind w:firstLine="0" w:firstLineChars="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blPrEx>
          <w:tblCellMar>
            <w:top w:w="0" w:type="dxa"/>
            <w:left w:w="0" w:type="dxa"/>
            <w:bottom w:w="0" w:type="dxa"/>
            <w:right w:w="0" w:type="dxa"/>
          </w:tblCellMar>
        </w:tblPrEx>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lang w:val="en-US" w:eastAsia="zh-CN"/>
                <w14:textFill>
                  <w14:solidFill>
                    <w14:schemeClr w14:val="tx1"/>
                  </w14:solidFill>
                </w14:textFill>
              </w:rPr>
              <w:t>1</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本</w:t>
            </w:r>
            <w:r>
              <w:rPr>
                <w:rFonts w:hint="eastAsia" w:ascii="宋体" w:hAnsi="宋体" w:eastAsia="宋体" w:cs="宋体"/>
                <w:color w:val="000000" w:themeColor="text1"/>
                <w:spacing w:val="2"/>
                <w:kern w:val="0"/>
                <w:szCs w:val="21"/>
                <w:lang w:eastAsia="zh-CN"/>
                <w14:textFill>
                  <w14:solidFill>
                    <w14:schemeClr w14:val="tx1"/>
                  </w14:solidFill>
                </w14:textFill>
              </w:rPr>
              <w:t>包段</w:t>
            </w:r>
            <w:r>
              <w:rPr>
                <w:rFonts w:hint="eastAsia" w:ascii="宋体" w:hAnsi="宋体" w:eastAsia="宋体" w:cs="宋体"/>
                <w:color w:val="000000" w:themeColor="text1"/>
                <w:spacing w:val="2"/>
                <w:kern w:val="0"/>
                <w:szCs w:val="21"/>
                <w14:textFill>
                  <w14:solidFill>
                    <w14:schemeClr w14:val="tx1"/>
                  </w14:solidFill>
                </w14:textFill>
              </w:rPr>
              <w:t>专门面向中小企业、监狱企业及残疾人福利性单位采购。</w:t>
            </w:r>
          </w:p>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（2）节能产品、环境标志产品政府采购政策</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①根据财政部 发展改革委 生态环境部 市场监管总局《关于调整优化节能产品、环境标志产品政府采购执行机制的通知》（财库〔2019〕9号）要求，本项目若含有节能产品政府采购品目清单内政府强制采购产品，供应商须选用国家公布的认证机构认证的处于有效期之内的政府强制采购节能产品。本项目若含有节能产品、环境标志产品政府采购品目清单内政府优先采购产品，在性能、技术、服务等指标同等条件下，优先采购国家公布的认证机构认证的处于有效期之内的节能产品（政府强制采购产品除外）、环境标志产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供应商应提供国家公布的认证机构出具的处于有效期之内的节能产品、环境标志产品认证证书。</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②对于同时获得节能产品和环境标志产品认证证书产品，只给予其中一种认证证书产品优先采购。</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③按品目清单内的政府优先采购节能产品和环境标志产品金额之和占其总价的比例，比例高的优先。</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w:t>
            </w:r>
            <w:r>
              <w:rPr>
                <w:rFonts w:hint="eastAsia" w:ascii="宋体" w:hAnsi="宋体" w:eastAsia="宋体" w:cs="宋体"/>
                <w:color w:val="000000" w:themeColor="text1"/>
                <w:spacing w:val="2"/>
                <w:kern w:val="0"/>
                <w:szCs w:val="21"/>
                <w:lang w:eastAsia="zh-CN"/>
                <w14:textFill>
                  <w14:solidFill>
                    <w14:schemeClr w14:val="tx1"/>
                  </w14:solidFill>
                </w14:textFill>
              </w:rPr>
              <w:t>采购</w:t>
            </w:r>
            <w:r>
              <w:rPr>
                <w:rFonts w:hint="eastAsia" w:ascii="宋体" w:hAnsi="宋体" w:eastAsia="宋体" w:cs="宋体"/>
                <w:color w:val="000000" w:themeColor="text1"/>
                <w:spacing w:val="2"/>
                <w:kern w:val="0"/>
                <w:szCs w:val="21"/>
                <w14:textFill>
                  <w14:solidFill>
                    <w14:schemeClr w14:val="tx1"/>
                  </w14:solidFill>
                </w14:textFill>
              </w:rPr>
              <w:t>文件中凡有进入国家强制认证（CCC 认证）产品目录中的产品，供应商所投产品必须通过 CCC 认证。</w:t>
            </w:r>
          </w:p>
          <w:p>
            <w:pPr>
              <w:autoSpaceDE w:val="0"/>
              <w:autoSpaceDN w:val="0"/>
              <w:adjustRightInd w:val="0"/>
              <w:spacing w:line="360" w:lineRule="auto"/>
              <w:ind w:right="23"/>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 根据《财政部 工业和信息化部 国家质检总局 国家认监委关于信息安全产品实施政府采购的通知》财库〔2010〕48 号文件要求，各潜在供应商在本次投标活动中投标货物中，如有涉及到安全操作系统产品、安全隔离与信息交换产品、安全路由器产品、反垃圾邮件产品、防火墙产品、入侵检测系统产品、数据备份与恢复产品、网络安全隔离卡与线路选择器产品、网站恢复产品、智能卡 cos 产品时，则所投涉及上述货物的产品必须提供由中国信息安全认证中心颁发的有效认证证书。</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质量保证期不满足采购文件要求的；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autoSpaceDE w:val="0"/>
              <w:autoSpaceDN w:val="0"/>
              <w:adjustRightInd w:val="0"/>
              <w:snapToGri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rPr>
              <w:t>听觉言语语言喉功能检测处理系统（含2个学习机）</w:t>
            </w:r>
            <w:r>
              <w:rPr>
                <w:rFonts w:hint="eastAsia" w:ascii="宋体" w:hAnsi="宋体" w:eastAsia="宋体" w:cs="宋体"/>
                <w:color w:val="000000" w:themeColor="text1"/>
                <w:kern w:val="0"/>
                <w:szCs w:val="21"/>
                <w:lang w:val="en-US" w:eastAsia="zh-CN"/>
                <w14:textFill>
                  <w14:solidFill>
                    <w14:schemeClr w14:val="tx1"/>
                  </w14:solidFill>
                </w14:textFill>
              </w:rPr>
              <w:t>：1620000.00元；</w:t>
            </w:r>
          </w:p>
          <w:p/>
          <w:p/>
          <w:p/>
          <w:p/>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供应商投标报价超出预算价及招标控制价的按无效标处理。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90 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rPr>
            </w:pPr>
            <w:r>
              <w:rPr>
                <w:rFonts w:hint="eastAsia"/>
              </w:rPr>
              <w:t>参加本项目政府采购活动的供应商应具备政府采购法二十二条和本项目采 购文件规定的条件，应当提供以下要求的证明材料，未按要求提供或提供 不全的按无效标处理。</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一、</w:t>
            </w:r>
            <w:r>
              <w:rPr>
                <w:rFonts w:hint="eastAsia"/>
              </w:rPr>
              <w:t xml:space="preserve">资格申明（提供资格声明）；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wordWrap w:val="0"/>
              <w:spacing w:line="360" w:lineRule="auto"/>
              <w:jc w:val="left"/>
              <w:rPr>
                <w:rFonts w:hint="eastAsia"/>
              </w:rPr>
            </w:pPr>
            <w:r>
              <w:rPr>
                <w:rFonts w:hint="eastAsia"/>
                <w:lang w:eastAsia="zh-CN"/>
              </w:rPr>
              <w:t>三、</w:t>
            </w: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lang w:eastAsia="zh-CN"/>
              </w:rPr>
            </w:pPr>
            <w:r>
              <w:rPr>
                <w:rFonts w:hint="eastAsia"/>
                <w:lang w:val="en-US" w:eastAsia="zh-CN"/>
              </w:rPr>
              <w:t>四、</w:t>
            </w: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numPr>
                <w:ilvl w:val="0"/>
                <w:numId w:val="0"/>
              </w:numPr>
              <w:kinsoku/>
              <w:wordWrap w:val="0"/>
              <w:overflowPunct/>
              <w:autoSpaceDE w:val="0"/>
              <w:autoSpaceDN w:val="0"/>
              <w:adjustRightInd w:val="0"/>
              <w:spacing w:line="360" w:lineRule="auto"/>
              <w:ind w:left="0" w:leftChars="0"/>
              <w:jc w:val="left"/>
              <w:rPr>
                <w:rFonts w:hint="eastAsia"/>
                <w:lang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lang w:eastAsia="zh-CN"/>
              </w:rPr>
              <w:t>供应商</w:t>
            </w:r>
            <w:r>
              <w:rPr>
                <w:rFonts w:hint="eastAsia"/>
              </w:rPr>
              <w:t>提供资格声明</w:t>
            </w:r>
            <w:r>
              <w:rPr>
                <w:rFonts w:hint="eastAsia"/>
                <w:lang w:eastAsia="zh-CN"/>
              </w:rPr>
              <w:t>，</w:t>
            </w:r>
            <w:r>
              <w:rPr>
                <w:rFonts w:hint="eastAsia"/>
              </w:rPr>
              <w:t>开标当天</w:t>
            </w:r>
            <w:r>
              <w:rPr>
                <w:rFonts w:hint="eastAsia"/>
                <w:lang w:eastAsia="zh-CN"/>
              </w:rPr>
              <w:t>，代理机构</w:t>
            </w:r>
            <w:r>
              <w:rPr>
                <w:rFonts w:hint="eastAsia"/>
              </w:rPr>
              <w:t xml:space="preserve">通过“ 国家企业信用信息公示系统” </w:t>
            </w:r>
            <w:r>
              <w:rPr>
                <w:rFonts w:hint="eastAsia"/>
              </w:rPr>
              <w:fldChar w:fldCharType="begin"/>
            </w:r>
            <w:r>
              <w:rPr>
                <w:rFonts w:hint="eastAsia"/>
              </w:rPr>
              <w:instrText xml:space="preserve"> HYPERLINK "http://www.gsxt.gov.cn/corp-query-homepage.html" </w:instrText>
            </w:r>
            <w:r>
              <w:rPr>
                <w:rFonts w:hint="eastAsia"/>
              </w:rPr>
              <w:fldChar w:fldCharType="separate"/>
            </w:r>
            <w:r>
              <w:rPr>
                <w:rFonts w:hint="eastAsia"/>
              </w:rPr>
              <w:t>（www.gsxt.gov.cn/corp-query-homepage.html</w:t>
            </w:r>
            <w:r>
              <w:rPr>
                <w:rFonts w:hint="eastAsia"/>
              </w:rPr>
              <w:fldChar w:fldCharType="end"/>
            </w:r>
            <w:r>
              <w:rPr>
                <w:rFonts w:hint="eastAsia"/>
              </w:rPr>
              <w:t>）查询股东信息】 【以上各项要求中，如有供应商成立时限不足要求时限的，由供应商根据自身成立时间提供证明资料】</w:t>
            </w:r>
            <w:r>
              <w:rPr>
                <w:rFonts w:hint="eastAsia"/>
                <w:lang w:eastAsia="zh-CN"/>
              </w:rPr>
              <w:t>。</w:t>
            </w:r>
          </w:p>
          <w:p>
            <w:pPr>
              <w:numPr>
                <w:ilvl w:val="0"/>
                <w:numId w:val="0"/>
              </w:numPr>
              <w:wordWrap w:val="0"/>
              <w:autoSpaceDE w:val="0"/>
              <w:autoSpaceDN w:val="0"/>
              <w:adjustRightInd w:val="0"/>
              <w:spacing w:line="360" w:lineRule="auto"/>
              <w:jc w:val="left"/>
              <w:rPr>
                <w:rFonts w:hint="eastAsia"/>
                <w:lang w:eastAsia="zh-CN"/>
              </w:rPr>
            </w:pPr>
            <w:r>
              <w:rPr>
                <w:rFonts w:hint="eastAsia"/>
                <w:lang w:eastAsia="zh-CN"/>
              </w:rPr>
              <w:t>六、</w:t>
            </w:r>
            <w:r>
              <w:rPr>
                <w:rFonts w:hint="eastAsia" w:asciiTheme="minorHAnsi" w:hAnsiTheme="minorHAnsi" w:eastAsiaTheme="minorEastAsia" w:cstheme="minorBidi"/>
                <w:color w:val="000000" w:themeColor="text1"/>
                <w:spacing w:val="0"/>
                <w:kern w:val="2"/>
                <w:szCs w:val="22"/>
                <w:lang w:val="en-US" w:eastAsia="zh-CN"/>
                <w14:textFill>
                  <w14:solidFill>
                    <w14:schemeClr w14:val="tx1"/>
                  </w14:solidFill>
                </w14:textFill>
              </w:rPr>
              <w:t>供应商</w:t>
            </w:r>
            <w:r>
              <w:rPr>
                <w:rFonts w:hint="eastAsia" w:asciiTheme="minorHAnsi" w:hAnsiTheme="minorHAnsi" w:eastAsiaTheme="minorEastAsia" w:cstheme="minorBidi"/>
                <w:color w:val="000000" w:themeColor="text1"/>
                <w:spacing w:val="0"/>
                <w:kern w:val="2"/>
                <w:sz w:val="21"/>
                <w:szCs w:val="22"/>
                <w14:textFill>
                  <w14:solidFill>
                    <w14:schemeClr w14:val="tx1"/>
                  </w14:solidFill>
                </w14:textFill>
              </w:rPr>
              <w:t>必须提供医疗器械检验报告或者软件测试报告，系统软件的功能与质量要求应符合GB/T 25000.51国家标准。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②加密的电子投标文件1份（*.ZZTF 格式）。加密的电子投标文件是指通过郑州市公共资源交易中心网站（http：//www.zzsggzy.com/）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
                <w:bCs/>
                <w:color w:val="000000" w:themeColor="text1"/>
                <w:w w:val="99"/>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b/>
                <w:bCs/>
                <w:color w:val="auto"/>
                <w:kern w:val="0"/>
                <w:szCs w:val="21"/>
              </w:rPr>
              <w:t>202</w:t>
            </w:r>
            <w:r>
              <w:rPr>
                <w:rFonts w:hint="eastAsia" w:ascii="宋体" w:hAnsi="宋体" w:eastAsia="宋体" w:cs="宋体"/>
                <w:b/>
                <w:bCs/>
                <w:color w:val="auto"/>
                <w:kern w:val="0"/>
                <w:szCs w:val="21"/>
                <w:lang w:val="en-US" w:eastAsia="zh-CN"/>
              </w:rPr>
              <w:t>3</w:t>
            </w:r>
            <w:r>
              <w:rPr>
                <w:rFonts w:hint="eastAsia" w:ascii="宋体" w:hAnsi="宋体" w:eastAsia="宋体" w:cs="宋体"/>
                <w:b/>
                <w:bCs/>
                <w:color w:val="auto"/>
                <w:kern w:val="0"/>
                <w:szCs w:val="21"/>
              </w:rPr>
              <w:t>年</w:t>
            </w:r>
            <w:r>
              <w:rPr>
                <w:rFonts w:hint="eastAsia" w:ascii="宋体" w:hAnsi="宋体" w:eastAsia="宋体" w:cs="宋体"/>
                <w:b/>
                <w:bCs/>
                <w:color w:val="auto"/>
                <w:kern w:val="0"/>
                <w:szCs w:val="21"/>
                <w:lang w:val="en-US" w:eastAsia="zh-CN"/>
              </w:rPr>
              <w:t>6</w:t>
            </w:r>
            <w:r>
              <w:rPr>
                <w:rFonts w:hint="eastAsia" w:ascii="宋体" w:hAnsi="宋体" w:eastAsia="宋体" w:cs="宋体"/>
                <w:b/>
                <w:bCs/>
                <w:color w:val="auto"/>
                <w:kern w:val="0"/>
                <w:szCs w:val="21"/>
              </w:rPr>
              <w:t>月</w:t>
            </w:r>
            <w:r>
              <w:rPr>
                <w:rFonts w:hint="eastAsia" w:ascii="宋体" w:hAnsi="宋体" w:eastAsia="宋体" w:cs="宋体"/>
                <w:b/>
                <w:bCs/>
                <w:color w:val="auto"/>
                <w:kern w:val="0"/>
                <w:szCs w:val="21"/>
                <w:lang w:val="en-US" w:eastAsia="zh-CN"/>
              </w:rPr>
              <w:t>15</w:t>
            </w:r>
            <w:r>
              <w:rPr>
                <w:rFonts w:hint="eastAsia" w:ascii="宋体" w:hAnsi="宋体" w:eastAsia="宋体" w:cs="宋体"/>
                <w:b/>
                <w:bCs/>
                <w:color w:val="auto"/>
                <w:kern w:val="0"/>
                <w:szCs w:val="21"/>
              </w:rPr>
              <w:t>日10:00（北京时间）</w:t>
            </w:r>
            <w:r>
              <w:rPr>
                <w:rFonts w:hint="eastAsia" w:ascii="宋体" w:hAnsi="宋体" w:eastAsia="宋体" w:cs="宋体"/>
                <w:b/>
                <w:bCs/>
                <w:color w:val="auto"/>
                <w:w w:val="99"/>
                <w:kern w:val="0"/>
                <w:szCs w:val="21"/>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开标地点：郑州市公共资源交易中心门户网站远程开标大厅（http://zzggzy.zhengzhou.gov.cn/BidOpening）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4"/>
                <w:kern w:val="0"/>
                <w:szCs w:val="21"/>
                <w14:textFill>
                  <w14:solidFill>
                    <w14:schemeClr w14:val="tx1"/>
                  </w14:solidFill>
                </w14:textFill>
              </w:rPr>
              <w:t>采购人将根据招标采购设备的特点依法组建</w:t>
            </w:r>
            <w:r>
              <w:rPr>
                <w:rFonts w:hint="eastAsia" w:ascii="宋体" w:hAnsi="宋体" w:eastAsia="宋体" w:cs="宋体"/>
                <w:color w:val="000000" w:themeColor="text1"/>
                <w:spacing w:val="-4"/>
                <w:kern w:val="0"/>
                <w:szCs w:val="21"/>
                <w:lang w:val="en-US" w:eastAsia="zh-CN"/>
                <w14:textFill>
                  <w14:solidFill>
                    <w14:schemeClr w14:val="tx1"/>
                  </w14:solidFill>
                </w14:textFill>
              </w:rPr>
              <w:t>7</w:t>
            </w:r>
            <w:r>
              <w:rPr>
                <w:rFonts w:hint="eastAsia" w:ascii="宋体" w:hAnsi="宋体" w:eastAsia="宋体" w:cs="宋体"/>
                <w:color w:val="000000" w:themeColor="text1"/>
                <w:spacing w:val="-4"/>
                <w:kern w:val="0"/>
                <w:szCs w:val="21"/>
                <w14:textFill>
                  <w14:solidFill>
                    <w14:schemeClr w14:val="tx1"/>
                  </w14:solidFill>
                </w14:textFill>
              </w:rPr>
              <w:t>人评标委员会，</w:t>
            </w:r>
            <w:r>
              <w:rPr>
                <w:rFonts w:hint="eastAsia" w:ascii="宋体" w:hAnsi="宋体" w:eastAsia="宋体" w:cs="宋体"/>
                <w:color w:val="000000" w:themeColor="text1"/>
                <w:kern w:val="0"/>
                <w:szCs w:val="21"/>
                <w14:textFill>
                  <w14:solidFill>
                    <w14:schemeClr w14:val="tx1"/>
                  </w14:solidFill>
                </w14:textFill>
              </w:rPr>
              <w:t>其中</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val="en-US" w:eastAsia="zh-CN"/>
                <w14:textFill>
                  <w14:solidFill>
                    <w14:schemeClr w14:val="tx1"/>
                  </w14:solidFill>
                </w14:textFill>
              </w:rPr>
              <w:t>5人，采购人代表2人，</w:t>
            </w:r>
            <w:r>
              <w:rPr>
                <w:rFonts w:hint="eastAsia" w:ascii="宋体" w:hAnsi="宋体" w:eastAsia="宋体" w:cs="宋体"/>
                <w:color w:val="000000" w:themeColor="text1"/>
                <w:kern w:val="0"/>
                <w:szCs w:val="21"/>
                <w:lang w:eastAsia="zh-CN"/>
                <w14:textFill>
                  <w14:solidFill>
                    <w14:schemeClr w14:val="tx1"/>
                  </w14:solidFill>
                </w14:textFill>
              </w:rPr>
              <w:t>经济、技术</w:t>
            </w:r>
            <w:r>
              <w:rPr>
                <w:rFonts w:hint="eastAsia" w:ascii="宋体" w:hAnsi="宋体" w:eastAsia="宋体" w:cs="宋体"/>
                <w:color w:val="000000" w:themeColor="text1"/>
                <w:kern w:val="0"/>
                <w:szCs w:val="21"/>
                <w14:textFill>
                  <w14:solidFill>
                    <w14:schemeClr w14:val="tx1"/>
                  </w14:solidFill>
                </w14:textFill>
              </w:rPr>
              <w:t>评审专家</w:t>
            </w:r>
            <w:r>
              <w:rPr>
                <w:rFonts w:hint="eastAsia" w:ascii="宋体" w:hAnsi="宋体" w:eastAsia="宋体" w:cs="宋体"/>
                <w:color w:val="000000" w:themeColor="text1"/>
                <w:kern w:val="0"/>
                <w:szCs w:val="21"/>
                <w:lang w:eastAsia="zh-CN"/>
                <w14:textFill>
                  <w14:solidFill>
                    <w14:schemeClr w14:val="tx1"/>
                  </w14:solidFill>
                </w14:textFill>
              </w:rPr>
              <w:t>由河南省政府采购评审专家库中随机抽取</w:t>
            </w:r>
            <w:r>
              <w:rPr>
                <w:rFonts w:hint="eastAsia" w:ascii="宋体" w:hAnsi="宋体" w:eastAsia="宋体" w:cs="宋体"/>
                <w:color w:val="000000" w:themeColor="text1"/>
                <w:kern w:val="0"/>
                <w:szCs w:val="21"/>
                <w:lang w:val="en-US" w:eastAsia="zh-CN"/>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ind w:firstLine="315" w:firstLineChars="15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《河南省政府采购网》、《郑州市政府采购网》、《郑州市公共资源交易中心网》、《中国招标投标公共服务平台》、《河南省电子招标投标公共服务平台》</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址：河南省郑州市东明路187号金成大厦B座10层招标一部</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人：王富祯 李金泽</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话：0371-65528803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w:t>
            </w:r>
            <w:r>
              <w:rPr>
                <w:rFonts w:hint="eastAsia" w:ascii="宋体" w:hAnsi="宋体" w:eastAsia="宋体" w:cs="宋体"/>
              </w:rPr>
              <w:fldChar w:fldCharType="begin"/>
            </w:r>
            <w:r>
              <w:rPr>
                <w:rFonts w:hint="eastAsia" w:ascii="宋体" w:hAnsi="宋体" w:eastAsia="宋体" w:cs="宋体"/>
              </w:rPr>
              <w:instrText xml:space="preserve"> HYPERLINK "mailto:zhaobiao01@126.com" </w:instrText>
            </w:r>
            <w:r>
              <w:rPr>
                <w:rFonts w:hint="eastAsia" w:ascii="宋体" w:hAnsi="宋体" w:eastAsia="宋体" w:cs="宋体"/>
              </w:rPr>
              <w:fldChar w:fldCharType="separate"/>
            </w:r>
            <w:r>
              <w:rPr>
                <w:rFonts w:hint="eastAsia" w:ascii="宋体" w:hAnsi="宋体" w:eastAsia="宋体" w:cs="宋体"/>
                <w:color w:val="000000" w:themeColor="text1"/>
                <w:kern w:val="0"/>
                <w:szCs w:val="21"/>
                <w14:textFill>
                  <w14:solidFill>
                    <w14:schemeClr w14:val="tx1"/>
                  </w14:solidFill>
                </w14:textFill>
              </w:rPr>
              <w:t>zhaobiao01@126.com</w:t>
            </w:r>
            <w:r>
              <w:rPr>
                <w:rFonts w:hint="eastAsia" w:ascii="宋体" w:hAnsi="宋体" w:eastAsia="宋体" w:cs="宋体"/>
                <w:color w:val="000000" w:themeColor="text1"/>
                <w:kern w:val="0"/>
                <w:szCs w:val="21"/>
                <w14:textFill>
                  <w14:solidFill>
                    <w14:schemeClr w14:val="tx1"/>
                  </w14:solidFill>
                </w14:textFill>
              </w:rPr>
              <w:fldChar w:fldCharType="end"/>
            </w:r>
          </w:p>
        </w:tc>
      </w:tr>
      <w:tr>
        <w:tblPrEx>
          <w:tblCellMar>
            <w:top w:w="0" w:type="dxa"/>
            <w:left w:w="0" w:type="dxa"/>
            <w:bottom w:w="0" w:type="dxa"/>
            <w:right w:w="0" w:type="dxa"/>
          </w:tblCellMar>
        </w:tblPrEx>
        <w:trPr>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vMerge w:val="restart"/>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开户名称：河南省机电设备国际招标有限公司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开户账户：建设银行郑州直属支行</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开户账号：41001526010059688888</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vMerge w:val="continue"/>
            <w:tcBorders>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本项目招标代理服务费参考原国家计委《招标代理服务收费管理暂行办法（计价格【2002】1980号）》和《国家发展和改革委员会办公厅关于招标代理服务费有关问题的通知》（发改办价格【2003】857号）和《国家发展改革委关于降低部分建设项目收费标准规范收费行为等有关问题的通知》（发改价格【2011】534号）中相关收费规定，由中标人</w:t>
            </w:r>
            <w:r>
              <w:rPr>
                <w:rFonts w:hint="eastAsia" w:ascii="宋体" w:hAnsi="宋体" w:eastAsia="宋体" w:cs="宋体"/>
                <w:i w:val="0"/>
                <w:iCs w:val="0"/>
                <w:caps w:val="0"/>
                <w:color w:val="000000" w:themeColor="text1"/>
                <w:spacing w:val="0"/>
                <w:kern w:val="0"/>
                <w:sz w:val="21"/>
                <w:szCs w:val="21"/>
                <w:shd w:val="clear"/>
                <w:lang w:eastAsia="zh-CN"/>
                <w14:textFill>
                  <w14:solidFill>
                    <w14:schemeClr w14:val="tx1"/>
                  </w14:solidFill>
                </w14:textFill>
              </w:rPr>
              <w:t>向代理机构</w:t>
            </w:r>
            <w:r>
              <w:rPr>
                <w:rFonts w:hint="eastAsia" w:ascii="宋体" w:hAnsi="宋体" w:eastAsia="宋体" w:cs="宋体"/>
                <w:i w:val="0"/>
                <w:iCs w:val="0"/>
                <w:caps w:val="0"/>
                <w:color w:val="000000" w:themeColor="text1"/>
                <w:spacing w:val="0"/>
                <w:kern w:val="0"/>
                <w:sz w:val="21"/>
                <w:szCs w:val="21"/>
                <w:shd w:val="clear" w:fill="auto"/>
                <w14:textFill>
                  <w14:solidFill>
                    <w14:schemeClr w14:val="tx1"/>
                  </w14:solidFill>
                </w14:textFill>
              </w:rPr>
              <w:t>支付。</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25" w:name="_Toc9716"/>
      <w:bookmarkStart w:id="26" w:name="_Toc5960094"/>
      <w:bookmarkStart w:id="27" w:name="_Toc17887121"/>
      <w:bookmarkStart w:id="28" w:name="_Toc28774"/>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9" w:name="_Toc23294"/>
      <w:r>
        <w:rPr>
          <w:rFonts w:hint="eastAsia" w:ascii="Times New Roman" w:hAnsi="宋体" w:eastAsia="宋体" w:cs="Times New Roman"/>
          <w:color w:val="000000" w:themeColor="text1"/>
          <w:kern w:val="0"/>
          <w:szCs w:val="21"/>
          <w14:textFill>
            <w14:solidFill>
              <w14:schemeClr w14:val="tx1"/>
            </w14:solidFill>
          </w14:textFill>
        </w:rPr>
        <w:t>附件 1：</w:t>
      </w:r>
      <w:bookmarkEnd w:id="25"/>
      <w:bookmarkEnd w:id="29"/>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 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 融资工作的通知》（郑财购〔2018〕4 号），按照双方自愿的原则提供便捷、优惠的贷款服务。贷款渠道和提供贷款的金融机构，可在郑州市政府采购网“郑州市政府采购合同融资入口”查询联系。</w:t>
      </w:r>
    </w:p>
    <w:p>
      <w:pPr>
        <w:pStyle w:val="5"/>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bookmarkStart w:id="30" w:name="_Toc30008"/>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pStyle w:val="1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hint="eastAsia" w:ascii="Times New Roman"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31" w:name="_Toc2686"/>
      <w:r>
        <w:rPr>
          <w:rFonts w:hint="eastAsia" w:ascii="Times New Roman" w:hAnsi="宋体" w:eastAsia="宋体" w:cs="Times New Roman"/>
          <w:color w:val="000000" w:themeColor="text1"/>
          <w:kern w:val="0"/>
          <w:szCs w:val="21"/>
          <w14:textFill>
            <w14:solidFill>
              <w14:schemeClr w14:val="tx1"/>
            </w14:solidFill>
          </w14:textFill>
        </w:rPr>
        <w:t>附件2</w:t>
      </w:r>
      <w:bookmarkEnd w:id="30"/>
      <w:bookmarkEnd w:id="31"/>
    </w:p>
    <w:p>
      <w:pPr>
        <w:pStyle w:val="14"/>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6"/>
        <w:rPr>
          <w:color w:val="000000" w:themeColor="text1"/>
          <w14:textFill>
            <w14:solidFill>
              <w14:schemeClr w14:val="tx1"/>
            </w14:solidFill>
          </w14:textFill>
        </w:rPr>
      </w:pPr>
    </w:p>
    <w:p>
      <w:pPr>
        <w:pStyle w:val="21"/>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26"/>
      <w:bookmarkEnd w:id="27"/>
      <w:bookmarkEnd w:id="28"/>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质量保证期：见供应商须知前附表。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2" w:name="_Toc5960095"/>
      <w:bookmarkStart w:id="33" w:name="_Toc21907"/>
      <w:bookmarkStart w:id="34" w:name="_Toc17887122"/>
      <w:r>
        <w:rPr>
          <w:rFonts w:hint="eastAsia" w:ascii="宋体" w:hAnsi="宋体" w:eastAsia="宋体" w:cs="宋体"/>
          <w:b/>
          <w:bCs/>
          <w:color w:val="000000" w:themeColor="text1"/>
          <w:kern w:val="0"/>
          <w:szCs w:val="21"/>
          <w14:textFill>
            <w14:solidFill>
              <w14:schemeClr w14:val="tx1"/>
            </w14:solidFill>
          </w14:textFill>
        </w:rPr>
        <w:t>二、采购文件</w:t>
      </w:r>
      <w:bookmarkEnd w:id="32"/>
      <w:bookmarkEnd w:id="33"/>
      <w:bookmarkEnd w:id="34"/>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35" w:name="_Toc17887123"/>
      <w:bookmarkStart w:id="36" w:name="_Toc28143"/>
      <w:bookmarkStart w:id="37" w:name="_Toc5960096"/>
      <w:r>
        <w:rPr>
          <w:rFonts w:hint="eastAsia" w:ascii="宋体" w:hAnsi="宋体" w:eastAsia="宋体" w:cs="宋体"/>
          <w:b/>
          <w:bCs/>
          <w:color w:val="000000" w:themeColor="text1"/>
          <w:kern w:val="0"/>
          <w:szCs w:val="21"/>
          <w14:textFill>
            <w14:solidFill>
              <w14:schemeClr w14:val="tx1"/>
            </w14:solidFill>
          </w14:textFill>
        </w:rPr>
        <w:t>三、投标文件的编制</w:t>
      </w:r>
      <w:bookmarkEnd w:id="35"/>
      <w:bookmarkEnd w:id="36"/>
      <w:bookmarkEnd w:id="3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38"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38"/>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39" w:name="_Toc5960099"/>
      <w:bookmarkStart w:id="40" w:name="_Toc26529"/>
      <w:bookmarkStart w:id="41" w:name="_Toc17887124"/>
      <w:r>
        <w:rPr>
          <w:rFonts w:hint="eastAsia" w:ascii="宋体" w:hAnsi="宋体" w:eastAsia="宋体" w:cs="宋体"/>
          <w:b/>
          <w:bCs/>
          <w:color w:val="000000" w:themeColor="text1"/>
          <w:kern w:val="0"/>
          <w:szCs w:val="21"/>
          <w14:textFill>
            <w14:solidFill>
              <w14:schemeClr w14:val="tx1"/>
            </w14:solidFill>
          </w14:textFill>
        </w:rPr>
        <w:t>四、投标文件的递交</w:t>
      </w:r>
      <w:bookmarkEnd w:id="39"/>
      <w:bookmarkEnd w:id="40"/>
      <w:bookmarkEnd w:id="41"/>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42" w:name="_Toc5946372"/>
      <w:bookmarkStart w:id="43" w:name="_Toc5960100"/>
      <w:bookmarkStart w:id="44" w:name="_Toc5955989"/>
      <w:bookmarkStart w:id="45" w:name="_Toc8940"/>
      <w:bookmarkStart w:id="46" w:name="_Toc17887125"/>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42"/>
      <w:bookmarkEnd w:id="43"/>
      <w:bookmarkEnd w:id="44"/>
      <w:bookmarkEnd w:id="45"/>
      <w:bookmarkEnd w:id="46"/>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47" w:name="_Toc17887126"/>
      <w:bookmarkStart w:id="48" w:name="_Toc26069"/>
      <w:bookmarkStart w:id="49" w:name="_Toc5946373"/>
      <w:bookmarkStart w:id="50" w:name="_Toc5955990"/>
      <w:bookmarkStart w:id="51" w:name="_Toc5960101"/>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47"/>
      <w:bookmarkEnd w:id="48"/>
      <w:bookmarkEnd w:id="49"/>
      <w:bookmarkEnd w:id="50"/>
      <w:bookmarkEnd w:id="51"/>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5"/>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52" w:name="_Toc13553"/>
      <w:bookmarkStart w:id="53" w:name="_Toc17887127"/>
      <w:bookmarkStart w:id="54" w:name="_Toc5960102"/>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5"/>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5"/>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52"/>
      <w:bookmarkEnd w:id="53"/>
      <w:bookmarkEnd w:id="54"/>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55" w:name="_Toc5960103"/>
      <w:bookmarkStart w:id="56" w:name="_Toc5955992"/>
      <w:bookmarkStart w:id="57" w:name="_Toc17887128"/>
      <w:bookmarkStart w:id="58" w:name="_Toc5946375"/>
      <w:bookmarkStart w:id="59" w:name="_Toc23939"/>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5"/>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55"/>
      <w:bookmarkEnd w:id="56"/>
      <w:bookmarkEnd w:id="57"/>
      <w:bookmarkEnd w:id="58"/>
      <w:bookmarkEnd w:id="5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资格审查的内容及标准见附件1：资格审查表。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60" w:name="_Toc5946376"/>
      <w:bookmarkStart w:id="61" w:name="_Toc5955993"/>
      <w:bookmarkStart w:id="62" w:name="_Toc18891"/>
      <w:bookmarkStart w:id="63" w:name="_Toc17887129"/>
      <w:bookmarkStart w:id="64" w:name="_Toc5960104"/>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60"/>
      <w:bookmarkEnd w:id="61"/>
      <w:bookmarkEnd w:id="62"/>
      <w:bookmarkEnd w:id="63"/>
      <w:bookmarkEnd w:id="6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（1）采购人将根据招标采购设备的特点依法组建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人的评标委员会，</w:t>
      </w:r>
      <w:r>
        <w:rPr>
          <w:rFonts w:hint="eastAsia" w:ascii="Times New Roman" w:hAnsi="宋体" w:eastAsia="宋体" w:cs="Times New Roman"/>
          <w:color w:val="000000" w:themeColor="text1"/>
          <w:spacing w:val="-10"/>
          <w:kern w:val="0"/>
          <w:szCs w:val="21"/>
          <w14:textFill>
            <w14:solidFill>
              <w14:schemeClr w14:val="tx1"/>
            </w14:solidFill>
          </w14:textFill>
        </w:rPr>
        <w:t>其成员由政府</w:t>
      </w:r>
      <w:r>
        <w:rPr>
          <w:rFonts w:hint="eastAsia" w:ascii="Times New Roman" w:hAnsi="宋体" w:eastAsia="宋体" w:cs="Times New Roman"/>
          <w:color w:val="000000" w:themeColor="text1"/>
          <w:spacing w:val="-10"/>
          <w:kern w:val="0"/>
          <w:szCs w:val="21"/>
          <w:lang w:eastAsia="zh-CN"/>
          <w14:textFill>
            <w14:solidFill>
              <w14:schemeClr w14:val="tx1"/>
            </w14:solidFill>
          </w14:textFill>
        </w:rPr>
        <w:t>组件的</w:t>
      </w:r>
      <w:r>
        <w:rPr>
          <w:rFonts w:hint="eastAsia" w:ascii="Times New Roman" w:hAnsi="宋体" w:eastAsia="宋体" w:cs="Times New Roman"/>
          <w:color w:val="000000" w:themeColor="text1"/>
          <w:spacing w:val="-10"/>
          <w:kern w:val="0"/>
          <w:szCs w:val="21"/>
          <w14:textFill>
            <w14:solidFill>
              <w14:schemeClr w14:val="tx1"/>
            </w14:solidFill>
          </w14:textFill>
        </w:rPr>
        <w:t>专家库中随机抽取的评审专家和采购人代表</w:t>
      </w:r>
      <w:r>
        <w:rPr>
          <w:rFonts w:hint="eastAsia" w:ascii="Times New Roman" w:hAnsi="宋体" w:eastAsia="宋体" w:cs="Times New Roman"/>
          <w:color w:val="000000" w:themeColor="text1"/>
          <w:spacing w:val="-5"/>
          <w:kern w:val="0"/>
          <w:szCs w:val="21"/>
          <w14:textFill>
            <w14:solidFill>
              <w14:schemeClr w14:val="tx1"/>
            </w14:solidFill>
          </w14:textFill>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65" w:name="_Toc17887130"/>
      <w:bookmarkStart w:id="66" w:name="_Toc7148"/>
      <w:bookmarkStart w:id="67" w:name="_Toc5960105"/>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65"/>
      <w:bookmarkEnd w:id="66"/>
      <w:bookmarkEnd w:id="67"/>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个工作日内，将在供应商须知前附表规定的媒体上公告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结果，供应商可通过相关发布媒体查询</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结果。公告期限为</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3</w:t>
      </w:r>
      <w:r>
        <w:rPr>
          <w:rFonts w:hint="eastAsia" w:ascii="Times New Roman" w:hAnsi="宋体" w:eastAsia="宋体" w:cs="Times New Roman"/>
          <w:color w:val="000000" w:themeColor="text1"/>
          <w:spacing w:val="3"/>
          <w:kern w:val="0"/>
          <w:szCs w:val="21"/>
          <w14:textFill>
            <w14:solidFill>
              <w14:schemeClr w14:val="tx1"/>
            </w14:solidFill>
          </w14:textFill>
        </w:rPr>
        <w:t>日。在公告</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结果的同时，采购人或者采购代理机构对未通过资格审查的供应商，将告知其未通过的原因；采用综合评分法评审的，还将告知未中标人本人的评审得分与排序。供应商对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eastAsia="zh-CN"/>
          <w14:textFill>
            <w14:solidFill>
              <w14:schemeClr w14:val="tx1"/>
            </w14:solidFill>
          </w14:textFill>
        </w:rPr>
        <w:t>评标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68" w:name="_Toc5960106"/>
      <w:bookmarkStart w:id="69" w:name="_Toc5955995"/>
      <w:bookmarkStart w:id="70" w:name="_Toc5946378"/>
      <w:bookmarkStart w:id="71" w:name="_Toc17873"/>
      <w:bookmarkStart w:id="72" w:name="_Toc17887131"/>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68"/>
      <w:bookmarkEnd w:id="69"/>
      <w:bookmarkEnd w:id="70"/>
      <w:bookmarkEnd w:id="71"/>
      <w:bookmarkEnd w:id="7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73" w:name="_Toc5960107"/>
      <w:bookmarkStart w:id="74" w:name="_Toc30646"/>
      <w:bookmarkStart w:id="75" w:name="_Toc17887132"/>
      <w:bookmarkStart w:id="76" w:name="_Toc5955996"/>
      <w:bookmarkStart w:id="77" w:name="_Toc5946379"/>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73"/>
      <w:bookmarkEnd w:id="74"/>
      <w:bookmarkEnd w:id="75"/>
      <w:bookmarkEnd w:id="76"/>
      <w:bookmarkEnd w:id="7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78" w:name="_Toc5960109"/>
      <w:bookmarkStart w:id="79" w:name="_Toc14140"/>
      <w:bookmarkStart w:id="80" w:name="_Toc17887134"/>
      <w:bookmarkStart w:id="81" w:name="_Toc5955998"/>
      <w:bookmarkStart w:id="82" w:name="_Toc5946381"/>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78"/>
      <w:bookmarkEnd w:id="79"/>
      <w:bookmarkEnd w:id="80"/>
      <w:bookmarkEnd w:id="81"/>
      <w:bookmarkEnd w:id="8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3" w:name="_Toc5946382"/>
      <w:bookmarkStart w:id="84" w:name="_Toc17887135"/>
      <w:bookmarkStart w:id="85" w:name="_Toc5960110"/>
      <w:bookmarkStart w:id="86" w:name="_Toc5955999"/>
      <w:bookmarkStart w:id="87" w:name="_Toc32626"/>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83"/>
      <w:bookmarkEnd w:id="84"/>
      <w:bookmarkEnd w:id="85"/>
      <w:bookmarkEnd w:id="86"/>
      <w:bookmarkEnd w:id="87"/>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8" w:name="_Toc605"/>
      <w:bookmarkStart w:id="89" w:name="_Toc5960111"/>
      <w:bookmarkStart w:id="90" w:name="_Toc5946383"/>
      <w:bookmarkStart w:id="91" w:name="_Toc17887136"/>
      <w:bookmarkStart w:id="92" w:name="_Toc5956000"/>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88"/>
      <w:bookmarkEnd w:id="89"/>
      <w:bookmarkEnd w:id="90"/>
      <w:bookmarkEnd w:id="91"/>
      <w:bookmarkEnd w:id="92"/>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93" w:name="_Toc5960114"/>
      <w:bookmarkStart w:id="94" w:name="_Toc939"/>
      <w:bookmarkStart w:id="95" w:name="_Toc17887138"/>
      <w:r>
        <w:rPr>
          <w:rFonts w:hint="eastAsia" w:ascii="宋体" w:hAnsi="宋体" w:eastAsia="宋体" w:cs="宋体"/>
          <w:b/>
          <w:bCs/>
          <w:color w:val="000000" w:themeColor="text1"/>
          <w:kern w:val="0"/>
          <w:szCs w:val="21"/>
          <w14:textFill>
            <w14:solidFill>
              <w14:schemeClr w14:val="tx1"/>
            </w14:solidFill>
          </w14:textFill>
        </w:rPr>
        <w:t>七、质疑和投诉</w:t>
      </w:r>
      <w:bookmarkEnd w:id="93"/>
      <w:bookmarkEnd w:id="94"/>
      <w:bookmarkEnd w:id="9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6" w:name="_Toc5956004"/>
      <w:bookmarkStart w:id="97" w:name="_Toc5946387"/>
      <w:bookmarkStart w:id="98" w:name="_Toc17887139"/>
      <w:bookmarkStart w:id="99" w:name="_Toc12341"/>
      <w:bookmarkStart w:id="100" w:name="_Toc5960115"/>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96"/>
      <w:bookmarkEnd w:id="97"/>
      <w:bookmarkEnd w:id="98"/>
      <w:bookmarkEnd w:id="99"/>
      <w:bookmarkEnd w:id="100"/>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质疑函格式详见附件2。</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1" w:name="_Toc17887140"/>
      <w:bookmarkStart w:id="102" w:name="_Toc5960116"/>
      <w:bookmarkStart w:id="103" w:name="_Toc5946388"/>
      <w:bookmarkStart w:id="104" w:name="_Toc15401"/>
      <w:bookmarkStart w:id="105" w:name="_Toc5956005"/>
      <w:r>
        <w:rPr>
          <w:rFonts w:hint="eastAsia" w:ascii="Times New Roman" w:hAnsi="宋体" w:eastAsia="宋体" w:cs="Times New Roman"/>
          <w:color w:val="000000" w:themeColor="text1"/>
          <w:kern w:val="0"/>
          <w:szCs w:val="21"/>
          <w14:textFill>
            <w14:solidFill>
              <w14:schemeClr w14:val="tx1"/>
            </w14:solidFill>
          </w14:textFill>
        </w:rPr>
        <w:t>（一）捏造事实</w:t>
      </w:r>
      <w:bookmarkEnd w:id="101"/>
      <w:bookmarkEnd w:id="102"/>
      <w:bookmarkEnd w:id="103"/>
      <w:bookmarkEnd w:id="104"/>
      <w:bookmarkEnd w:id="105"/>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06" w:name="_Toc5956006"/>
      <w:bookmarkStart w:id="107" w:name="_Toc20548"/>
      <w:bookmarkStart w:id="108" w:name="_Toc5960117"/>
      <w:bookmarkStart w:id="109" w:name="_Toc5946389"/>
      <w:bookmarkStart w:id="110" w:name="_Toc17887141"/>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06"/>
      <w:bookmarkEnd w:id="107"/>
      <w:bookmarkEnd w:id="108"/>
      <w:bookmarkEnd w:id="109"/>
      <w:bookmarkEnd w:id="110"/>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11" w:name="_Toc5960118"/>
      <w:bookmarkStart w:id="112" w:name="_Toc5946390"/>
      <w:bookmarkStart w:id="113" w:name="_Toc17887142"/>
      <w:bookmarkStart w:id="114" w:name="_Toc26114"/>
      <w:bookmarkStart w:id="115" w:name="_Toc5956007"/>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11"/>
      <w:bookmarkEnd w:id="112"/>
      <w:bookmarkEnd w:id="113"/>
      <w:bookmarkEnd w:id="114"/>
      <w:bookmarkEnd w:id="115"/>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line="310" w:lineRule="exact"/>
        <w:ind w:left="601"/>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16" w:name="_Toc15634"/>
      <w:bookmarkStart w:id="117" w:name="_Toc88272929"/>
      <w:bookmarkStart w:id="118" w:name="_Toc7587"/>
      <w:bookmarkStart w:id="119" w:name="_Toc18397"/>
      <w:bookmarkStart w:id="120" w:name="_Toc88446335"/>
      <w:bookmarkStart w:id="121" w:name="_Toc17316"/>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1</w:t>
      </w:r>
      <w:r>
        <w:rPr>
          <w:rFonts w:hint="eastAsia" w:ascii="Times New Roman" w:hAnsi="Times New Roman" w:eastAsia="宋体" w:cs="Times New Roman"/>
          <w:color w:val="000000" w:themeColor="text1"/>
          <w:kern w:val="0"/>
          <w:sz w:val="24"/>
          <w:szCs w:val="24"/>
          <w14:textFill>
            <w14:solidFill>
              <w14:schemeClr w14:val="tx1"/>
            </w14:solidFill>
          </w14:textFill>
        </w:rPr>
        <w:t>：资格审查表</w:t>
      </w:r>
      <w:bookmarkEnd w:id="116"/>
      <w:bookmarkEnd w:id="117"/>
      <w:bookmarkEnd w:id="118"/>
      <w:bookmarkEnd w:id="119"/>
      <w:bookmarkEnd w:id="120"/>
      <w:bookmarkEnd w:id="121"/>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Cs w:val="21"/>
          <w14:textFill>
            <w14:solidFill>
              <w14:schemeClr w14:val="tx1"/>
            </w14:solidFill>
          </w14:textFill>
        </w:rPr>
      </w:pPr>
      <w:r>
        <w:rPr>
          <w:rFonts w:hint="eastAsia" w:ascii="Times New Roman" w:hAnsi="Times New Roman" w:eastAsia="宋体" w:cs="Times New Roman"/>
          <w:b/>
          <w:bCs/>
          <w:color w:val="000000" w:themeColor="text1"/>
          <w:kern w:val="0"/>
          <w:szCs w:val="21"/>
          <w14:textFill>
            <w14:solidFill>
              <w14:schemeClr w14:val="tx1"/>
            </w14:solidFill>
          </w14:textFill>
        </w:rPr>
        <w:t>资格审查表</w:t>
      </w:r>
    </w:p>
    <w:p>
      <w:pPr>
        <w:kinsoku w:val="0"/>
        <w:overflowPunct w:val="0"/>
        <w:autoSpaceDE w:val="0"/>
        <w:autoSpaceDN w:val="0"/>
        <w:adjustRightInd w:val="0"/>
        <w:ind w:left="602"/>
        <w:jc w:val="center"/>
        <w:rPr>
          <w:rFonts w:ascii="Times New Roman" w:hAnsi="Times New Roman" w:eastAsia="宋体" w:cs="Times New Roman"/>
          <w:b/>
          <w:bCs/>
          <w:color w:val="000000" w:themeColor="text1"/>
          <w:kern w:val="0"/>
          <w:sz w:val="9"/>
          <w:szCs w:val="9"/>
          <w14:textFill>
            <w14:solidFill>
              <w14:schemeClr w14:val="tx1"/>
            </w14:solidFill>
          </w14:textFill>
        </w:rPr>
      </w:pPr>
    </w:p>
    <w:p>
      <w:pPr>
        <w:kinsoku w:val="0"/>
        <w:overflowPunct w:val="0"/>
        <w:autoSpaceDE w:val="0"/>
        <w:autoSpaceDN w:val="0"/>
        <w:adjustRightInd w:val="0"/>
        <w:spacing w:line="300" w:lineRule="auto"/>
        <w:ind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河南省儿童医院郑州儿童医院</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2021年度第十四批医疗设备</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spacing w:before="36" w:line="300" w:lineRule="auto"/>
        <w:ind w:right="5138" w:firstLine="48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mc:AlternateContent>
          <mc:Choice Requires="wps">
            <w:drawing>
              <wp:anchor distT="0" distB="0" distL="114300" distR="114300" simplePos="0" relativeHeight="251660288" behindDoc="1" locked="0" layoutInCell="0" allowOverlap="1">
                <wp:simplePos x="0" y="0"/>
                <wp:positionH relativeFrom="page">
                  <wp:posOffset>744855</wp:posOffset>
                </wp:positionH>
                <wp:positionV relativeFrom="paragraph">
                  <wp:posOffset>211455</wp:posOffset>
                </wp:positionV>
                <wp:extent cx="6189345" cy="7442835"/>
                <wp:effectExtent l="0" t="0" r="0" b="0"/>
                <wp:wrapNone/>
                <wp:docPr id="24" name="文本框 5"/>
                <wp:cNvGraphicFramePr/>
                <a:graphic xmlns:a="http://schemas.openxmlformats.org/drawingml/2006/main">
                  <a:graphicData uri="http://schemas.microsoft.com/office/word/2010/wordprocessingShape">
                    <wps:wsp>
                      <wps:cNvSpPr txBox="1">
                        <a:spLocks noChangeArrowheads="1"/>
                      </wps:cNvSpPr>
                      <wps:spPr bwMode="auto">
                        <a:xfrm>
                          <a:off x="0" y="0"/>
                          <a:ext cx="6189345" cy="7442835"/>
                        </a:xfrm>
                        <a:prstGeom prst="rect">
                          <a:avLst/>
                        </a:prstGeom>
                        <a:noFill/>
                        <a:ln>
                          <a:noFill/>
                        </a:ln>
                      </wps:spPr>
                      <wps:txbx>
                        <w:txbxContent>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1"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rPr>
                                  </w:pP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pStyle w:val="10"/>
                                    <w:ind w:firstLine="0" w:firstLineChars="0"/>
                                    <w:rPr>
                                      <w:rFonts w:hint="eastAsia"/>
                                      <w:lang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txbxContent>
                      </wps:txbx>
                      <wps:bodyPr rot="0" vert="horz" wrap="square" lIns="0" tIns="0" rIns="0" bIns="0" anchor="t" anchorCtr="0" upright="1">
                        <a:noAutofit/>
                      </wps:bodyPr>
                    </wps:wsp>
                  </a:graphicData>
                </a:graphic>
              </wp:anchor>
            </w:drawing>
          </mc:Choice>
          <mc:Fallback>
            <w:pict>
              <v:shape id="文本框 5" o:spid="_x0000_s1026" o:spt="202" type="#_x0000_t202" style="position:absolute;left:0pt;margin-left:58.65pt;margin-top:16.65pt;height:586.05pt;width:487.35pt;mso-position-horizontal-relative:page;z-index:-251656192;mso-width-relative:page;mso-height-relative:page;" filled="f" stroked="f" coordsize="21600,21600" o:allowincell="f" o:gfxdata="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pG9wX2QAAAAwBAAAPAAAAAAAA&#10;AAEAIAAAACIAAABkcnMvZG93bnJldi54bWxQSwECFAAUAAAACACHTuJAl8mmgxECAAAHBAAADgAA&#10;AAAAAAABACAAAAAoAQAAZHJzL2Uyb0RvYy54bWxQSwUGAAAAAAYABgBZAQAAqwUAAAAA&#10;">
                <v:fill on="f" focussize="0,0"/>
                <v:stroke on="f"/>
                <v:imagedata o:title=""/>
                <o:lock v:ext="edit" aspectratio="f"/>
                <v:textbox inset="0mm,0mm,0mm,0mm">
                  <w:txbxContent>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74"/>
                        <w:gridCol w:w="445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exact"/>
                        </w:trPr>
                        <w:tc>
                          <w:tcPr>
                            <w:tcW w:w="4274" w:type="dxa"/>
                            <w:tcBorders>
                              <w:top w:val="nil"/>
                              <w:left w:val="nil"/>
                              <w:bottom w:val="nil"/>
                              <w:right w:val="nil"/>
                            </w:tcBorders>
                            <w:vAlign w:val="center"/>
                          </w:tcPr>
                          <w:p>
                            <w:pPr>
                              <w:pStyle w:val="26"/>
                              <w:kinsoku w:val="0"/>
                              <w:overflowPunct w:val="0"/>
                              <w:spacing w:line="360" w:lineRule="auto"/>
                              <w:jc w:val="center"/>
                            </w:pPr>
                            <w:r>
                              <w:rPr>
                                <w:rFonts w:hint="eastAsia" w:ascii="宋体" w:cs="宋体"/>
                                <w:sz w:val="21"/>
                                <w:szCs w:val="21"/>
                              </w:rPr>
                              <w:t>供应</w:t>
                            </w:r>
                            <w:r>
                              <w:rPr>
                                <w:rFonts w:hint="eastAsia" w:ascii="宋体" w:cs="宋体"/>
                                <w:spacing w:val="-3"/>
                                <w:sz w:val="21"/>
                                <w:szCs w:val="21"/>
                              </w:rPr>
                              <w:t>商</w:t>
                            </w:r>
                            <w:r>
                              <w:rPr>
                                <w:rFonts w:hint="eastAsia" w:ascii="宋体" w:cs="宋体"/>
                                <w:sz w:val="21"/>
                                <w:szCs w:val="21"/>
                              </w:rPr>
                              <w:t>名</w:t>
                            </w:r>
                            <w:r>
                              <w:rPr>
                                <w:rFonts w:hint="eastAsia" w:ascii="宋体" w:cs="宋体"/>
                                <w:spacing w:val="-3"/>
                                <w:sz w:val="21"/>
                                <w:szCs w:val="21"/>
                              </w:rPr>
                              <w:t>称</w:t>
                            </w:r>
                          </w:p>
                        </w:tc>
                        <w:tc>
                          <w:tcPr>
                            <w:tcW w:w="5160" w:type="dxa"/>
                            <w:gridSpan w:val="2"/>
                            <w:tcBorders>
                              <w:top w:val="nil"/>
                              <w:left w:val="nil"/>
                              <w:bottom w:val="nil"/>
                              <w:right w:val="nil"/>
                            </w:tcBorders>
                            <w:vAlign w:val="center"/>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评审</w:t>
                            </w:r>
                            <w:r>
                              <w:rPr>
                                <w:rFonts w:hint="eastAsia" w:ascii="宋体" w:cs="宋体"/>
                                <w:spacing w:val="-3"/>
                                <w:sz w:val="21"/>
                                <w:szCs w:val="21"/>
                              </w:rPr>
                              <w:t>项目</w:t>
                            </w:r>
                          </w:p>
                        </w:tc>
                        <w:tc>
                          <w:tcPr>
                            <w:tcW w:w="4451" w:type="dxa"/>
                            <w:tcBorders>
                              <w:top w:val="nil"/>
                              <w:left w:val="nil"/>
                              <w:bottom w:val="nil"/>
                              <w:right w:val="nil"/>
                            </w:tcBorders>
                            <w:vAlign w:val="center"/>
                          </w:tcPr>
                          <w:p>
                            <w:pPr>
                              <w:pStyle w:val="26"/>
                              <w:kinsoku w:val="0"/>
                              <w:overflowPunct w:val="0"/>
                              <w:ind w:left="110"/>
                              <w:jc w:val="center"/>
                            </w:pPr>
                            <w:r>
                              <w:rPr>
                                <w:rFonts w:hint="eastAsia" w:ascii="宋体" w:cs="宋体"/>
                                <w:sz w:val="21"/>
                                <w:szCs w:val="21"/>
                              </w:rPr>
                              <w:t>审查</w:t>
                            </w:r>
                            <w:r>
                              <w:rPr>
                                <w:rFonts w:hint="eastAsia" w:ascii="宋体" w:cs="宋体"/>
                                <w:spacing w:val="-3"/>
                                <w:sz w:val="21"/>
                                <w:szCs w:val="21"/>
                              </w:rPr>
                              <w:t>内</w:t>
                            </w:r>
                            <w:r>
                              <w:rPr>
                                <w:rFonts w:hint="eastAsia" w:ascii="宋体" w:cs="宋体"/>
                                <w:sz w:val="21"/>
                                <w:szCs w:val="21"/>
                              </w:rPr>
                              <w:t>容</w:t>
                            </w:r>
                            <w:r>
                              <w:rPr>
                                <w:rFonts w:hint="eastAsia" w:ascii="宋体" w:cs="宋体"/>
                                <w:spacing w:val="-3"/>
                                <w:sz w:val="21"/>
                                <w:szCs w:val="21"/>
                              </w:rPr>
                              <w:t>及</w:t>
                            </w:r>
                            <w:r>
                              <w:rPr>
                                <w:rFonts w:hint="eastAsia" w:ascii="宋体" w:cs="宋体"/>
                                <w:sz w:val="21"/>
                                <w:szCs w:val="21"/>
                              </w:rPr>
                              <w:t>标</w:t>
                            </w:r>
                            <w:r>
                              <w:rPr>
                                <w:rFonts w:hint="eastAsia" w:ascii="宋体" w:cs="宋体"/>
                                <w:spacing w:val="-3"/>
                                <w:sz w:val="21"/>
                                <w:szCs w:val="21"/>
                              </w:rPr>
                              <w:t>准</w:t>
                            </w:r>
                          </w:p>
                        </w:tc>
                        <w:tc>
                          <w:tcPr>
                            <w:tcW w:w="709" w:type="dxa"/>
                            <w:tcBorders>
                              <w:top w:val="nil"/>
                              <w:left w:val="nil"/>
                              <w:bottom w:val="nil"/>
                              <w:right w:val="nil"/>
                            </w:tcBorders>
                            <w:vAlign w:val="center"/>
                          </w:tcPr>
                          <w:p>
                            <w:pPr>
                              <w:pStyle w:val="26"/>
                              <w:kinsoku w:val="0"/>
                              <w:overflowPunct w:val="0"/>
                              <w:jc w:val="center"/>
                              <w:rPr>
                                <w:rFonts w:ascii="宋体" w:cs="宋体"/>
                                <w:sz w:val="21"/>
                                <w:szCs w:val="21"/>
                              </w:rPr>
                            </w:pPr>
                            <w:r>
                              <w:rPr>
                                <w:rFonts w:hint="eastAsia" w:ascii="宋体" w:cs="宋体"/>
                                <w:sz w:val="21"/>
                                <w:szCs w:val="21"/>
                              </w:rPr>
                              <w:t>审</w:t>
                            </w:r>
                            <w:r>
                              <w:rPr>
                                <w:rFonts w:hint="eastAsia" w:ascii="宋体" w:cs="宋体"/>
                                <w:spacing w:val="-3"/>
                                <w:sz w:val="21"/>
                                <w:szCs w:val="21"/>
                              </w:rPr>
                              <w:t>查</w:t>
                            </w:r>
                          </w:p>
                          <w:p>
                            <w:pPr>
                              <w:pStyle w:val="26"/>
                              <w:kinsoku w:val="0"/>
                              <w:overflowPunct w:val="0"/>
                              <w:jc w:val="center"/>
                            </w:pPr>
                            <w:r>
                              <w:rPr>
                                <w:rFonts w:hint="eastAsia" w:ascii="宋体" w:cs="宋体"/>
                                <w:sz w:val="21"/>
                                <w:szCs w:val="21"/>
                              </w:rPr>
                              <w:t>记</w:t>
                            </w:r>
                            <w:r>
                              <w:rPr>
                                <w:rFonts w:hint="eastAsia" w:ascii="宋体" w:cs="宋体"/>
                                <w:spacing w:val="-3"/>
                                <w:sz w:val="21"/>
                                <w:szCs w:val="21"/>
                              </w:rPr>
                              <w:t>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exact"/>
                        </w:trPr>
                        <w:tc>
                          <w:tcPr>
                            <w:tcW w:w="4274" w:type="dxa"/>
                            <w:tcBorders>
                              <w:top w:val="nil"/>
                              <w:left w:val="nil"/>
                              <w:bottom w:val="nil"/>
                              <w:right w:val="nil"/>
                            </w:tcBorders>
                            <w:vAlign w:val="center"/>
                          </w:tcPr>
                          <w:p>
                            <w:pPr>
                              <w:pStyle w:val="26"/>
                              <w:kinsoku w:val="0"/>
                              <w:overflowPunct w:val="0"/>
                              <w:jc w:val="center"/>
                            </w:pPr>
                            <w:r>
                              <w:rPr>
                                <w:rFonts w:hint="eastAsia" w:ascii="宋体" w:cs="宋体"/>
                                <w:sz w:val="21"/>
                                <w:szCs w:val="21"/>
                              </w:rPr>
                              <w:t>资格</w:t>
                            </w:r>
                            <w:r>
                              <w:rPr>
                                <w:rFonts w:hint="eastAsia" w:ascii="宋体" w:cs="宋体"/>
                                <w:spacing w:val="-3"/>
                                <w:sz w:val="21"/>
                                <w:szCs w:val="21"/>
                              </w:rPr>
                              <w:t>申明</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提供</w:t>
                            </w:r>
                            <w:r>
                              <w:rPr>
                                <w:rFonts w:hint="eastAsia" w:ascii="宋体" w:cs="宋体"/>
                                <w:spacing w:val="-3"/>
                                <w:sz w:val="21"/>
                                <w:szCs w:val="21"/>
                              </w:rPr>
                              <w:t>资</w:t>
                            </w:r>
                            <w:r>
                              <w:rPr>
                                <w:rFonts w:hint="eastAsia" w:ascii="宋体" w:cs="宋体"/>
                                <w:sz w:val="21"/>
                                <w:szCs w:val="21"/>
                              </w:rPr>
                              <w:t>格</w:t>
                            </w:r>
                            <w:r>
                              <w:rPr>
                                <w:rFonts w:hint="eastAsia" w:ascii="宋体" w:cs="宋体"/>
                                <w:spacing w:val="-3"/>
                                <w:sz w:val="21"/>
                                <w:szCs w:val="21"/>
                              </w:rPr>
                              <w:t>申明</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exact"/>
                        </w:trPr>
                        <w:tc>
                          <w:tcPr>
                            <w:tcW w:w="4274" w:type="dxa"/>
                            <w:tcBorders>
                              <w:top w:val="nil"/>
                              <w:left w:val="nil"/>
                              <w:bottom w:val="nil"/>
                              <w:right w:val="nil"/>
                            </w:tcBorders>
                            <w:vAlign w:val="center"/>
                          </w:tcPr>
                          <w:p>
                            <w:pPr>
                              <w:pStyle w:val="26"/>
                              <w:kinsoku w:val="0"/>
                              <w:overflowPunct w:val="0"/>
                              <w:ind w:hanging="315"/>
                              <w:jc w:val="center"/>
                            </w:pPr>
                            <w:r>
                              <w:rPr>
                                <w:rFonts w:hint="eastAsia" w:ascii="宋体" w:cs="宋体"/>
                                <w:spacing w:val="2"/>
                                <w:sz w:val="21"/>
                                <w:szCs w:val="21"/>
                              </w:rPr>
                              <w:t>供应商符合《中华人民共和国政府采购法》第二十二条的要求</w:t>
                            </w:r>
                          </w:p>
                        </w:tc>
                        <w:tc>
                          <w:tcPr>
                            <w:tcW w:w="4451" w:type="dxa"/>
                            <w:tcBorders>
                              <w:top w:val="nil"/>
                              <w:left w:val="nil"/>
                              <w:bottom w:val="nil"/>
                              <w:right w:val="nil"/>
                            </w:tcBorders>
                            <w:vAlign w:val="center"/>
                          </w:tcPr>
                          <w:p>
                            <w:pPr>
                              <w:pStyle w:val="26"/>
                              <w:kinsoku w:val="0"/>
                              <w:overflowPunct w:val="0"/>
                              <w:ind w:left="107"/>
                            </w:pPr>
                            <w:r>
                              <w:rPr>
                                <w:rFonts w:hint="eastAsia" w:ascii="宋体" w:cs="宋体"/>
                                <w:sz w:val="21"/>
                                <w:szCs w:val="21"/>
                              </w:rPr>
                              <w:t>相关承诺书</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exact"/>
                        </w:trPr>
                        <w:tc>
                          <w:tcPr>
                            <w:tcW w:w="4274" w:type="dxa"/>
                            <w:tcBorders>
                              <w:top w:val="nil"/>
                              <w:left w:val="nil"/>
                              <w:bottom w:val="nil"/>
                              <w:right w:val="nil"/>
                            </w:tcBorders>
                            <w:vAlign w:val="center"/>
                          </w:tcPr>
                          <w:p>
                            <w:pPr>
                              <w:pStyle w:val="26"/>
                              <w:kinsoku w:val="0"/>
                              <w:overflowPunct w:val="0"/>
                              <w:ind w:firstLine="204" w:firstLineChars="100"/>
                              <w:jc w:val="center"/>
                              <w:rPr>
                                <w:rFonts w:ascii="宋体" w:cs="宋体"/>
                                <w:sz w:val="21"/>
                                <w:szCs w:val="21"/>
                              </w:rPr>
                            </w:pPr>
                            <w:r>
                              <w:rPr>
                                <w:rFonts w:hint="eastAsia" w:ascii="宋体" w:cs="宋体"/>
                                <w:spacing w:val="-3"/>
                                <w:sz w:val="21"/>
                                <w:szCs w:val="21"/>
                              </w:rPr>
                              <w:t>单</w:t>
                            </w:r>
                            <w:r>
                              <w:rPr>
                                <w:rFonts w:hint="eastAsia" w:ascii="宋体" w:cs="宋体"/>
                                <w:spacing w:val="-5"/>
                                <w:sz w:val="21"/>
                                <w:szCs w:val="21"/>
                              </w:rPr>
                              <w:t>位负责</w:t>
                            </w:r>
                            <w:r>
                              <w:rPr>
                                <w:rFonts w:hint="eastAsia" w:ascii="宋体" w:cs="宋体"/>
                                <w:spacing w:val="-3"/>
                                <w:sz w:val="21"/>
                                <w:szCs w:val="21"/>
                              </w:rPr>
                              <w:t>人</w:t>
                            </w:r>
                            <w:r>
                              <w:rPr>
                                <w:rFonts w:hint="eastAsia" w:ascii="宋体" w:cs="宋体"/>
                                <w:spacing w:val="-5"/>
                                <w:sz w:val="21"/>
                                <w:szCs w:val="21"/>
                              </w:rPr>
                              <w:t>是否为</w:t>
                            </w:r>
                          </w:p>
                          <w:p>
                            <w:pPr>
                              <w:pStyle w:val="26"/>
                              <w:kinsoku w:val="0"/>
                              <w:overflowPunct w:val="0"/>
                              <w:jc w:val="center"/>
                            </w:pPr>
                            <w:r>
                              <w:rPr>
                                <w:rFonts w:hint="eastAsia" w:ascii="宋体" w:cs="宋体"/>
                                <w:spacing w:val="-5"/>
                                <w:sz w:val="21"/>
                                <w:szCs w:val="21"/>
                              </w:rPr>
                              <w:t>同</w:t>
                            </w:r>
                            <w:r>
                              <w:rPr>
                                <w:rFonts w:hint="eastAsia" w:ascii="宋体" w:cs="宋体"/>
                                <w:spacing w:val="-8"/>
                                <w:sz w:val="21"/>
                                <w:szCs w:val="21"/>
                              </w:rPr>
                              <w:t>一</w:t>
                            </w:r>
                            <w:r>
                              <w:rPr>
                                <w:rFonts w:hint="eastAsia" w:ascii="宋体" w:cs="宋体"/>
                                <w:spacing w:val="-5"/>
                                <w:sz w:val="21"/>
                                <w:szCs w:val="21"/>
                              </w:rPr>
                              <w:t>人</w:t>
                            </w:r>
                            <w:r>
                              <w:rPr>
                                <w:rFonts w:hint="eastAsia" w:ascii="宋体" w:cs="宋体"/>
                                <w:spacing w:val="-8"/>
                                <w:sz w:val="21"/>
                                <w:szCs w:val="21"/>
                              </w:rPr>
                              <w:t>或</w:t>
                            </w:r>
                            <w:r>
                              <w:rPr>
                                <w:rFonts w:hint="eastAsia" w:ascii="宋体" w:cs="宋体"/>
                                <w:spacing w:val="-5"/>
                                <w:sz w:val="21"/>
                                <w:szCs w:val="21"/>
                              </w:rPr>
                              <w:t>者</w:t>
                            </w:r>
                            <w:r>
                              <w:rPr>
                                <w:rFonts w:hint="eastAsia" w:ascii="宋体" w:cs="宋体"/>
                                <w:spacing w:val="-8"/>
                                <w:sz w:val="21"/>
                                <w:szCs w:val="21"/>
                              </w:rPr>
                              <w:t>存在</w:t>
                            </w:r>
                            <w:r>
                              <w:rPr>
                                <w:rFonts w:hint="eastAsia" w:ascii="宋体" w:cs="宋体"/>
                                <w:sz w:val="21"/>
                                <w:szCs w:val="21"/>
                              </w:rPr>
                              <w:t>直</w:t>
                            </w:r>
                            <w:r>
                              <w:rPr>
                                <w:rFonts w:hint="eastAsia" w:ascii="宋体" w:cs="宋体"/>
                                <w:spacing w:val="-5"/>
                                <w:sz w:val="21"/>
                                <w:szCs w:val="21"/>
                              </w:rPr>
                              <w:t>接</w:t>
                            </w:r>
                            <w:r>
                              <w:rPr>
                                <w:rFonts w:hint="eastAsia" w:ascii="宋体" w:cs="宋体"/>
                                <w:spacing w:val="-8"/>
                                <w:sz w:val="21"/>
                                <w:szCs w:val="21"/>
                              </w:rPr>
                              <w:t>控</w:t>
                            </w:r>
                            <w:r>
                              <w:rPr>
                                <w:rFonts w:hint="eastAsia" w:ascii="宋体" w:cs="宋体"/>
                                <w:spacing w:val="-5"/>
                                <w:sz w:val="21"/>
                                <w:szCs w:val="21"/>
                              </w:rPr>
                              <w:t>股</w:t>
                            </w:r>
                            <w:r>
                              <w:rPr>
                                <w:rFonts w:hint="eastAsia" w:ascii="宋体" w:cs="宋体"/>
                                <w:spacing w:val="-8"/>
                                <w:sz w:val="21"/>
                                <w:szCs w:val="21"/>
                              </w:rPr>
                              <w:t>、</w:t>
                            </w:r>
                            <w:r>
                              <w:rPr>
                                <w:rFonts w:hint="eastAsia" w:ascii="宋体" w:cs="宋体"/>
                                <w:spacing w:val="-5"/>
                                <w:sz w:val="21"/>
                                <w:szCs w:val="21"/>
                              </w:rPr>
                              <w:t>管</w:t>
                            </w:r>
                            <w:r>
                              <w:rPr>
                                <w:rFonts w:hint="eastAsia" w:ascii="宋体" w:cs="宋体"/>
                                <w:spacing w:val="-8"/>
                                <w:sz w:val="21"/>
                                <w:szCs w:val="21"/>
                              </w:rPr>
                              <w:t>理关</w:t>
                            </w:r>
                            <w:r>
                              <w:rPr>
                                <w:rFonts w:hint="eastAsia" w:ascii="宋体" w:cs="宋体"/>
                                <w:spacing w:val="-7"/>
                                <w:sz w:val="21"/>
                                <w:szCs w:val="21"/>
                              </w:rPr>
                              <w:t>系</w:t>
                            </w:r>
                          </w:p>
                        </w:tc>
                        <w:tc>
                          <w:tcPr>
                            <w:tcW w:w="4451" w:type="dxa"/>
                            <w:tcBorders>
                              <w:top w:val="nil"/>
                              <w:left w:val="nil"/>
                              <w:bottom w:val="nil"/>
                              <w:right w:val="nil"/>
                            </w:tcBorders>
                            <w:vAlign w:val="center"/>
                          </w:tcPr>
                          <w:p>
                            <w:pPr>
                              <w:pStyle w:val="26"/>
                              <w:kinsoku w:val="0"/>
                              <w:overflowPunct w:val="0"/>
                              <w:spacing w:line="300" w:lineRule="auto"/>
                              <w:ind w:left="108"/>
                              <w:rPr>
                                <w:rFonts w:ascii="宋体" w:cs="宋体"/>
                                <w:sz w:val="21"/>
                                <w:szCs w:val="21"/>
                              </w:rPr>
                            </w:pPr>
                            <w:r>
                              <w:rPr>
                                <w:rFonts w:hint="eastAsia" w:ascii="宋体" w:cs="宋体"/>
                                <w:spacing w:val="-3"/>
                                <w:sz w:val="21"/>
                                <w:szCs w:val="21"/>
                                <w:lang w:eastAsia="zh-CN"/>
                              </w:rPr>
                              <w:t>供应商提供资格申明，</w:t>
                            </w:r>
                            <w:r>
                              <w:rPr>
                                <w:rFonts w:hint="eastAsia" w:ascii="宋体" w:cs="宋体"/>
                                <w:spacing w:val="-3"/>
                                <w:sz w:val="21"/>
                                <w:szCs w:val="21"/>
                              </w:rPr>
                              <w:t>开标当天</w:t>
                            </w:r>
                            <w:r>
                              <w:rPr>
                                <w:rFonts w:hint="eastAsia" w:ascii="宋体" w:cs="宋体"/>
                                <w:spacing w:val="-3"/>
                                <w:sz w:val="21"/>
                                <w:szCs w:val="21"/>
                                <w:lang w:eastAsia="zh-CN"/>
                              </w:rPr>
                              <w:t>，代理机构</w:t>
                            </w:r>
                            <w:r>
                              <w:rPr>
                                <w:rFonts w:hint="eastAsia" w:ascii="宋体" w:cs="宋体"/>
                                <w:spacing w:val="-3"/>
                                <w:sz w:val="21"/>
                                <w:szCs w:val="21"/>
                              </w:rPr>
                              <w:t xml:space="preserve">通过“ 国家企业信用信息公示系统” </w:t>
                            </w:r>
                            <w:r>
                              <w:rPr>
                                <w:rFonts w:hint="eastAsia" w:ascii="宋体" w:cs="宋体"/>
                                <w:spacing w:val="-3"/>
                                <w:sz w:val="21"/>
                                <w:szCs w:val="21"/>
                              </w:rPr>
                              <w:fldChar w:fldCharType="begin"/>
                            </w:r>
                            <w:r>
                              <w:rPr>
                                <w:rFonts w:hint="eastAsia" w:ascii="宋体" w:cs="宋体"/>
                                <w:spacing w:val="-3"/>
                                <w:sz w:val="21"/>
                                <w:szCs w:val="21"/>
                              </w:rPr>
                              <w:instrText xml:space="preserve"> HYPERLINK "http://www.gsxt.gov.cn/corp-query-homepage.html" </w:instrText>
                            </w:r>
                            <w:r>
                              <w:rPr>
                                <w:rFonts w:hint="eastAsia" w:ascii="宋体" w:cs="宋体"/>
                                <w:spacing w:val="-3"/>
                                <w:sz w:val="21"/>
                                <w:szCs w:val="21"/>
                              </w:rPr>
                              <w:fldChar w:fldCharType="separate"/>
                            </w:r>
                            <w:r>
                              <w:rPr>
                                <w:rFonts w:hint="eastAsia" w:ascii="宋体" w:cs="宋体"/>
                                <w:spacing w:val="-3"/>
                                <w:sz w:val="21"/>
                                <w:szCs w:val="21"/>
                              </w:rPr>
                              <w:t>（www.gsxt.gov.cn/corp-query-homepage.html</w:t>
                            </w:r>
                            <w:r>
                              <w:rPr>
                                <w:rFonts w:hint="eastAsia" w:ascii="宋体" w:cs="宋体"/>
                                <w:spacing w:val="-3"/>
                                <w:sz w:val="21"/>
                                <w:szCs w:val="21"/>
                              </w:rPr>
                              <w:fldChar w:fldCharType="end"/>
                            </w:r>
                            <w:r>
                              <w:rPr>
                                <w:rFonts w:hint="eastAsia" w:ascii="宋体" w:cs="宋体"/>
                                <w:spacing w:val="-3"/>
                                <w:sz w:val="21"/>
                                <w:szCs w:val="21"/>
                              </w:rPr>
                              <w:t>）查询股东信息</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1" w:hRule="exact"/>
                        </w:trPr>
                        <w:tc>
                          <w:tcPr>
                            <w:tcW w:w="8725" w:type="dxa"/>
                            <w:gridSpan w:val="2"/>
                            <w:tcBorders>
                              <w:top w:val="nil"/>
                              <w:left w:val="nil"/>
                              <w:bottom w:val="nil"/>
                              <w:right w:val="nil"/>
                            </w:tcBorders>
                            <w:vAlign w:val="center"/>
                          </w:tcPr>
                          <w:p>
                            <w:pPr>
                              <w:wordWrap w:val="0"/>
                              <w:spacing w:line="360" w:lineRule="auto"/>
                              <w:jc w:val="left"/>
                              <w:rPr>
                                <w:rFonts w:hint="eastAsia"/>
                              </w:rPr>
                            </w:pPr>
                            <w:r>
                              <w:rPr>
                                <w:rFonts w:hint="eastAsia"/>
                              </w:rPr>
                              <w:t>投标货物符合中华人民共和国国务院令第 650 号《医疗器械监督管理条例》及中华人民共 和国国务院令第 680 号《国务院关于修改《医疗器械监督管理条例》的决定》相关规定，取得医疗器械注册证或医疗器械产品相关备案凭证</w:t>
                            </w:r>
                            <w:r>
                              <w:rPr>
                                <w:rFonts w:hint="eastAsia"/>
                                <w:lang w:eastAsia="zh-CN"/>
                              </w:rPr>
                              <w:t>（</w:t>
                            </w:r>
                            <w:r>
                              <w:rPr>
                                <w:rFonts w:hint="eastAsia"/>
                                <w:lang w:val="en-US" w:eastAsia="zh-CN"/>
                              </w:rPr>
                              <w:t>如有</w:t>
                            </w:r>
                            <w:r>
                              <w:rPr>
                                <w:rFonts w:hint="eastAsia"/>
                                <w:lang w:eastAsia="zh-CN"/>
                              </w:rPr>
                              <w:t>）</w:t>
                            </w:r>
                            <w:r>
                              <w:rPr>
                                <w:rFonts w:hint="eastAsia"/>
                              </w:rPr>
                              <w:t>。</w:t>
                            </w:r>
                          </w:p>
                          <w:p>
                            <w:pPr>
                              <w:wordWrap w:val="0"/>
                              <w:spacing w:line="360" w:lineRule="auto"/>
                              <w:jc w:val="left"/>
                              <w:rPr>
                                <w:rFonts w:hint="eastAsia"/>
                              </w:rPr>
                            </w:pPr>
                            <w:r>
                              <w:rPr>
                                <w:rFonts w:hint="eastAsia"/>
                              </w:rPr>
                              <w:t>国内产品的制造商须具有医疗器械生产许可证</w:t>
                            </w:r>
                            <w:r>
                              <w:rPr>
                                <w:rFonts w:hint="eastAsia"/>
                                <w:lang w:eastAsia="zh-CN"/>
                              </w:rPr>
                              <w:t>（</w:t>
                            </w:r>
                            <w:r>
                              <w:rPr>
                                <w:rFonts w:hint="eastAsia"/>
                                <w:lang w:val="en-US" w:eastAsia="zh-CN"/>
                              </w:rPr>
                              <w:t>如有</w:t>
                            </w:r>
                            <w:r>
                              <w:rPr>
                                <w:rFonts w:hint="eastAsia"/>
                                <w:lang w:eastAsia="zh-CN"/>
                              </w:rPr>
                              <w:t>）</w:t>
                            </w:r>
                            <w:r>
                              <w:rPr>
                                <w:rFonts w:hint="eastAsia"/>
                              </w:rPr>
                              <w:t>；代理商（经销商）须具有医疗器械经营许可证或医疗器械经营备案凭证</w:t>
                            </w:r>
                            <w:r>
                              <w:rPr>
                                <w:rFonts w:hint="eastAsia"/>
                                <w:lang w:eastAsia="zh-CN"/>
                              </w:rPr>
                              <w:t>（</w:t>
                            </w:r>
                            <w:r>
                              <w:rPr>
                                <w:rFonts w:hint="eastAsia"/>
                                <w:lang w:val="en-US" w:eastAsia="zh-CN"/>
                              </w:rPr>
                              <w:t>如有</w:t>
                            </w:r>
                            <w:r>
                              <w:rPr>
                                <w:rFonts w:hint="eastAsia"/>
                                <w:lang w:eastAsia="zh-CN"/>
                              </w:rPr>
                              <w:t>）</w:t>
                            </w:r>
                            <w:r>
                              <w:rPr>
                                <w:rFonts w:hint="eastAsia"/>
                              </w:rPr>
                              <w:t>。</w:t>
                            </w:r>
                          </w:p>
                          <w:p>
                            <w:pPr>
                              <w:pStyle w:val="10"/>
                              <w:ind w:firstLine="0" w:firstLineChars="0"/>
                              <w:rPr>
                                <w:rFonts w:hint="eastAsia"/>
                                <w:lang w:eastAsia="zh-CN"/>
                              </w:rPr>
                            </w:pPr>
                            <w:r>
                              <w:rPr>
                                <w:rFonts w:hint="eastAsia" w:ascii="宋体" w:hAnsi="宋体" w:eastAsia="宋体" w:cs="宋体"/>
                                <w:color w:val="000000" w:themeColor="text1"/>
                                <w:spacing w:val="6"/>
                                <w:kern w:val="0"/>
                                <w:szCs w:val="21"/>
                                <w:lang w:val="en-US" w:eastAsia="zh-CN"/>
                                <w14:textFill>
                                  <w14:solidFill>
                                    <w14:schemeClr w14:val="tx1"/>
                                  </w14:solidFill>
                                </w14:textFill>
                              </w:rPr>
                              <w:t>供应商</w:t>
                            </w:r>
                            <w:r>
                              <w:rPr>
                                <w:rFonts w:hint="eastAsia" w:ascii="宋体" w:hAnsi="宋体" w:eastAsia="宋体" w:cs="宋体"/>
                                <w:color w:val="000000" w:themeColor="text1"/>
                                <w:spacing w:val="6"/>
                                <w:kern w:val="0"/>
                                <w:sz w:val="21"/>
                                <w:szCs w:val="21"/>
                                <w14:textFill>
                                  <w14:solidFill>
                                    <w14:schemeClr w14:val="tx1"/>
                                  </w14:solidFill>
                                </w14:textFill>
                              </w:rPr>
                              <w:t>必须提供医疗器械检验报告或者软件测试报告，系统软件的功能与质量要求应符合GB/T 25000.51国家标准。</w:t>
                            </w:r>
                          </w:p>
                        </w:tc>
                        <w:tc>
                          <w:tcPr>
                            <w:tcW w:w="709" w:type="dxa"/>
                            <w:tcBorders>
                              <w:top w:val="nil"/>
                              <w:left w:val="nil"/>
                              <w:bottom w:val="nil"/>
                              <w:right w:val="nil"/>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exact"/>
                        </w:trPr>
                        <w:tc>
                          <w:tcPr>
                            <w:tcW w:w="4274" w:type="dxa"/>
                            <w:tcBorders>
                              <w:top w:val="nil"/>
                              <w:left w:val="nil"/>
                              <w:bottom w:val="nil"/>
                              <w:right w:val="nil"/>
                            </w:tcBorders>
                            <w:vAlign w:val="center"/>
                          </w:tcPr>
                          <w:p>
                            <w:pPr>
                              <w:pStyle w:val="26"/>
                              <w:kinsoku w:val="0"/>
                              <w:overflowPunct w:val="0"/>
                              <w:spacing w:line="324" w:lineRule="auto"/>
                              <w:jc w:val="center"/>
                            </w:pPr>
                            <w:r>
                              <w:rPr>
                                <w:rFonts w:hint="eastAsia" w:ascii="宋体" w:cs="宋体"/>
                                <w:sz w:val="21"/>
                                <w:szCs w:val="21"/>
                              </w:rPr>
                              <w:t>结</w:t>
                            </w:r>
                            <w:r>
                              <w:rPr>
                                <w:rFonts w:hint="eastAsia" w:ascii="宋体" w:cs="宋体"/>
                                <w:spacing w:val="-3"/>
                                <w:sz w:val="21"/>
                                <w:szCs w:val="21"/>
                              </w:rPr>
                              <w:t>论</w:t>
                            </w:r>
                          </w:p>
                        </w:tc>
                        <w:tc>
                          <w:tcPr>
                            <w:tcW w:w="4451" w:type="dxa"/>
                            <w:tcBorders>
                              <w:top w:val="nil"/>
                              <w:left w:val="nil"/>
                              <w:bottom w:val="nil"/>
                              <w:right w:val="nil"/>
                            </w:tcBorders>
                            <w:vAlign w:val="center"/>
                          </w:tcPr>
                          <w:p>
                            <w:pPr>
                              <w:spacing w:line="324" w:lineRule="auto"/>
                              <w:jc w:val="center"/>
                            </w:pPr>
                          </w:p>
                        </w:tc>
                        <w:tc>
                          <w:tcPr>
                            <w:tcW w:w="709" w:type="dxa"/>
                            <w:tcBorders>
                              <w:top w:val="nil"/>
                              <w:left w:val="nil"/>
                              <w:bottom w:val="nil"/>
                              <w:right w:val="nil"/>
                            </w:tcBorders>
                            <w:vAlign w:val="center"/>
                          </w:tcPr>
                          <w:p>
                            <w:pPr>
                              <w:jc w:val="center"/>
                            </w:pPr>
                          </w:p>
                        </w:tc>
                      </w:tr>
                    </w:tbl>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p>
                      <w:pPr>
                        <w:pStyle w:val="5"/>
                        <w:kinsoku w:val="0"/>
                        <w:overflowPunct w:val="0"/>
                        <w:spacing w:before="0"/>
                        <w:ind w:left="0"/>
                      </w:pPr>
                    </w:p>
                  </w:txbxContent>
                </v:textbox>
              </v:shape>
            </w:pict>
          </mc:Fallback>
        </mc:AlternateConten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9" w:line="338" w:lineRule="auto"/>
        <w:ind w:left="602" w:right="6342"/>
        <w:jc w:val="left"/>
        <w:rPr>
          <w:rFonts w:ascii="Times New Roman" w:hAnsi="Times New Roman" w:eastAsia="宋体" w:cs="Times New Roman"/>
          <w:color w:val="000000" w:themeColor="text1"/>
          <w:kern w:val="0"/>
          <w:szCs w:val="21"/>
          <w14:textFill>
            <w14:solidFill>
              <w14:schemeClr w14:val="tx1"/>
            </w14:solidFill>
          </w14:textFill>
        </w:rPr>
        <w:sectPr>
          <w:type w:val="continuous"/>
          <w:pgSz w:w="11920" w:h="16850"/>
          <w:pgMar w:top="1600" w:right="1180" w:bottom="1200" w:left="1100" w:header="720" w:footer="720" w:gutter="0"/>
          <w:cols w:space="720" w:num="1"/>
        </w:sectPr>
      </w:pP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122" w:name="_Toc88446336"/>
      <w:bookmarkStart w:id="123" w:name="_Toc24034"/>
      <w:bookmarkStart w:id="124" w:name="_Toc32231"/>
      <w:bookmarkStart w:id="125" w:name="_Toc88272930"/>
      <w:bookmarkStart w:id="126" w:name="_Toc20111"/>
      <w:bookmarkStart w:id="127" w:name="_Toc20848"/>
      <w:r>
        <w:rPr>
          <w:rFonts w:hint="eastAsia" w:ascii="Times New Roman" w:hAnsi="Times New Roman" w:eastAsia="宋体" w:cs="Times New Roman"/>
          <w:color w:val="000000" w:themeColor="text1"/>
          <w:kern w:val="0"/>
          <w:sz w:val="24"/>
          <w:szCs w:val="24"/>
          <w14:textFill>
            <w14:solidFill>
              <w14:schemeClr w14:val="tx1"/>
            </w14:solidFill>
          </w14:textFill>
        </w:rPr>
        <w:t>附件</w:t>
      </w:r>
      <w:r>
        <w:rPr>
          <w:rFonts w:ascii="Times New Roman" w:hAnsi="Times New Roman" w:eastAsia="宋体" w:cs="Times New Roman"/>
          <w:color w:val="000000" w:themeColor="text1"/>
          <w:kern w:val="0"/>
          <w:sz w:val="24"/>
          <w:szCs w:val="24"/>
          <w14:textFill>
            <w14:solidFill>
              <w14:schemeClr w14:val="tx1"/>
            </w14:solidFill>
          </w14:textFill>
        </w:rPr>
        <w:t>2</w:t>
      </w:r>
      <w:r>
        <w:rPr>
          <w:rFonts w:hint="eastAsia" w:ascii="Times New Roman" w:hAnsi="Times New Roman" w:eastAsia="宋体" w:cs="Times New Roman"/>
          <w:color w:val="000000" w:themeColor="text1"/>
          <w:kern w:val="0"/>
          <w:sz w:val="24"/>
          <w:szCs w:val="24"/>
          <w14:textFill>
            <w14:solidFill>
              <w14:schemeClr w14:val="tx1"/>
            </w14:solidFill>
          </w14:textFill>
        </w:rPr>
        <w:t>：质疑函范本</w:t>
      </w:r>
      <w:bookmarkEnd w:id="122"/>
      <w:bookmarkEnd w:id="123"/>
      <w:bookmarkEnd w:id="124"/>
      <w:bookmarkEnd w:id="125"/>
      <w:bookmarkEnd w:id="126"/>
      <w:bookmarkEnd w:id="127"/>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4082"/>
        </w:tabs>
        <w:kinsoku w:val="0"/>
        <w:overflowPunct w:val="0"/>
        <w:autoSpaceDE w:val="0"/>
        <w:autoSpaceDN w:val="0"/>
        <w:adjustRightInd w:val="0"/>
        <w:spacing w:before="26" w:line="358" w:lineRule="auto"/>
        <w:ind w:left="601" w:right="4207"/>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128" w:name="_Toc202"/>
      <w:bookmarkStart w:id="129" w:name="_Toc3012"/>
      <w:bookmarkStart w:id="130" w:name="_Toc5960119"/>
      <w:bookmarkStart w:id="131" w:name="_Toc5946391"/>
      <w:bookmarkStart w:id="132" w:name="_Toc17887143"/>
      <w:bookmarkStart w:id="133" w:name="_Toc15361"/>
      <w:bookmarkStart w:id="134" w:name="_Toc5956008"/>
      <w:r>
        <w:rPr>
          <w:rFonts w:hint="eastAsia" w:ascii="Times New Roman" w:hAnsi="Times New Roman" w:eastAsia="宋体" w:cs="Times New Roman"/>
          <w:color w:val="000000" w:themeColor="text1"/>
          <w:kern w:val="0"/>
          <w:szCs w:val="21"/>
          <w14:textFill>
            <w14:solidFill>
              <w14:schemeClr w14:val="tx1"/>
            </w14:solidFill>
          </w14:textFill>
        </w:rPr>
        <w:t>一、质疑供应商基本信息</w:t>
      </w:r>
      <w:bookmarkEnd w:id="128"/>
      <w:bookmarkEnd w:id="129"/>
      <w:bookmarkEnd w:id="130"/>
      <w:bookmarkEnd w:id="131"/>
      <w:bookmarkEnd w:id="132"/>
      <w:bookmarkEnd w:id="133"/>
      <w:bookmarkEnd w:id="134"/>
    </w:p>
    <w:tbl>
      <w:tblPr>
        <w:tblStyle w:val="17"/>
        <w:tblW w:w="0" w:type="auto"/>
        <w:tblInd w:w="491"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4379"/>
        <w:gridCol w:w="4378"/>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8757" w:type="dxa"/>
            <w:gridSpan w:val="2"/>
            <w:vAlign w:val="center"/>
          </w:tcPr>
          <w:p>
            <w:pPr>
              <w:tabs>
                <w:tab w:val="left" w:pos="4082"/>
              </w:tabs>
              <w:kinsoku w:val="0"/>
              <w:overflowPunct w:val="0"/>
              <w:autoSpaceDE w:val="0"/>
              <w:autoSpaceDN w:val="0"/>
              <w:adjustRightInd w:val="0"/>
              <w:spacing w:line="358" w:lineRule="auto"/>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质疑供应商</w:t>
            </w:r>
            <w:r>
              <w:rPr>
                <w:rFonts w:ascii="宋体" w:hAnsi="Times New Roman" w:eastAsia="宋体" w:cs="宋体"/>
                <w:color w:val="000000" w:themeColor="text1"/>
                <w:kern w:val="0"/>
                <w:szCs w:val="21"/>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35" w:name="_Toc25271"/>
            <w:bookmarkStart w:id="136" w:name="_Toc88446337"/>
            <w:bookmarkStart w:id="137" w:name="_Toc3358"/>
            <w:bookmarkStart w:id="138" w:name="_Toc5960120"/>
            <w:bookmarkStart w:id="139" w:name="_Toc88272931"/>
            <w:bookmarkStart w:id="140" w:name="_Toc17887144"/>
            <w:bookmarkStart w:id="141" w:name="_Toc5956009"/>
            <w:bookmarkStart w:id="142" w:name="_Toc17231"/>
            <w:bookmarkStart w:id="143" w:name="_Toc14929"/>
            <w:bookmarkStart w:id="144" w:name="_Toc5946392"/>
            <w:bookmarkStart w:id="145" w:name="_Toc26072"/>
            <w:r>
              <w:rPr>
                <w:rFonts w:hint="eastAsia" w:ascii="宋体" w:hAnsi="Times New Roman" w:eastAsia="宋体" w:cs="宋体"/>
                <w:color w:val="000000" w:themeColor="text1"/>
                <w:kern w:val="0"/>
                <w:szCs w:val="21"/>
                <w14:textFill>
                  <w14:solidFill>
                    <w14:schemeClr w14:val="tx1"/>
                  </w14:solidFill>
                </w14:textFill>
              </w:rPr>
              <w:t>地址：</w:t>
            </w:r>
            <w:bookmarkEnd w:id="135"/>
            <w:bookmarkEnd w:id="136"/>
            <w:bookmarkEnd w:id="137"/>
            <w:bookmarkEnd w:id="138"/>
            <w:bookmarkEnd w:id="139"/>
            <w:bookmarkEnd w:id="140"/>
            <w:bookmarkEnd w:id="141"/>
            <w:bookmarkEnd w:id="142"/>
            <w:bookmarkEnd w:id="143"/>
            <w:bookmarkEnd w:id="144"/>
            <w:bookmarkEnd w:id="145"/>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46" w:name="_Toc30285"/>
            <w:bookmarkStart w:id="147" w:name="_Toc88446338"/>
            <w:bookmarkStart w:id="148" w:name="_Toc17887145"/>
            <w:bookmarkStart w:id="149" w:name="_Toc29707"/>
            <w:bookmarkStart w:id="150" w:name="_Toc5946393"/>
            <w:bookmarkStart w:id="151" w:name="_Toc24124"/>
            <w:bookmarkStart w:id="152" w:name="_Toc5956010"/>
            <w:bookmarkStart w:id="153" w:name="_Toc31279"/>
            <w:bookmarkStart w:id="154" w:name="_Toc88272932"/>
            <w:bookmarkStart w:id="155" w:name="_Toc4725"/>
            <w:bookmarkStart w:id="156" w:name="_Toc5960121"/>
            <w:r>
              <w:rPr>
                <w:rFonts w:hint="eastAsia" w:ascii="宋体" w:hAnsi="Times New Roman" w:eastAsia="宋体" w:cs="宋体"/>
                <w:color w:val="000000" w:themeColor="text1"/>
                <w:kern w:val="0"/>
                <w:szCs w:val="21"/>
                <w14:textFill>
                  <w14:solidFill>
                    <w14:schemeClr w14:val="tx1"/>
                  </w14:solidFill>
                </w14:textFill>
              </w:rPr>
              <w:t>邮编：</w:t>
            </w:r>
            <w:bookmarkEnd w:id="146"/>
            <w:bookmarkEnd w:id="147"/>
            <w:bookmarkEnd w:id="148"/>
            <w:bookmarkEnd w:id="149"/>
            <w:bookmarkEnd w:id="150"/>
            <w:bookmarkEnd w:id="151"/>
            <w:bookmarkEnd w:id="152"/>
            <w:bookmarkEnd w:id="153"/>
            <w:bookmarkEnd w:id="154"/>
            <w:bookmarkEnd w:id="155"/>
            <w:bookmarkEnd w:id="156"/>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57" w:name="_Toc5946394"/>
            <w:bookmarkStart w:id="158" w:name="_Toc713"/>
            <w:bookmarkStart w:id="159" w:name="_Toc88446339"/>
            <w:bookmarkStart w:id="160" w:name="_Toc18629"/>
            <w:bookmarkStart w:id="161" w:name="_Toc31468"/>
            <w:bookmarkStart w:id="162" w:name="_Toc5956011"/>
            <w:bookmarkStart w:id="163" w:name="_Toc88272933"/>
            <w:bookmarkStart w:id="164" w:name="_Toc1942"/>
            <w:bookmarkStart w:id="165" w:name="_Toc4701"/>
            <w:bookmarkStart w:id="166" w:name="_Toc5960122"/>
            <w:bookmarkStart w:id="167" w:name="_Toc17887146"/>
            <w:r>
              <w:rPr>
                <w:rFonts w:hint="eastAsia" w:ascii="宋体" w:hAnsi="Times New Roman" w:eastAsia="宋体" w:cs="宋体"/>
                <w:color w:val="000000" w:themeColor="text1"/>
                <w:spacing w:val="-1"/>
                <w:kern w:val="0"/>
                <w:szCs w:val="21"/>
                <w14:textFill>
                  <w14:solidFill>
                    <w14:schemeClr w14:val="tx1"/>
                  </w14:solidFill>
                </w14:textFill>
              </w:rPr>
              <w:t>联系人：</w:t>
            </w:r>
            <w:bookmarkEnd w:id="157"/>
            <w:bookmarkEnd w:id="158"/>
            <w:bookmarkEnd w:id="159"/>
            <w:bookmarkEnd w:id="160"/>
            <w:bookmarkEnd w:id="161"/>
            <w:bookmarkEnd w:id="162"/>
            <w:bookmarkEnd w:id="163"/>
            <w:bookmarkEnd w:id="164"/>
            <w:bookmarkEnd w:id="165"/>
            <w:bookmarkEnd w:id="166"/>
            <w:bookmarkEnd w:id="167"/>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68" w:name="_Toc5960123"/>
            <w:bookmarkStart w:id="169" w:name="_Toc32119"/>
            <w:bookmarkStart w:id="170" w:name="_Toc16511"/>
            <w:bookmarkStart w:id="171" w:name="_Toc9414"/>
            <w:bookmarkStart w:id="172" w:name="_Toc5946395"/>
            <w:bookmarkStart w:id="173" w:name="_Toc5956012"/>
            <w:bookmarkStart w:id="174" w:name="_Toc88272934"/>
            <w:bookmarkStart w:id="175" w:name="_Toc12693"/>
            <w:bookmarkStart w:id="176" w:name="_Toc88446340"/>
            <w:bookmarkStart w:id="177" w:name="_Toc326"/>
            <w:bookmarkStart w:id="178" w:name="_Toc17887147"/>
            <w:r>
              <w:rPr>
                <w:rFonts w:hint="eastAsia" w:ascii="宋体" w:hAnsi="Times New Roman" w:eastAsia="宋体" w:cs="宋体"/>
                <w:color w:val="000000" w:themeColor="text1"/>
                <w:kern w:val="0"/>
                <w:szCs w:val="21"/>
                <w14:textFill>
                  <w14:solidFill>
                    <w14:schemeClr w14:val="tx1"/>
                  </w14:solidFill>
                </w14:textFill>
              </w:rPr>
              <w:t>联系电话：</w:t>
            </w:r>
            <w:bookmarkEnd w:id="168"/>
            <w:bookmarkEnd w:id="169"/>
            <w:bookmarkEnd w:id="170"/>
            <w:bookmarkEnd w:id="171"/>
            <w:bookmarkEnd w:id="172"/>
            <w:bookmarkEnd w:id="173"/>
            <w:bookmarkEnd w:id="174"/>
            <w:bookmarkEnd w:id="175"/>
            <w:bookmarkEnd w:id="176"/>
            <w:bookmarkEnd w:id="177"/>
            <w:bookmarkEnd w:id="178"/>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79" w:name="_Toc27270"/>
            <w:bookmarkStart w:id="180" w:name="_Toc88446341"/>
            <w:bookmarkStart w:id="181" w:name="_Toc5960124"/>
            <w:bookmarkStart w:id="182" w:name="_Toc17601"/>
            <w:bookmarkStart w:id="183" w:name="_Toc12654"/>
            <w:bookmarkStart w:id="184" w:name="_Toc17887148"/>
            <w:bookmarkStart w:id="185" w:name="_Toc88272935"/>
            <w:bookmarkStart w:id="186" w:name="_Toc5946396"/>
            <w:bookmarkStart w:id="187" w:name="_Toc18684"/>
            <w:bookmarkStart w:id="188" w:name="_Toc27387"/>
            <w:bookmarkStart w:id="189" w:name="_Toc5956013"/>
            <w:r>
              <w:rPr>
                <w:rFonts w:hint="eastAsia" w:ascii="宋体" w:hAnsi="Times New Roman" w:eastAsia="宋体" w:cs="宋体"/>
                <w:color w:val="000000" w:themeColor="text1"/>
                <w:spacing w:val="-1"/>
                <w:kern w:val="0"/>
                <w:szCs w:val="21"/>
                <w14:textFill>
                  <w14:solidFill>
                    <w14:schemeClr w14:val="tx1"/>
                  </w14:solidFill>
                </w14:textFill>
              </w:rPr>
              <w:t>授权代表：</w:t>
            </w:r>
            <w:bookmarkEnd w:id="179"/>
            <w:bookmarkEnd w:id="180"/>
            <w:bookmarkEnd w:id="181"/>
            <w:bookmarkEnd w:id="182"/>
            <w:bookmarkEnd w:id="183"/>
            <w:bookmarkEnd w:id="184"/>
            <w:bookmarkEnd w:id="185"/>
            <w:bookmarkEnd w:id="186"/>
            <w:bookmarkEnd w:id="187"/>
            <w:bookmarkEnd w:id="188"/>
            <w:bookmarkEnd w:id="189"/>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190" w:name="_Toc6335"/>
            <w:bookmarkStart w:id="191" w:name="_Toc88272936"/>
            <w:bookmarkStart w:id="192" w:name="_Toc5960125"/>
            <w:bookmarkStart w:id="193" w:name="_Toc25327"/>
            <w:bookmarkStart w:id="194" w:name="_Toc17887149"/>
            <w:bookmarkStart w:id="195" w:name="_Toc88446342"/>
            <w:bookmarkStart w:id="196" w:name="_Toc350"/>
            <w:bookmarkStart w:id="197" w:name="_Toc24999"/>
            <w:bookmarkStart w:id="198" w:name="_Toc5956014"/>
            <w:bookmarkStart w:id="199" w:name="_Toc5946397"/>
            <w:bookmarkStart w:id="200" w:name="_Toc13378"/>
            <w:r>
              <w:rPr>
                <w:rFonts w:hint="eastAsia" w:ascii="宋体" w:hAnsi="Times New Roman" w:eastAsia="宋体" w:cs="宋体"/>
                <w:color w:val="000000" w:themeColor="text1"/>
                <w:kern w:val="0"/>
                <w:szCs w:val="21"/>
                <w14:textFill>
                  <w14:solidFill>
                    <w14:schemeClr w14:val="tx1"/>
                  </w14:solidFill>
                </w14:textFill>
              </w:rPr>
              <w:t>联系电话：</w:t>
            </w:r>
            <w:bookmarkEnd w:id="190"/>
            <w:bookmarkEnd w:id="191"/>
            <w:bookmarkEnd w:id="192"/>
            <w:bookmarkEnd w:id="193"/>
            <w:bookmarkEnd w:id="194"/>
            <w:bookmarkEnd w:id="195"/>
            <w:bookmarkEnd w:id="196"/>
            <w:bookmarkEnd w:id="197"/>
            <w:bookmarkEnd w:id="198"/>
            <w:bookmarkEnd w:id="199"/>
            <w:bookmarkEnd w:id="200"/>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4379" w:type="dxa"/>
            <w:tcBorders>
              <w:righ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01" w:name="_Toc88446343"/>
            <w:bookmarkStart w:id="202" w:name="_Toc5946398"/>
            <w:bookmarkStart w:id="203" w:name="_Toc5960126"/>
            <w:bookmarkStart w:id="204" w:name="_Toc88272937"/>
            <w:bookmarkStart w:id="205" w:name="_Toc17887150"/>
            <w:bookmarkStart w:id="206" w:name="_Toc5956015"/>
            <w:bookmarkStart w:id="207" w:name="_Toc3150"/>
            <w:bookmarkStart w:id="208" w:name="_Toc32191"/>
            <w:bookmarkStart w:id="209" w:name="_Toc151"/>
            <w:bookmarkStart w:id="210" w:name="_Toc28698"/>
            <w:bookmarkStart w:id="211" w:name="_Toc25897"/>
            <w:r>
              <w:rPr>
                <w:rFonts w:hint="eastAsia" w:ascii="宋体" w:hAnsi="Times New Roman" w:eastAsia="宋体" w:cs="宋体"/>
                <w:color w:val="000000" w:themeColor="text1"/>
                <w:spacing w:val="-1"/>
                <w:kern w:val="0"/>
                <w:szCs w:val="21"/>
                <w14:textFill>
                  <w14:solidFill>
                    <w14:schemeClr w14:val="tx1"/>
                  </w14:solidFill>
                </w14:textFill>
              </w:rPr>
              <w:t>地址：</w:t>
            </w:r>
            <w:bookmarkEnd w:id="201"/>
            <w:bookmarkEnd w:id="202"/>
            <w:bookmarkEnd w:id="203"/>
            <w:bookmarkEnd w:id="204"/>
            <w:bookmarkEnd w:id="205"/>
            <w:bookmarkEnd w:id="206"/>
            <w:bookmarkEnd w:id="207"/>
            <w:bookmarkEnd w:id="208"/>
            <w:bookmarkEnd w:id="209"/>
            <w:bookmarkEnd w:id="210"/>
            <w:bookmarkEnd w:id="211"/>
          </w:p>
        </w:tc>
        <w:tc>
          <w:tcPr>
            <w:tcW w:w="4378" w:type="dxa"/>
            <w:tcBorders>
              <w:left w:val="nil"/>
            </w:tcBorders>
            <w:vAlign w:val="center"/>
          </w:tcPr>
          <w:p>
            <w:pPr>
              <w:tabs>
                <w:tab w:val="left" w:pos="4082"/>
              </w:tabs>
              <w:kinsoku w:val="0"/>
              <w:overflowPunct w:val="0"/>
              <w:autoSpaceDE w:val="0"/>
              <w:autoSpaceDN w:val="0"/>
              <w:adjustRightInd w:val="0"/>
              <w:spacing w:line="358" w:lineRule="auto"/>
              <w:outlineLvl w:val="0"/>
              <w:rPr>
                <w:rFonts w:ascii="宋体" w:hAnsi="Times New Roman" w:eastAsia="宋体" w:cs="宋体"/>
                <w:color w:val="000000" w:themeColor="text1"/>
                <w:kern w:val="0"/>
                <w:szCs w:val="21"/>
                <w14:textFill>
                  <w14:solidFill>
                    <w14:schemeClr w14:val="tx1"/>
                  </w14:solidFill>
                </w14:textFill>
              </w:rPr>
            </w:pPr>
            <w:bookmarkStart w:id="212" w:name="_Toc88272938"/>
            <w:bookmarkStart w:id="213" w:name="_Toc6336"/>
            <w:bookmarkStart w:id="214" w:name="_Toc5956016"/>
            <w:bookmarkStart w:id="215" w:name="_Toc5946399"/>
            <w:bookmarkStart w:id="216" w:name="_Toc17887151"/>
            <w:bookmarkStart w:id="217" w:name="_Toc25234"/>
            <w:bookmarkStart w:id="218" w:name="_Toc6208"/>
            <w:bookmarkStart w:id="219" w:name="_Toc3189"/>
            <w:bookmarkStart w:id="220" w:name="_Toc4693"/>
            <w:bookmarkStart w:id="221" w:name="_Toc5960127"/>
            <w:bookmarkStart w:id="222" w:name="_Toc88446344"/>
            <w:r>
              <w:rPr>
                <w:rFonts w:hint="eastAsia" w:ascii="宋体" w:hAnsi="Times New Roman" w:eastAsia="宋体" w:cs="宋体"/>
                <w:color w:val="000000" w:themeColor="text1"/>
                <w:kern w:val="0"/>
                <w:szCs w:val="21"/>
                <w14:textFill>
                  <w14:solidFill>
                    <w14:schemeClr w14:val="tx1"/>
                  </w14:solidFill>
                </w14:textFill>
              </w:rPr>
              <w:t>邮编：</w:t>
            </w:r>
            <w:bookmarkEnd w:id="212"/>
            <w:bookmarkEnd w:id="213"/>
            <w:bookmarkEnd w:id="214"/>
            <w:bookmarkEnd w:id="215"/>
            <w:bookmarkEnd w:id="216"/>
            <w:bookmarkEnd w:id="217"/>
            <w:bookmarkEnd w:id="218"/>
            <w:bookmarkEnd w:id="219"/>
            <w:bookmarkEnd w:id="220"/>
            <w:bookmarkEnd w:id="221"/>
            <w:bookmarkEnd w:id="222"/>
          </w:p>
        </w:tc>
      </w:tr>
    </w:tbl>
    <w:p>
      <w:pPr>
        <w:tabs>
          <w:tab w:val="left" w:pos="4082"/>
        </w:tabs>
        <w:kinsoku w:val="0"/>
        <w:overflowPunct w:val="0"/>
        <w:autoSpaceDE w:val="0"/>
        <w:autoSpaceDN w:val="0"/>
        <w:adjustRightInd w:val="0"/>
        <w:spacing w:before="127" w:line="355" w:lineRule="auto"/>
        <w:ind w:left="601" w:right="4088"/>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23" w:name="_Toc12163"/>
      <w:bookmarkStart w:id="224" w:name="_Toc21790"/>
      <w:bookmarkStart w:id="225" w:name="_Toc5956017"/>
      <w:bookmarkStart w:id="226" w:name="_Toc17887152"/>
      <w:bookmarkStart w:id="227" w:name="_Toc5946400"/>
      <w:bookmarkStart w:id="228" w:name="_Toc2045"/>
      <w:bookmarkStart w:id="229" w:name="_Toc5960128"/>
      <w:r>
        <w:rPr>
          <w:rFonts w:hint="eastAsia" w:ascii="Times New Roman" w:hAnsi="Times New Roman" w:eastAsia="宋体" w:cs="Times New Roman"/>
          <w:color w:val="000000" w:themeColor="text1"/>
          <w:kern w:val="0"/>
          <w:szCs w:val="21"/>
          <w14:textFill>
            <w14:solidFill>
              <w14:schemeClr w14:val="tx1"/>
            </w14:solidFill>
          </w14:textFill>
        </w:rPr>
        <w:t>二、质疑项目基本情况质疑项目的名称：</w:t>
      </w:r>
      <w:bookmarkEnd w:id="223"/>
      <w:bookmarkEnd w:id="224"/>
      <w:bookmarkEnd w:id="225"/>
      <w:bookmarkEnd w:id="226"/>
      <w:bookmarkEnd w:id="227"/>
      <w:bookmarkEnd w:id="228"/>
      <w:bookmarkEnd w:id="229"/>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082"/>
        </w:tabs>
        <w:kinsoku w:val="0"/>
        <w:overflowPunct w:val="0"/>
        <w:autoSpaceDE w:val="0"/>
        <w:autoSpaceDN w:val="0"/>
        <w:adjustRightInd w:val="0"/>
        <w:spacing w:before="127" w:line="355" w:lineRule="auto"/>
        <w:ind w:left="599" w:right="4088"/>
        <w:jc w:val="left"/>
        <w:rPr>
          <w:rFonts w:ascii="Times New Roman" w:hAnsi="Times New Roman" w:eastAsia="宋体" w:cs="Times New Roman"/>
          <w:color w:val="000000" w:themeColor="text1"/>
          <w:kern w:val="0"/>
          <w:szCs w:val="21"/>
          <w14:textFill>
            <w14:solidFill>
              <w14:schemeClr w14:val="tx1"/>
            </w14:solidFill>
          </w14:textFill>
        </w:rPr>
      </w:pPr>
      <w:bookmarkStart w:id="230" w:name="_Toc5956018"/>
      <w:bookmarkStart w:id="231" w:name="_Toc17887153"/>
      <w:bookmarkStart w:id="232" w:name="_Toc5946401"/>
      <w:bookmarkStart w:id="233" w:name="_Toc8911"/>
      <w:bookmarkStart w:id="234" w:name="_Toc5960129"/>
      <w:r>
        <w:rPr>
          <w:rFonts w:hint="eastAsia" w:ascii="Times New Roman" w:hAnsi="Times New Roman" w:eastAsia="宋体" w:cs="Times New Roman"/>
          <w:color w:val="000000" w:themeColor="text1"/>
          <w:kern w:val="0"/>
          <w:szCs w:val="21"/>
          <w14:textFill>
            <w14:solidFill>
              <w14:schemeClr w14:val="tx1"/>
            </w14:solidFill>
          </w14:textFill>
        </w:rPr>
        <w:t>质疑项目的编号：</w:t>
      </w:r>
      <w:bookmarkEnd w:id="230"/>
      <w:bookmarkEnd w:id="231"/>
      <w:bookmarkEnd w:id="232"/>
      <w:bookmarkEnd w:id="233"/>
      <w:bookmarkEnd w:id="234"/>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6"/>
          <w:kern w:val="0"/>
          <w:szCs w:val="21"/>
          <w14:textFill>
            <w14:solidFill>
              <w14:schemeClr w14:val="tx1"/>
            </w14:solidFill>
          </w14:textFill>
        </w:rPr>
        <w:t>包号：</w:t>
      </w:r>
      <w:r>
        <w:rPr>
          <w:rFonts w:ascii="Times New Roman" w:hAnsi="Times New Roman" w:eastAsia="宋体" w:cs="Times New Roman"/>
          <w:color w:val="000000" w:themeColor="text1"/>
          <w:spacing w:val="-17"/>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8" w:line="357" w:lineRule="auto"/>
        <w:ind w:left="599" w:right="6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采购文件获取日期：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spacing w:val="-12"/>
          <w:kern w:val="0"/>
          <w:szCs w:val="21"/>
          <w14:textFill>
            <w14:solidFill>
              <w14:schemeClr w14:val="tx1"/>
            </w14:solidFill>
          </w14:textFill>
        </w:rPr>
      </w:pPr>
      <w:bookmarkStart w:id="235" w:name="_Toc18645"/>
      <w:bookmarkStart w:id="236" w:name="_Toc23535"/>
      <w:bookmarkStart w:id="237" w:name="_Toc17675"/>
      <w:bookmarkStart w:id="238" w:name="_Toc5960130"/>
      <w:bookmarkStart w:id="239" w:name="_Toc5956019"/>
      <w:bookmarkStart w:id="240" w:name="_Toc5946402"/>
      <w:bookmarkStart w:id="241" w:name="_Toc17887154"/>
      <w:r>
        <w:rPr>
          <w:rFonts w:hint="eastAsia" w:ascii="Times New Roman" w:hAnsi="Times New Roman" w:eastAsia="宋体" w:cs="Times New Roman"/>
          <w:color w:val="000000" w:themeColor="text1"/>
          <w:spacing w:val="-6"/>
          <w:kern w:val="0"/>
          <w:szCs w:val="21"/>
          <w14:textFill>
            <w14:solidFill>
              <w14:schemeClr w14:val="tx1"/>
            </w14:solidFill>
          </w14:textFill>
        </w:rPr>
        <w:t>三、质疑事项具体内容质疑事项</w:t>
      </w:r>
      <w:bookmarkEnd w:id="235"/>
      <w:bookmarkEnd w:id="236"/>
      <w:bookmarkEnd w:id="237"/>
      <w:bookmarkEnd w:id="238"/>
      <w:bookmarkEnd w:id="239"/>
      <w:bookmarkEnd w:id="240"/>
      <w:bookmarkEnd w:id="241"/>
      <w:r>
        <w:rPr>
          <w:rFonts w:ascii="Times New Roman" w:hAnsi="Times New Roman" w:eastAsia="宋体" w:cs="Times New Roman"/>
          <w:color w:val="000000" w:themeColor="text1"/>
          <w:spacing w:val="-12"/>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bookmarkStart w:id="242" w:name="_Toc5960131"/>
      <w:bookmarkStart w:id="243" w:name="_Toc17887155"/>
      <w:bookmarkStart w:id="244" w:name="_Toc5956020"/>
      <w:bookmarkStart w:id="245" w:name="_Toc30065"/>
      <w:bookmarkStart w:id="246" w:name="_Toc5946403"/>
      <w:r>
        <w:rPr>
          <w:rFonts w:ascii="Times New Roman" w:hAnsi="Times New Roman" w:eastAsia="宋体" w:cs="Times New Roman"/>
          <w:color w:val="000000" w:themeColor="text1"/>
          <w:kern w:val="0"/>
          <w:szCs w:val="21"/>
          <w14:textFill>
            <w14:solidFill>
              <w14:schemeClr w14:val="tx1"/>
            </w14:solidFill>
          </w14:textFill>
        </w:rPr>
        <w:t>1</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spacing w:val="-116"/>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事实依据：</w:t>
      </w:r>
      <w:bookmarkEnd w:id="242"/>
      <w:bookmarkEnd w:id="243"/>
      <w:bookmarkEnd w:id="244"/>
      <w:bookmarkEnd w:id="245"/>
      <w:bookmarkEnd w:id="246"/>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2.法律依据：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left="599" w:right="4206" w:hanging="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3"/>
          <w:kern w:val="0"/>
          <w:szCs w:val="21"/>
          <w14:textFill>
            <w14:solidFill>
              <w14:schemeClr w14:val="tx1"/>
            </w14:solidFill>
          </w14:textFill>
        </w:rPr>
        <w:t>3.质疑事项：</w:t>
      </w:r>
    </w:p>
    <w:p>
      <w:pPr>
        <w:kinsoku w:val="0"/>
        <w:overflowPunct w:val="0"/>
        <w:autoSpaceDE w:val="0"/>
        <w:autoSpaceDN w:val="0"/>
        <w:adjustRightInd w:val="0"/>
        <w:spacing w:before="34" w:line="357" w:lineRule="auto"/>
        <w:ind w:left="599" w:right="4206" w:hanging="5"/>
        <w:jc w:val="left"/>
        <w:outlineLvl w:val="0"/>
        <w:rPr>
          <w:rFonts w:ascii="Times New Roman" w:hAnsi="Times New Roman" w:eastAsia="宋体" w:cs="Times New Roman"/>
          <w:color w:val="000000" w:themeColor="text1"/>
          <w:kern w:val="0"/>
          <w:szCs w:val="21"/>
          <w14:textFill>
            <w14:solidFill>
              <w14:schemeClr w14:val="tx1"/>
            </w14:solidFill>
          </w14:textFill>
        </w:rPr>
      </w:pPr>
      <w:bookmarkStart w:id="247" w:name="_Toc16491"/>
      <w:bookmarkStart w:id="248" w:name="_Toc5960132"/>
      <w:bookmarkStart w:id="249" w:name="_Toc5946404"/>
      <w:bookmarkStart w:id="250" w:name="_Toc5956021"/>
      <w:bookmarkStart w:id="251" w:name="_Toc6463"/>
      <w:bookmarkStart w:id="252" w:name="_Toc17887156"/>
      <w:bookmarkStart w:id="253" w:name="_Toc4449"/>
      <w:r>
        <w:rPr>
          <w:rFonts w:hint="eastAsia" w:ascii="Times New Roman" w:hAnsi="Times New Roman" w:eastAsia="宋体" w:cs="Times New Roman"/>
          <w:color w:val="000000" w:themeColor="text1"/>
          <w:kern w:val="0"/>
          <w:szCs w:val="21"/>
          <w14:textFill>
            <w14:solidFill>
              <w14:schemeClr w14:val="tx1"/>
            </w14:solidFill>
          </w14:textFill>
        </w:rPr>
        <w:t>四、与质疑事项相关的质疑请求：</w:t>
      </w:r>
      <w:bookmarkEnd w:id="247"/>
      <w:bookmarkEnd w:id="248"/>
      <w:bookmarkEnd w:id="249"/>
      <w:bookmarkEnd w:id="250"/>
      <w:bookmarkEnd w:id="251"/>
      <w:bookmarkEnd w:id="252"/>
      <w:bookmarkEnd w:id="253"/>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ind w:left="599" w:right="843"/>
        <w:rPr>
          <w:rFonts w:ascii="Times New Roman" w:hAnsi="Times New Roman" w:eastAsia="宋体" w:cs="Times New Roman"/>
          <w:color w:val="000000" w:themeColor="text1"/>
          <w:spacing w:val="-1"/>
          <w:kern w:val="0"/>
          <w:szCs w:val="21"/>
          <w14:textFill>
            <w14:solidFill>
              <w14:schemeClr w14:val="tx1"/>
            </w14:solidFill>
          </w14:textFill>
        </w:rPr>
      </w:pP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spacing w:val="-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签字</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签章</w:t>
      </w:r>
      <w:r>
        <w:rPr>
          <w:rFonts w:ascii="Times New Roman" w:hAnsi="Times New Roman" w:eastAsia="宋体" w:cs="Times New Roman"/>
          <w:color w:val="000000" w:themeColor="text1"/>
          <w:spacing w:val="-1"/>
          <w:kern w:val="0"/>
          <w:szCs w:val="21"/>
          <w14:textFill>
            <w14:solidFill>
              <w14:schemeClr w14:val="tx1"/>
            </w14:solidFill>
          </w14:textFill>
        </w:rPr>
        <w:t>)</w:t>
      </w:r>
      <w:r>
        <w:rPr>
          <w:rFonts w:hint="eastAsia" w:ascii="Times New Roman" w:hAnsi="Times New Roman" w:eastAsia="宋体" w:cs="Times New Roman"/>
          <w:color w:val="000000" w:themeColor="text1"/>
          <w:spacing w:val="-1"/>
          <w:kern w:val="0"/>
          <w:szCs w:val="21"/>
          <w14:textFill>
            <w14:solidFill>
              <w14:schemeClr w14:val="tx1"/>
            </w14:solidFill>
          </w14:textFill>
        </w:rPr>
        <w:t>：</w:t>
      </w:r>
      <w:r>
        <w:rPr>
          <w:rFonts w:ascii="Times New Roman" w:hAnsi="Times New Roman" w:eastAsia="宋体" w:cs="Times New Roman"/>
          <w:color w:val="000000" w:themeColor="text1"/>
          <w:spacing w:val="-1"/>
          <w:kern w:val="0"/>
          <w:szCs w:val="21"/>
          <w14:textFill>
            <w14:solidFill>
              <w14:schemeClr w14:val="tx1"/>
            </w14:solidFill>
          </w14:textFill>
        </w:rPr>
        <w:tab/>
      </w:r>
    </w:p>
    <w:p>
      <w:pPr>
        <w:tabs>
          <w:tab w:val="left" w:pos="5162"/>
        </w:tabs>
        <w:kinsoku w:val="0"/>
        <w:overflowPunct w:val="0"/>
        <w:autoSpaceDE w:val="0"/>
        <w:autoSpaceDN w:val="0"/>
        <w:adjustRightInd w:val="0"/>
        <w:spacing w:before="36" w:line="360" w:lineRule="auto"/>
        <w:ind w:left="601" w:right="845"/>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质疑函制作说明：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1. </w:t>
      </w:r>
      <w:r>
        <w:rPr>
          <w:rFonts w:hint="eastAsia" w:ascii="Times New Roman" w:hAnsi="Times New Roman" w:eastAsia="宋体" w:cs="Times New Roman"/>
          <w:color w:val="000000" w:themeColor="text1"/>
          <w:kern w:val="0"/>
          <w:szCs w:val="21"/>
          <w14:textFill>
            <w14:solidFill>
              <w14:schemeClr w14:val="tx1"/>
            </w14:solidFill>
          </w14:textFill>
        </w:rPr>
        <w:t>供应商提出质疑时，应提交质疑函和必要的证明材料。</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2. </w:t>
      </w:r>
      <w:r>
        <w:rPr>
          <w:rFonts w:hint="eastAsia" w:ascii="Times New Roman" w:hAnsi="Times New Roman" w:eastAsia="宋体" w:cs="Times New Roman"/>
          <w:color w:val="000000" w:themeColor="text1"/>
          <w:kern w:val="0"/>
          <w:szCs w:val="21"/>
          <w14:textFill>
            <w14:solidFill>
              <w14:schemeClr w14:val="tx1"/>
            </w14:solidFill>
          </w14:textFill>
        </w:rPr>
        <w:t>质疑供应商若委托代理人进行质疑的，质疑函应按要求列明</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授权代表</w:t>
      </w:r>
      <w:r>
        <w:rPr>
          <w:rFonts w:ascii="Times New Roman" w:hAnsi="Times New Roman" w:eastAsia="宋体" w:cs="Times New Roman"/>
          <w:color w:val="000000" w:themeColor="text1"/>
          <w:kern w:val="0"/>
          <w:szCs w:val="21"/>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的有关内容，并在附件中提交由质疑供应商签署的授权委托书。授权委托书应载明代理人的姓名或者名称、代理事项、具体权限、期限和相关事项。</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3. </w:t>
      </w:r>
      <w:r>
        <w:rPr>
          <w:rFonts w:hint="eastAsia" w:ascii="Times New Roman" w:hAnsi="Times New Roman" w:eastAsia="宋体" w:cs="Times New Roman"/>
          <w:color w:val="000000" w:themeColor="text1"/>
          <w:kern w:val="0"/>
          <w:szCs w:val="21"/>
          <w14:textFill>
            <w14:solidFill>
              <w14:schemeClr w14:val="tx1"/>
            </w14:solidFill>
          </w14:textFill>
        </w:rPr>
        <w:t>质疑供应商若对项目的某一分包进行质疑，质疑函中应列明具体分包号。</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4. </w:t>
      </w:r>
      <w:r>
        <w:rPr>
          <w:rFonts w:hint="eastAsia" w:ascii="Times New Roman" w:hAnsi="Times New Roman" w:eastAsia="宋体" w:cs="Times New Roman"/>
          <w:color w:val="000000" w:themeColor="text1"/>
          <w:kern w:val="0"/>
          <w:szCs w:val="21"/>
          <w14:textFill>
            <w14:solidFill>
              <w14:schemeClr w14:val="tx1"/>
            </w14:solidFill>
          </w14:textFill>
        </w:rPr>
        <w:t>质疑函的质疑事项应具体、明确，并有必要的事实依据和法律依据。</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5. </w:t>
      </w:r>
      <w:r>
        <w:rPr>
          <w:rFonts w:hint="eastAsia" w:ascii="Times New Roman" w:hAnsi="Times New Roman" w:eastAsia="宋体" w:cs="Times New Roman"/>
          <w:color w:val="000000" w:themeColor="text1"/>
          <w:kern w:val="0"/>
          <w:szCs w:val="21"/>
          <w14:textFill>
            <w14:solidFill>
              <w14:schemeClr w14:val="tx1"/>
            </w14:solidFill>
          </w14:textFill>
        </w:rPr>
        <w:t>质疑函的质疑请求应与质疑事项相关。</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82"/>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6. </w:t>
      </w:r>
      <w:r>
        <w:rPr>
          <w:rFonts w:hint="eastAsia" w:ascii="Times New Roman" w:hAnsi="Times New Roman" w:eastAsia="宋体" w:cs="Times New Roman"/>
          <w:color w:val="000000" w:themeColor="text1"/>
          <w:kern w:val="0"/>
          <w:szCs w:val="21"/>
          <w14:textFill>
            <w14:solidFill>
              <w14:schemeClr w14:val="tx1"/>
            </w14:solidFill>
          </w14:textFill>
        </w:rPr>
        <w:t>质疑供应商为自然人的，质疑函应由本人签字；质疑供应商为法人或者其他组织的，质疑函应由法定代表人、主要负责人，或者其授权代表签字或者盖章，并加盖公章。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602" w:right="22"/>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680" w:bottom="1200" w:left="1100" w:header="0" w:footer="1009" w:gutter="0"/>
          <w:pgNumType w:fmt="numberInDash"/>
          <w:cols w:space="720" w:num="1"/>
        </w:sect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254" w:name="_Toc14825"/>
      <w:bookmarkStart w:id="255" w:name="_Toc3592"/>
      <w:bookmarkStart w:id="256" w:name="_Toc4140"/>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254"/>
      <w:bookmarkEnd w:id="255"/>
      <w:bookmarkEnd w:id="256"/>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57" w:name="_Toc25444"/>
      <w:bookmarkStart w:id="258" w:name="_Toc17887158"/>
      <w:bookmarkStart w:id="259" w:name="_Toc5960134"/>
      <w:bookmarkStart w:id="260" w:name="_Toc22660"/>
      <w:bookmarkStart w:id="261" w:name="_Toc3123"/>
      <w:r>
        <w:rPr>
          <w:rFonts w:hint="eastAsia" w:ascii="宋体" w:hAnsi="宋体" w:eastAsia="宋体" w:cs="宋体"/>
          <w:b/>
          <w:bCs/>
          <w:color w:val="000000" w:themeColor="text1"/>
          <w:kern w:val="0"/>
          <w:szCs w:val="21"/>
          <w14:textFill>
            <w14:solidFill>
              <w14:schemeClr w14:val="tx1"/>
            </w14:solidFill>
          </w14:textFill>
        </w:rPr>
        <w:t>一、评标依据</w:t>
      </w:r>
      <w:bookmarkEnd w:id="257"/>
      <w:bookmarkEnd w:id="258"/>
      <w:bookmarkEnd w:id="259"/>
      <w:bookmarkEnd w:id="260"/>
      <w:bookmarkEnd w:id="2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262" w:name="_Toc13171"/>
      <w:bookmarkStart w:id="263" w:name="_Toc5960135"/>
      <w:bookmarkStart w:id="264" w:name="_Toc16639"/>
      <w:bookmarkStart w:id="265" w:name="_Toc5137"/>
      <w:bookmarkStart w:id="266" w:name="_Toc17887159"/>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262"/>
      <w:bookmarkEnd w:id="263"/>
      <w:bookmarkEnd w:id="264"/>
      <w:bookmarkEnd w:id="265"/>
      <w:bookmarkEnd w:id="266"/>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w:t>
      </w:r>
      <w:r>
        <w:rPr>
          <w:rFonts w:ascii="Times New Roman" w:hAnsi="宋体" w:eastAsia="宋体" w:cs="Times New Roman"/>
          <w:color w:val="000000" w:themeColor="text1"/>
          <w:spacing w:val="-6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采购人将根据招标采购设备的特点依法组建</w:t>
      </w:r>
      <w:r>
        <w:rPr>
          <w:rFonts w:hint="eastAsia" w:ascii="Times New Roman" w:hAnsi="宋体" w:eastAsia="宋体" w:cs="Times New Roman"/>
          <w:color w:val="000000" w:themeColor="text1"/>
          <w:spacing w:val="-4"/>
          <w:kern w:val="0"/>
          <w:szCs w:val="21"/>
          <w:lang w:val="en-US" w:eastAsia="zh-CN"/>
          <w14:textFill>
            <w14:solidFill>
              <w14:schemeClr w14:val="tx1"/>
            </w14:solidFill>
          </w14:textFill>
        </w:rPr>
        <w:t>7</w:t>
      </w:r>
      <w:r>
        <w:rPr>
          <w:rFonts w:hint="eastAsia" w:ascii="Times New Roman" w:hAnsi="宋体" w:eastAsia="宋体" w:cs="Times New Roman"/>
          <w:color w:val="000000" w:themeColor="text1"/>
          <w:spacing w:val="-4"/>
          <w:kern w:val="0"/>
          <w:szCs w:val="21"/>
          <w14:textFill>
            <w14:solidFill>
              <w14:schemeClr w14:val="tx1"/>
            </w14:solidFill>
          </w14:textFill>
        </w:rPr>
        <w:t>人评标委员会，除国务院财政部门规定的情形外，其成员由从政府采购专家库中随机抽取的评审专家和采购人代表组</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成，其中评审专家</w:t>
      </w:r>
      <w:r>
        <w:rPr>
          <w:rFonts w:hint="eastAsia" w:ascii="Times New Roman" w:hAnsi="宋体" w:eastAsia="宋体" w:cs="Times New Roman"/>
          <w:color w:val="000000" w:themeColor="text1"/>
          <w:kern w:val="0"/>
          <w:szCs w:val="21"/>
          <w:lang w:val="en-US" w:eastAsia="zh-CN"/>
          <w14:textFill>
            <w14:solidFill>
              <w14:schemeClr w14:val="tx1"/>
            </w14:solidFill>
          </w14:textFill>
        </w:rPr>
        <w:t>5人，采购人代表2人</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67" w:name="_Toc5960136"/>
      <w:bookmarkStart w:id="268" w:name="_Toc28040"/>
      <w:bookmarkStart w:id="269" w:name="_Toc1592"/>
      <w:bookmarkStart w:id="270" w:name="_Toc16459"/>
      <w:bookmarkStart w:id="271" w:name="_Toc17887160"/>
      <w:r>
        <w:rPr>
          <w:rFonts w:hint="eastAsia" w:ascii="宋体" w:hAnsi="宋体" w:eastAsia="宋体" w:cs="宋体"/>
          <w:b/>
          <w:bCs/>
          <w:color w:val="000000" w:themeColor="text1"/>
          <w:kern w:val="0"/>
          <w:szCs w:val="21"/>
          <w14:textFill>
            <w14:solidFill>
              <w14:schemeClr w14:val="tx1"/>
            </w14:solidFill>
          </w14:textFill>
        </w:rPr>
        <w:t>三、评标方法及标准</w:t>
      </w:r>
      <w:bookmarkEnd w:id="267"/>
      <w:bookmarkEnd w:id="268"/>
      <w:bookmarkEnd w:id="269"/>
      <w:bookmarkEnd w:id="270"/>
      <w:bookmarkEnd w:id="27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质量保证期：满足采购文件要求；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272" w:name="_Toc25957"/>
      <w:bookmarkStart w:id="273" w:name="_Toc6116"/>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272"/>
      <w:bookmarkEnd w:id="273"/>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274" w:name="_Toc5960137"/>
      <w:bookmarkStart w:id="275" w:name="_Toc17887161"/>
      <w:bookmarkStart w:id="276" w:name="_Toc24712"/>
      <w:bookmarkStart w:id="277" w:name="_Toc3209"/>
      <w:bookmarkStart w:id="278" w:name="_Toc10932"/>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274"/>
      <w:bookmarkEnd w:id="275"/>
      <w:bookmarkEnd w:id="276"/>
      <w:bookmarkEnd w:id="277"/>
      <w:bookmarkEnd w:id="278"/>
    </w:p>
    <w:p>
      <w:pPr>
        <w:jc w:val="center"/>
        <w:outlineLvl w:val="0"/>
        <w:rPr>
          <w:rFonts w:ascii="宋体" w:hAnsi="宋体"/>
          <w:color w:val="000000" w:themeColor="text1"/>
          <w:sz w:val="24"/>
          <w:szCs w:val="24"/>
          <w14:textFill>
            <w14:solidFill>
              <w14:schemeClr w14:val="tx1"/>
            </w14:solidFill>
          </w14:textFill>
        </w:rPr>
      </w:pPr>
      <w:bookmarkStart w:id="279" w:name="_Toc2191"/>
      <w:bookmarkStart w:id="280" w:name="_Toc26368"/>
      <w:bookmarkStart w:id="281" w:name="_Toc17887162"/>
      <w:bookmarkStart w:id="282" w:name="_Toc5960138"/>
      <w:bookmarkStart w:id="283" w:name="_Toc3191"/>
      <w:bookmarkStart w:id="284" w:name="_Toc5956027"/>
      <w:bookmarkStart w:id="285" w:name="_Toc5946410"/>
      <w:r>
        <w:rPr>
          <w:rFonts w:hint="eastAsia" w:ascii="宋体" w:hAnsi="宋体"/>
          <w:color w:val="000000" w:themeColor="text1"/>
          <w:sz w:val="24"/>
          <w:szCs w:val="24"/>
          <w:lang w:val="en-US" w:eastAsia="zh-CN"/>
          <w14:textFill>
            <w14:solidFill>
              <w14:schemeClr w14:val="tx1"/>
            </w14:solidFill>
          </w14:textFill>
        </w:rPr>
        <w:t>A包</w:t>
      </w:r>
      <w:r>
        <w:rPr>
          <w:rFonts w:hint="eastAsia" w:ascii="宋体" w:hAnsi="宋体"/>
          <w:color w:val="000000" w:themeColor="text1"/>
          <w:sz w:val="24"/>
          <w:szCs w:val="24"/>
          <w14:textFill>
            <w14:solidFill>
              <w14:schemeClr w14:val="tx1"/>
            </w14:solidFill>
          </w14:textFill>
        </w:rPr>
        <w:t>评分办法</w:t>
      </w:r>
      <w:bookmarkEnd w:id="279"/>
      <w:bookmarkEnd w:id="280"/>
    </w:p>
    <w:tbl>
      <w:tblPr>
        <w:tblStyle w:val="1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1830"/>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p>
            <w:pPr>
              <w:pStyle w:val="2"/>
              <w:rPr>
                <w:rFonts w:hint="eastAsia"/>
                <w:lang w:eastAsia="zh-CN"/>
              </w:rPr>
            </w:pP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3383" w:type="pct"/>
            <w:vMerge w:val="restart"/>
            <w:tcBorders>
              <w:top w:val="single" w:color="auto" w:sz="4" w:space="0"/>
              <w:left w:val="single" w:color="auto" w:sz="4" w:space="0"/>
              <w:bottom w:val="single" w:color="auto" w:sz="4" w:space="0"/>
              <w:right w:val="single" w:color="auto" w:sz="4" w:space="0"/>
            </w:tcBorders>
            <w:vAlign w:val="center"/>
          </w:tcPr>
          <w:p>
            <w:r>
              <w:rPr>
                <w:rFonts w:hint="eastAsia" w:ascii="宋体" w:hAnsi="宋体" w:eastAsia="宋体" w:cs="宋体"/>
                <w:color w:val="000000" w:themeColor="text1"/>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价格分采用低价优先法计算，即满足采购文件要求且投标价格最低的投标报价为评标基准价，其价格分为满分30，其他供应商价格分统一按下列公式计算：投标报价得分=评标基准价/投标报价×30分</w:t>
            </w:r>
          </w:p>
          <w:p>
            <w:pPr>
              <w:widowControl/>
              <w:wordWrap w:val="0"/>
              <w:jc w:val="left"/>
              <w:rPr>
                <w:rFonts w:ascii="宋体" w:hAnsi="宋体" w:eastAsia="宋体" w:cs="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16" w:type="pct"/>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338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商务</w:t>
            </w:r>
          </w:p>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p>
          <w:p>
            <w:pPr>
              <w:pStyle w:val="2"/>
              <w:rPr>
                <w:rFonts w:hint="eastAsia"/>
                <w:lang w:eastAsia="zh-CN"/>
              </w:rPr>
            </w:pP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636" w:type="pct"/>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质保期（</w:t>
            </w:r>
            <w:r>
              <w:rPr>
                <w:rFonts w:hint="eastAsia" w:ascii="宋体" w:hAnsi="宋体" w:eastAsia="宋体" w:cs="宋体"/>
                <w:color w:val="000000" w:themeColor="text1"/>
                <w:kern w:val="0"/>
                <w:szCs w:val="21"/>
                <w:lang w:val="en-US" w:eastAsia="zh-CN"/>
                <w14:textFill>
                  <w14:solidFill>
                    <w14:schemeClr w14:val="tx1"/>
                  </w14:solidFill>
                </w14:textFill>
              </w:rPr>
              <w:t>2分）</w:t>
            </w:r>
          </w:p>
        </w:tc>
        <w:tc>
          <w:tcPr>
            <w:tcW w:w="3383" w:type="pct"/>
            <w:tcBorders>
              <w:top w:val="single" w:color="auto" w:sz="4" w:space="0"/>
              <w:left w:val="single" w:color="auto" w:sz="4" w:space="0"/>
              <w:bottom w:val="single" w:color="auto" w:sz="4" w:space="0"/>
              <w:right w:val="single" w:color="auto" w:sz="4" w:space="0"/>
            </w:tcBorders>
            <w:shd w:val="clear" w:color="000000" w:fill="FFFFFF"/>
            <w:vAlign w:val="center"/>
          </w:tcPr>
          <w:p>
            <w:pPr>
              <w:widowControl/>
              <w:wordWrap w:val="0"/>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投标文件质保期满足招标文件要求不得分，质保期每增加</w:t>
            </w:r>
            <w:r>
              <w:rPr>
                <w:rFonts w:hint="eastAsia" w:ascii="宋体" w:hAnsi="宋体" w:eastAsia="宋体" w:cs="宋体"/>
                <w:color w:val="000000" w:themeColor="text1"/>
                <w:kern w:val="0"/>
                <w:szCs w:val="21"/>
                <w:lang w:val="en-US" w:eastAsia="zh-CN"/>
                <w14:textFill>
                  <w14:solidFill>
                    <w14:schemeClr w14:val="tx1"/>
                  </w14:solidFill>
                </w14:textFill>
              </w:rPr>
              <w:t>1年得1分，最多得2分，质保期增加不足1年不得分。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restart"/>
            <w:tcBorders>
              <w:top w:val="single" w:color="auto" w:sz="4" w:space="0"/>
              <w:left w:val="single" w:color="auto" w:sz="4" w:space="0"/>
              <w:right w:val="single" w:color="auto" w:sz="4" w:space="0"/>
            </w:tcBorders>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部分</w:t>
            </w:r>
          </w:p>
          <w:p>
            <w:pPr>
              <w:pStyle w:val="2"/>
              <w:rPr>
                <w:rFonts w:hint="eastAsia"/>
                <w:lang w:eastAsia="zh-CN"/>
              </w:rPr>
            </w:pP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50</w:t>
            </w:r>
            <w:r>
              <w:rPr>
                <w:rFonts w:hint="eastAsia" w:ascii="宋体" w:hAnsi="宋体" w:eastAsia="宋体" w:cs="宋体"/>
                <w:color w:val="000000" w:themeColor="text1"/>
                <w:kern w:val="0"/>
                <w:szCs w:val="21"/>
                <w14:textFill>
                  <w14:solidFill>
                    <w14:schemeClr w14:val="tx1"/>
                  </w14:solidFill>
                </w14:textFill>
              </w:rPr>
              <w:t>分）</w:t>
            </w: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技术参数</w:t>
            </w:r>
          </w:p>
          <w:p>
            <w:pPr>
              <w:pStyle w:val="2"/>
              <w:rPr>
                <w:rFonts w:hint="eastAsia"/>
                <w:lang w:eastAsia="zh-CN"/>
              </w:rPr>
            </w:pP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0"/>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w:t>
            </w:r>
          </w:p>
          <w:p>
            <w:pPr>
              <w:widowControl/>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7</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0"/>
                <w:szCs w:val="21"/>
                <w:lang w:val="en-US" w:eastAsia="zh-CN"/>
                <w14:textFill>
                  <w14:solidFill>
                    <w14:schemeClr w14:val="tx1"/>
                  </w14:solidFill>
                </w14:textFill>
              </w:rPr>
              <w:t>非</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46</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0.5</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0"/>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6" w:type="pct"/>
            <w:vMerge w:val="continue"/>
            <w:tcBorders>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97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w:t>
            </w:r>
          </w:p>
        </w:tc>
        <w:tc>
          <w:tcPr>
            <w:tcW w:w="3383"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restart"/>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p>
            <w:pPr>
              <w:pStyle w:val="5"/>
              <w:ind w:left="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分）</w:t>
            </w: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36" w:type="pct"/>
            <w:vMerge w:val="continue"/>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979" w:type="pct"/>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售后服务方案</w:t>
            </w:r>
          </w:p>
          <w:p>
            <w:pPr>
              <w:pStyle w:val="2"/>
              <w:rPr>
                <w:rFonts w:hint="eastAsia"/>
                <w:lang w:eastAsia="zh-CN"/>
              </w:rPr>
            </w:pPr>
          </w:p>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3383" w:type="pct"/>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23"/>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评分和计算结果均保留小数点后2位（采用四舍五入法）。</w:t>
      </w:r>
      <w:bookmarkEnd w:id="281"/>
      <w:bookmarkEnd w:id="282"/>
      <w:bookmarkEnd w:id="283"/>
      <w:bookmarkEnd w:id="284"/>
      <w:bookmarkEnd w:id="285"/>
      <w:r>
        <w:rPr>
          <w:rFonts w:hint="eastAsia" w:ascii="宋体" w:hAnsi="宋体" w:cs="宋体"/>
          <w:color w:val="000000" w:themeColor="text1"/>
          <w:sz w:val="21"/>
          <w:szCs w:val="21"/>
          <w14:textFill>
            <w14:solidFill>
              <w14:schemeClr w14:val="tx1"/>
            </w14:solidFill>
          </w14:textFill>
        </w:rPr>
        <w:t xml:space="preserve"> </w:t>
      </w:r>
    </w:p>
    <w:p>
      <w:pPr>
        <w:pStyle w:val="23"/>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kinsoku w:val="0"/>
        <w:overflowPunct w:val="0"/>
        <w:autoSpaceDE w:val="0"/>
        <w:autoSpaceDN w:val="0"/>
        <w:adjustRightInd w:val="0"/>
        <w:ind w:left="1287" w:right="1420"/>
        <w:jc w:val="center"/>
        <w:outlineLvl w:val="0"/>
        <w:rPr>
          <w:rFonts w:hint="eastAsia" w:ascii="宋体" w:hAnsi="宋体" w:eastAsia="宋体" w:cs="宋体"/>
          <w:b/>
          <w:bCs/>
          <w:color w:val="000000" w:themeColor="text1"/>
          <w:spacing w:val="2"/>
          <w:kern w:val="0"/>
          <w:sz w:val="32"/>
          <w:szCs w:val="32"/>
          <w14:textFill>
            <w14:solidFill>
              <w14:schemeClr w14:val="tx1"/>
            </w14:solidFill>
          </w14:textFill>
        </w:rPr>
      </w:pPr>
      <w:bookmarkStart w:id="286" w:name="_Toc6545"/>
      <w:bookmarkStart w:id="287" w:name="_Toc5284"/>
    </w:p>
    <w:p>
      <w:pPr>
        <w:pStyle w:val="15"/>
        <w:rPr>
          <w:rFonts w:hint="eastAsia" w:ascii="宋体" w:hAnsi="宋体" w:eastAsia="宋体" w:cs="宋体"/>
          <w:b/>
          <w:bCs/>
          <w:color w:val="000000" w:themeColor="text1"/>
          <w:spacing w:val="2"/>
          <w:kern w:val="0"/>
          <w:sz w:val="32"/>
          <w:szCs w:val="32"/>
          <w14:textFill>
            <w14:solidFill>
              <w14:schemeClr w14:val="tx1"/>
            </w14:solidFill>
          </w14:textFill>
        </w:rPr>
      </w:pPr>
    </w:p>
    <w:p>
      <w:pPr>
        <w:rPr>
          <w:rFonts w:ascii="宋体" w:hAnsi="宋体"/>
          <w:color w:val="000000" w:themeColor="text1"/>
          <w:sz w:val="24"/>
          <w:szCs w:val="24"/>
          <w14:textFill>
            <w14:solidFill>
              <w14:schemeClr w14:val="tx1"/>
            </w14:solidFill>
          </w14:textFill>
        </w:rPr>
      </w:pPr>
    </w:p>
    <w:p>
      <w:pPr>
        <w:kinsoku w:val="0"/>
        <w:overflowPunct w:val="0"/>
        <w:autoSpaceDE w:val="0"/>
        <w:autoSpaceDN w:val="0"/>
        <w:adjustRightInd w:val="0"/>
        <w:ind w:left="1287" w:right="1420"/>
        <w:jc w:val="center"/>
        <w:outlineLvl w:val="0"/>
        <w:rPr>
          <w:rFonts w:hint="eastAsia" w:ascii="宋体" w:hAnsi="宋体" w:eastAsia="宋体" w:cs="宋体"/>
          <w:b/>
          <w:bCs/>
          <w:color w:val="000000" w:themeColor="text1"/>
          <w:spacing w:val="2"/>
          <w:kern w:val="0"/>
          <w:sz w:val="32"/>
          <w:szCs w:val="32"/>
          <w14:textFill>
            <w14:solidFill>
              <w14:schemeClr w14:val="tx1"/>
            </w14:solidFill>
          </w14:textFill>
        </w:rPr>
      </w:pPr>
      <w:bookmarkStart w:id="288" w:name="_Toc16846"/>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151"/>
          <w:kern w:val="0"/>
          <w:sz w:val="32"/>
          <w:szCs w:val="32"/>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286"/>
      <w:bookmarkEnd w:id="287"/>
      <w:bookmarkEnd w:id="288"/>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ascii="宋体" w:hAnsi="宋体" w:eastAsia="宋体" w:cs="宋体"/>
          <w:b/>
          <w:bCs/>
          <w:kern w:val="0"/>
          <w:sz w:val="56"/>
          <w:szCs w:val="56"/>
        </w:rPr>
      </w:pPr>
      <w:r>
        <w:rPr>
          <w:rFonts w:hint="eastAsia" w:ascii="宋体" w:hAnsi="宋体" w:eastAsia="宋体" w:cs="宋体"/>
          <w:b/>
          <w:bCs/>
          <w:kern w:val="0"/>
          <w:sz w:val="56"/>
          <w:szCs w:val="56"/>
        </w:rPr>
        <w:t>河南省儿童医院郑州儿童医院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5"/>
        <w:rPr>
          <w:rFonts w:ascii="宋体" w:hAnsi="宋体" w:eastAsia="宋体" w:cs="Times New Roman"/>
          <w:b/>
          <w:bCs/>
          <w:spacing w:val="60"/>
          <w:kern w:val="0"/>
          <w:sz w:val="72"/>
          <w:szCs w:val="72"/>
        </w:rPr>
      </w:pPr>
    </w:p>
    <w:p>
      <w:pPr>
        <w:pStyle w:val="15"/>
        <w:ind w:left="0" w:leftChars="0" w:firstLine="0" w:firstLineChars="0"/>
        <w:rPr>
          <w:rFonts w:ascii="宋体" w:hAnsi="宋体" w:eastAsia="宋体" w:cs="Times New Roman"/>
          <w:b/>
          <w:bCs/>
          <w:spacing w:val="60"/>
          <w:kern w:val="0"/>
          <w:sz w:val="72"/>
          <w:szCs w:val="72"/>
        </w:rPr>
      </w:pPr>
    </w:p>
    <w:p>
      <w:pPr>
        <w:pStyle w:val="3"/>
        <w:spacing w:line="500" w:lineRule="exact"/>
        <w:jc w:val="center"/>
        <w:rPr>
          <w:rFonts w:hint="eastAsia" w:ascii="仿宋" w:hAnsi="仿宋" w:eastAsia="仿宋"/>
          <w:color w:val="auto"/>
          <w:sz w:val="28"/>
          <w:szCs w:val="28"/>
        </w:rPr>
      </w:pPr>
      <w:r>
        <w:rPr>
          <w:color w:val="auto"/>
          <w:sz w:val="21"/>
          <w:szCs w:val="21"/>
        </w:rPr>
        <w:fldChar w:fldCharType="begin"/>
      </w:r>
      <w:r>
        <w:rPr>
          <w:color w:val="auto"/>
          <w:sz w:val="21"/>
          <w:szCs w:val="21"/>
        </w:rPr>
        <w:instrText xml:space="preserve"> HYPERLINK "java:;" </w:instrText>
      </w:r>
      <w:r>
        <w:rPr>
          <w:color w:val="auto"/>
          <w:sz w:val="21"/>
          <w:szCs w:val="21"/>
        </w:rPr>
        <w:fldChar w:fldCharType="separate"/>
      </w:r>
      <w:r>
        <w:rPr>
          <w:rStyle w:val="20"/>
          <w:rFonts w:hint="eastAsia" w:ascii="宋体" w:hAnsi="宋体"/>
          <w:color w:val="auto"/>
          <w:sz w:val="21"/>
          <w:szCs w:val="21"/>
        </w:rPr>
        <w:t>购销合同</w:t>
      </w:r>
      <w:r>
        <w:rPr>
          <w:rStyle w:val="20"/>
          <w:rFonts w:hint="eastAsia" w:ascii="宋体" w:hAnsi="宋体"/>
          <w:color w:val="auto"/>
          <w:sz w:val="21"/>
          <w:szCs w:val="21"/>
        </w:rPr>
        <w:fldChar w:fldCharType="end"/>
      </w:r>
      <w:r>
        <w:rPr>
          <w:rFonts w:hint="eastAsia" w:ascii="仿宋" w:hAnsi="仿宋" w:eastAsia="仿宋"/>
          <w:color w:val="auto"/>
          <w:sz w:val="28"/>
          <w:szCs w:val="28"/>
        </w:rPr>
        <w:t xml:space="preserve">     </w:t>
      </w:r>
    </w:p>
    <w:p>
      <w:pPr>
        <w:spacing w:line="500" w:lineRule="exact"/>
        <w:rPr>
          <w:rFonts w:hint="eastAsia" w:ascii="仿宋" w:hAnsi="仿宋" w:eastAsia="仿宋"/>
          <w:b/>
          <w:bCs/>
          <w:color w:val="auto"/>
          <w:sz w:val="21"/>
          <w:szCs w:val="21"/>
          <w:u w:val="single"/>
          <w:lang w:val="en-US" w:eastAsia="zh-CN"/>
        </w:rPr>
      </w:pPr>
      <w:r>
        <w:rPr>
          <w:rFonts w:hint="eastAsia" w:ascii="仿宋" w:hAnsi="仿宋" w:eastAsia="仿宋"/>
          <w:b/>
          <w:bCs/>
          <w:color w:val="auto"/>
          <w:sz w:val="21"/>
          <w:szCs w:val="21"/>
        </w:rPr>
        <w:t>甲方：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eastAsia="zh-CN"/>
        </w:rPr>
        <w:t>河南省儿童医院</w:t>
      </w:r>
      <w:r>
        <w:rPr>
          <w:rFonts w:hint="eastAsia" w:ascii="仿宋" w:hAnsi="仿宋" w:eastAsia="仿宋"/>
          <w:b/>
          <w:bCs/>
          <w:color w:val="auto"/>
          <w:sz w:val="21"/>
          <w:szCs w:val="21"/>
          <w:u w:val="single"/>
        </w:rPr>
        <w:t xml:space="preserve">郑州儿童医院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none"/>
          <w:lang w:val="en-US" w:eastAsia="zh-CN"/>
        </w:rPr>
        <w:t>合同编号：</w:t>
      </w:r>
      <w:r>
        <w:rPr>
          <w:rFonts w:hint="eastAsia" w:ascii="仿宋" w:hAnsi="仿宋" w:eastAsia="仿宋"/>
          <w:b/>
          <w:bCs/>
          <w:color w:val="auto"/>
          <w:sz w:val="21"/>
          <w:szCs w:val="21"/>
          <w:u w:val="single"/>
          <w:lang w:val="en-US" w:eastAsia="zh-CN"/>
        </w:rPr>
        <w:t xml:space="preserve">                </w:t>
      </w:r>
    </w:p>
    <w:p>
      <w:pPr>
        <w:spacing w:line="500" w:lineRule="exact"/>
        <w:rPr>
          <w:rFonts w:hint="eastAsia" w:ascii="仿宋" w:hAnsi="仿宋" w:eastAsia="仿宋"/>
          <w:b/>
          <w:bCs/>
          <w:color w:val="auto"/>
          <w:sz w:val="21"/>
          <w:szCs w:val="21"/>
          <w:u w:val="single"/>
        </w:rPr>
      </w:pPr>
      <w:r>
        <w:rPr>
          <w:rFonts w:hint="eastAsia" w:ascii="仿宋" w:hAnsi="仿宋" w:eastAsia="仿宋"/>
          <w:b/>
          <w:bCs/>
          <w:color w:val="auto"/>
          <w:sz w:val="21"/>
          <w:szCs w:val="21"/>
        </w:rPr>
        <w:t>乙方：</w:t>
      </w:r>
      <w:r>
        <w:rPr>
          <w:rFonts w:hint="eastAsia" w:ascii="仿宋" w:hAnsi="仿宋" w:eastAsia="仿宋"/>
          <w:b/>
          <w:bCs/>
          <w:color w:val="auto"/>
          <w:sz w:val="21"/>
          <w:szCs w:val="21"/>
          <w:u w:val="single"/>
        </w:rPr>
        <w:t xml:space="preserve">              </w:t>
      </w:r>
      <w:r>
        <w:rPr>
          <w:rFonts w:hint="eastAsia" w:ascii="仿宋" w:hAnsi="仿宋" w:eastAsia="仿宋"/>
          <w:b/>
          <w:bCs/>
          <w:color w:val="auto"/>
          <w:sz w:val="21"/>
          <w:szCs w:val="21"/>
          <w:u w:val="single"/>
          <w:lang w:val="en-US" w:eastAsia="zh-CN"/>
        </w:rPr>
        <w:t xml:space="preserve">           </w:t>
      </w:r>
      <w:r>
        <w:rPr>
          <w:rFonts w:hint="eastAsia" w:ascii="仿宋" w:hAnsi="仿宋" w:eastAsia="仿宋"/>
          <w:b/>
          <w:bCs/>
          <w:color w:val="auto"/>
          <w:sz w:val="21"/>
          <w:szCs w:val="21"/>
          <w:u w:val="single"/>
        </w:rPr>
        <w:t xml:space="preserve">    </w:t>
      </w:r>
    </w:p>
    <w:p>
      <w:pPr>
        <w:pStyle w:val="8"/>
        <w:keepNext w:val="0"/>
        <w:keepLines w:val="0"/>
        <w:pageBreakBefore w:val="0"/>
        <w:widowControl/>
        <w:kinsoku/>
        <w:wordWrap/>
        <w:overflowPunct/>
        <w:topLinePunct w:val="0"/>
        <w:autoSpaceDE/>
        <w:autoSpaceDN/>
        <w:bidi w:val="0"/>
        <w:adjustRightInd/>
        <w:spacing w:line="500" w:lineRule="exact"/>
        <w:ind w:firstLine="0" w:firstLineChars="0"/>
        <w:textAlignment w:val="auto"/>
        <w:outlineLvl w:val="9"/>
        <w:rPr>
          <w:rFonts w:hint="eastAsia" w:ascii="仿宋" w:hAnsi="仿宋" w:eastAsia="仿宋"/>
          <w:b/>
          <w:bCs/>
          <w:color w:val="auto"/>
          <w:spacing w:val="0"/>
          <w:sz w:val="21"/>
          <w:szCs w:val="21"/>
        </w:rPr>
      </w:pPr>
      <w:r>
        <w:rPr>
          <w:rFonts w:hint="eastAsia" w:ascii="仿宋" w:hAnsi="仿宋" w:eastAsia="仿宋"/>
          <w:color w:val="auto"/>
          <w:sz w:val="21"/>
          <w:szCs w:val="21"/>
        </w:rPr>
        <w:t xml:space="preserve"> </w:t>
      </w:r>
      <w:r>
        <w:rPr>
          <w:rFonts w:hint="eastAsia" w:ascii="仿宋" w:hAnsi="仿宋" w:eastAsia="仿宋"/>
          <w:color w:val="auto"/>
          <w:spacing w:val="0"/>
          <w:sz w:val="21"/>
          <w:szCs w:val="21"/>
        </w:rPr>
        <w:t>根据《</w:t>
      </w:r>
      <w:r>
        <w:rPr>
          <w:rFonts w:hint="default" w:ascii="仿宋" w:hAnsi="仿宋" w:eastAsia="仿宋"/>
          <w:color w:val="auto"/>
          <w:spacing w:val="0"/>
          <w:sz w:val="21"/>
          <w:szCs w:val="21"/>
        </w:rPr>
        <w:t>中华人民共和国民法典</w:t>
      </w:r>
      <w:r>
        <w:rPr>
          <w:rFonts w:hint="eastAsia" w:ascii="仿宋" w:hAnsi="仿宋" w:eastAsia="仿宋"/>
          <w:color w:val="auto"/>
          <w:spacing w:val="0"/>
          <w:sz w:val="21"/>
          <w:szCs w:val="21"/>
        </w:rPr>
        <w:t>》以及相关</w:t>
      </w:r>
      <w:r>
        <w:rPr>
          <w:color w:val="auto"/>
          <w:spacing w:val="0"/>
          <w:sz w:val="21"/>
          <w:szCs w:val="21"/>
        </w:rPr>
        <w:fldChar w:fldCharType="begin"/>
      </w:r>
      <w:r>
        <w:rPr>
          <w:color w:val="auto"/>
          <w:spacing w:val="0"/>
          <w:sz w:val="21"/>
          <w:szCs w:val="21"/>
        </w:rPr>
        <w:instrText xml:space="preserve"> HYPERLINK "java:;" </w:instrText>
      </w:r>
      <w:r>
        <w:rPr>
          <w:color w:val="auto"/>
          <w:spacing w:val="0"/>
          <w:sz w:val="21"/>
          <w:szCs w:val="21"/>
        </w:rPr>
        <w:fldChar w:fldCharType="separate"/>
      </w:r>
      <w:r>
        <w:rPr>
          <w:rStyle w:val="20"/>
          <w:rFonts w:hint="eastAsia" w:ascii="仿宋" w:hAnsi="仿宋" w:eastAsia="仿宋"/>
          <w:color w:val="auto"/>
          <w:spacing w:val="0"/>
          <w:sz w:val="21"/>
          <w:szCs w:val="21"/>
        </w:rPr>
        <w:t>法律</w:t>
      </w:r>
      <w:r>
        <w:rPr>
          <w:rStyle w:val="20"/>
          <w:rFonts w:hint="eastAsia" w:ascii="仿宋" w:hAnsi="仿宋" w:eastAsia="仿宋"/>
          <w:color w:val="auto"/>
          <w:spacing w:val="0"/>
          <w:sz w:val="21"/>
          <w:szCs w:val="21"/>
        </w:rPr>
        <w:fldChar w:fldCharType="end"/>
      </w:r>
      <w:r>
        <w:rPr>
          <w:rFonts w:hint="eastAsia" w:ascii="仿宋" w:hAnsi="仿宋" w:eastAsia="仿宋"/>
          <w:color w:val="auto"/>
          <w:spacing w:val="0"/>
          <w:sz w:val="21"/>
          <w:szCs w:val="21"/>
        </w:rPr>
        <w:t>法规的规定，经甲、乙双方协商，就甲方采购乙方医疗设备事宜，双方自愿签订如下合同：</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 xml:space="preserve">第一条  </w:t>
      </w:r>
      <w:r>
        <w:rPr>
          <w:rFonts w:ascii="仿宋_GB2312" w:hAnsi="仿宋_GB2312"/>
          <w:b/>
          <w:bCs/>
          <w:color w:val="auto"/>
          <w:spacing w:val="0"/>
          <w:sz w:val="21"/>
          <w:szCs w:val="21"/>
        </w:rPr>
        <w:t>合同标的之名称、型号、规格、数量、价格</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设备的名称、规格、单价、数量及产地等详见明细表，明细表是本合同的一部分。乙方应随货免费提供设备的技术文件，包括相应的图纸、操作手册、维护手册、质量保证文件、合格证、配置清单、服务指南等。产品名称、品牌、规格型号、数量 、价款等见下表</w:t>
      </w:r>
    </w:p>
    <w:tbl>
      <w:tblPr>
        <w:tblStyle w:val="17"/>
        <w:tblW w:w="8700"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828"/>
        <w:gridCol w:w="1467"/>
        <w:gridCol w:w="1050"/>
        <w:gridCol w:w="1123"/>
        <w:gridCol w:w="1262"/>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产品名称</w:t>
            </w: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品牌</w:t>
            </w: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规格型号</w:t>
            </w: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产地</w:t>
            </w: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单价（元）</w:t>
            </w: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数量</w:t>
            </w:r>
          </w:p>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val="en-US" w:eastAsia="zh-CN"/>
              </w:rPr>
              <w:t>(台/套）</w:t>
            </w: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jc w:val="center"/>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828"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467"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05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123"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262"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c>
          <w:tcPr>
            <w:tcW w:w="1500" w:type="dxa"/>
            <w:tcBorders>
              <w:top w:val="single" w:color="auto" w:sz="4" w:space="0"/>
              <w:left w:val="nil"/>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总金额：¥           元   大写：人民币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0"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ascii="仿宋" w:hAnsi="仿宋" w:eastAsia="仿宋"/>
                <w:color w:val="auto"/>
                <w:spacing w:val="0"/>
                <w:sz w:val="21"/>
                <w:szCs w:val="21"/>
              </w:rPr>
            </w:pPr>
            <w:r>
              <w:rPr>
                <w:rFonts w:hint="eastAsia" w:ascii="仿宋" w:hAnsi="仿宋" w:eastAsia="仿宋"/>
                <w:color w:val="auto"/>
                <w:spacing w:val="0"/>
                <w:sz w:val="21"/>
                <w:szCs w:val="21"/>
              </w:rPr>
              <w:t>备注：与交货有关的费用（包括但不限于增值税、运输费、包装费、保险费）以及安装、调试等伴随服务的费用已包含在合同价中。</w:t>
            </w:r>
          </w:p>
        </w:tc>
      </w:tr>
    </w:tbl>
    <w:p>
      <w:pPr>
        <w:keepNext w:val="0"/>
        <w:keepLines w:val="0"/>
        <w:pageBreakBefore w:val="0"/>
        <w:widowControl w:val="0"/>
        <w:kinsoku/>
        <w:wordWrap/>
        <w:overflowPunct/>
        <w:topLinePunct w:val="0"/>
        <w:autoSpaceDE/>
        <w:autoSpaceDN/>
        <w:bidi w:val="0"/>
        <w:adjustRightInd/>
        <w:snapToGrid w:val="0"/>
        <w:spacing w:line="480" w:lineRule="exact"/>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第二条  质量、技术标准</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1、乙方应按合同规定的产品性能、质量标准向甲方提供未经使用的全新产品。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2、乙方提供的器材必须符合相关的国家医疗器械管理规定及国家质量标准，并提供生产许可证、产品注册证、经营许可证。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3、甲方验收合格后，双方需在甲方《设备验收单》上签字确认。                                                      </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第三条  交货</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default" w:ascii="仿宋" w:hAnsi="仿宋" w:eastAsia="仿宋"/>
          <w:color w:val="auto"/>
          <w:spacing w:val="0"/>
          <w:sz w:val="21"/>
          <w:szCs w:val="21"/>
          <w:lang w:val="en-US" w:eastAsia="zh-CN"/>
        </w:rPr>
      </w:pPr>
      <w:r>
        <w:rPr>
          <w:rFonts w:hint="eastAsia" w:ascii="仿宋" w:hAnsi="仿宋" w:eastAsia="仿宋"/>
          <w:color w:val="auto"/>
          <w:spacing w:val="0"/>
          <w:sz w:val="21"/>
          <w:szCs w:val="21"/>
        </w:rPr>
        <w:t>1、交付时间：</w:t>
      </w:r>
      <w:r>
        <w:rPr>
          <w:rFonts w:hint="eastAsia" w:ascii="仿宋" w:hAnsi="仿宋" w:eastAsia="仿宋"/>
          <w:color w:val="auto"/>
          <w:spacing w:val="0"/>
          <w:sz w:val="21"/>
          <w:szCs w:val="21"/>
          <w:u w:val="single"/>
        </w:rPr>
        <w:t xml:space="preserve"> 合同生效后</w:t>
      </w:r>
      <w:r>
        <w:rPr>
          <w:rFonts w:hint="eastAsia" w:ascii="仿宋" w:hAnsi="仿宋" w:eastAsia="仿宋"/>
          <w:color w:val="auto"/>
          <w:spacing w:val="0"/>
          <w:sz w:val="21"/>
          <w:szCs w:val="21"/>
          <w:u w:val="single"/>
          <w:lang w:val="en-US" w:eastAsia="zh-CN"/>
        </w:rPr>
        <w:t>xx</w:t>
      </w:r>
      <w:r>
        <w:rPr>
          <w:rFonts w:hint="eastAsia" w:ascii="仿宋" w:hAnsi="仿宋" w:eastAsia="仿宋"/>
          <w:color w:val="auto"/>
          <w:spacing w:val="0"/>
          <w:sz w:val="21"/>
          <w:szCs w:val="21"/>
          <w:u w:val="single"/>
        </w:rPr>
        <w:t>日历天内完成供货、安装、调试并通过初步核验。</w:t>
      </w:r>
    </w:p>
    <w:p>
      <w:pPr>
        <w:keepNext w:val="0"/>
        <w:keepLines w:val="0"/>
        <w:pageBreakBefore w:val="0"/>
        <w:widowControl w:val="0"/>
        <w:kinsoku/>
        <w:wordWrap/>
        <w:overflowPunct/>
        <w:topLinePunct w:val="0"/>
        <w:autoSpaceDE/>
        <w:autoSpaceDN/>
        <w:bidi w:val="0"/>
        <w:adjustRightInd/>
        <w:spacing w:line="480" w:lineRule="exact"/>
        <w:ind w:firstLine="735" w:firstLineChars="3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交付地点：</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val="en-US" w:eastAsia="zh-CN"/>
        </w:rPr>
        <w:t xml:space="preserve">              </w:t>
      </w:r>
      <w:r>
        <w:rPr>
          <w:rFonts w:hint="eastAsia" w:ascii="仿宋" w:hAnsi="仿宋" w:eastAsia="仿宋"/>
          <w:color w:val="auto"/>
          <w:spacing w:val="0"/>
          <w:sz w:val="21"/>
          <w:szCs w:val="21"/>
          <w:u w:val="single"/>
        </w:rPr>
        <w:t xml:space="preserve">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双方约定，乙方送货并承担运费、安装费、保险费、税费等费用，货物交付甲方后转移所有权。如乙方提前交货，需经甲方同意，否则，产品在交货日前的毁损、灭失风险及有关的仓储保管费用由乙方自行承担。如乙方不能按时供货，甲方有权终止合同；如甲方要求乙方继续供货，乙方从合同约定交货之日起按每日总货款的2‰累加赔付，直至货到之日为止。</w:t>
      </w:r>
    </w:p>
    <w:p>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  </w:t>
      </w:r>
      <w:r>
        <w:rPr>
          <w:rFonts w:hint="eastAsia" w:ascii="仿宋" w:hAnsi="仿宋" w:eastAsia="仿宋"/>
          <w:b/>
          <w:bCs/>
          <w:color w:val="auto"/>
          <w:spacing w:val="0"/>
          <w:sz w:val="21"/>
          <w:szCs w:val="21"/>
        </w:rPr>
        <w:t xml:space="preserve">  第四条 验收标准及方式</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1、乙方在将货物运送至指定地点后，由甲、乙双方共同对设备进行开箱清点、安装调试</w:t>
      </w:r>
      <w:r>
        <w:rPr>
          <w:rFonts w:hint="eastAsia" w:ascii="仿宋" w:hAnsi="仿宋" w:eastAsia="仿宋"/>
          <w:color w:val="auto"/>
          <w:spacing w:val="0"/>
          <w:sz w:val="21"/>
          <w:szCs w:val="21"/>
          <w:lang w:eastAsia="zh-CN"/>
        </w:rPr>
        <w:t>、人员培训等</w:t>
      </w:r>
      <w:r>
        <w:rPr>
          <w:rFonts w:hint="eastAsia" w:ascii="仿宋" w:hAnsi="仿宋" w:eastAsia="仿宋"/>
          <w:color w:val="auto"/>
          <w:spacing w:val="0"/>
          <w:sz w:val="21"/>
          <w:szCs w:val="21"/>
        </w:rPr>
        <w:t>验收，如果发现设备型号和配置</w:t>
      </w:r>
      <w:r>
        <w:rPr>
          <w:rFonts w:hint="eastAsia" w:ascii="仿宋" w:hAnsi="仿宋" w:eastAsia="仿宋"/>
          <w:color w:val="auto"/>
          <w:spacing w:val="0"/>
          <w:sz w:val="21"/>
          <w:szCs w:val="21"/>
          <w:lang w:eastAsia="zh-CN"/>
        </w:rPr>
        <w:t>、培训</w:t>
      </w:r>
      <w:r>
        <w:rPr>
          <w:rFonts w:hint="eastAsia" w:ascii="仿宋" w:hAnsi="仿宋" w:eastAsia="仿宋"/>
          <w:color w:val="auto"/>
          <w:spacing w:val="0"/>
          <w:sz w:val="21"/>
          <w:szCs w:val="21"/>
        </w:rPr>
        <w:t>与</w:t>
      </w:r>
      <w:r>
        <w:rPr>
          <w:rFonts w:hint="eastAsia" w:ascii="仿宋" w:hAnsi="仿宋" w:eastAsia="仿宋"/>
          <w:color w:val="auto"/>
          <w:spacing w:val="0"/>
          <w:sz w:val="21"/>
          <w:szCs w:val="21"/>
          <w:lang w:eastAsia="zh-CN"/>
        </w:rPr>
        <w:t>投</w:t>
      </w:r>
      <w:r>
        <w:rPr>
          <w:rFonts w:hint="eastAsia" w:ascii="仿宋" w:hAnsi="仿宋" w:eastAsia="仿宋"/>
          <w:color w:val="auto"/>
          <w:spacing w:val="0"/>
          <w:sz w:val="21"/>
          <w:szCs w:val="21"/>
        </w:rPr>
        <w:t>标文件不符或有质量、技术等问题，乙方应在七日内，按照甲方的要求，采取补足、更换或退货等处理措施，并承担由此发生的一切损失和费用，且甲方有权拒付不符合本合同约定的产品的货款。</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2、设备到货后，乙方应在接到甲方通知后，在甲方规定时间内完成设备的安装调试。</w:t>
      </w:r>
      <w:r>
        <w:rPr>
          <w:rFonts w:hint="eastAsia" w:ascii="仿宋" w:hAnsi="仿宋" w:eastAsia="仿宋"/>
          <w:color w:val="auto"/>
          <w:spacing w:val="0"/>
          <w:sz w:val="21"/>
          <w:szCs w:val="21"/>
          <w:lang w:eastAsia="zh-CN"/>
        </w:rPr>
        <w:t>拆箱后外包装箱有供货商自行清理，若发现未清理或清理不干净，将按照医院相关规定从货款中扣除壹仟元整，以此类推。</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第五条  货款及支付方式</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lang w:eastAsia="zh-CN"/>
        </w:rPr>
      </w:pPr>
      <w:r>
        <w:rPr>
          <w:rFonts w:hint="eastAsia" w:ascii="仿宋" w:hAnsi="仿宋" w:eastAsia="仿宋"/>
          <w:b/>
          <w:bCs/>
          <w:color w:val="auto"/>
          <w:spacing w:val="0"/>
          <w:sz w:val="21"/>
          <w:szCs w:val="21"/>
        </w:rPr>
        <w:t>1、付款方式：</w:t>
      </w:r>
      <w:r>
        <w:rPr>
          <w:rFonts w:hint="eastAsia" w:ascii="仿宋" w:hAnsi="仿宋" w:eastAsia="仿宋"/>
          <w:b w:val="0"/>
          <w:bCs w:val="0"/>
          <w:color w:val="auto"/>
          <w:spacing w:val="0"/>
          <w:sz w:val="21"/>
          <w:szCs w:val="21"/>
          <w:lang w:eastAsia="zh-CN"/>
        </w:rPr>
        <w:t>银行转账</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color w:val="0000FF"/>
          <w:spacing w:val="0"/>
          <w:sz w:val="21"/>
          <w:szCs w:val="21"/>
          <w:lang w:val="en-US" w:eastAsia="zh-CN"/>
        </w:rPr>
      </w:pPr>
      <w:r>
        <w:rPr>
          <w:rFonts w:hint="eastAsia" w:ascii="仿宋" w:hAnsi="仿宋" w:eastAsia="仿宋"/>
          <w:color w:val="auto"/>
          <w:spacing w:val="0"/>
          <w:sz w:val="21"/>
          <w:szCs w:val="21"/>
          <w:lang w:val="en-US" w:eastAsia="zh-CN"/>
        </w:rPr>
        <w:t>乙方出具国家税务机关的正式发票，</w:t>
      </w:r>
      <w:r>
        <w:rPr>
          <w:rFonts w:hint="eastAsia" w:ascii="仿宋" w:hAnsi="仿宋" w:eastAsia="仿宋"/>
          <w:color w:val="auto"/>
          <w:spacing w:val="0"/>
          <w:sz w:val="21"/>
          <w:szCs w:val="21"/>
        </w:rPr>
        <w:t>甲方以人民币转账汇款方式向乙方下列账户支付合同价款</w:t>
      </w:r>
      <w:r>
        <w:rPr>
          <w:rFonts w:hint="eastAsia" w:ascii="仿宋" w:hAnsi="仿宋" w:eastAsia="仿宋"/>
          <w:color w:val="auto"/>
          <w:spacing w:val="0"/>
          <w:sz w:val="21"/>
          <w:szCs w:val="21"/>
          <w:lang w:eastAsia="zh-CN"/>
        </w:rPr>
        <w:t>。</w:t>
      </w:r>
    </w:p>
    <w:tbl>
      <w:tblPr>
        <w:tblStyle w:val="17"/>
        <w:tblW w:w="78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7840" w:type="dxa"/>
            <w:tcBorders>
              <w:top w:val="single" w:color="auto" w:sz="4" w:space="0"/>
              <w:left w:val="single" w:color="auto" w:sz="4" w:space="0"/>
              <w:bottom w:val="single" w:color="auto" w:sz="4" w:space="0"/>
              <w:right w:val="single" w:color="auto" w:sz="4" w:space="0"/>
            </w:tcBorders>
            <w:vAlign w:val="center"/>
          </w:tcPr>
          <w:p>
            <w:pPr>
              <w:pStyle w:val="2"/>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公司名称：</w:t>
            </w:r>
          </w:p>
          <w:p>
            <w:pPr>
              <w:pStyle w:val="2"/>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统一社会信用代码：</w:t>
            </w:r>
          </w:p>
          <w:p>
            <w:pPr>
              <w:pStyle w:val="2"/>
              <w:ind w:firstLine="420" w:firstLineChars="200"/>
              <w:rPr>
                <w:rFonts w:hint="default" w:eastAsia="仿宋"/>
                <w:b w:val="0"/>
                <w:bCs w:val="0"/>
                <w:sz w:val="21"/>
                <w:szCs w:val="21"/>
                <w:lang w:val="en-US" w:eastAsia="zh-CN"/>
              </w:rPr>
            </w:pPr>
            <w:r>
              <w:rPr>
                <w:rFonts w:hint="default" w:eastAsia="仿宋"/>
                <w:b w:val="0"/>
                <w:bCs w:val="0"/>
                <w:sz w:val="21"/>
                <w:szCs w:val="21"/>
                <w:lang w:val="en-US" w:eastAsia="zh-CN"/>
              </w:rPr>
              <w:t>开 户 行：</w:t>
            </w:r>
          </w:p>
          <w:p>
            <w:pPr>
              <w:pStyle w:val="2"/>
              <w:ind w:firstLine="420" w:firstLineChars="200"/>
              <w:rPr>
                <w:rFonts w:hint="default" w:eastAsia="仿宋"/>
                <w:sz w:val="21"/>
                <w:szCs w:val="21"/>
                <w:lang w:val="en-US" w:eastAsia="zh-CN"/>
              </w:rPr>
            </w:pPr>
            <w:r>
              <w:rPr>
                <w:rFonts w:hint="default" w:eastAsia="仿宋"/>
                <w:b w:val="0"/>
                <w:bCs w:val="0"/>
                <w:sz w:val="21"/>
                <w:szCs w:val="21"/>
                <w:lang w:val="en-US" w:eastAsia="zh-CN"/>
              </w:rPr>
              <w:t>账    户：</w:t>
            </w:r>
          </w:p>
        </w:tc>
      </w:tr>
    </w:tbl>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2、合同价款：</w:t>
      </w:r>
    </w:p>
    <w:p>
      <w:pPr>
        <w:keepNext w:val="0"/>
        <w:keepLines w:val="0"/>
        <w:pageBreakBefore w:val="0"/>
        <w:widowControl w:val="0"/>
        <w:kinsoku/>
        <w:wordWrap/>
        <w:overflowPunct/>
        <w:topLinePunct w:val="0"/>
        <w:autoSpaceDE/>
        <w:autoSpaceDN/>
        <w:bidi w:val="0"/>
        <w:adjustRightInd/>
        <w:snapToGrid w:val="0"/>
        <w:spacing w:line="480" w:lineRule="exact"/>
        <w:ind w:firstLine="315" w:firstLineChars="15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合同总价为人民币：</w:t>
      </w:r>
      <w:r>
        <w:rPr>
          <w:rFonts w:hint="default" w:ascii="Arial" w:hAnsi="Arial" w:eastAsia="仿宋" w:cs="Arial"/>
          <w:color w:val="auto"/>
          <w:spacing w:val="0"/>
          <w:sz w:val="21"/>
          <w:szCs w:val="21"/>
        </w:rPr>
        <w:t>¥</w:t>
      </w:r>
      <w:r>
        <w:rPr>
          <w:rFonts w:hint="eastAsia" w:ascii="仿宋" w:hAnsi="仿宋" w:eastAsia="仿宋"/>
          <w:color w:val="auto"/>
          <w:spacing w:val="0"/>
          <w:sz w:val="21"/>
          <w:szCs w:val="21"/>
          <w:lang w:val="en-US" w:eastAsia="zh-CN"/>
        </w:rPr>
        <w:t>（小写）×××，人民币（大写）×××</w:t>
      </w:r>
      <w:r>
        <w:rPr>
          <w:rFonts w:hint="eastAsia" w:ascii="仿宋" w:hAnsi="仿宋" w:eastAsia="仿宋"/>
          <w:color w:val="auto"/>
          <w:spacing w:val="0"/>
          <w:sz w:val="21"/>
          <w:szCs w:val="21"/>
        </w:rPr>
        <w:t>。结算实际数量以甲方验收签证为准，</w:t>
      </w:r>
      <w:r>
        <w:rPr>
          <w:rFonts w:hint="eastAsia" w:ascii="仿宋" w:hAnsi="仿宋" w:eastAsia="仿宋"/>
          <w:color w:val="auto"/>
          <w:spacing w:val="0"/>
          <w:sz w:val="21"/>
          <w:szCs w:val="21"/>
          <w:lang w:eastAsia="zh-CN"/>
        </w:rPr>
        <w:t>总结算数量不高于合同约定总数量，</w:t>
      </w:r>
      <w:r>
        <w:rPr>
          <w:rFonts w:hint="eastAsia" w:ascii="仿宋" w:hAnsi="仿宋" w:eastAsia="仿宋"/>
          <w:color w:val="auto"/>
          <w:spacing w:val="0"/>
          <w:sz w:val="21"/>
          <w:szCs w:val="21"/>
        </w:rPr>
        <w:t>单价按本合同确定的价格执行。</w:t>
      </w:r>
    </w:p>
    <w:p>
      <w:pPr>
        <w:keepNext w:val="0"/>
        <w:keepLines w:val="0"/>
        <w:pageBreakBefore w:val="0"/>
        <w:widowControl w:val="0"/>
        <w:kinsoku/>
        <w:wordWrap/>
        <w:overflowPunct/>
        <w:topLinePunct w:val="0"/>
        <w:autoSpaceDE/>
        <w:autoSpaceDN/>
        <w:bidi w:val="0"/>
        <w:adjustRightInd/>
        <w:spacing w:line="480" w:lineRule="exact"/>
        <w:ind w:firstLine="48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3、付款条件：</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rPr>
        <w:t>设备运送至甲方指定地点，由相关科室进行初步核验，各类手续、资料必须齐全进行归档；乙方负责对设备进行安装、调试、人员培训等工作，设备正常运行3个月，甲方操作人员能熟练操作，经甲方（使用科室）确认无质量问题后，乙方按照本合同约定开具发票，甲方按照相关流程办理付款手续</w:t>
      </w:r>
      <w:r>
        <w:rPr>
          <w:rFonts w:hint="eastAsia" w:ascii="仿宋" w:hAnsi="仿宋" w:eastAsia="仿宋"/>
          <w:color w:val="auto"/>
          <w:spacing w:val="0"/>
          <w:sz w:val="21"/>
          <w:szCs w:val="21"/>
          <w:lang w:eastAsia="zh-CN"/>
        </w:rPr>
        <w:t>，一次性支付全部货款</w:t>
      </w:r>
      <w:r>
        <w:rPr>
          <w:rFonts w:hint="eastAsia" w:ascii="仿宋" w:hAnsi="仿宋" w:eastAsia="仿宋"/>
          <w:color w:val="auto"/>
          <w:spacing w:val="0"/>
          <w:sz w:val="21"/>
          <w:szCs w:val="21"/>
          <w:lang w:val="en-US"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第六条  售后服务及质量保证</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1、甲方收到货物后应及时</w:t>
      </w:r>
      <w:r>
        <w:rPr>
          <w:rFonts w:hint="eastAsia" w:ascii="仿宋" w:hAnsi="仿宋" w:eastAsia="仿宋"/>
          <w:color w:val="auto"/>
          <w:spacing w:val="0"/>
          <w:sz w:val="21"/>
          <w:szCs w:val="21"/>
          <w:lang w:val="en-US" w:eastAsia="zh-CN"/>
        </w:rPr>
        <w:t>核</w:t>
      </w:r>
      <w:r>
        <w:rPr>
          <w:rFonts w:hint="eastAsia" w:ascii="仿宋" w:hAnsi="仿宋" w:eastAsia="仿宋"/>
          <w:color w:val="auto"/>
          <w:spacing w:val="0"/>
          <w:sz w:val="21"/>
          <w:szCs w:val="21"/>
        </w:rPr>
        <w:t>验，乙方对货物实行三包（包修、包换、包退）。</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2、设备运至甲方指定地点，乙方应免费提供设备安装所需的专用工具和辅助材料、易耗件</w:t>
      </w:r>
      <w:r>
        <w:rPr>
          <w:rFonts w:hint="eastAsia" w:ascii="仿宋" w:hAnsi="仿宋" w:eastAsia="仿宋"/>
          <w:color w:val="auto"/>
          <w:spacing w:val="0"/>
          <w:sz w:val="21"/>
          <w:szCs w:val="21"/>
          <w:lang w:eastAsia="zh-CN"/>
        </w:rPr>
        <w:t>，免费</w:t>
      </w:r>
      <w:r>
        <w:rPr>
          <w:rFonts w:hint="eastAsia" w:ascii="仿宋" w:hAnsi="仿宋" w:eastAsia="仿宋"/>
          <w:color w:val="auto"/>
          <w:spacing w:val="0"/>
          <w:sz w:val="21"/>
          <w:szCs w:val="21"/>
        </w:rPr>
        <w:t>指派技师对甲方操作人员安装、使用设备进行培训，直至甲方操作人员能熟练操作为止，乙方承担培训技师的全部费用。</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3、设备整机免费</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为</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年，自设备安装调试合格</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lang w:val="en-US" w:eastAsia="zh-CN"/>
        </w:rPr>
        <w:t>且正常运行</w:t>
      </w:r>
      <w:r>
        <w:rPr>
          <w:rFonts w:hint="eastAsia" w:ascii="仿宋" w:hAnsi="仿宋" w:eastAsia="仿宋"/>
          <w:color w:val="auto"/>
          <w:spacing w:val="0"/>
          <w:sz w:val="21"/>
          <w:szCs w:val="21"/>
        </w:rPr>
        <w:t>之日起算。乙方自收到甲方电话、传真等维修要求后应当在2小时内电话响应，24小时内到达现场解决问题，包括节假日；逾期甲方可自行组织维修，费用由乙方承担。如</w:t>
      </w:r>
      <w:r>
        <w:rPr>
          <w:rFonts w:hint="eastAsia" w:ascii="仿宋" w:hAnsi="仿宋" w:eastAsia="仿宋"/>
          <w:color w:val="auto"/>
          <w:spacing w:val="0"/>
          <w:sz w:val="21"/>
          <w:szCs w:val="21"/>
          <w:lang w:eastAsia="zh-CN"/>
        </w:rPr>
        <w:t>一周</w:t>
      </w:r>
      <w:r>
        <w:rPr>
          <w:rFonts w:hint="eastAsia" w:ascii="仿宋" w:hAnsi="仿宋" w:eastAsia="仿宋"/>
          <w:color w:val="auto"/>
          <w:spacing w:val="0"/>
          <w:sz w:val="21"/>
          <w:szCs w:val="21"/>
        </w:rPr>
        <w:t>内无法修复乙方负责提供同型号备用机直至该设备正常使用</w:t>
      </w:r>
      <w:r>
        <w:rPr>
          <w:rFonts w:hint="eastAsia" w:ascii="仿宋" w:hAnsi="仿宋" w:eastAsia="仿宋"/>
          <w:color w:val="auto"/>
          <w:spacing w:val="0"/>
          <w:sz w:val="21"/>
          <w:szCs w:val="21"/>
          <w:lang w:eastAsia="zh-CN"/>
        </w:rPr>
        <w:t>，</w:t>
      </w:r>
      <w:r>
        <w:rPr>
          <w:rFonts w:hint="eastAsia" w:ascii="仿宋" w:hAnsi="仿宋" w:eastAsia="仿宋"/>
          <w:color w:val="auto"/>
          <w:spacing w:val="0"/>
          <w:sz w:val="21"/>
          <w:szCs w:val="21"/>
        </w:rPr>
        <w:t>导致甲方产生损失或人身伤害的一切责任与费用均由乙方承担。</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val="en-US" w:eastAsia="zh-CN"/>
        </w:rPr>
        <w:t>4、</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期内如果出现三次以上（含三次）因质量问题引起的故障（人为因素除外），乙方应</w:t>
      </w:r>
      <w:r>
        <w:rPr>
          <w:rFonts w:hint="eastAsia" w:ascii="仿宋" w:hAnsi="仿宋" w:eastAsia="仿宋"/>
          <w:color w:val="auto"/>
          <w:spacing w:val="0"/>
          <w:sz w:val="21"/>
          <w:szCs w:val="21"/>
          <w:lang w:eastAsia="zh-CN"/>
        </w:rPr>
        <w:t>在三个月内</w:t>
      </w:r>
      <w:r>
        <w:rPr>
          <w:rFonts w:hint="eastAsia" w:ascii="仿宋" w:hAnsi="仿宋" w:eastAsia="仿宋"/>
          <w:color w:val="auto"/>
          <w:spacing w:val="0"/>
          <w:sz w:val="21"/>
          <w:szCs w:val="21"/>
        </w:rPr>
        <w:t>负责免费更换新产品，</w:t>
      </w:r>
      <w:r>
        <w:rPr>
          <w:rFonts w:hint="eastAsia" w:ascii="仿宋" w:hAnsi="仿宋" w:eastAsia="仿宋"/>
          <w:color w:val="auto"/>
          <w:spacing w:val="0"/>
          <w:sz w:val="21"/>
          <w:szCs w:val="21"/>
          <w:lang w:eastAsia="zh-CN"/>
        </w:rPr>
        <w:t>更换的新产品仍然有质量问题的，甲方有权终止合同，乙方应无条件退货及返还货款，</w:t>
      </w:r>
      <w:r>
        <w:rPr>
          <w:rFonts w:hint="eastAsia" w:ascii="仿宋" w:hAnsi="仿宋" w:eastAsia="仿宋"/>
          <w:color w:val="auto"/>
          <w:spacing w:val="0"/>
          <w:sz w:val="21"/>
          <w:szCs w:val="21"/>
        </w:rPr>
        <w:t>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kinsoku/>
        <w:wordWrap/>
        <w:overflowPunct/>
        <w:topLinePunct w:val="0"/>
        <w:autoSpaceDE/>
        <w:autoSpaceDN/>
        <w:bidi w:val="0"/>
        <w:adjustRightInd/>
        <w:snapToGrid w:val="0"/>
        <w:spacing w:line="480" w:lineRule="exact"/>
        <w:ind w:firstLine="630" w:firstLineChars="3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期内，乙方履行保修义务应免收材料和人工等一切费用，</w:t>
      </w:r>
      <w:r>
        <w:rPr>
          <w:rFonts w:hint="eastAsia" w:ascii="仿宋" w:hAnsi="仿宋" w:eastAsia="仿宋"/>
          <w:color w:val="auto"/>
          <w:spacing w:val="0"/>
          <w:sz w:val="21"/>
          <w:szCs w:val="21"/>
          <w:lang w:eastAsia="zh-CN"/>
        </w:rPr>
        <w:t>保修</w:t>
      </w:r>
      <w:r>
        <w:rPr>
          <w:rFonts w:hint="eastAsia" w:ascii="仿宋" w:hAnsi="仿宋" w:eastAsia="仿宋"/>
          <w:color w:val="auto"/>
          <w:spacing w:val="0"/>
          <w:sz w:val="21"/>
          <w:szCs w:val="21"/>
        </w:rPr>
        <w:t>期满后，乙方履行保修义务</w:t>
      </w:r>
      <w:r>
        <w:rPr>
          <w:rFonts w:hint="eastAsia" w:ascii="仿宋" w:hAnsi="仿宋" w:eastAsia="仿宋"/>
          <w:color w:val="auto"/>
          <w:spacing w:val="0"/>
          <w:sz w:val="21"/>
          <w:szCs w:val="21"/>
          <w:lang w:eastAsia="zh-CN"/>
        </w:rPr>
        <w:t>且配件只收取成本费用</w:t>
      </w:r>
      <w:r>
        <w:rPr>
          <w:rFonts w:hint="eastAsia" w:ascii="仿宋" w:hAnsi="仿宋" w:eastAsia="仿宋"/>
          <w:color w:val="auto"/>
          <w:spacing w:val="0"/>
          <w:sz w:val="21"/>
          <w:szCs w:val="21"/>
        </w:rPr>
        <w:t>，并免费提供系统操作、技术咨询及软件升级服务。</w:t>
      </w:r>
    </w:p>
    <w:p>
      <w:pPr>
        <w:keepNext w:val="0"/>
        <w:keepLines w:val="0"/>
        <w:pageBreakBefore w:val="0"/>
        <w:widowControl w:val="0"/>
        <w:numPr>
          <w:ilvl w:val="0"/>
          <w:numId w:val="5"/>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eastAsia="zh-CN"/>
        </w:rPr>
      </w:pPr>
      <w:r>
        <w:rPr>
          <w:rFonts w:hint="eastAsia" w:ascii="仿宋" w:hAnsi="仿宋" w:eastAsia="仿宋"/>
          <w:color w:val="auto"/>
          <w:spacing w:val="0"/>
          <w:sz w:val="21"/>
          <w:szCs w:val="21"/>
        </w:rPr>
        <w:t>乙方负责对所供设备进行现场回访、免费巡检保养；保证开机率≥98%，如果开机率低于98%，每低于1%延长一个月质保期；如果开机率低于90%，每低于1%延长两个月质保期；开机率低于85%的按照本</w:t>
      </w:r>
      <w:r>
        <w:rPr>
          <w:rFonts w:hint="eastAsia" w:ascii="仿宋" w:hAnsi="仿宋" w:eastAsia="仿宋"/>
          <w:color w:val="auto"/>
          <w:spacing w:val="0"/>
          <w:sz w:val="21"/>
          <w:szCs w:val="21"/>
          <w:lang w:eastAsia="zh-CN"/>
        </w:rPr>
        <w:t>合同</w:t>
      </w:r>
      <w:r>
        <w:rPr>
          <w:rFonts w:hint="eastAsia" w:ascii="仿宋" w:hAnsi="仿宋" w:eastAsia="仿宋"/>
          <w:color w:val="auto"/>
          <w:spacing w:val="0"/>
          <w:sz w:val="21"/>
          <w:szCs w:val="21"/>
        </w:rPr>
        <w:t>第</w:t>
      </w:r>
      <w:r>
        <w:rPr>
          <w:rFonts w:hint="eastAsia" w:ascii="仿宋" w:hAnsi="仿宋" w:eastAsia="仿宋"/>
          <w:color w:val="auto"/>
          <w:spacing w:val="0"/>
          <w:sz w:val="21"/>
          <w:szCs w:val="21"/>
          <w:lang w:val="en-US" w:eastAsia="zh-CN"/>
        </w:rPr>
        <w:t>九</w:t>
      </w:r>
      <w:r>
        <w:rPr>
          <w:rFonts w:hint="eastAsia" w:ascii="仿宋" w:hAnsi="仿宋" w:eastAsia="仿宋"/>
          <w:color w:val="auto"/>
          <w:spacing w:val="0"/>
          <w:sz w:val="21"/>
          <w:szCs w:val="21"/>
        </w:rPr>
        <w:t>条履行</w:t>
      </w:r>
      <w:r>
        <w:rPr>
          <w:rFonts w:hint="eastAsia" w:ascii="仿宋" w:hAnsi="仿宋" w:eastAsia="仿宋"/>
          <w:color w:val="auto"/>
          <w:spacing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szCs w:val="21"/>
          <w:lang w:eastAsia="zh-CN"/>
        </w:rPr>
      </w:pPr>
      <w:r>
        <w:rPr>
          <w:rFonts w:hint="eastAsia" w:ascii="仿宋" w:hAnsi="仿宋" w:eastAsia="仿宋"/>
          <w:color w:val="auto"/>
          <w:spacing w:val="0"/>
          <w:sz w:val="21"/>
          <w:szCs w:val="21"/>
          <w:lang w:val="en-US" w:eastAsia="zh-CN"/>
        </w:rPr>
        <w:t>6、</w:t>
      </w:r>
      <w:r>
        <w:rPr>
          <w:rFonts w:hint="eastAsia" w:ascii="仿宋" w:hAnsi="仿宋" w:eastAsia="仿宋"/>
          <w:color w:val="auto"/>
          <w:spacing w:val="0"/>
          <w:sz w:val="21"/>
          <w:szCs w:val="21"/>
          <w:lang w:eastAsia="zh-CN"/>
        </w:rPr>
        <w:t>招投标文件及相关资料作为合同附件不可分割，同具法律效力。</w:t>
      </w:r>
    </w:p>
    <w:p>
      <w:pPr>
        <w:keepNext w:val="0"/>
        <w:keepLines w:val="0"/>
        <w:pageBreakBefore w:val="0"/>
        <w:widowControl w:val="0"/>
        <w:numPr>
          <w:ilvl w:val="0"/>
          <w:numId w:val="6"/>
        </w:numPr>
        <w:kinsoku/>
        <w:wordWrap/>
        <w:overflowPunct/>
        <w:topLinePunct w:val="0"/>
        <w:autoSpaceDE/>
        <w:autoSpaceDN/>
        <w:bidi w:val="0"/>
        <w:adjustRightInd/>
        <w:snapToGrid w:val="0"/>
        <w:spacing w:line="480" w:lineRule="exact"/>
        <w:ind w:firstLine="422" w:firstLineChars="200"/>
        <w:textAlignment w:val="auto"/>
        <w:outlineLvl w:val="9"/>
        <w:rPr>
          <w:rFonts w:hint="default" w:ascii="仿宋" w:hAnsi="仿宋" w:eastAsia="仿宋"/>
          <w:b/>
          <w:bCs/>
          <w:color w:val="auto"/>
          <w:spacing w:val="0"/>
          <w:sz w:val="21"/>
          <w:szCs w:val="21"/>
        </w:rPr>
      </w:pPr>
      <w:r>
        <w:rPr>
          <w:rFonts w:hint="eastAsia" w:ascii="仿宋" w:hAnsi="仿宋" w:eastAsia="仿宋"/>
          <w:b/>
          <w:bCs/>
          <w:color w:val="auto"/>
          <w:spacing w:val="0"/>
          <w:sz w:val="21"/>
          <w:szCs w:val="21"/>
          <w:lang w:val="en-US" w:eastAsia="zh-CN"/>
        </w:rPr>
        <w:t xml:space="preserve"> </w:t>
      </w:r>
      <w:r>
        <w:rPr>
          <w:rFonts w:hint="default" w:ascii="仿宋" w:hAnsi="仿宋" w:eastAsia="仿宋"/>
          <w:b/>
          <w:bCs/>
          <w:color w:val="auto"/>
          <w:spacing w:val="0"/>
          <w:sz w:val="21"/>
          <w:szCs w:val="21"/>
        </w:rPr>
        <w:t>知识产权</w:t>
      </w:r>
    </w:p>
    <w:p>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lang w:val="en-US" w:eastAsia="zh-CN"/>
        </w:rPr>
      </w:pPr>
      <w:r>
        <w:rPr>
          <w:rFonts w:hint="eastAsia" w:ascii="仿宋" w:hAnsi="仿宋" w:eastAsia="仿宋"/>
          <w:color w:val="auto"/>
          <w:spacing w:val="0"/>
          <w:sz w:val="21"/>
          <w:szCs w:val="21"/>
          <w:lang w:eastAsia="zh-CN"/>
        </w:rPr>
        <w:t>乙方应当保证甲方不侵犯第三方的合法权益，否则乙方应当处理索赔或涉诉等各项事宜，造成甲方损失的，乙方应当承担相应的赔偿责任。</w:t>
      </w:r>
    </w:p>
    <w:p>
      <w:pPr>
        <w:keepNext w:val="0"/>
        <w:keepLines w:val="0"/>
        <w:pageBreakBefore w:val="0"/>
        <w:widowControl w:val="0"/>
        <w:kinsoku/>
        <w:wordWrap/>
        <w:overflowPunct/>
        <w:topLinePunct w:val="0"/>
        <w:autoSpaceDE/>
        <w:autoSpaceDN/>
        <w:bidi w:val="0"/>
        <w:adjustRightInd/>
        <w:snapToGrid w:val="0"/>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八</w:t>
      </w:r>
      <w:r>
        <w:rPr>
          <w:rFonts w:hint="eastAsia" w:ascii="仿宋" w:hAnsi="仿宋" w:eastAsia="仿宋"/>
          <w:b/>
          <w:bCs/>
          <w:color w:val="auto"/>
          <w:spacing w:val="0"/>
          <w:sz w:val="21"/>
          <w:szCs w:val="21"/>
        </w:rPr>
        <w:t>条  保密条款</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2、任何一方违反上述约定的，责任方应按本合同产品总价款的5％向合同其他方支付违约金，违约金不足以赔偿合同其他方损失的，应按合同其他方的实际损失赔偿。</w:t>
      </w:r>
    </w:p>
    <w:p>
      <w:pPr>
        <w:keepNext w:val="0"/>
        <w:keepLines w:val="0"/>
        <w:pageBreakBefore w:val="0"/>
        <w:widowControl w:val="0"/>
        <w:kinsoku/>
        <w:wordWrap/>
        <w:overflowPunct/>
        <w:topLinePunct w:val="0"/>
        <w:autoSpaceDE/>
        <w:autoSpaceDN/>
        <w:bidi w:val="0"/>
        <w:adjustRightInd/>
        <w:snapToGrid w:val="0"/>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3、保密条款具有独立性，不受本合同的终止或解除的影响。</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九</w:t>
      </w:r>
      <w:r>
        <w:rPr>
          <w:rFonts w:hint="eastAsia" w:ascii="仿宋" w:hAnsi="仿宋" w:eastAsia="仿宋"/>
          <w:b/>
          <w:bCs/>
          <w:color w:val="auto"/>
          <w:spacing w:val="0"/>
          <w:sz w:val="21"/>
          <w:szCs w:val="21"/>
        </w:rPr>
        <w:t>条  违约责任</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乙方保证提供的设备完全符合或优于招标技术参数和配置要求，如有不符愿意承担1+1赔偿，造成的损失均由乙方承担，索赔时间从甲方发现之日起计算。</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w:t>
      </w:r>
      <w:r>
        <w:rPr>
          <w:rFonts w:hint="eastAsia" w:ascii="仿宋" w:hAnsi="仿宋" w:eastAsia="仿宋"/>
          <w:b/>
          <w:bCs/>
          <w:color w:val="auto"/>
          <w:spacing w:val="0"/>
          <w:sz w:val="21"/>
          <w:szCs w:val="21"/>
          <w:lang w:eastAsia="zh-CN"/>
        </w:rPr>
        <w:t>十</w:t>
      </w:r>
      <w:r>
        <w:rPr>
          <w:rFonts w:hint="eastAsia" w:ascii="仿宋" w:hAnsi="仿宋" w:eastAsia="仿宋"/>
          <w:b/>
          <w:bCs/>
          <w:color w:val="auto"/>
          <w:spacing w:val="0"/>
          <w:sz w:val="21"/>
          <w:szCs w:val="21"/>
        </w:rPr>
        <w:t>条  不可抗力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甲、乙任何一方由于不可抗力原因不能履行合同时，应及时向对方通报不能履行或不能完全履行的理由，以减轻可能给对方造成的损失。（不可抗力指战争、严重火灾、洪水、台风、地震等不可抗力事件。）</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一</w:t>
      </w:r>
      <w:r>
        <w:rPr>
          <w:rFonts w:hint="eastAsia" w:ascii="仿宋" w:hAnsi="仿宋" w:eastAsia="仿宋"/>
          <w:b/>
          <w:bCs/>
          <w:color w:val="auto"/>
          <w:spacing w:val="0"/>
          <w:sz w:val="21"/>
          <w:szCs w:val="21"/>
        </w:rPr>
        <w:t>条  解决争议办法</w:t>
      </w:r>
    </w:p>
    <w:p>
      <w:pPr>
        <w:pStyle w:val="8"/>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在合同签订、履行过程中发生争议的，双方应当本着友好、协作的精神进行协商；协商不成，提起诉讼的，双方同意由甲方所在地人民法院管辖。</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二</w:t>
      </w:r>
      <w:r>
        <w:rPr>
          <w:rFonts w:hint="eastAsia" w:ascii="仿宋" w:hAnsi="仿宋" w:eastAsia="仿宋"/>
          <w:b/>
          <w:bCs/>
          <w:color w:val="auto"/>
          <w:spacing w:val="0"/>
          <w:sz w:val="21"/>
          <w:szCs w:val="21"/>
        </w:rPr>
        <w:t>条  廉洁协议</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1、甲方购进医疗器械不得以任何方式向乙方索取回扣，不得要求乙方代支任何费用开支。</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2、甲方工作人员不得以暗示或任何形式索要回扣、提成、有价证券、现金、信用卡、购物卡等。如甲方工作人员以暗示或任何形式索要回扣、提成、有价证券、现金、信用卡、购物卡等，乙方应予拒绝，并有责任如实向甲方纪检监察部门反映情况。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3、乙方不得暗中给予甲方回扣，不得以提成和赠送有价证券、现金、信用卡、购物卡、宴请、娱乐及提供国内或境外学术活动等手段影响甲方医</w:t>
      </w:r>
      <w:r>
        <w:rPr>
          <w:rFonts w:hint="eastAsia" w:ascii="仿宋" w:hAnsi="仿宋" w:eastAsia="仿宋"/>
          <w:color w:val="auto"/>
          <w:spacing w:val="0"/>
          <w:sz w:val="21"/>
          <w:szCs w:val="21"/>
          <w:lang w:eastAsia="zh-CN"/>
        </w:rPr>
        <w:t>务人员</w:t>
      </w:r>
      <w:r>
        <w:rPr>
          <w:rFonts w:hint="eastAsia" w:ascii="仿宋" w:hAnsi="仿宋" w:eastAsia="仿宋"/>
          <w:color w:val="auto"/>
          <w:spacing w:val="0"/>
          <w:sz w:val="21"/>
          <w:szCs w:val="21"/>
        </w:rPr>
        <w:t xml:space="preserve">使用药品、耗材、器械的选择权。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4、乙方洽谈业务，必须在工作时间到甲方指定科室或办公室联系商谈，不得借故到甲方主管领导、部门负责人及相关工作人员家中访谈或向介绍人提供任何好处费。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5、乙方销售人员不得进入甲方科室和诊疗场所对医</w:t>
      </w:r>
      <w:r>
        <w:rPr>
          <w:rFonts w:hint="eastAsia" w:ascii="仿宋" w:hAnsi="仿宋" w:eastAsia="仿宋"/>
          <w:color w:val="auto"/>
          <w:spacing w:val="0"/>
          <w:sz w:val="21"/>
          <w:szCs w:val="21"/>
          <w:lang w:eastAsia="zh-CN"/>
        </w:rPr>
        <w:t>务</w:t>
      </w:r>
      <w:r>
        <w:rPr>
          <w:rFonts w:hint="eastAsia" w:ascii="仿宋" w:hAnsi="仿宋" w:eastAsia="仿宋"/>
          <w:color w:val="auto"/>
          <w:spacing w:val="0"/>
          <w:sz w:val="21"/>
          <w:szCs w:val="21"/>
        </w:rPr>
        <w:t>有关人员推销产品。</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 xml:space="preserve">6、乙方如违反以上条款，经核实后，甲方给予警告后而又拒不整改的，甲方有权终止购销合同，并在单位内通报。情节严重的，取消配送资格2年，涉嫌违法的，由执法部门予以处理。 </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b/>
          <w:bCs/>
          <w:color w:val="auto"/>
          <w:spacing w:val="0"/>
          <w:sz w:val="21"/>
          <w:szCs w:val="21"/>
        </w:rPr>
      </w:pPr>
      <w:r>
        <w:rPr>
          <w:rFonts w:hint="eastAsia" w:ascii="仿宋" w:hAnsi="仿宋" w:eastAsia="仿宋"/>
          <w:color w:val="auto"/>
          <w:spacing w:val="0"/>
          <w:sz w:val="21"/>
          <w:szCs w:val="21"/>
        </w:rPr>
        <w:t>7、甲方工作人员如违反以上条款的，甲方将按国家有关法律、法规规定和有关廉政制度规定给予处理，涉嫌违法的，由相关部门予以处理。</w:t>
      </w:r>
    </w:p>
    <w:p>
      <w:pPr>
        <w:keepNext w:val="0"/>
        <w:keepLines w:val="0"/>
        <w:pageBreakBefore w:val="0"/>
        <w:widowControl w:val="0"/>
        <w:kinsoku/>
        <w:wordWrap/>
        <w:overflowPunct/>
        <w:topLinePunct w:val="0"/>
        <w:autoSpaceDE/>
        <w:autoSpaceDN/>
        <w:bidi w:val="0"/>
        <w:adjustRightInd/>
        <w:spacing w:line="480" w:lineRule="exact"/>
        <w:ind w:firstLine="422" w:firstLineChars="200"/>
        <w:textAlignment w:val="auto"/>
        <w:outlineLvl w:val="9"/>
        <w:rPr>
          <w:rFonts w:hint="eastAsia" w:ascii="仿宋" w:hAnsi="仿宋" w:eastAsia="仿宋"/>
          <w:b/>
          <w:bCs/>
          <w:color w:val="auto"/>
          <w:spacing w:val="0"/>
          <w:sz w:val="21"/>
          <w:szCs w:val="21"/>
        </w:rPr>
      </w:pPr>
      <w:r>
        <w:rPr>
          <w:rFonts w:hint="eastAsia" w:ascii="仿宋" w:hAnsi="仿宋" w:eastAsia="仿宋"/>
          <w:b/>
          <w:bCs/>
          <w:color w:val="auto"/>
          <w:spacing w:val="0"/>
          <w:sz w:val="21"/>
          <w:szCs w:val="21"/>
        </w:rPr>
        <w:t>第十</w:t>
      </w:r>
      <w:r>
        <w:rPr>
          <w:rFonts w:hint="eastAsia" w:ascii="仿宋" w:hAnsi="仿宋" w:eastAsia="仿宋"/>
          <w:b/>
          <w:bCs/>
          <w:color w:val="auto"/>
          <w:spacing w:val="0"/>
          <w:sz w:val="21"/>
          <w:szCs w:val="21"/>
          <w:lang w:eastAsia="zh-CN"/>
        </w:rPr>
        <w:t>三</w:t>
      </w:r>
      <w:r>
        <w:rPr>
          <w:rFonts w:hint="eastAsia" w:ascii="仿宋" w:hAnsi="仿宋" w:eastAsia="仿宋"/>
          <w:b/>
          <w:bCs/>
          <w:color w:val="auto"/>
          <w:spacing w:val="0"/>
          <w:sz w:val="21"/>
          <w:szCs w:val="21"/>
        </w:rPr>
        <w:t>条  其它</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1、本合同自双方签字、盖章之日起生效。</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2、本合同未尽事宜，需经双方协商，签订补充协议。补充协议与本合同具有同等的法律效力。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3、合同附件是本合同的组成部分，与本合同有同等法律效力。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4、本合同一式</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陆</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份，甲</w:t>
      </w:r>
      <w:r>
        <w:rPr>
          <w:rFonts w:hint="eastAsia" w:ascii="仿宋" w:hAnsi="仿宋" w:eastAsia="仿宋"/>
          <w:color w:val="auto"/>
          <w:spacing w:val="0"/>
          <w:sz w:val="21"/>
          <w:szCs w:val="21"/>
          <w:lang w:eastAsia="zh-CN"/>
        </w:rPr>
        <w:t>方执</w:t>
      </w:r>
      <w:r>
        <w:rPr>
          <w:rFonts w:hint="eastAsia" w:ascii="仿宋" w:hAnsi="仿宋" w:eastAsia="仿宋"/>
          <w:color w:val="auto"/>
          <w:spacing w:val="0"/>
          <w:sz w:val="21"/>
          <w:szCs w:val="21"/>
          <w:u w:val="single"/>
          <w:lang w:val="en-US" w:eastAsia="zh-CN"/>
        </w:rPr>
        <w:t xml:space="preserve"> 肆 </w:t>
      </w:r>
      <w:r>
        <w:rPr>
          <w:rFonts w:hint="eastAsia" w:ascii="仿宋" w:hAnsi="仿宋" w:eastAsia="仿宋"/>
          <w:color w:val="auto"/>
          <w:spacing w:val="0"/>
          <w:sz w:val="21"/>
          <w:szCs w:val="21"/>
          <w:lang w:eastAsia="zh-CN"/>
        </w:rPr>
        <w:t>份</w:t>
      </w:r>
      <w:r>
        <w:rPr>
          <w:rFonts w:hint="eastAsia" w:ascii="仿宋" w:hAnsi="仿宋" w:eastAsia="仿宋"/>
          <w:color w:val="auto"/>
          <w:spacing w:val="0"/>
          <w:sz w:val="21"/>
          <w:szCs w:val="21"/>
        </w:rPr>
        <w:t>乙方执</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u w:val="single"/>
          <w:lang w:eastAsia="zh-CN"/>
        </w:rPr>
        <w:t>贰</w:t>
      </w:r>
      <w:r>
        <w:rPr>
          <w:rFonts w:hint="eastAsia" w:ascii="仿宋" w:hAnsi="仿宋" w:eastAsia="仿宋"/>
          <w:color w:val="auto"/>
          <w:spacing w:val="0"/>
          <w:sz w:val="21"/>
          <w:szCs w:val="21"/>
          <w:u w:val="single"/>
        </w:rPr>
        <w:t xml:space="preserve"> </w:t>
      </w:r>
      <w:r>
        <w:rPr>
          <w:rFonts w:hint="eastAsia" w:ascii="仿宋" w:hAnsi="仿宋" w:eastAsia="仿宋"/>
          <w:color w:val="auto"/>
          <w:spacing w:val="0"/>
          <w:sz w:val="21"/>
          <w:szCs w:val="21"/>
        </w:rPr>
        <w:t>份，每份均具同等法律效力。</w:t>
      </w:r>
    </w:p>
    <w:p>
      <w:pPr>
        <w:keepNext w:val="0"/>
        <w:keepLines w:val="0"/>
        <w:pageBreakBefore w:val="0"/>
        <w:widowControl w:val="0"/>
        <w:kinsoku/>
        <w:wordWrap/>
        <w:overflowPunct/>
        <w:topLinePunct w:val="0"/>
        <w:autoSpaceDE/>
        <w:autoSpaceDN/>
        <w:bidi w:val="0"/>
        <w:adjustRightInd/>
        <w:spacing w:line="480" w:lineRule="exact"/>
        <w:ind w:firstLine="420" w:firstLineChars="200"/>
        <w:textAlignment w:val="auto"/>
        <w:outlineLvl w:val="9"/>
        <w:rPr>
          <w:rFonts w:hint="eastAsia" w:ascii="仿宋" w:hAnsi="仿宋" w:eastAsia="仿宋"/>
          <w:color w:val="auto"/>
          <w:spacing w:val="0"/>
          <w:sz w:val="21"/>
          <w:szCs w:val="21"/>
        </w:rPr>
      </w:pPr>
      <w:r>
        <w:rPr>
          <w:rFonts w:hint="eastAsia" w:ascii="仿宋" w:hAnsi="仿宋" w:eastAsia="仿宋"/>
          <w:color w:val="auto"/>
          <w:spacing w:val="0"/>
          <w:sz w:val="21"/>
          <w:szCs w:val="21"/>
        </w:rPr>
        <w:t>5、合同各方通讯地址改变的，应及时书面通知合同对方。</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 xml:space="preserve">甲方(盖章)：                       乙方(盖章)： </w:t>
      </w:r>
    </w:p>
    <w:p>
      <w:pPr>
        <w:spacing w:line="500" w:lineRule="exact"/>
        <w:ind w:firstLine="422" w:firstLineChars="200"/>
        <w:rPr>
          <w:rFonts w:hint="eastAsia" w:ascii="仿宋" w:hAnsi="仿宋" w:eastAsia="仿宋"/>
          <w:b/>
          <w:bCs/>
          <w:color w:val="auto"/>
          <w:sz w:val="21"/>
          <w:szCs w:val="21"/>
        </w:rPr>
      </w:pPr>
      <w:r>
        <w:rPr>
          <w:rFonts w:hint="eastAsia" w:ascii="仿宋" w:hAnsi="仿宋" w:eastAsia="仿宋"/>
          <w:b/>
          <w:bCs/>
          <w:color w:val="auto"/>
          <w:sz w:val="21"/>
          <w:szCs w:val="21"/>
        </w:rPr>
        <w:t>代表签字</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lang w:val="en-US" w:eastAsia="zh-CN"/>
        </w:rPr>
        <w:t>或盖章</w:t>
      </w:r>
      <w:r>
        <w:rPr>
          <w:rFonts w:hint="eastAsia" w:ascii="仿宋" w:hAnsi="仿宋" w:eastAsia="仿宋"/>
          <w:b/>
          <w:bCs/>
          <w:color w:val="auto"/>
          <w:sz w:val="21"/>
          <w:szCs w:val="21"/>
          <w:lang w:eastAsia="zh-CN"/>
        </w:rPr>
        <w:t>）</w:t>
      </w:r>
      <w:r>
        <w:rPr>
          <w:rFonts w:hint="eastAsia" w:ascii="仿宋" w:hAnsi="仿宋" w:eastAsia="仿宋"/>
          <w:b/>
          <w:bCs/>
          <w:color w:val="auto"/>
          <w:sz w:val="21"/>
          <w:szCs w:val="21"/>
        </w:rPr>
        <w:t xml:space="preserve">：                代表签字： </w:t>
      </w:r>
    </w:p>
    <w:p>
      <w:pPr>
        <w:spacing w:line="500" w:lineRule="exact"/>
        <w:ind w:firstLine="422" w:firstLineChars="200"/>
        <w:rPr>
          <w:rFonts w:hint="eastAsia" w:ascii="仿宋" w:hAnsi="仿宋" w:eastAsia="仿宋"/>
          <w:b/>
          <w:bCs/>
          <w:color w:val="auto"/>
          <w:sz w:val="21"/>
          <w:szCs w:val="21"/>
        </w:rPr>
      </w:pPr>
    </w:p>
    <w:p>
      <w:pPr>
        <w:spacing w:line="500" w:lineRule="exact"/>
        <w:ind w:firstLine="422" w:firstLineChars="200"/>
        <w:rPr>
          <w:rFonts w:hint="eastAsia" w:ascii="仿宋" w:hAnsi="仿宋" w:eastAsia="仿宋"/>
          <w:b/>
          <w:bCs/>
          <w:color w:val="auto"/>
          <w:sz w:val="28"/>
          <w:szCs w:val="28"/>
        </w:rPr>
      </w:pPr>
      <w:r>
        <w:rPr>
          <w:rFonts w:hint="eastAsia" w:ascii="仿宋" w:hAnsi="仿宋" w:eastAsia="仿宋"/>
          <w:b/>
          <w:bCs/>
          <w:color w:val="auto"/>
          <w:sz w:val="21"/>
          <w:szCs w:val="21"/>
          <w:lang w:val="en-US" w:eastAsia="zh-CN"/>
        </w:rPr>
        <w:t>签订</w:t>
      </w:r>
      <w:r>
        <w:rPr>
          <w:rFonts w:hint="eastAsia" w:ascii="仿宋" w:hAnsi="仿宋" w:eastAsia="仿宋"/>
          <w:b/>
          <w:bCs/>
          <w:color w:val="auto"/>
          <w:sz w:val="21"/>
          <w:szCs w:val="21"/>
        </w:rPr>
        <w:t>日期：</w:t>
      </w:r>
      <w:r>
        <w:rPr>
          <w:rFonts w:hint="eastAsia" w:ascii="仿宋" w:hAnsi="仿宋" w:eastAsia="仿宋"/>
          <w:b/>
          <w:bCs/>
          <w:color w:val="auto"/>
          <w:sz w:val="28"/>
          <w:szCs w:val="28"/>
        </w:rPr>
        <w:t xml:space="preserve">                              </w:t>
      </w:r>
    </w:p>
    <w:p>
      <w:pPr>
        <w:pStyle w:val="15"/>
        <w:rPr>
          <w:rFonts w:hint="eastAsia" w:ascii="宋体" w:hAnsi="宋体" w:eastAsia="宋体" w:cs="宋体"/>
          <w:b/>
          <w:bCs/>
          <w:color w:val="auto"/>
          <w:sz w:val="21"/>
          <w:szCs w:val="21"/>
        </w:rPr>
      </w:pPr>
    </w:p>
    <w:p>
      <w:pPr>
        <w:rPr>
          <w:rFonts w:hint="eastAsia"/>
        </w:rPr>
      </w:pPr>
    </w:p>
    <w:p/>
    <w:p>
      <w:pPr>
        <w:numPr>
          <w:ilvl w:val="0"/>
          <w:numId w:val="7"/>
        </w:numPr>
        <w:jc w:val="center"/>
        <w:rPr>
          <w:rFonts w:hint="eastAsia" w:ascii="宋体" w:hAnsi="宋体" w:eastAsia="宋体" w:cs="宋体"/>
          <w:b/>
          <w:bCs/>
          <w:color w:val="000000" w:themeColor="text1"/>
          <w:spacing w:val="2"/>
          <w:kern w:val="0"/>
          <w:sz w:val="32"/>
          <w:szCs w:val="32"/>
          <w14:textFill>
            <w14:solidFill>
              <w14:schemeClr w14:val="tx1"/>
            </w14:solidFill>
          </w14:textFill>
        </w:rPr>
      </w:pPr>
      <w:bookmarkStart w:id="289" w:name="_Toc3728"/>
      <w:bookmarkStart w:id="290" w:name="_Toc7319"/>
      <w:r>
        <w:rPr>
          <w:rFonts w:hint="eastAsia" w:ascii="宋体" w:hAnsi="宋体" w:eastAsia="宋体" w:cs="宋体"/>
          <w:b/>
          <w:bCs/>
          <w:color w:val="000000" w:themeColor="text1"/>
          <w:spacing w:val="2"/>
          <w:kern w:val="0"/>
          <w:sz w:val="32"/>
          <w:szCs w:val="32"/>
          <w14:textFill>
            <w14:solidFill>
              <w14:schemeClr w14:val="tx1"/>
            </w14:solidFill>
          </w14:textFill>
        </w:rPr>
        <w:t>技术标准和要求</w:t>
      </w:r>
      <w:bookmarkEnd w:id="289"/>
      <w:bookmarkEnd w:id="290"/>
    </w:p>
    <w:p>
      <w:pPr>
        <w:numPr>
          <w:ilvl w:val="0"/>
          <w:numId w:val="0"/>
        </w:numPr>
        <w:jc w:val="both"/>
      </w:pPr>
    </w:p>
    <w:p>
      <w:pPr>
        <w:pStyle w:val="2"/>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听觉言语语言喉功能检测处理系统（含2个学习机）</w:t>
      </w:r>
      <w:r>
        <w:rPr>
          <w:rFonts w:hint="eastAsia" w:ascii="宋体" w:hAnsi="宋体" w:eastAsia="宋体" w:cs="宋体"/>
          <w:sz w:val="21"/>
          <w:szCs w:val="21"/>
          <w:lang w:eastAsia="zh-CN"/>
        </w:rPr>
        <w:t>招标要求</w:t>
      </w:r>
    </w:p>
    <w:p>
      <w:pP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一、数量：</w:t>
      </w:r>
      <w:r>
        <w:rPr>
          <w:rFonts w:hint="eastAsia" w:ascii="宋体" w:hAnsi="宋体" w:eastAsia="宋体" w:cs="宋体"/>
          <w:b/>
          <w:bCs/>
          <w:sz w:val="21"/>
          <w:szCs w:val="21"/>
          <w:lang w:val="en-US" w:eastAsia="zh-CN"/>
        </w:rPr>
        <w:t>3套</w:t>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二</w:t>
      </w:r>
      <w:r>
        <w:rPr>
          <w:rFonts w:hint="eastAsia" w:ascii="宋体" w:hAnsi="宋体" w:eastAsia="宋体" w:cs="宋体"/>
          <w:b/>
          <w:sz w:val="21"/>
          <w:szCs w:val="21"/>
        </w:rPr>
        <w:t>、主要用途：</w:t>
      </w:r>
    </w:p>
    <w:p>
      <w:pPr>
        <w:spacing w:line="360" w:lineRule="auto"/>
        <w:rPr>
          <w:rFonts w:hint="eastAsia" w:ascii="宋体" w:hAnsi="宋体" w:eastAsia="宋体" w:cs="宋体"/>
          <w:sz w:val="21"/>
          <w:szCs w:val="21"/>
        </w:rPr>
      </w:pPr>
      <w:r>
        <w:rPr>
          <w:rFonts w:hint="eastAsia" w:ascii="宋体" w:hAnsi="宋体" w:eastAsia="宋体" w:cs="宋体"/>
          <w:sz w:val="21"/>
          <w:szCs w:val="21"/>
        </w:rPr>
        <w:t>用于</w:t>
      </w:r>
      <w:r>
        <w:rPr>
          <w:rFonts w:hint="eastAsia" w:ascii="宋体" w:hAnsi="宋体" w:eastAsia="宋体" w:cs="宋体"/>
          <w:b/>
          <w:sz w:val="21"/>
          <w:szCs w:val="21"/>
        </w:rPr>
        <w:t>早期语言障碍、认知障碍、构音障碍的评估和干预</w:t>
      </w:r>
      <w:r>
        <w:rPr>
          <w:rFonts w:hint="eastAsia" w:ascii="宋体" w:hAnsi="宋体" w:eastAsia="宋体" w:cs="宋体"/>
          <w:sz w:val="21"/>
          <w:szCs w:val="21"/>
        </w:rPr>
        <w:t>。通过对实时语言信号进行基频、谐波、FFT、LPC、语谱图的检测、处理，为早期语言障碍、认知障碍、构音障碍提供评估诊断信息和康复训练。</w:t>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三</w:t>
      </w:r>
      <w:r>
        <w:rPr>
          <w:rFonts w:hint="eastAsia" w:ascii="宋体" w:hAnsi="宋体" w:eastAsia="宋体" w:cs="宋体"/>
          <w:b/>
          <w:sz w:val="21"/>
          <w:szCs w:val="21"/>
        </w:rPr>
        <w:t>、主要功能：</w:t>
      </w:r>
    </w:p>
    <w:p>
      <w:pPr>
        <w:spacing w:after="120" w:line="360" w:lineRule="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b/>
          <w:sz w:val="21"/>
          <w:szCs w:val="21"/>
        </w:rPr>
        <w:t>早期语言障碍评估</w:t>
      </w:r>
      <w:r>
        <w:rPr>
          <w:rFonts w:hint="eastAsia" w:ascii="宋体" w:hAnsi="宋体" w:eastAsia="宋体" w:cs="宋体"/>
          <w:sz w:val="21"/>
          <w:szCs w:val="21"/>
        </w:rPr>
        <w:t>，包含：1）早期语言能力测量评估：词语理解、句子理解、词语命名、句式仿说；2）语言韵律能力测量评估：可开展双音节词时长与基频的测量；具有实时声波（3～48毫秒）、实时基频（50～1200Hz）、实时强度（0～90dB）、实时基频和强度功能选项；</w:t>
      </w:r>
    </w:p>
    <w:p>
      <w:pPr>
        <w:spacing w:after="120" w:line="360" w:lineRule="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b/>
          <w:sz w:val="21"/>
          <w:szCs w:val="21"/>
        </w:rPr>
        <w:t>前语言阶段的咿呀学语训练</w:t>
      </w:r>
      <w:r>
        <w:rPr>
          <w:rFonts w:hint="eastAsia" w:ascii="宋体" w:hAnsi="宋体" w:eastAsia="宋体" w:cs="宋体"/>
          <w:sz w:val="21"/>
          <w:szCs w:val="21"/>
        </w:rPr>
        <w:t>：通过视听迁移、视听统合进行沟通唤醒训练；通过常见生活主题进行前语言唤醒训练；</w:t>
      </w:r>
    </w:p>
    <w:p>
      <w:pPr>
        <w:spacing w:after="120" w:line="360" w:lineRule="auto"/>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b/>
          <w:sz w:val="21"/>
          <w:szCs w:val="21"/>
        </w:rPr>
        <w:t>早期语言阶段的语言理解与表达能力训练</w:t>
      </w:r>
      <w:r>
        <w:rPr>
          <w:rFonts w:hint="eastAsia" w:ascii="宋体" w:hAnsi="宋体" w:eastAsia="宋体" w:cs="宋体"/>
          <w:sz w:val="21"/>
          <w:szCs w:val="21"/>
        </w:rPr>
        <w:t>；采用认识、探索、沟通、认知等方式进行核心词语、词组、句子、短文的干预训练；包括：1）词语测试与认识、探索、沟通、认知训练，其中词语测试，包括词语理解与表达能力测试；2）词组的认识、辅助沟通训练；3）句子的认识、辅助沟通与认知训练；4）短文的认识、辅助沟通训练。</w:t>
      </w:r>
    </w:p>
    <w:p>
      <w:pPr>
        <w:spacing w:after="120" w:line="360" w:lineRule="auto"/>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b/>
          <w:sz w:val="21"/>
          <w:szCs w:val="21"/>
        </w:rPr>
        <w:t>认知能力测试评估</w:t>
      </w:r>
      <w:r>
        <w:rPr>
          <w:rFonts w:hint="eastAsia" w:ascii="宋体" w:hAnsi="宋体" w:eastAsia="宋体" w:cs="宋体"/>
          <w:sz w:val="21"/>
          <w:szCs w:val="21"/>
        </w:rPr>
        <w:t>；对感知觉能力、注意能力、观察能力、记忆能力、思维能力（推理能力）进行评估，评估内容包括★空间次序、动作序列、目标辨认、图形推理、逻辑类比；</w:t>
      </w:r>
    </w:p>
    <w:p>
      <w:pPr>
        <w:spacing w:after="120" w:line="360" w:lineRule="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b/>
          <w:sz w:val="21"/>
          <w:szCs w:val="21"/>
        </w:rPr>
        <w:t>认知能力训练</w:t>
      </w:r>
      <w:r>
        <w:rPr>
          <w:rFonts w:hint="eastAsia" w:ascii="宋体" w:hAnsi="宋体" w:eastAsia="宋体" w:cs="宋体"/>
          <w:sz w:val="21"/>
          <w:szCs w:val="21"/>
        </w:rPr>
        <w:t>：进行感知觉、注意、观察、记忆、思维（推理）能力训练，训练内容包括：注意力、观察力、记忆力、数字认知、图形认知、序列认知、异类鉴别、同类匹配八个项目；</w:t>
      </w:r>
    </w:p>
    <w:p>
      <w:pPr>
        <w:spacing w:after="120" w:line="360" w:lineRule="auto"/>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b/>
          <w:sz w:val="21"/>
          <w:szCs w:val="21"/>
        </w:rPr>
        <w:t>构音功能测量评估</w:t>
      </w:r>
      <w:r>
        <w:rPr>
          <w:rFonts w:hint="eastAsia" w:ascii="宋体" w:hAnsi="宋体" w:eastAsia="宋体" w:cs="宋体"/>
          <w:sz w:val="21"/>
          <w:szCs w:val="21"/>
        </w:rPr>
        <w:t>，可开展：1）口部运动能力评估；2）音位习得、音位对比等构音语音能力评估；3）下颌距、舌距等构音运动功能测量；4）构音清晰度等构音语音功能测量；</w:t>
      </w:r>
    </w:p>
    <w:p>
      <w:pPr>
        <w:spacing w:line="360" w:lineRule="auto"/>
        <w:rPr>
          <w:rFonts w:hint="eastAsia" w:ascii="宋体" w:hAnsi="宋体" w:eastAsia="宋体" w:cs="宋体"/>
          <w:sz w:val="21"/>
          <w:szCs w:val="21"/>
        </w:rPr>
      </w:pPr>
      <w:r>
        <w:rPr>
          <w:rFonts w:hint="eastAsia" w:ascii="宋体" w:hAnsi="宋体" w:eastAsia="宋体" w:cs="宋体"/>
          <w:sz w:val="21"/>
          <w:szCs w:val="21"/>
        </w:rPr>
        <w:t>（7）</w:t>
      </w:r>
      <w:r>
        <w:rPr>
          <w:rFonts w:hint="eastAsia" w:ascii="宋体" w:hAnsi="宋体" w:eastAsia="宋体" w:cs="宋体"/>
          <w:b/>
          <w:sz w:val="21"/>
          <w:szCs w:val="21"/>
        </w:rPr>
        <w:t>构音功能康复训练</w:t>
      </w:r>
      <w:r>
        <w:rPr>
          <w:rFonts w:hint="eastAsia" w:ascii="宋体" w:hAnsi="宋体" w:eastAsia="宋体" w:cs="宋体"/>
          <w:sz w:val="21"/>
          <w:szCs w:val="21"/>
        </w:rPr>
        <w:t>，可开展：1）口部运动治疗（不少于40种）；2）下颌、唇、舌构音运动的康复训练；3）构音音位感知、音位习得、音位对比的康复训练。</w:t>
      </w:r>
    </w:p>
    <w:p>
      <w:pPr>
        <w:spacing w:line="360" w:lineRule="auto"/>
        <w:rPr>
          <w:rFonts w:hint="eastAsia" w:ascii="宋体" w:hAnsi="宋体" w:eastAsia="宋体" w:cs="宋体"/>
          <w:sz w:val="21"/>
          <w:szCs w:val="21"/>
        </w:rPr>
      </w:pPr>
      <w:r>
        <w:rPr>
          <w:rFonts w:hint="eastAsia" w:ascii="宋体" w:hAnsi="宋体" w:eastAsia="宋体" w:cs="宋体"/>
          <w:sz w:val="21"/>
          <w:szCs w:val="21"/>
        </w:rPr>
        <w:t>（8）</w:t>
      </w:r>
      <w:r>
        <w:rPr>
          <w:rFonts w:hint="eastAsia" w:ascii="宋体" w:hAnsi="宋体" w:eastAsia="宋体" w:cs="宋体"/>
          <w:b/>
          <w:sz w:val="21"/>
          <w:szCs w:val="21"/>
        </w:rPr>
        <w:t>康复学习机：</w:t>
      </w:r>
      <w:r>
        <w:rPr>
          <w:rFonts w:hint="eastAsia" w:ascii="宋体" w:hAnsi="宋体" w:eastAsia="宋体" w:cs="宋体"/>
          <w:sz w:val="21"/>
          <w:szCs w:val="21"/>
        </w:rPr>
        <w:t>包含言语构音、语言能力、沟通能力等康复学习与训练软件与用具，具有针对性地进行言语构音（口部运动、构音运动、构音语音）、早期语言能力（词语、词组、句子、短文）、辅助沟通能力的训练，从而促进其儿童言语语言沟通能力的提升与综合发展。</w:t>
      </w:r>
    </w:p>
    <w:p>
      <w:pPr>
        <w:spacing w:line="360" w:lineRule="auto"/>
        <w:rPr>
          <w:rFonts w:hint="eastAsia" w:ascii="宋体" w:hAnsi="宋体" w:eastAsia="宋体" w:cs="宋体"/>
          <w:bCs/>
          <w:kern w:val="0"/>
          <w:sz w:val="21"/>
          <w:szCs w:val="21"/>
        </w:rPr>
      </w:pPr>
      <w:r>
        <w:rPr>
          <w:rFonts w:hint="eastAsia" w:ascii="宋体" w:hAnsi="宋体" w:eastAsia="宋体" w:cs="宋体"/>
          <w:sz w:val="21"/>
          <w:szCs w:val="21"/>
        </w:rPr>
        <w:t>（9）</w:t>
      </w:r>
      <w:r>
        <w:rPr>
          <w:rFonts w:hint="eastAsia" w:ascii="宋体" w:hAnsi="宋体" w:eastAsia="宋体" w:cs="宋体"/>
          <w:b/>
          <w:sz w:val="21"/>
          <w:szCs w:val="21"/>
        </w:rPr>
        <w:t>综合康复支持：</w:t>
      </w:r>
      <w:r>
        <w:rPr>
          <w:rFonts w:hint="eastAsia" w:ascii="宋体" w:hAnsi="宋体" w:eastAsia="宋体" w:cs="宋体"/>
          <w:bCs/>
          <w:kern w:val="0"/>
          <w:sz w:val="21"/>
          <w:szCs w:val="21"/>
        </w:rPr>
        <w:t>具体包含：</w:t>
      </w:r>
    </w:p>
    <w:p>
      <w:pPr>
        <w:widowControl/>
        <w:spacing w:line="360" w:lineRule="auto"/>
        <w:ind w:firstLine="210" w:firstLineChars="100"/>
        <w:rPr>
          <w:rFonts w:hint="eastAsia" w:ascii="宋体" w:hAnsi="宋体" w:eastAsia="宋体" w:cs="宋体"/>
          <w:bCs/>
          <w:kern w:val="0"/>
          <w:sz w:val="21"/>
          <w:szCs w:val="21"/>
        </w:rPr>
      </w:pPr>
      <w:r>
        <w:rPr>
          <w:rFonts w:hint="eastAsia" w:ascii="宋体" w:hAnsi="宋体" w:eastAsia="宋体" w:cs="宋体"/>
          <w:bCs/>
          <w:kern w:val="0"/>
          <w:sz w:val="21"/>
          <w:szCs w:val="21"/>
        </w:rPr>
        <w:t>1）用户管理：用户导入、绑定、新建、编辑、删除等；以及用户评估记录、训练记录、作业记录；用户报告的保存、打印输出（含单位信息）等；</w:t>
      </w:r>
    </w:p>
    <w:p>
      <w:pPr>
        <w:widowControl/>
        <w:spacing w:line="360" w:lineRule="auto"/>
        <w:ind w:firstLine="210" w:firstLineChars="100"/>
        <w:rPr>
          <w:rFonts w:hint="eastAsia" w:ascii="宋体" w:hAnsi="宋体" w:eastAsia="宋体" w:cs="宋体"/>
          <w:bCs/>
          <w:kern w:val="0"/>
          <w:sz w:val="21"/>
          <w:szCs w:val="21"/>
        </w:rPr>
      </w:pPr>
      <w:r>
        <w:rPr>
          <w:rFonts w:hint="eastAsia" w:ascii="宋体" w:hAnsi="宋体" w:eastAsia="宋体" w:cs="宋体"/>
          <w:bCs/>
          <w:kern w:val="0"/>
          <w:sz w:val="21"/>
          <w:szCs w:val="21"/>
        </w:rPr>
        <w:t>2）ICF评估：提供基于ICF功能评估报告；其功能评估根据世界卫生组织WHO的ICF标准，0没有损伤，1轻度损伤，2中度损伤，3重度损伤，4完全损伤；</w:t>
      </w:r>
      <w:r>
        <w:rPr>
          <w:rFonts w:hint="eastAsia" w:ascii="宋体" w:hAnsi="宋体" w:eastAsia="宋体" w:cs="宋体"/>
          <w:kern w:val="0"/>
          <w:sz w:val="21"/>
          <w:szCs w:val="21"/>
        </w:rPr>
        <w:t>★</w:t>
      </w:r>
      <w:r>
        <w:rPr>
          <w:rFonts w:hint="eastAsia" w:ascii="宋体" w:hAnsi="宋体" w:eastAsia="宋体" w:cs="宋体"/>
          <w:bCs/>
          <w:kern w:val="0"/>
          <w:sz w:val="21"/>
          <w:szCs w:val="21"/>
        </w:rPr>
        <w:t>包括：ICF儿童语言指标6项、</w:t>
      </w:r>
      <w:r>
        <w:rPr>
          <w:rFonts w:hint="eastAsia" w:ascii="宋体" w:hAnsi="宋体" w:eastAsia="宋体" w:cs="宋体"/>
          <w:bCs/>
          <w:sz w:val="21"/>
          <w:szCs w:val="21"/>
        </w:rPr>
        <w:t>ICF认知指标11项、</w:t>
      </w:r>
      <w:r>
        <w:rPr>
          <w:rFonts w:hint="eastAsia" w:ascii="宋体" w:hAnsi="宋体" w:eastAsia="宋体" w:cs="宋体"/>
          <w:bCs/>
          <w:kern w:val="0"/>
          <w:sz w:val="21"/>
          <w:szCs w:val="21"/>
        </w:rPr>
        <w:t>ICF构音指标7项、语音指标10项；</w:t>
      </w:r>
    </w:p>
    <w:p>
      <w:pPr>
        <w:widowControl/>
        <w:spacing w:line="360" w:lineRule="auto"/>
        <w:ind w:firstLine="210" w:firstLineChars="100"/>
        <w:rPr>
          <w:rFonts w:hint="eastAsia" w:ascii="宋体" w:hAnsi="宋体" w:eastAsia="宋体" w:cs="宋体"/>
          <w:bCs/>
          <w:kern w:val="0"/>
          <w:sz w:val="21"/>
          <w:szCs w:val="21"/>
        </w:rPr>
      </w:pPr>
      <w:r>
        <w:rPr>
          <w:rFonts w:hint="eastAsia" w:ascii="宋体" w:hAnsi="宋体" w:eastAsia="宋体" w:cs="宋体"/>
          <w:bCs/>
          <w:kern w:val="0"/>
          <w:sz w:val="21"/>
          <w:szCs w:val="21"/>
        </w:rPr>
        <w:t>3）ICF治疗计划：提供基于ICF功能评估报告的治疗计划制定，以及智能化方案的推荐；</w:t>
      </w:r>
    </w:p>
    <w:p>
      <w:pPr>
        <w:widowControl/>
        <w:spacing w:line="360" w:lineRule="auto"/>
        <w:ind w:firstLine="210" w:firstLineChars="100"/>
        <w:rPr>
          <w:rFonts w:hint="eastAsia" w:ascii="宋体" w:hAnsi="宋体" w:eastAsia="宋体" w:cs="宋体"/>
          <w:bCs/>
          <w:kern w:val="0"/>
          <w:sz w:val="21"/>
          <w:szCs w:val="21"/>
        </w:rPr>
      </w:pPr>
      <w:r>
        <w:rPr>
          <w:rFonts w:hint="eastAsia" w:ascii="宋体" w:hAnsi="宋体" w:eastAsia="宋体" w:cs="宋体"/>
          <w:bCs/>
          <w:kern w:val="0"/>
          <w:sz w:val="21"/>
          <w:szCs w:val="21"/>
        </w:rPr>
        <w:t>4）ICF质控：提供通过报告对比来反应不同时期的ICF语言、认知、构音损伤程度的变化，从而实现疗效监控；</w:t>
      </w:r>
    </w:p>
    <w:p>
      <w:pPr>
        <w:widowControl/>
        <w:spacing w:line="360" w:lineRule="auto"/>
        <w:ind w:firstLine="210" w:firstLineChars="100"/>
        <w:rPr>
          <w:rFonts w:hint="eastAsia" w:ascii="宋体" w:hAnsi="宋体" w:eastAsia="宋体" w:cs="宋体"/>
          <w:bCs/>
          <w:kern w:val="0"/>
          <w:sz w:val="21"/>
          <w:szCs w:val="21"/>
        </w:rPr>
      </w:pPr>
      <w:r>
        <w:rPr>
          <w:rFonts w:hint="eastAsia" w:ascii="宋体" w:hAnsi="宋体" w:eastAsia="宋体" w:cs="宋体"/>
          <w:bCs/>
          <w:kern w:val="0"/>
          <w:sz w:val="21"/>
          <w:szCs w:val="21"/>
        </w:rPr>
        <w:t>5）作业支持：通过模块作业发送进行个别化集体康复训练；支持动态查看作业情况，实时监控作业效果；可用于小组训练、家庭康复、床边康复、社区学校教育康复等。</w:t>
      </w:r>
    </w:p>
    <w:p>
      <w:pPr>
        <w:widowControl/>
        <w:spacing w:line="360" w:lineRule="auto"/>
        <w:ind w:firstLine="210" w:firstLineChars="100"/>
        <w:rPr>
          <w:rFonts w:hint="eastAsia" w:ascii="宋体" w:hAnsi="宋体" w:eastAsia="宋体" w:cs="宋体"/>
          <w:bCs/>
          <w:kern w:val="0"/>
          <w:sz w:val="21"/>
          <w:szCs w:val="21"/>
        </w:rPr>
      </w:pPr>
      <w:r>
        <w:rPr>
          <w:rFonts w:hint="eastAsia" w:ascii="宋体" w:hAnsi="宋体" w:eastAsia="宋体" w:cs="宋体"/>
          <w:bCs/>
          <w:kern w:val="0"/>
          <w:sz w:val="21"/>
          <w:szCs w:val="21"/>
        </w:rPr>
        <w:t>6）专题培训：质保期内提供儿童构音ICF-PCT疗法在线课程服务，包含：口部运动功能评估、言语重读治疗法概述等；</w:t>
      </w:r>
    </w:p>
    <w:p>
      <w:pPr>
        <w:spacing w:line="360" w:lineRule="auto"/>
        <w:rPr>
          <w:rFonts w:hint="eastAsia" w:ascii="宋体" w:hAnsi="宋体" w:eastAsia="宋体" w:cs="宋体"/>
          <w:sz w:val="21"/>
          <w:szCs w:val="21"/>
        </w:rPr>
      </w:pPr>
      <w:r>
        <w:rPr>
          <w:rFonts w:hint="eastAsia" w:ascii="宋体" w:hAnsi="宋体" w:eastAsia="宋体" w:cs="宋体"/>
          <w:bCs/>
          <w:kern w:val="0"/>
          <w:sz w:val="21"/>
          <w:szCs w:val="21"/>
        </w:rPr>
        <w:t>7）嗓音电声支持：质保期内提供嗓音电声门图信号分析服务，包含：支持嗓音电声门图信号显示分析，</w:t>
      </w:r>
      <w:r>
        <w:rPr>
          <w:rFonts w:hint="eastAsia" w:ascii="宋体" w:hAnsi="宋体" w:eastAsia="宋体" w:cs="宋体"/>
          <w:kern w:val="0"/>
          <w:sz w:val="21"/>
          <w:szCs w:val="21"/>
        </w:rPr>
        <w:t>★</w:t>
      </w:r>
      <w:r>
        <w:rPr>
          <w:rFonts w:hint="eastAsia" w:ascii="宋体" w:hAnsi="宋体" w:eastAsia="宋体" w:cs="宋体"/>
          <w:bCs/>
          <w:kern w:val="0"/>
          <w:sz w:val="21"/>
          <w:szCs w:val="21"/>
        </w:rPr>
        <w:t>可以测量Jitter, Shimmer, NNE, CQ, CQP等电声参数，快速分析嗓音质量、可针对具体功能模块进行便捷打印；提供国际通用嗓音数据体系；主要针对声带接触时声带运动，反映声带闭合期的情况，用于测试声带粘膜波的接触性，较全面地反映粘膜波的不规则性。</w:t>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四</w:t>
      </w:r>
      <w:r>
        <w:rPr>
          <w:rFonts w:hint="eastAsia" w:ascii="宋体" w:hAnsi="宋体" w:eastAsia="宋体" w:cs="宋体"/>
          <w:b/>
          <w:sz w:val="21"/>
          <w:szCs w:val="21"/>
        </w:rPr>
        <w:t>、主要组成：</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配有台车（材质：ABS工程塑料，带万向轮）、专用主机（处理器：2GHz以上；硬盘：500GB；内存：4GB；操作系统：Windows）、单通道低通滤波器、单向型专业话筒（频率响应50Hz-15KHz）、显示器（最佳分辨率：1920x1080；尺寸：20英寸以上）、打印机（USB接口，支持A4纸打印）、早期语言和语言认知障碍功能检测与训练沟通仪软件、构音语音测量与训练仪软件。另配康复学习机2台、口部构音运动训练器1套、积木式语音训练器1套、电声门图仪1台。</w:t>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五</w:t>
      </w:r>
      <w:r>
        <w:rPr>
          <w:rFonts w:hint="eastAsia" w:ascii="宋体" w:hAnsi="宋体" w:eastAsia="宋体" w:cs="宋体"/>
          <w:b/>
          <w:sz w:val="21"/>
          <w:szCs w:val="21"/>
        </w:rPr>
        <w:t>、主要技术指标：</w:t>
      </w:r>
    </w:p>
    <w:p>
      <w:pPr>
        <w:spacing w:line="360" w:lineRule="auto"/>
        <w:rPr>
          <w:rFonts w:hint="eastAsia" w:ascii="宋体" w:hAnsi="宋体" w:eastAsia="宋体" w:cs="宋体"/>
          <w:sz w:val="21"/>
          <w:szCs w:val="21"/>
        </w:rPr>
      </w:pPr>
      <w:r>
        <w:rPr>
          <w:rFonts w:hint="eastAsia" w:ascii="宋体" w:hAnsi="宋体" w:eastAsia="宋体" w:cs="宋体"/>
          <w:sz w:val="21"/>
          <w:szCs w:val="21"/>
        </w:rPr>
        <w:t>1、实时语言信号：</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1）谐波频率误差：±4%；</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2）基频实时响应速率：≤6ms；</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3）FFT实时响应速率：≤48ms；</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4）LPC实时响应速率：≤45ms；</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5）语谱图实时分辨率：窄带60Hz、中带120Hz、宽带240Hz：12.7ms±4%； </w:t>
      </w:r>
    </w:p>
    <w:p>
      <w:pPr>
        <w:pStyle w:val="23"/>
        <w:spacing w:line="360" w:lineRule="auto"/>
        <w:ind w:left="0"/>
        <w:jc w:val="both"/>
        <w:rPr>
          <w:rFonts w:hint="eastAsia" w:ascii="宋体" w:hAnsi="宋体" w:eastAsia="宋体" w:cs="宋体"/>
          <w:sz w:val="21"/>
          <w:szCs w:val="21"/>
        </w:rPr>
      </w:pPr>
      <w:r>
        <w:rPr>
          <w:rFonts w:hint="eastAsia" w:ascii="宋体" w:hAnsi="宋体" w:eastAsia="宋体" w:cs="宋体"/>
          <w:sz w:val="21"/>
          <w:szCs w:val="21"/>
        </w:rPr>
        <w:t>2、单通道低通滤波：</w:t>
      </w:r>
    </w:p>
    <w:p>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1）频响：在100Hz～700Hz频率范围内为-1.0dB～+1.0dB</w:t>
      </w:r>
    </w:p>
    <w:p>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2）静止噪声≤2mV</w:t>
      </w:r>
    </w:p>
    <w:p>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3) 低通滤波：共三档：5kHz，10kHz，20kHz，截止频率处衰减≥50dB</w:t>
      </w:r>
    </w:p>
    <w:p>
      <w:pPr>
        <w:spacing w:line="360" w:lineRule="auto"/>
        <w:rPr>
          <w:rFonts w:hint="eastAsia" w:ascii="宋体" w:hAnsi="宋体" w:eastAsia="宋体" w:cs="宋体"/>
          <w:sz w:val="21"/>
          <w:szCs w:val="21"/>
        </w:rPr>
      </w:pPr>
      <w:r>
        <w:rPr>
          <w:rFonts w:hint="eastAsia" w:ascii="宋体" w:hAnsi="宋体" w:eastAsia="宋体" w:cs="宋体"/>
          <w:sz w:val="21"/>
          <w:szCs w:val="21"/>
        </w:rPr>
        <w:t>3、口部构音运动训练器</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含有唇运动训练器、舌尖运动训练器、舌前位运动训练器、舌后位运动训练器组成，用于口部构音运动训练，要求各训练器的连接强度应≥5N； </w:t>
      </w:r>
    </w:p>
    <w:p>
      <w:pPr>
        <w:spacing w:line="360" w:lineRule="auto"/>
        <w:rPr>
          <w:rFonts w:hint="eastAsia" w:ascii="宋体" w:hAnsi="宋体" w:eastAsia="宋体" w:cs="宋体"/>
          <w:sz w:val="21"/>
          <w:szCs w:val="21"/>
        </w:rPr>
      </w:pPr>
      <w:r>
        <w:rPr>
          <w:rFonts w:hint="eastAsia" w:ascii="宋体" w:hAnsi="宋体" w:eastAsia="宋体" w:cs="宋体"/>
          <w:sz w:val="21"/>
          <w:szCs w:val="21"/>
        </w:rPr>
        <w:t>4、康复学习机：</w:t>
      </w:r>
    </w:p>
    <w:p>
      <w:pPr>
        <w:spacing w:line="360" w:lineRule="auto"/>
        <w:rPr>
          <w:rFonts w:hint="eastAsia" w:ascii="宋体" w:hAnsi="宋体" w:eastAsia="宋体" w:cs="宋体"/>
          <w:sz w:val="21"/>
          <w:szCs w:val="21"/>
        </w:rPr>
      </w:pPr>
      <w:r>
        <w:rPr>
          <w:rFonts w:hint="eastAsia" w:ascii="宋体" w:hAnsi="宋体" w:eastAsia="宋体" w:cs="宋体"/>
          <w:sz w:val="21"/>
          <w:szCs w:val="21"/>
        </w:rPr>
        <w:t>1）电容式触摸屏，多点触控；</w:t>
      </w:r>
    </w:p>
    <w:p>
      <w:pPr>
        <w:spacing w:line="360" w:lineRule="auto"/>
        <w:rPr>
          <w:rFonts w:hint="eastAsia" w:ascii="宋体" w:hAnsi="宋体" w:eastAsia="宋体" w:cs="宋体"/>
          <w:sz w:val="21"/>
          <w:szCs w:val="21"/>
        </w:rPr>
      </w:pPr>
      <w:r>
        <w:rPr>
          <w:rFonts w:hint="eastAsia" w:ascii="宋体" w:hAnsi="宋体" w:eastAsia="宋体" w:cs="宋体"/>
          <w:sz w:val="21"/>
          <w:szCs w:val="21"/>
        </w:rPr>
        <w:t>2）触摸面板尺寸： 不小于9.6英寸；</w:t>
      </w:r>
    </w:p>
    <w:p>
      <w:pPr>
        <w:spacing w:line="360" w:lineRule="auto"/>
        <w:rPr>
          <w:rFonts w:hint="eastAsia" w:ascii="宋体" w:hAnsi="宋体" w:eastAsia="宋体" w:cs="宋体"/>
          <w:sz w:val="21"/>
          <w:szCs w:val="21"/>
        </w:rPr>
      </w:pPr>
      <w:r>
        <w:rPr>
          <w:rFonts w:hint="eastAsia" w:ascii="宋体" w:hAnsi="宋体" w:eastAsia="宋体" w:cs="宋体"/>
          <w:sz w:val="21"/>
          <w:szCs w:val="21"/>
        </w:rPr>
        <w:t>5、电声门图信号支持：</w:t>
      </w:r>
    </w:p>
    <w:p>
      <w:pPr>
        <w:spacing w:line="360" w:lineRule="auto"/>
        <w:rPr>
          <w:rFonts w:hint="eastAsia" w:ascii="宋体" w:hAnsi="宋体" w:eastAsia="宋体" w:cs="宋体"/>
          <w:sz w:val="21"/>
          <w:szCs w:val="21"/>
        </w:rPr>
      </w:pPr>
      <w:r>
        <w:rPr>
          <w:rFonts w:hint="eastAsia" w:ascii="宋体" w:hAnsi="宋体" w:eastAsia="宋体" w:cs="宋体"/>
          <w:b/>
          <w:sz w:val="21"/>
          <w:szCs w:val="21"/>
        </w:rPr>
        <w:t>★</w:t>
      </w:r>
      <w:r>
        <w:rPr>
          <w:rFonts w:hint="eastAsia" w:ascii="宋体" w:hAnsi="宋体" w:eastAsia="宋体" w:cs="宋体"/>
          <w:sz w:val="21"/>
          <w:szCs w:val="21"/>
        </w:rPr>
        <w:t>1）电声门图增益：共三档：-6dB，0dB，6dB，误差±1.0dB；</w:t>
      </w:r>
    </w:p>
    <w:p>
      <w:pPr>
        <w:spacing w:line="360" w:lineRule="auto"/>
        <w:rPr>
          <w:rFonts w:hint="eastAsia" w:ascii="宋体" w:hAnsi="宋体" w:eastAsia="宋体" w:cs="宋体"/>
          <w:sz w:val="21"/>
          <w:szCs w:val="21"/>
        </w:rPr>
      </w:pPr>
      <w:r>
        <w:rPr>
          <w:rFonts w:hint="eastAsia" w:ascii="宋体" w:hAnsi="宋体" w:eastAsia="宋体" w:cs="宋体"/>
          <w:sz w:val="21"/>
          <w:szCs w:val="21"/>
        </w:rPr>
        <w:t>2）电声门图静止噪声≤5mV。</w:t>
      </w:r>
    </w:p>
    <w:p>
      <w:pPr>
        <w:spacing w:line="288" w:lineRule="auto"/>
        <w:rPr>
          <w:rFonts w:hint="eastAsia" w:ascii="宋体" w:hAnsi="宋体" w:eastAsia="宋体" w:cs="宋体"/>
          <w:sz w:val="21"/>
          <w:szCs w:val="21"/>
        </w:rPr>
      </w:pPr>
    </w:p>
    <w:p/>
    <w:p>
      <w:pPr>
        <w:pStyle w:val="16"/>
        <w:rPr>
          <w:rFonts w:hint="eastAsia"/>
          <w:lang w:val="en-US" w:eastAsia="zh-CN"/>
        </w:rPr>
      </w:pPr>
      <w:r>
        <w:rPr>
          <w:rFonts w:hint="eastAsia"/>
          <w:lang w:val="en-US" w:eastAsia="zh-CN"/>
        </w:rPr>
        <w:t xml:space="preserve">              </w:t>
      </w: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pStyle w:val="16"/>
        <w:rPr>
          <w:rFonts w:hint="eastAsia"/>
          <w:lang w:val="en-US" w:eastAsia="zh-CN"/>
        </w:rPr>
      </w:pPr>
    </w:p>
    <w:p>
      <w:pPr>
        <w:rPr>
          <w:rFonts w:hint="eastAsia"/>
        </w:rPr>
      </w:pP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bookmarkStart w:id="291" w:name="_Toc3459"/>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291"/>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24"/>
          <w:szCs w:val="24"/>
          <w:lang w:eastAsia="zh-CN"/>
          <w14:textFill>
            <w14:solidFill>
              <w14:schemeClr w14:val="tx1"/>
            </w14:solidFill>
          </w14:textFill>
        </w:rPr>
        <w:t>河南省儿童医院郑州儿童医院</w:t>
      </w:r>
      <w:r>
        <w:rPr>
          <w:rFonts w:hint="eastAsia" w:ascii="宋体" w:hAnsi="宋体" w:eastAsia="宋体" w:cs="宋体"/>
          <w:b/>
          <w:bCs/>
          <w:color w:val="000000" w:themeColor="text1"/>
          <w:spacing w:val="6"/>
          <w:kern w:val="0"/>
          <w:sz w:val="24"/>
          <w:szCs w:val="24"/>
          <w:lang w:val="en-US" w:eastAsia="zh-CN"/>
          <w14:textFill>
            <w14:solidFill>
              <w14:schemeClr w14:val="tx1"/>
            </w14:solidFill>
          </w14:textFill>
        </w:rPr>
        <w:t>2021年度第十四批医疗设备</w:t>
      </w:r>
      <w:r>
        <w:rPr>
          <w:rFonts w:hint="eastAsia" w:ascii="宋体" w:hAnsi="宋体" w:eastAsia="宋体" w:cs="宋体"/>
          <w:b/>
          <w:bCs/>
          <w:color w:val="000000" w:themeColor="text1"/>
          <w:spacing w:val="6"/>
          <w:kern w:val="0"/>
          <w:sz w:val="24"/>
          <w:szCs w:val="24"/>
          <w:lang w:eastAsia="zh-CN"/>
          <w14:textFill>
            <w14:solidFill>
              <w14:schemeClr w14:val="tx1"/>
            </w14:solidFill>
          </w14:textFill>
        </w:rPr>
        <w:t>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292"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293" w:name="_Toc14575"/>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292"/>
      <w:bookmarkEnd w:id="293"/>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94" w:name="_Toc30210"/>
      <w:bookmarkStart w:id="295" w:name="_Toc331"/>
      <w:bookmarkStart w:id="296" w:name="_Toc88447540"/>
      <w:bookmarkStart w:id="297" w:name="_Toc12808"/>
      <w:bookmarkStart w:id="298" w:name="_Toc27412"/>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294"/>
      <w:bookmarkEnd w:id="295"/>
      <w:bookmarkEnd w:id="296"/>
      <w:bookmarkEnd w:id="297"/>
      <w:bookmarkEnd w:id="298"/>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99" w:name="_Toc88447541"/>
      <w:bookmarkStart w:id="300" w:name="_Toc2622"/>
      <w:bookmarkStart w:id="301" w:name="_Toc9725"/>
      <w:bookmarkStart w:id="302" w:name="_Toc20180"/>
      <w:bookmarkStart w:id="303" w:name="_Toc4662"/>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299"/>
      <w:bookmarkEnd w:id="300"/>
      <w:bookmarkEnd w:id="301"/>
      <w:bookmarkEnd w:id="302"/>
      <w:bookmarkEnd w:id="303"/>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5"/>
                          <w:kinsoku w:val="0"/>
                          <w:overflowPunct w:val="0"/>
                          <w:spacing w:before="0" w:line="235" w:lineRule="exact"/>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9"/>
                          <w:ind w:left="405"/>
                          <w:rPr>
                            <w:sz w:val="20"/>
                            <w:szCs w:val="20"/>
                          </w:rPr>
                        </w:pPr>
                        <w:r>
                          <w:rPr>
                            <w:w w:val="99"/>
                            <w:sz w:val="20"/>
                            <w:szCs w:val="20"/>
                          </w:rPr>
                          <w:t xml:space="preserve"> </w:t>
                        </w:r>
                      </w:p>
                      <w:p>
                        <w:pPr>
                          <w:pStyle w:val="5"/>
                          <w:kinsoku w:val="0"/>
                          <w:overflowPunct w:val="0"/>
                          <w:spacing w:before="127"/>
                          <w:ind w:left="405"/>
                          <w:rPr>
                            <w:sz w:val="20"/>
                            <w:szCs w:val="20"/>
                          </w:rPr>
                        </w:pPr>
                        <w:r>
                          <w:rPr>
                            <w:w w:val="99"/>
                            <w:sz w:val="20"/>
                            <w:szCs w:val="20"/>
                          </w:rPr>
                          <w:t xml:space="preserve"> </w:t>
                        </w:r>
                      </w:p>
                      <w:p>
                        <w:pPr>
                          <w:pStyle w:val="5"/>
                          <w:kinsoku w:val="0"/>
                          <w:overflowPunct w:val="0"/>
                          <w:spacing w:before="126"/>
                          <w:ind w:left="364"/>
                          <w:rPr>
                            <w:sz w:val="18"/>
                            <w:szCs w:val="18"/>
                          </w:rPr>
                        </w:pPr>
                        <w:r>
                          <w:rPr>
                            <w:sz w:val="18"/>
                            <w:szCs w:val="18"/>
                          </w:rPr>
                          <w:t xml:space="preserve"> </w:t>
                        </w:r>
                      </w:p>
                      <w:p>
                        <w:pPr>
                          <w:pStyle w:val="5"/>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304" w:name="_Toc27935"/>
      <w:bookmarkStart w:id="305" w:name="_Toc23216"/>
      <w:bookmarkStart w:id="306" w:name="_Toc88447542"/>
      <w:bookmarkStart w:id="307" w:name="_Toc20222"/>
      <w:bookmarkStart w:id="308" w:name="_Toc8215"/>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304"/>
      <w:bookmarkEnd w:id="305"/>
      <w:bookmarkEnd w:id="306"/>
      <w:bookmarkEnd w:id="307"/>
      <w:bookmarkEnd w:id="308"/>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09" w:name="_Toc367"/>
      <w:bookmarkStart w:id="310" w:name="_Toc1959"/>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309"/>
      <w:bookmarkEnd w:id="310"/>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311" w:name="_Toc17887169"/>
      <w:bookmarkStart w:id="312" w:name="_Toc5956061"/>
      <w:bookmarkStart w:id="313" w:name="_Toc5960174"/>
      <w:bookmarkStart w:id="314" w:name="_Toc24964"/>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311"/>
      <w:bookmarkEnd w:id="312"/>
      <w:bookmarkEnd w:id="313"/>
      <w:bookmarkEnd w:id="314"/>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15" w:name="_Toc6385"/>
      <w:bookmarkStart w:id="316" w:name="_Toc7547"/>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315"/>
      <w:bookmarkEnd w:id="316"/>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7"/>
        <w:tblW w:w="4899" w:type="pct"/>
        <w:tblInd w:w="-171" w:type="dxa"/>
        <w:tblLayout w:type="autofit"/>
        <w:tblCellMar>
          <w:top w:w="0" w:type="dxa"/>
          <w:left w:w="0" w:type="dxa"/>
          <w:bottom w:w="0" w:type="dxa"/>
          <w:right w:w="0" w:type="dxa"/>
        </w:tblCellMar>
      </w:tblPr>
      <w:tblGrid>
        <w:gridCol w:w="3421"/>
        <w:gridCol w:w="6308"/>
      </w:tblGrid>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342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单套</w:t>
            </w:r>
            <w:r>
              <w:rPr>
                <w:rFonts w:hint="eastAsia" w:ascii="宋体" w:hAnsi="宋体" w:eastAsia="宋体" w:cs="宋体"/>
                <w:color w:val="000000" w:themeColor="text1"/>
                <w:kern w:val="0"/>
                <w:szCs w:val="21"/>
                <w14:textFill>
                  <w14:solidFill>
                    <w14:schemeClr w14:val="tx1"/>
                  </w14:solidFill>
                </w14:textFill>
              </w:rPr>
              <w:t>投标总价（元）</w:t>
            </w:r>
          </w:p>
        </w:tc>
        <w:tc>
          <w:tcPr>
            <w:tcW w:w="6308" w:type="dxa"/>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rPr>
                <w:rFonts w:hint="eastAsia" w:ascii="宋体" w:hAnsi="宋体" w:eastAsia="宋体" w:cs="宋体"/>
                <w:color w:val="000000" w:themeColor="text1"/>
                <w:spacing w:val="-3"/>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质量保证期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合格</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完全响应合同约定及采购文件要求</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317"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317"/>
    </w:p>
    <w:p>
      <w:pPr>
        <w:widowControl/>
        <w:jc w:val="left"/>
        <w:rPr>
          <w:rFonts w:ascii="宋体" w:hAnsi="宋体" w:eastAsia="宋体" w:cs="Times New Roman"/>
          <w:color w:val="000000" w:themeColor="text1"/>
          <w:sz w:val="24"/>
          <w:szCs w:val="24"/>
          <w14:textFill>
            <w14:solidFill>
              <w14:schemeClr w14:val="tx1"/>
            </w14:solidFill>
          </w14:textFill>
        </w:rPr>
      </w:pPr>
      <w:bookmarkStart w:id="318" w:name="_Toc5956062"/>
      <w:r>
        <w:rPr>
          <w:color w:val="000000" w:themeColor="text1"/>
          <w14:textFill>
            <w14:solidFill>
              <w14:schemeClr w14:val="tx1"/>
            </w14:solidFill>
          </w14:textFill>
        </w:rPr>
        <w:br w:type="page"/>
      </w: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19" w:name="_Toc10743"/>
      <w:bookmarkStart w:id="320" w:name="_Toc19033"/>
      <w:bookmarkStart w:id="321" w:name="_Toc32423"/>
      <w:bookmarkStart w:id="322" w:name="_Toc88447544"/>
      <w:bookmarkStart w:id="323" w:name="_Toc19494"/>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318"/>
      <w:bookmarkEnd w:id="319"/>
      <w:bookmarkEnd w:id="320"/>
      <w:bookmarkEnd w:id="321"/>
      <w:bookmarkEnd w:id="322"/>
      <w:bookmarkEnd w:id="323"/>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7"/>
        <w:tblW w:w="0" w:type="auto"/>
        <w:tblInd w:w="-11" w:type="dxa"/>
        <w:tblLayout w:type="fixed"/>
        <w:tblCellMar>
          <w:top w:w="0" w:type="dxa"/>
          <w:left w:w="0" w:type="dxa"/>
          <w:bottom w:w="0" w:type="dxa"/>
          <w:right w:w="0" w:type="dxa"/>
        </w:tblCellMar>
      </w:tblPr>
      <w:tblGrid>
        <w:gridCol w:w="559"/>
        <w:gridCol w:w="1017"/>
        <w:gridCol w:w="992"/>
        <w:gridCol w:w="567"/>
        <w:gridCol w:w="70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6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70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6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70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24"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324"/>
      <w:bookmarkStart w:id="325" w:name="_Toc31185"/>
      <w:bookmarkStart w:id="326" w:name="_Toc20061"/>
      <w:bookmarkStart w:id="327" w:name="_Toc3407"/>
      <w:bookmarkStart w:id="328" w:name="_Toc5956068"/>
      <w:bookmarkStart w:id="329" w:name="_Toc88447545"/>
      <w:bookmarkStart w:id="330" w:name="_Toc264"/>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325"/>
      <w:bookmarkEnd w:id="326"/>
      <w:bookmarkEnd w:id="327"/>
      <w:bookmarkEnd w:id="328"/>
      <w:bookmarkEnd w:id="329"/>
      <w:bookmarkEnd w:id="330"/>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7"/>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31" w:name="_Toc607"/>
      <w:bookmarkStart w:id="332" w:name="_Toc16641"/>
      <w:bookmarkStart w:id="333" w:name="_Toc9264"/>
      <w:bookmarkStart w:id="334" w:name="_Toc20097"/>
      <w:bookmarkStart w:id="335" w:name="_Toc88447546"/>
      <w:bookmarkStart w:id="336" w:name="_Toc5956069"/>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331"/>
      <w:bookmarkEnd w:id="332"/>
      <w:bookmarkEnd w:id="333"/>
      <w:bookmarkEnd w:id="334"/>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7"/>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37" w:name="_Toc7593"/>
      <w:bookmarkStart w:id="338" w:name="_Toc20845"/>
      <w:bookmarkStart w:id="339" w:name="_Toc19967"/>
      <w:bookmarkStart w:id="340" w:name="_Toc11595"/>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335"/>
      <w:bookmarkEnd w:id="336"/>
      <w:bookmarkEnd w:id="337"/>
      <w:bookmarkEnd w:id="338"/>
      <w:bookmarkEnd w:id="339"/>
      <w:bookmarkEnd w:id="340"/>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341" w:name="_Toc10891"/>
      <w:bookmarkStart w:id="342" w:name="_Toc8624"/>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341"/>
      <w:bookmarkEnd w:id="342"/>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343" w:name="_Toc30141"/>
      <w:bookmarkStart w:id="344" w:name="_Toc7950"/>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343"/>
      <w:bookmarkEnd w:id="344"/>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line="353" w:lineRule="exact"/>
        <w:ind w:left="3693"/>
        <w:jc w:val="left"/>
        <w:rPr>
          <w:rFonts w:ascii="宋体" w:hAnsi="Times New Roman" w:eastAsia="宋体" w:cs="宋体"/>
          <w:color w:val="000000" w:themeColor="text1"/>
          <w:spacing w:val="-4"/>
          <w:kern w:val="0"/>
          <w:sz w:val="28"/>
          <w:szCs w:val="28"/>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17"/>
          <w:szCs w:val="17"/>
          <w14:textFill>
            <w14:solidFill>
              <w14:schemeClr w14:val="tx1"/>
            </w14:solidFill>
          </w14:textFill>
        </w:r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overflowPunct/>
        <w:autoSpaceDE/>
        <w:autoSpaceDN/>
        <w:adjustRightInd/>
        <w:jc w:val="left"/>
        <w:outlineLvl w:val="9"/>
        <w:rPr>
          <w:rFonts w:hint="eastAsia" w:ascii="宋体" w:hAnsi="Times New Roman" w:eastAsia="宋体" w:cs="宋体"/>
          <w:color w:val="000000" w:themeColor="text1"/>
          <w:kern w:val="0"/>
          <w:sz w:val="28"/>
          <w:szCs w:val="28"/>
          <w14:textFill>
            <w14:solidFill>
              <w14:schemeClr w14:val="tx1"/>
            </w14:solidFill>
          </w14:textFill>
        </w:rPr>
      </w:pPr>
      <w:bookmarkStart w:id="345" w:name="_Toc28535"/>
      <w:bookmarkStart w:id="346" w:name="_Toc15035"/>
      <w:bookmarkStart w:id="347" w:name="_Toc88447547"/>
      <w:bookmarkStart w:id="348" w:name="_Toc5956070"/>
      <w:bookmarkStart w:id="349" w:name="_Toc224"/>
      <w:r>
        <w:rPr>
          <w:rFonts w:hint="eastAsia" w:ascii="宋体" w:hAnsi="Times New Roman" w:eastAsia="宋体" w:cs="宋体"/>
          <w:color w:val="000000" w:themeColor="text1"/>
          <w:kern w:val="0"/>
          <w:sz w:val="28"/>
          <w:szCs w:val="28"/>
          <w14:textFill>
            <w14:solidFill>
              <w14:schemeClr w14:val="tx1"/>
            </w14:solidFill>
          </w14:textFill>
        </w:rPr>
        <w:br w:type="page"/>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350" w:name="_Toc14914"/>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345"/>
      <w:bookmarkEnd w:id="346"/>
      <w:bookmarkEnd w:id="347"/>
      <w:bookmarkEnd w:id="348"/>
      <w:bookmarkEnd w:id="349"/>
      <w:bookmarkEnd w:id="350"/>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left"/>
        <w:outlineLvl w:val="0"/>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bookmarkStart w:id="351" w:name="_Toc1522"/>
      <w:bookmarkStart w:id="352" w:name="_Toc5003"/>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351"/>
      <w:bookmarkEnd w:id="352"/>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353" w:name="_Toc11603"/>
      <w:bookmarkStart w:id="354" w:name="_Toc18935"/>
      <w:bookmarkStart w:id="355" w:name="_Toc9324"/>
      <w:bookmarkStart w:id="356" w:name="_Toc1389"/>
      <w:bookmarkStart w:id="357" w:name="_Toc5956073"/>
      <w:bookmarkStart w:id="358" w:name="_Toc88447548"/>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353"/>
      <w:bookmarkEnd w:id="354"/>
      <w:bookmarkEnd w:id="355"/>
      <w:bookmarkEnd w:id="356"/>
      <w:bookmarkEnd w:id="357"/>
      <w:bookmarkEnd w:id="358"/>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
    <w:p>
      <w:pPr>
        <w:kinsoku w:val="0"/>
        <w:overflowPunct w:val="0"/>
        <w:autoSpaceDE w:val="0"/>
        <w:autoSpaceDN w:val="0"/>
        <w:adjustRightInd w:val="0"/>
        <w:spacing w:before="14"/>
        <w:ind w:left="0" w:right="101"/>
        <w:jc w:val="center"/>
        <w:outlineLvl w:val="0"/>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color w:val="000000" w:themeColor="text1"/>
          <w:kern w:val="0"/>
          <w:sz w:val="28"/>
          <w:szCs w:val="28"/>
          <w14:textFill>
            <w14:solidFill>
              <w14:schemeClr w14:val="tx1"/>
            </w14:solidFill>
          </w14:textFill>
        </w:rPr>
        <w:t>十、中小企业声明函</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after="120" w:afterLines="50"/>
        <w:ind w:left="0" w:right="102" w:firstLine="960" w:firstLineChars="40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59" w:name="_Toc2960"/>
      <w:bookmarkStart w:id="360" w:name="_Toc777"/>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本包段专门面向</w:t>
      </w:r>
      <w:r>
        <w:rPr>
          <w:rFonts w:hint="eastAsia" w:ascii="Times New Roman" w:hAnsi="Times New Roman" w:eastAsia="宋体" w:cs="Times New Roman"/>
          <w:color w:val="000000" w:themeColor="text1"/>
          <w:kern w:val="0"/>
          <w:sz w:val="24"/>
          <w:szCs w:val="24"/>
          <w14:textFill>
            <w14:solidFill>
              <w14:schemeClr w14:val="tx1"/>
            </w14:solidFill>
          </w14:textFill>
        </w:rPr>
        <w:t>中小微企业</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，供应商应</w:t>
      </w:r>
      <w:r>
        <w:rPr>
          <w:rFonts w:hint="eastAsia" w:ascii="Times New Roman" w:hAnsi="Times New Roman" w:eastAsia="宋体" w:cs="Times New Roman"/>
          <w:color w:val="000000" w:themeColor="text1"/>
          <w:kern w:val="0"/>
          <w:sz w:val="24"/>
          <w:szCs w:val="24"/>
          <w14:textFill>
            <w14:solidFill>
              <w14:schemeClr w14:val="tx1"/>
            </w14:solidFill>
          </w14:textFill>
        </w:rPr>
        <w:t>填写此项内容）</w:t>
      </w:r>
      <w:bookmarkEnd w:id="359"/>
      <w:bookmarkEnd w:id="360"/>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pStyle w:val="2"/>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361" w:name="_Toc22457"/>
      <w:bookmarkStart w:id="362" w:name="_Toc26564"/>
      <w:bookmarkStart w:id="363" w:name="_Toc10653"/>
      <w:bookmarkStart w:id="364" w:name="_Toc5956076"/>
      <w:bookmarkStart w:id="365" w:name="_Toc88447551"/>
      <w:bookmarkStart w:id="366" w:name="_Toc768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361"/>
      <w:bookmarkEnd w:id="362"/>
      <w:bookmarkEnd w:id="363"/>
      <w:bookmarkEnd w:id="364"/>
      <w:bookmarkEnd w:id="365"/>
      <w:bookmarkEnd w:id="36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67" w:name="_Toc9620"/>
      <w:bookmarkStart w:id="368" w:name="_Toc24001"/>
      <w:bookmarkStart w:id="369" w:name="_Toc88447552"/>
      <w:bookmarkStart w:id="370" w:name="_Toc1068"/>
      <w:bookmarkStart w:id="371" w:name="_Toc28578"/>
      <w:bookmarkStart w:id="372" w:name="_Toc5956077"/>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367"/>
      <w:bookmarkEnd w:id="368"/>
      <w:bookmarkEnd w:id="369"/>
      <w:bookmarkEnd w:id="370"/>
      <w:bookmarkEnd w:id="371"/>
      <w:bookmarkEnd w:id="37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373" w:name="_Toc7703"/>
      <w:bookmarkStart w:id="374" w:name="_Toc1439"/>
      <w:bookmarkStart w:id="375" w:name="_Toc88447553"/>
      <w:bookmarkStart w:id="376" w:name="_Toc22255"/>
      <w:bookmarkStart w:id="377" w:name="_Toc25922"/>
      <w:bookmarkStart w:id="378" w:name="_Toc24419"/>
      <w:bookmarkStart w:id="379" w:name="_Toc13084"/>
      <w:bookmarkStart w:id="380"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373"/>
      <w:bookmarkEnd w:id="374"/>
      <w:bookmarkEnd w:id="375"/>
      <w:bookmarkEnd w:id="376"/>
      <w:bookmarkEnd w:id="377"/>
      <w:bookmarkEnd w:id="378"/>
      <w:bookmarkEnd w:id="379"/>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381" w:name="_Toc27974"/>
      <w:bookmarkStart w:id="382" w:name="_Toc15512"/>
      <w:bookmarkStart w:id="383" w:name="_Toc88447554"/>
      <w:bookmarkStart w:id="384" w:name="_Toc17125"/>
      <w:bookmarkStart w:id="385" w:name="_Toc1545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380"/>
      <w:r>
        <w:rPr>
          <w:rFonts w:hint="eastAsia" w:ascii="宋体" w:hAnsi="Times New Roman" w:eastAsia="宋体" w:cs="宋体"/>
          <w:color w:val="000000" w:themeColor="text1"/>
          <w:kern w:val="0"/>
          <w:sz w:val="28"/>
          <w:szCs w:val="28"/>
          <w14:textFill>
            <w14:solidFill>
              <w14:schemeClr w14:val="tx1"/>
            </w14:solidFill>
          </w14:textFill>
        </w:rPr>
        <w:t>资料</w:t>
      </w:r>
      <w:bookmarkEnd w:id="381"/>
      <w:bookmarkEnd w:id="382"/>
      <w:bookmarkEnd w:id="383"/>
      <w:bookmarkEnd w:id="384"/>
      <w:bookmarkEnd w:id="385"/>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386" w:name="_Toc27105"/>
      <w:bookmarkStart w:id="387" w:name="_Toc32180"/>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386"/>
      <w:bookmarkEnd w:id="387"/>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388" w:name="_Toc13964"/>
      <w:bookmarkStart w:id="389" w:name="_Toc8962"/>
      <w:bookmarkStart w:id="390" w:name="_Toc417"/>
      <w:bookmarkStart w:id="391" w:name="_Toc6851"/>
      <w:bookmarkStart w:id="392" w:name="_Toc88447556"/>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388"/>
      <w:bookmarkEnd w:id="389"/>
      <w:bookmarkEnd w:id="390"/>
      <w:bookmarkEnd w:id="391"/>
      <w:bookmarkEnd w:id="392"/>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25"/>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5"/>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5"/>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5"/>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5"/>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5"/>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5"/>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5"/>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5"/>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ACD9AE"/>
    <w:multiLevelType w:val="singleLevel"/>
    <w:tmpl w:val="98ACD9AE"/>
    <w:lvl w:ilvl="0" w:tentative="0">
      <w:start w:val="7"/>
      <w:numFmt w:val="chineseCounting"/>
      <w:suff w:val="space"/>
      <w:lvlText w:val="第%1条"/>
      <w:lvlJc w:val="left"/>
      <w:rPr>
        <w:rFonts w:hint="eastAsia"/>
      </w:rPr>
    </w:lvl>
  </w:abstractNum>
  <w:abstractNum w:abstractNumId="1">
    <w:nsid w:val="AEF5A905"/>
    <w:multiLevelType w:val="singleLevel"/>
    <w:tmpl w:val="AEF5A905"/>
    <w:lvl w:ilvl="0" w:tentative="0">
      <w:start w:val="7"/>
      <w:numFmt w:val="chineseCounting"/>
      <w:suff w:val="nothing"/>
      <w:lvlText w:val="%1、"/>
      <w:lvlJc w:val="left"/>
      <w:rPr>
        <w:rFonts w:hint="eastAsia"/>
      </w:rPr>
    </w:lvl>
  </w:abstractNum>
  <w:abstractNum w:abstractNumId="2">
    <w:nsid w:val="E136F3E6"/>
    <w:multiLevelType w:val="singleLevel"/>
    <w:tmpl w:val="E136F3E6"/>
    <w:lvl w:ilvl="0" w:tentative="0">
      <w:start w:val="5"/>
      <w:numFmt w:val="decimal"/>
      <w:suff w:val="nothing"/>
      <w:lvlText w:val="%1、"/>
      <w:lvlJc w:val="left"/>
    </w:lvl>
  </w:abstractNum>
  <w:abstractNum w:abstractNumId="3">
    <w:nsid w:val="F85EF068"/>
    <w:multiLevelType w:val="singleLevel"/>
    <w:tmpl w:val="F85EF068"/>
    <w:lvl w:ilvl="0" w:tentative="0">
      <w:start w:val="1"/>
      <w:numFmt w:val="decimal"/>
      <w:suff w:val="nothing"/>
      <w:lvlText w:val="%1）"/>
      <w:lvlJc w:val="left"/>
    </w:lvl>
  </w:abstractNum>
  <w:abstractNum w:abstractNumId="4">
    <w:nsid w:val="0CB5D17C"/>
    <w:multiLevelType w:val="singleLevel"/>
    <w:tmpl w:val="0CB5D17C"/>
    <w:lvl w:ilvl="0" w:tentative="0">
      <w:start w:val="5"/>
      <w:numFmt w:val="chineseCounting"/>
      <w:lvlText w:val="第%1章"/>
      <w:lvlJc w:val="left"/>
      <w:rPr>
        <w:rFonts w:hint="eastAsia"/>
      </w:rPr>
    </w:lvl>
  </w:abstractNum>
  <w:abstractNum w:abstractNumId="5">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3"/>
  </w:num>
  <w:num w:numId="3">
    <w:abstractNumId w:val="6"/>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5OGRhYTMxODUxNGJlNWFlMWRjODliZWI4NDlmNWEifQ=="/>
  </w:docVars>
  <w:rsids>
    <w:rsidRoot w:val="18543CF9"/>
    <w:rsid w:val="18543CF9"/>
    <w:rsid w:val="322F67FD"/>
    <w:rsid w:val="392846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2">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rPr>
      <w:rFonts w:ascii="Times New Roman" w:hAnsi="Times New Roman" w:eastAsia="宋体" w:cs="Times New Roman"/>
      <w:szCs w:val="20"/>
    </w:rPr>
  </w:style>
  <w:style w:type="paragraph" w:styleId="5">
    <w:name w:val="Body Text"/>
    <w:basedOn w:val="1"/>
    <w:next w:val="6"/>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customStyle="1" w:styleId="6">
    <w:name w:val="style4"/>
    <w:basedOn w:val="1"/>
    <w:next w:val="7"/>
    <w:qFormat/>
    <w:uiPriority w:val="0"/>
    <w:pPr>
      <w:widowControl/>
      <w:autoSpaceDE/>
      <w:autoSpaceDN/>
      <w:spacing w:before="280" w:after="280"/>
      <w:jc w:val="both"/>
    </w:pPr>
    <w:rPr>
      <w:sz w:val="18"/>
    </w:rPr>
  </w:style>
  <w:style w:type="paragraph" w:customStyle="1" w:styleId="7">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8">
    <w:name w:val="Body Text Indent"/>
    <w:basedOn w:val="1"/>
    <w:next w:val="9"/>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9">
    <w:name w:val="envelope return"/>
    <w:basedOn w:val="1"/>
    <w:qFormat/>
    <w:uiPriority w:val="0"/>
    <w:pPr>
      <w:autoSpaceDE w:val="0"/>
      <w:autoSpaceDN w:val="0"/>
      <w:adjustRightInd w:val="0"/>
      <w:snapToGrid w:val="0"/>
      <w:jc w:val="left"/>
    </w:pPr>
    <w:rPr>
      <w:rFonts w:ascii="Arial" w:hAnsi="Arial" w:eastAsia="宋体" w:cs="Times New Roman"/>
      <w:kern w:val="0"/>
      <w:sz w:val="24"/>
      <w:szCs w:val="24"/>
    </w:rPr>
  </w:style>
  <w:style w:type="paragraph" w:styleId="10">
    <w:name w:val="Plain Text"/>
    <w:basedOn w:val="1"/>
    <w:qFormat/>
    <w:uiPriority w:val="0"/>
    <w:pPr>
      <w:ind w:firstLine="200" w:firstLineChars="200"/>
    </w:pPr>
    <w:rPr>
      <w:rFonts w:ascii="宋体" w:hAnsi="Courier New"/>
      <w:szCs w:val="20"/>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5">
    <w:name w:val="Body Text First Indent"/>
    <w:basedOn w:val="5"/>
    <w:next w:val="1"/>
    <w:qFormat/>
    <w:uiPriority w:val="0"/>
    <w:pPr>
      <w:ind w:firstLine="420" w:firstLineChars="100"/>
    </w:pPr>
  </w:style>
  <w:style w:type="paragraph" w:styleId="16">
    <w:name w:val="Body Text First Indent 2"/>
    <w:basedOn w:val="8"/>
    <w:next w:val="1"/>
    <w:qFormat/>
    <w:uiPriority w:val="0"/>
    <w:pPr>
      <w:ind w:firstLine="420" w:firstLineChars="200"/>
    </w:pPr>
    <w:rPr>
      <w:sz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qFormat/>
    <w:uiPriority w:val="0"/>
    <w:rPr>
      <w:color w:val="0000FF"/>
      <w:u w:val="none"/>
    </w:rPr>
  </w:style>
  <w:style w:type="paragraph" w:customStyle="1" w:styleId="21">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22">
    <w:name w:val="WPSOffice手动目录 1"/>
    <w:qFormat/>
    <w:uiPriority w:val="99"/>
    <w:rPr>
      <w:rFonts w:ascii="Times New Roman" w:hAnsi="Times New Roman" w:eastAsia="宋体" w:cs="Times New Roman"/>
      <w:lang w:val="en-US" w:eastAsia="zh-CN" w:bidi="ar-SA"/>
    </w:rPr>
  </w:style>
  <w:style w:type="paragraph" w:styleId="23">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character" w:customStyle="1" w:styleId="24">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25">
    <w:name w:val="**正文"/>
    <w:basedOn w:val="1"/>
    <w:qFormat/>
    <w:uiPriority w:val="0"/>
    <w:pPr>
      <w:spacing w:line="360" w:lineRule="auto"/>
      <w:ind w:firstLine="482"/>
    </w:pPr>
    <w:rPr>
      <w:rFonts w:ascii="宋体" w:hAnsi="宋体" w:eastAsia="宋体" w:cs="Times New Roman"/>
      <w:sz w:val="24"/>
      <w:szCs w:val="24"/>
    </w:rPr>
  </w:style>
  <w:style w:type="paragraph" w:customStyle="1" w:styleId="26">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32755</Words>
  <Characters>35465</Characters>
  <Lines>0</Lines>
  <Paragraphs>0</Paragraphs>
  <TotalTime>1</TotalTime>
  <ScaleCrop>false</ScaleCrop>
  <LinksUpToDate>false</LinksUpToDate>
  <CharactersWithSpaces>37246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2023-05-24T08:59:00Z</dcterms:created>
  <dc:creator>王富祯</dc:creator>
  <cp:lastModifiedBy>王富祯</cp:lastModifiedBy>
  <dcterms:modified xsi:type="dcterms:W3CDTF">2023-05-24T09:52:54Z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5637DE47100240F6BE864365AE872D33_13</vt:lpwstr>
  </property>
</Properties>
</file>